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53B8" w14:textId="77777777" w:rsidR="007751C2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E26534" w14:textId="77777777" w:rsidR="007751C2" w:rsidRPr="003215A3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5D3707E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DA4519">
              <w:rPr>
                <w:rFonts w:ascii="Times New Roman" w:hAnsi="Times New Roman"/>
              </w:rPr>
              <w:t>WASHINGTON UTILITIES AND TRANSPORTATION COMMISSION,</w:t>
            </w:r>
          </w:p>
          <w:p w14:paraId="7B8F6FCE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48C13077" w14:textId="208FD12F" w:rsidR="00DA4519" w:rsidRPr="00DA4519" w:rsidRDefault="00F04517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DA4519" w:rsidRPr="00DA4519">
              <w:rPr>
                <w:rFonts w:ascii="Times New Roman" w:hAnsi="Times New Roman"/>
              </w:rPr>
              <w:t>Complainant,</w:t>
            </w:r>
          </w:p>
          <w:p w14:paraId="366D1E2C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32B48C4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DA4519">
              <w:rPr>
                <w:rFonts w:ascii="Times New Roman" w:hAnsi="Times New Roman"/>
              </w:rPr>
              <w:t>v.</w:t>
            </w:r>
          </w:p>
          <w:p w14:paraId="7E934551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2D72484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DA4519">
              <w:rPr>
                <w:rFonts w:ascii="Times New Roman" w:hAnsi="Times New Roman"/>
              </w:rPr>
              <w:t>321 COMMUNICATIONS, INC.; EMAN NETWORKS; ERNEST COMMUNICATIONS, INC.; GREENFLY NETWORKS, INC.; IBASIS RETAIL, INC.; INETWORKS GROUP, INC.; LDC GROUP, LLC; LEGACY LONG DISTANCE INTERNATIONAL, INC.; MASTER CALL CORPORATION; PUBLIC WIRELESS, INC.; TELE CIRCUIT NETWORK CORPORATION; TELECOMMUNICATIONS COMMUNICATIONS SERVICES, INC.; TELEXFREE, LLC; TTUSA ACQUISITION, INC.; UMPQUA INDIAN DEVELOPMENT CORP.</w:t>
            </w:r>
          </w:p>
          <w:p w14:paraId="42A0D1F7" w14:textId="77777777" w:rsidR="00DA4519" w:rsidRPr="00DA4519" w:rsidRDefault="00DA4519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7150DEE" w14:textId="6E78AACA" w:rsidR="00C95618" w:rsidRDefault="00F04517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DA4519" w:rsidRPr="00DA4519">
              <w:rPr>
                <w:rFonts w:ascii="Times New Roman" w:hAnsi="Times New Roman"/>
              </w:rPr>
              <w:t>Respondents.</w:t>
            </w:r>
          </w:p>
          <w:p w14:paraId="5FE4A164" w14:textId="2EA3CDDE" w:rsidR="00F04517" w:rsidRPr="003215A3" w:rsidRDefault="00F04517" w:rsidP="00DA451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241FCA6B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DA4519">
              <w:rPr>
                <w:rFonts w:ascii="Times New Roman" w:hAnsi="Times New Roman"/>
              </w:rPr>
              <w:t>UT</w:t>
            </w:r>
            <w:r w:rsidR="004D3398">
              <w:rPr>
                <w:rFonts w:ascii="Times New Roman" w:hAnsi="Times New Roman"/>
              </w:rPr>
              <w:t>-151</w:t>
            </w:r>
            <w:r w:rsidR="00DA4519">
              <w:rPr>
                <w:rFonts w:ascii="Times New Roman" w:hAnsi="Times New Roman"/>
              </w:rPr>
              <w:t>543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E974C" w14:textId="078793A9" w:rsidR="004D3398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6618DBF" w14:textId="77777777" w:rsidR="004D3398" w:rsidRPr="003215A3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CBBCC54" w14:textId="77777777" w:rsidR="00A14D11" w:rsidRDefault="00A14D11" w:rsidP="00A14D11">
      <w:pPr>
        <w:pStyle w:val="BodyTextIndent2"/>
        <w:ind w:left="0"/>
        <w:rPr>
          <w:rFonts w:ascii="Times New Roman" w:hAnsi="Times New Roman"/>
        </w:rPr>
      </w:pPr>
    </w:p>
    <w:p w14:paraId="3B13E299" w14:textId="77777777" w:rsidR="004D3398" w:rsidRDefault="004D3398" w:rsidP="008D7D4F">
      <w:pPr>
        <w:pStyle w:val="BodyTextIndent2"/>
        <w:ind w:left="0"/>
        <w:rPr>
          <w:rFonts w:ascii="Times New Roman" w:hAnsi="Times New Roman"/>
        </w:rPr>
        <w:sectPr w:rsidR="004D3398" w:rsidSect="0092641E">
          <w:footerReference w:type="default" r:id="rId10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5DD1DA99" w14:textId="3EBCEC3C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Andrew J. O’Connell</w:t>
      </w:r>
    </w:p>
    <w:p w14:paraId="56BC05A2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63100D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0F98ADA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20508BC3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4D0E850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4111C7BD" w14:textId="6B257FEE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1192</w:t>
      </w:r>
    </w:p>
    <w:p w14:paraId="6D495F0F" w14:textId="6B4D9B8C" w:rsidR="004D3398" w:rsidRDefault="004D3398" w:rsidP="004D3398">
      <w:pPr>
        <w:pStyle w:val="BodyTextIndent2"/>
        <w:ind w:left="0"/>
        <w:rPr>
          <w:rStyle w:val="Hyperlink"/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hyperlink r:id="rId11" w:history="1">
        <w:r w:rsidR="00DA4519" w:rsidRPr="00940A94">
          <w:rPr>
            <w:rStyle w:val="Hyperlink"/>
            <w:rFonts w:ascii="Times New Roman" w:hAnsi="Times New Roman"/>
          </w:rPr>
          <w:t>aoconnel@utc.wa.gov</w:t>
        </w:r>
      </w:hyperlink>
    </w:p>
    <w:p w14:paraId="624A7ACE" w14:textId="783E0322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56D3039A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02B3738D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8432CF3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66ADF45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71C1DCF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19FD07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393C111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170867F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  <w:sectPr w:rsidR="004D3398" w:rsidSect="004D3398">
          <w:type w:val="continuous"/>
          <w:pgSz w:w="12240" w:h="15840"/>
          <w:pgMar w:top="1440" w:right="1440" w:bottom="1440" w:left="1872" w:header="720" w:footer="720" w:gutter="0"/>
          <w:paperSrc w:first="1" w:other="1"/>
          <w:cols w:num="2" w:space="720"/>
          <w:docGrid w:linePitch="360"/>
        </w:sectPr>
      </w:pPr>
    </w:p>
    <w:p w14:paraId="4558A576" w14:textId="77777777" w:rsidR="00DA4519" w:rsidRDefault="00DA4519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bookmarkStart w:id="0" w:name="_GoBack"/>
      <w:bookmarkEnd w:id="0"/>
    </w:p>
    <w:p w14:paraId="5FE4A17D" w14:textId="06C92058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lastRenderedPageBreak/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DA4519">
        <w:rPr>
          <w:rFonts w:ascii="Times New Roman" w:hAnsi="Times New Roman"/>
        </w:rPr>
        <w:t>6th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DA4519">
        <w:rPr>
          <w:rFonts w:ascii="Times New Roman" w:hAnsi="Times New Roman"/>
        </w:rPr>
        <w:t>October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1FABE23F" w:rsidR="003215A3" w:rsidRPr="003215A3" w:rsidRDefault="007751C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ANDREW J. O’CONNELL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4D3398"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C0521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4D3398"/>
    <w:rsid w:val="00610252"/>
    <w:rsid w:val="00673940"/>
    <w:rsid w:val="006911A3"/>
    <w:rsid w:val="006F1441"/>
    <w:rsid w:val="007751C2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92BC6"/>
    <w:rsid w:val="00A11F1E"/>
    <w:rsid w:val="00A14D11"/>
    <w:rsid w:val="00A67601"/>
    <w:rsid w:val="00A8045C"/>
    <w:rsid w:val="00B80C7E"/>
    <w:rsid w:val="00C0521E"/>
    <w:rsid w:val="00C5017F"/>
    <w:rsid w:val="00C95618"/>
    <w:rsid w:val="00D512B9"/>
    <w:rsid w:val="00D8378C"/>
    <w:rsid w:val="00DA4519"/>
    <w:rsid w:val="00DC3015"/>
    <w:rsid w:val="00DC4D10"/>
    <w:rsid w:val="00DE5C2A"/>
    <w:rsid w:val="00E22586"/>
    <w:rsid w:val="00E3232B"/>
    <w:rsid w:val="00F04517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connel@utc.wa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876F88F437F2418ECD04DC15384B59" ma:contentTypeVersion="119" ma:contentTypeDescription="" ma:contentTypeScope="" ma:versionID="28bf5b95a41d9f782d3baafded9fc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2015-10-06T21:39:12+00:00</Date1>
    <IsDocumentOrder xmlns="dc463f71-b30c-4ab2-9473-d307f9d35888" xsi:nil="true"/>
    <IsHighlyConfidential xmlns="dc463f71-b30c-4ab2-9473-d307f9d35888">false</IsHighlyConfidential>
    <CaseCompanyNames xmlns="dc463f71-b30c-4ab2-9473-d307f9d35888">321 Communications, Inc.;Eman Networks;Ernest Communications, Inc.;Greenfly Networks, Inc.;iBasis Retail, Inc.;iNetworks Group, Inc.;LDC Group, LLC;Legacy Long Distance International, Inc.;Public Wireless, Inc.;Tele Circuit Network Corporation;Telecommunications Communications Services, Inc.;TELEXFREE, LLC;TTUSA Acquistion, Inc.;Umpqua Indian Development Corp.</CaseCompanyNames>
    <DocketNumber xmlns="dc463f71-b30c-4ab2-9473-d307f9d35888">151543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74C50F-AAC6-48FF-B81B-8DBBE0E94FD9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7F187069-BB44-4B6A-96E4-22DCAC89F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1778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22</cp:revision>
  <cp:lastPrinted>2015-09-01T16:02:00Z</cp:lastPrinted>
  <dcterms:created xsi:type="dcterms:W3CDTF">2013-04-03T16:34:00Z</dcterms:created>
  <dcterms:modified xsi:type="dcterms:W3CDTF">2015-10-06T20:56:00Z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0x0101006E56B4D1795A2E4DB2F0B01679ED314A00C6876F88F437F2418ECD04DC15384B59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