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8A70C" w14:textId="73FE0232" w:rsidR="00180BE4" w:rsidRDefault="00391021" w:rsidP="00180BE4">
      <w:pPr>
        <w:ind w:left="-450"/>
        <w:rPr>
          <w:iCs/>
          <w:spacing w:val="-4"/>
        </w:rPr>
      </w:pPr>
      <w:r>
        <w:rPr>
          <w:noProof/>
        </w:rPr>
        <w:drawing>
          <wp:anchor distT="0" distB="0" distL="114300" distR="114300" simplePos="0" relativeHeight="251662336" behindDoc="0" locked="0" layoutInCell="1" allowOverlap="1" wp14:anchorId="4648A70F" wp14:editId="0246DFA2">
            <wp:simplePos x="0" y="0"/>
            <wp:positionH relativeFrom="column">
              <wp:posOffset>1663700</wp:posOffset>
            </wp:positionH>
            <wp:positionV relativeFrom="paragraph">
              <wp:posOffset>8369935</wp:posOffset>
            </wp:positionV>
            <wp:extent cx="2441575" cy="243840"/>
            <wp:effectExtent l="0" t="0" r="0" b="3810"/>
            <wp:wrapNone/>
            <wp:docPr id="7" name="Picture 7"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G-Color-300dpi"/>
                    <pic:cNvPicPr>
                      <a:picLocks noChangeAspect="1" noChangeArrowheads="1"/>
                    </pic:cNvPicPr>
                  </pic:nvPicPr>
                  <pic:blipFill>
                    <a:blip r:embed="rId8"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648A710" wp14:editId="259D1093">
                <wp:simplePos x="0" y="0"/>
                <wp:positionH relativeFrom="column">
                  <wp:posOffset>2647950</wp:posOffset>
                </wp:positionH>
                <wp:positionV relativeFrom="paragraph">
                  <wp:posOffset>208915</wp:posOffset>
                </wp:positionV>
                <wp:extent cx="3695700" cy="3524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8A714" w14:textId="77777777"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14:paraId="4648A715" w14:textId="77777777"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14:paraId="4648A716" w14:textId="77777777" w:rsidR="00422E8D" w:rsidRPr="008F4219" w:rsidRDefault="00307E98" w:rsidP="008F4219">
                            <w:pPr>
                              <w:tabs>
                                <w:tab w:val="left" w:pos="120"/>
                              </w:tabs>
                              <w:ind w:left="-720" w:firstLine="450"/>
                              <w:jc w:val="center"/>
                              <w:rPr>
                                <w:rFonts w:ascii="Arial" w:hAnsi="Arial" w:cs="Arial"/>
                                <w:iCs/>
                                <w:spacing w:val="-4"/>
                                <w:sz w:val="15"/>
                                <w:szCs w:val="15"/>
                              </w:rPr>
                            </w:pPr>
                            <w:hyperlink r:id="rId9" w:history="1">
                              <w:r w:rsidR="008F4219" w:rsidRPr="008F4219">
                                <w:rPr>
                                  <w:rStyle w:val="Hyperlink"/>
                                  <w:rFonts w:ascii="Arial" w:hAnsi="Arial" w:cs="Arial"/>
                                  <w:iCs/>
                                  <w:color w:val="auto"/>
                                  <w:spacing w:val="-4"/>
                                  <w:sz w:val="15"/>
                                  <w:szCs w:val="15"/>
                                  <w:u w:val="none"/>
                                </w:rPr>
                                <w:t>www.cngc.com</w:t>
                              </w:r>
                            </w:hyperlink>
                          </w:p>
                          <w:p w14:paraId="4648A717" w14:textId="77777777" w:rsidR="008F4219" w:rsidRPr="008F4219" w:rsidRDefault="008F4219"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8.5pt;margin-top:16.45pt;width:29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3RswIAALg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" filled="f" stroked="f">
                <v:textbox inset=",0,,0">
                  <w:txbxContent>
                    <w:p w14:paraId="4648A714" w14:textId="77777777"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14:paraId="4648A715" w14:textId="77777777"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14:paraId="4648A716" w14:textId="77777777" w:rsidR="00422E8D" w:rsidRPr="008F4219" w:rsidRDefault="00307E98" w:rsidP="008F4219">
                      <w:pPr>
                        <w:tabs>
                          <w:tab w:val="left" w:pos="120"/>
                        </w:tabs>
                        <w:ind w:left="-720" w:firstLine="450"/>
                        <w:jc w:val="center"/>
                        <w:rPr>
                          <w:rFonts w:ascii="Arial" w:hAnsi="Arial" w:cs="Arial"/>
                          <w:iCs/>
                          <w:spacing w:val="-4"/>
                          <w:sz w:val="15"/>
                          <w:szCs w:val="15"/>
                        </w:rPr>
                      </w:pPr>
                      <w:hyperlink r:id="rId10" w:history="1">
                        <w:r w:rsidR="008F4219" w:rsidRPr="008F4219">
                          <w:rPr>
                            <w:rStyle w:val="Hyperlink"/>
                            <w:rFonts w:ascii="Arial" w:hAnsi="Arial" w:cs="Arial"/>
                            <w:iCs/>
                            <w:color w:val="auto"/>
                            <w:spacing w:val="-4"/>
                            <w:sz w:val="15"/>
                            <w:szCs w:val="15"/>
                            <w:u w:val="none"/>
                          </w:rPr>
                          <w:t>www.cngc.com</w:t>
                        </w:r>
                      </w:hyperlink>
                    </w:p>
                    <w:p w14:paraId="4648A717" w14:textId="77777777" w:rsidR="008F4219" w:rsidRPr="008F4219" w:rsidRDefault="008F4219" w:rsidP="008F4219">
                      <w:pPr>
                        <w:tabs>
                          <w:tab w:val="left" w:pos="120"/>
                        </w:tabs>
                        <w:ind w:left="-720" w:firstLine="450"/>
                        <w:jc w:val="center"/>
                        <w:rPr>
                          <w:rFonts w:ascii="Arial" w:hAnsi="Arial" w:cs="Arial"/>
                          <w:iCs/>
                          <w:spacing w:val="-4"/>
                          <w:sz w:val="15"/>
                          <w:szCs w:val="15"/>
                        </w:rPr>
                      </w:pPr>
                    </w:p>
                  </w:txbxContent>
                </v:textbox>
              </v:shape>
            </w:pict>
          </mc:Fallback>
        </mc:AlternateContent>
      </w:r>
      <w:r>
        <w:rPr>
          <w:noProof/>
        </w:rPr>
        <w:drawing>
          <wp:anchor distT="0" distB="274320" distL="114300" distR="114300" simplePos="0" relativeHeight="251660288" behindDoc="0" locked="0" layoutInCell="1" allowOverlap="1" wp14:anchorId="4648A711" wp14:editId="2C407346">
            <wp:simplePos x="0" y="0"/>
            <wp:positionH relativeFrom="column">
              <wp:posOffset>-269875</wp:posOffset>
            </wp:positionH>
            <wp:positionV relativeFrom="paragraph">
              <wp:posOffset>-302895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8"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p w14:paraId="3EA741B4" w14:textId="113DA43E" w:rsidR="00391021" w:rsidRPr="00391021" w:rsidRDefault="00391021" w:rsidP="00180BE4">
      <w:pPr>
        <w:ind w:left="-450"/>
        <w:rPr>
          <w:iCs/>
          <w:spacing w:val="-4"/>
          <w:sz w:val="24"/>
          <w:szCs w:val="24"/>
        </w:rPr>
      </w:pPr>
      <w:r>
        <w:rPr>
          <w:iCs/>
          <w:spacing w:val="-4"/>
        </w:rPr>
        <w:tab/>
      </w:r>
      <w:r w:rsidRPr="00391021">
        <w:rPr>
          <w:iCs/>
          <w:spacing w:val="-4"/>
          <w:sz w:val="24"/>
          <w:szCs w:val="24"/>
        </w:rPr>
        <w:t>June 19, 2015</w:t>
      </w:r>
    </w:p>
    <w:p w14:paraId="31905D33" w14:textId="77777777" w:rsidR="00391021" w:rsidRDefault="00391021" w:rsidP="00180BE4">
      <w:pPr>
        <w:ind w:left="-450"/>
        <w:rPr>
          <w:iCs/>
          <w:spacing w:val="-4"/>
        </w:rPr>
      </w:pPr>
    </w:p>
    <w:p w14:paraId="78213F87" w14:textId="56ACB136" w:rsidR="00391021" w:rsidRDefault="00391021" w:rsidP="00391021">
      <w:pPr>
        <w:tabs>
          <w:tab w:val="left" w:pos="954"/>
          <w:tab w:val="left" w:pos="5083"/>
        </w:tabs>
        <w:suppressAutoHyphens/>
        <w:jc w:val="both"/>
        <w:rPr>
          <w:spacing w:val="-2"/>
          <w:sz w:val="24"/>
        </w:rPr>
      </w:pPr>
      <w:r>
        <w:rPr>
          <w:spacing w:val="-2"/>
          <w:sz w:val="24"/>
        </w:rPr>
        <w:t>Mr. Steven V. King</w:t>
      </w:r>
    </w:p>
    <w:p w14:paraId="2E8F03A6" w14:textId="77777777" w:rsidR="00391021" w:rsidRDefault="00391021" w:rsidP="00391021">
      <w:pPr>
        <w:tabs>
          <w:tab w:val="left" w:pos="954"/>
          <w:tab w:val="left" w:pos="5083"/>
        </w:tabs>
        <w:suppressAutoHyphens/>
        <w:jc w:val="both"/>
        <w:rPr>
          <w:spacing w:val="-2"/>
          <w:sz w:val="24"/>
        </w:rPr>
      </w:pPr>
      <w:r>
        <w:rPr>
          <w:spacing w:val="-2"/>
          <w:sz w:val="24"/>
        </w:rPr>
        <w:t>Executive Director and Secretary</w:t>
      </w:r>
    </w:p>
    <w:p w14:paraId="3F8BB678" w14:textId="77777777" w:rsidR="00391021" w:rsidRDefault="00391021" w:rsidP="00391021">
      <w:pPr>
        <w:tabs>
          <w:tab w:val="left" w:pos="954"/>
          <w:tab w:val="left" w:pos="5083"/>
        </w:tabs>
        <w:suppressAutoHyphens/>
        <w:jc w:val="both"/>
        <w:rPr>
          <w:spacing w:val="-2"/>
          <w:sz w:val="24"/>
        </w:rPr>
      </w:pPr>
      <w:r>
        <w:rPr>
          <w:spacing w:val="-2"/>
          <w:sz w:val="24"/>
        </w:rPr>
        <w:t>Washington Utilities &amp; Transportation Commission</w:t>
      </w:r>
    </w:p>
    <w:p w14:paraId="6DE3F827" w14:textId="77777777" w:rsidR="00391021" w:rsidRDefault="00391021" w:rsidP="00391021">
      <w:pPr>
        <w:tabs>
          <w:tab w:val="left" w:pos="954"/>
          <w:tab w:val="left" w:pos="5083"/>
        </w:tabs>
        <w:suppressAutoHyphens/>
        <w:jc w:val="both"/>
        <w:rPr>
          <w:spacing w:val="-2"/>
          <w:sz w:val="24"/>
        </w:rPr>
      </w:pPr>
      <w:r>
        <w:rPr>
          <w:spacing w:val="-2"/>
          <w:sz w:val="24"/>
        </w:rPr>
        <w:t>P.O. Box 47250</w:t>
      </w:r>
    </w:p>
    <w:p w14:paraId="5DB3D2D9" w14:textId="77777777" w:rsidR="00391021" w:rsidRDefault="00391021" w:rsidP="00391021">
      <w:pPr>
        <w:tabs>
          <w:tab w:val="left" w:pos="954"/>
          <w:tab w:val="left" w:pos="5083"/>
        </w:tabs>
        <w:suppressAutoHyphens/>
        <w:jc w:val="both"/>
        <w:rPr>
          <w:spacing w:val="-2"/>
          <w:sz w:val="24"/>
        </w:rPr>
      </w:pPr>
      <w:smartTag w:uri="urn:schemas-microsoft-com:office:smarttags" w:element="place">
        <w:smartTag w:uri="urn:schemas-microsoft-com:office:smarttags" w:element="City">
          <w:r>
            <w:rPr>
              <w:spacing w:val="-2"/>
              <w:sz w:val="24"/>
            </w:rPr>
            <w:t>Olympia</w:t>
          </w:r>
        </w:smartTag>
        <w:r>
          <w:rPr>
            <w:spacing w:val="-2"/>
            <w:sz w:val="24"/>
          </w:rPr>
          <w:t xml:space="preserve">, </w:t>
        </w:r>
        <w:smartTag w:uri="urn:schemas-microsoft-com:office:smarttags" w:element="State">
          <w:r>
            <w:rPr>
              <w:spacing w:val="-2"/>
              <w:sz w:val="24"/>
            </w:rPr>
            <w:t>WA</w:t>
          </w:r>
        </w:smartTag>
        <w:r>
          <w:rPr>
            <w:spacing w:val="-2"/>
            <w:sz w:val="24"/>
          </w:rPr>
          <w:t xml:space="preserve">  </w:t>
        </w:r>
        <w:smartTag w:uri="urn:schemas-microsoft-com:office:smarttags" w:element="PostalCode">
          <w:r>
            <w:rPr>
              <w:spacing w:val="-2"/>
              <w:sz w:val="24"/>
            </w:rPr>
            <w:t>98504-7250</w:t>
          </w:r>
        </w:smartTag>
      </w:smartTag>
    </w:p>
    <w:p w14:paraId="477DF8E4" w14:textId="299299C1" w:rsidR="00391021" w:rsidRDefault="00391021" w:rsidP="00180BE4">
      <w:pPr>
        <w:ind w:left="-450"/>
        <w:rPr>
          <w:iCs/>
          <w:spacing w:val="-4"/>
        </w:rPr>
      </w:pPr>
    </w:p>
    <w:p w14:paraId="262A2CB1" w14:textId="77777777" w:rsidR="00391021" w:rsidRDefault="00391021" w:rsidP="00180BE4">
      <w:pPr>
        <w:ind w:left="-450"/>
        <w:rPr>
          <w:iCs/>
          <w:spacing w:val="-4"/>
        </w:rPr>
      </w:pPr>
    </w:p>
    <w:p w14:paraId="5C4029F8" w14:textId="77777777" w:rsidR="00391021" w:rsidRDefault="00391021" w:rsidP="00391021">
      <w:pPr>
        <w:rPr>
          <w:sz w:val="24"/>
          <w:szCs w:val="24"/>
        </w:rPr>
      </w:pPr>
      <w:r w:rsidRPr="00391021">
        <w:rPr>
          <w:sz w:val="24"/>
          <w:szCs w:val="24"/>
        </w:rPr>
        <w:t>Subject:  Replacement report in Docket UG-150668</w:t>
      </w:r>
    </w:p>
    <w:p w14:paraId="04351891" w14:textId="77777777" w:rsidR="00391021" w:rsidRPr="00391021" w:rsidRDefault="00391021" w:rsidP="00391021">
      <w:pPr>
        <w:rPr>
          <w:sz w:val="24"/>
          <w:szCs w:val="24"/>
        </w:rPr>
      </w:pPr>
    </w:p>
    <w:p w14:paraId="2496F140" w14:textId="77777777" w:rsidR="00391021" w:rsidRDefault="00391021" w:rsidP="00391021">
      <w:pPr>
        <w:rPr>
          <w:sz w:val="24"/>
          <w:szCs w:val="24"/>
        </w:rPr>
      </w:pPr>
      <w:r w:rsidRPr="00391021">
        <w:rPr>
          <w:sz w:val="24"/>
          <w:szCs w:val="24"/>
        </w:rPr>
        <w:t>Dear Mr. King</w:t>
      </w:r>
    </w:p>
    <w:p w14:paraId="03FC15AC" w14:textId="77777777" w:rsidR="00391021" w:rsidRPr="00391021" w:rsidRDefault="00391021" w:rsidP="00391021">
      <w:pPr>
        <w:rPr>
          <w:sz w:val="24"/>
          <w:szCs w:val="24"/>
        </w:rPr>
      </w:pPr>
    </w:p>
    <w:p w14:paraId="4DB1FC24" w14:textId="77777777" w:rsidR="00391021" w:rsidRDefault="00391021" w:rsidP="00391021">
      <w:pPr>
        <w:rPr>
          <w:sz w:val="24"/>
          <w:szCs w:val="24"/>
        </w:rPr>
      </w:pPr>
      <w:r w:rsidRPr="00391021">
        <w:rPr>
          <w:sz w:val="24"/>
          <w:szCs w:val="24"/>
        </w:rPr>
        <w:t>Cascade submits the current report as a replacement to the original report filed on April 24, 2015.  During Staff’s investigation and analysis of the report several items were discovered in the report that did not strictly comply with staff’s interpretation of WAC 480-90-257.</w:t>
      </w:r>
    </w:p>
    <w:p w14:paraId="78D8144A" w14:textId="77777777" w:rsidR="00391021" w:rsidRPr="00391021" w:rsidRDefault="00391021" w:rsidP="00391021">
      <w:pPr>
        <w:rPr>
          <w:sz w:val="24"/>
          <w:szCs w:val="24"/>
        </w:rPr>
      </w:pPr>
    </w:p>
    <w:p w14:paraId="4022CD64" w14:textId="77777777" w:rsidR="00391021" w:rsidRDefault="00391021" w:rsidP="00391021">
      <w:pPr>
        <w:rPr>
          <w:sz w:val="24"/>
          <w:szCs w:val="24"/>
        </w:rPr>
      </w:pPr>
      <w:r w:rsidRPr="00391021">
        <w:rPr>
          <w:sz w:val="24"/>
          <w:szCs w:val="24"/>
        </w:rPr>
        <w:t>In this revised report Cascade has removed the Restate Wage adjustment, the Remove Retiree Medical Credit adjustment, and modified the Investor Supplied Working Capital calculation.</w:t>
      </w:r>
    </w:p>
    <w:p w14:paraId="148F4C8D" w14:textId="77777777" w:rsidR="00391021" w:rsidRPr="00391021" w:rsidRDefault="00391021" w:rsidP="00391021">
      <w:pPr>
        <w:rPr>
          <w:sz w:val="24"/>
          <w:szCs w:val="24"/>
        </w:rPr>
      </w:pPr>
    </w:p>
    <w:p w14:paraId="122E46C7" w14:textId="77777777" w:rsidR="00391021" w:rsidRDefault="00391021" w:rsidP="00391021">
      <w:pPr>
        <w:rPr>
          <w:sz w:val="24"/>
          <w:szCs w:val="24"/>
        </w:rPr>
      </w:pPr>
      <w:r w:rsidRPr="00391021">
        <w:rPr>
          <w:sz w:val="24"/>
          <w:szCs w:val="24"/>
        </w:rPr>
        <w:t xml:space="preserve">The wage adjustment as original proposed was an annualization of a union wage increase.  Annualizations are not to be included in the Commission Basis Report.  The second adjustment to Remove Retiree Medical Credit was a carryover adjustment the company has been including from a previous year when a credit occurred.  The intent was to properly reflect </w:t>
      </w:r>
      <w:proofErr w:type="gramStart"/>
      <w:r w:rsidRPr="00391021">
        <w:rPr>
          <w:sz w:val="24"/>
          <w:szCs w:val="24"/>
        </w:rPr>
        <w:t>a truer results</w:t>
      </w:r>
      <w:proofErr w:type="gramEnd"/>
      <w:r w:rsidRPr="00391021">
        <w:rPr>
          <w:sz w:val="24"/>
          <w:szCs w:val="24"/>
        </w:rPr>
        <w:t xml:space="preserve"> of operation.  However, in 2014 there was no credit.  The adjustment simply removed a book expense.  This was not an adjustment authorized or approved by the Commission in any previous case therefore it should not have been included.</w:t>
      </w:r>
    </w:p>
    <w:p w14:paraId="587885D4" w14:textId="77777777" w:rsidR="00391021" w:rsidRPr="00391021" w:rsidRDefault="00391021" w:rsidP="00391021">
      <w:pPr>
        <w:rPr>
          <w:sz w:val="24"/>
          <w:szCs w:val="24"/>
        </w:rPr>
      </w:pPr>
    </w:p>
    <w:p w14:paraId="145E04C8" w14:textId="77777777" w:rsidR="00391021" w:rsidRPr="00391021" w:rsidRDefault="00391021" w:rsidP="00391021">
      <w:pPr>
        <w:rPr>
          <w:sz w:val="24"/>
          <w:szCs w:val="24"/>
        </w:rPr>
      </w:pPr>
      <w:r w:rsidRPr="00391021">
        <w:rPr>
          <w:sz w:val="24"/>
          <w:szCs w:val="24"/>
        </w:rPr>
        <w:t>In this replacement report, Cascade has modified its original working capital calculation to mirror the working capital calculation used in the settlement in Docket UG-060256.  In the original report Cascade treated pension related accounts as working capital consistent with more recent Commission treatments of these types of accounts in other cases that have occurred since Cascade’s last general rate case.</w:t>
      </w:r>
    </w:p>
    <w:p w14:paraId="75EA20E1" w14:textId="77777777" w:rsidR="00391021" w:rsidRPr="00391021" w:rsidRDefault="00391021" w:rsidP="00391021">
      <w:pPr>
        <w:rPr>
          <w:sz w:val="24"/>
          <w:szCs w:val="24"/>
        </w:rPr>
      </w:pPr>
    </w:p>
    <w:p w14:paraId="31FC48BB" w14:textId="77777777" w:rsidR="00391021" w:rsidRDefault="00391021" w:rsidP="00391021">
      <w:pPr>
        <w:rPr>
          <w:sz w:val="24"/>
          <w:szCs w:val="24"/>
        </w:rPr>
      </w:pPr>
      <w:r w:rsidRPr="00391021">
        <w:rPr>
          <w:sz w:val="24"/>
          <w:szCs w:val="24"/>
        </w:rPr>
        <w:t>Sincerely,</w:t>
      </w:r>
    </w:p>
    <w:p w14:paraId="3B015B2B" w14:textId="77777777" w:rsidR="00391021" w:rsidRDefault="00391021" w:rsidP="00391021">
      <w:pPr>
        <w:rPr>
          <w:sz w:val="24"/>
          <w:szCs w:val="24"/>
        </w:rPr>
      </w:pPr>
    </w:p>
    <w:p w14:paraId="3E13446F" w14:textId="77777777" w:rsidR="00391021" w:rsidRPr="00391021" w:rsidRDefault="00391021" w:rsidP="00391021">
      <w:pPr>
        <w:rPr>
          <w:sz w:val="24"/>
          <w:szCs w:val="24"/>
        </w:rPr>
      </w:pPr>
    </w:p>
    <w:p w14:paraId="367F047A" w14:textId="77777777" w:rsidR="00391021" w:rsidRPr="00391021" w:rsidRDefault="00391021" w:rsidP="00391021">
      <w:pPr>
        <w:rPr>
          <w:sz w:val="24"/>
          <w:szCs w:val="24"/>
        </w:rPr>
      </w:pPr>
    </w:p>
    <w:p w14:paraId="41DB8E4B" w14:textId="77777777" w:rsidR="00391021" w:rsidRPr="00391021" w:rsidRDefault="00391021" w:rsidP="00391021">
      <w:pPr>
        <w:rPr>
          <w:sz w:val="24"/>
          <w:szCs w:val="24"/>
        </w:rPr>
      </w:pPr>
      <w:r w:rsidRPr="00391021">
        <w:rPr>
          <w:sz w:val="24"/>
          <w:szCs w:val="24"/>
        </w:rPr>
        <w:t>Michael Parvinen</w:t>
      </w:r>
    </w:p>
    <w:p w14:paraId="0F7B962D" w14:textId="133CECD4" w:rsidR="00391021" w:rsidRDefault="00391021" w:rsidP="00391021">
      <w:pPr>
        <w:jc w:val="both"/>
        <w:rPr>
          <w:sz w:val="24"/>
        </w:rPr>
      </w:pPr>
      <w:r>
        <w:rPr>
          <w:sz w:val="24"/>
        </w:rPr>
        <w:t xml:space="preserve">Director, Regulatory Affairs </w:t>
      </w:r>
    </w:p>
    <w:p w14:paraId="23564880" w14:textId="77777777" w:rsidR="00391021" w:rsidRDefault="00391021" w:rsidP="00391021">
      <w:pPr>
        <w:jc w:val="both"/>
        <w:rPr>
          <w:sz w:val="24"/>
        </w:rPr>
      </w:pPr>
    </w:p>
    <w:p w14:paraId="0A5439F5" w14:textId="4ED8F124" w:rsidR="00391021" w:rsidRPr="00391021" w:rsidRDefault="00391021" w:rsidP="00307E98">
      <w:pPr>
        <w:jc w:val="both"/>
        <w:rPr>
          <w:iCs/>
          <w:spacing w:val="-4"/>
          <w:sz w:val="24"/>
          <w:szCs w:val="24"/>
        </w:rPr>
      </w:pPr>
      <w:r>
        <w:rPr>
          <w:sz w:val="24"/>
        </w:rPr>
        <w:t>Attachments</w:t>
      </w:r>
      <w:bookmarkStart w:id="0" w:name="_GoBack"/>
      <w:bookmarkEnd w:id="0"/>
    </w:p>
    <w:sectPr w:rsidR="00391021" w:rsidRPr="00391021" w:rsidSect="00B7721C">
      <w:pgSz w:w="12240" w:h="15840" w:code="1"/>
      <w:pgMar w:top="1141" w:right="1440" w:bottom="1440" w:left="1440" w:header="36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89"/>
    <w:rsid w:val="00127D86"/>
    <w:rsid w:val="00130C27"/>
    <w:rsid w:val="00180BE4"/>
    <w:rsid w:val="002114D8"/>
    <w:rsid w:val="002D1A92"/>
    <w:rsid w:val="00307E98"/>
    <w:rsid w:val="00391021"/>
    <w:rsid w:val="00422E8D"/>
    <w:rsid w:val="0046341A"/>
    <w:rsid w:val="004A49F3"/>
    <w:rsid w:val="00503435"/>
    <w:rsid w:val="00554A74"/>
    <w:rsid w:val="00570304"/>
    <w:rsid w:val="00623BFC"/>
    <w:rsid w:val="006B1679"/>
    <w:rsid w:val="00735A13"/>
    <w:rsid w:val="00891939"/>
    <w:rsid w:val="008D41BE"/>
    <w:rsid w:val="008F4219"/>
    <w:rsid w:val="00B53311"/>
    <w:rsid w:val="00B7721C"/>
    <w:rsid w:val="00D87610"/>
    <w:rsid w:val="00EA3989"/>
    <w:rsid w:val="00F01844"/>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5"/>
    <o:shapelayout v:ext="edit">
      <o:idmap v:ext="edit" data="1"/>
    </o:shapelayout>
  </w:shapeDefaults>
  <w:decimalSymbol w:val="."/>
  <w:listSeparator w:val=","/>
  <w14:docId w14:val="4648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cngc.com" TargetMode="External"/><Relationship Id="rId4" Type="http://schemas.openxmlformats.org/officeDocument/2006/relationships/styles" Target="styles.xml"/><Relationship Id="rId9" Type="http://schemas.openxmlformats.org/officeDocument/2006/relationships/hyperlink" Target="http://www.cn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2C3C8FFC59F946AFFEDDEBA3D33440" ma:contentTypeVersion="119" ma:contentTypeDescription="" ma:contentTypeScope="" ma:versionID="6a5b7bc41dc0a358ea309078cca53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2015-04-24T07:00:00+00:00</OpenedDate>
    <Date1 xmlns="dc463f71-b30c-4ab2-9473-d307f9d35888">2015-06-19T07:00:00+00:00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150668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AE35D2-6164-42E4-BB97-9390ED074CF1}"/>
</file>

<file path=customXml/itemProps2.xml><?xml version="1.0" encoding="utf-8"?>
<ds:datastoreItem xmlns:ds="http://schemas.openxmlformats.org/officeDocument/2006/customXml" ds:itemID="{00A4254C-1A0A-4629-877F-DD41C2256FB3}"/>
</file>

<file path=customXml/itemProps3.xml><?xml version="1.0" encoding="utf-8"?>
<ds:datastoreItem xmlns:ds="http://schemas.openxmlformats.org/officeDocument/2006/customXml" ds:itemID="{06F19525-4344-4866-A094-47483E2DEA54}"/>
</file>

<file path=customXml/itemProps4.xml><?xml version="1.0" encoding="utf-8"?>
<ds:datastoreItem xmlns:ds="http://schemas.openxmlformats.org/officeDocument/2006/customXml" ds:itemID="{EC9D8A15-4E79-4134-A952-468201F37AFF}"/>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CNG Letterhead - Kennewick</vt:lpstr>
    </vt:vector>
  </TitlesOfParts>
  <Company>Montana-Dakota Utilities Co.</Company>
  <LinksUpToDate>false</LinksUpToDate>
  <CharactersWithSpaces>1776</CharactersWithSpaces>
  <SharedDoc>false</SharedDoc>
  <HLinks>
    <vt:vector size="6" baseType="variant">
      <vt:variant>
        <vt:i4>5177415</vt:i4>
      </vt:variant>
      <vt:variant>
        <vt:i4>-1</vt:i4>
      </vt:variant>
      <vt:variant>
        <vt:i4>1028</vt:i4>
      </vt:variant>
      <vt:variant>
        <vt:i4>1</vt:i4>
      </vt:variant>
      <vt:variant>
        <vt:lpwstr>http://wss.mduresources.com/sites/mdu/officeservices/printing/Lists/WBI%20Logos/Attachments/61/WillistonBasin.jpg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Letterhead - Kennewick</dc:title>
  <dc:creator>Montana-Dakota Utilities Co.</dc:creator>
  <cp:lastModifiedBy>Cascade Natural Gas</cp:lastModifiedBy>
  <cp:revision>3</cp:revision>
  <cp:lastPrinted>2010-11-01T13:22:00Z</cp:lastPrinted>
  <dcterms:created xsi:type="dcterms:W3CDTF">2015-06-19T18:23:00Z</dcterms:created>
  <dcterms:modified xsi:type="dcterms:W3CDTF">2015-06-19T18:23:00Z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0x0101006E56B4D1795A2E4DB2F0B01679ED314A00EC2C3C8FFC59F946AFFEDDEBA3D33440</vt:lpwstr>
  </property>
  <property fmtid="{D5CDD505-2E9C-101B-9397-08002B2CF9AE}" pid="3" name="_docset_NoMedatataSyncRequired">
    <vt:lpwstr>False</vt:lpwstr>
  </property>
</Properties>
</file>