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2B" w:rsidRDefault="006D466E">
      <w:pPr>
        <w:rPr>
          <w:rFonts w:ascii="Times New Roman" w:hAnsi="Times New Roman"/>
          <w:szCs w:val="24"/>
        </w:rPr>
      </w:pPr>
      <w:bookmarkStart w:id="0" w:name="_GoBack"/>
      <w:bookmarkEnd w:id="0"/>
      <w:r>
        <w:rPr>
          <w:rFonts w:ascii="Times New Roman" w:hAnsi="Times New Roman"/>
          <w:noProof/>
          <w:szCs w:val="24"/>
        </w:rPr>
        <w:drawing>
          <wp:anchor distT="0" distB="0" distL="114300" distR="114300" simplePos="0" relativeHeight="251657728" behindDoc="1" locked="0" layoutInCell="1" allowOverlap="1" wp14:anchorId="2B741C2C" wp14:editId="206991D6">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r w:rsidR="00FC13D1">
        <w:rPr>
          <w:rFonts w:ascii="Times New Roman" w:hAnsi="Times New Roman"/>
          <w:noProof/>
          <w:szCs w:val="24"/>
          <w:lang w:eastAsia="ko-KR"/>
        </w:rPr>
        <w:t>March 24</w:t>
      </w:r>
      <w:r>
        <w:rPr>
          <w:rFonts w:ascii="Times New Roman" w:hAnsi="Times New Roman"/>
          <w:noProof/>
          <w:szCs w:val="24"/>
          <w:lang w:eastAsia="ko-KR"/>
        </w:rPr>
        <w:t>, 2015</w:t>
      </w:r>
    </w:p>
    <w:p w:rsidR="00624E2B" w:rsidRDefault="00624E2B">
      <w:pPr>
        <w:pStyle w:val="Header"/>
      </w:pPr>
    </w:p>
    <w:p w:rsidR="00624E2B" w:rsidRDefault="006D466E">
      <w:pPr>
        <w:pStyle w:val="Header"/>
        <w:rPr>
          <w:b/>
          <w:i/>
        </w:rPr>
      </w:pPr>
      <w:smartTag w:uri="urn:schemas-microsoft-com:office:smarttags" w:element="stockticker">
        <w:r>
          <w:rPr>
            <w:b/>
            <w:i/>
          </w:rPr>
          <w:t>VIA</w:t>
        </w:r>
      </w:smartTag>
      <w:r>
        <w:rPr>
          <w:b/>
          <w:i/>
        </w:rPr>
        <w:t xml:space="preserve"> ELECTRONIC FILING</w:t>
      </w:r>
    </w:p>
    <w:p w:rsidR="00624E2B" w:rsidRDefault="00624E2B">
      <w:pPr>
        <w:rPr>
          <w:rFonts w:ascii="Times New Roman" w:hAnsi="Times New Roman"/>
          <w:szCs w:val="24"/>
        </w:rPr>
      </w:pPr>
    </w:p>
    <w:p w:rsidR="00624E2B" w:rsidRDefault="006D466E">
      <w:pPr>
        <w:rPr>
          <w:rFonts w:ascii="Times New Roman" w:hAnsi="Times New Roman"/>
          <w:szCs w:val="24"/>
        </w:rPr>
      </w:pPr>
      <w:r>
        <w:rPr>
          <w:rFonts w:ascii="Times New Roman" w:hAnsi="Times New Roman"/>
          <w:szCs w:val="24"/>
        </w:rPr>
        <w:t>Steven V. King</w:t>
      </w:r>
    </w:p>
    <w:p w:rsidR="00624E2B" w:rsidRDefault="006D466E">
      <w:pPr>
        <w:rPr>
          <w:rFonts w:ascii="Times New Roman" w:hAnsi="Times New Roman"/>
          <w:szCs w:val="24"/>
        </w:rPr>
      </w:pPr>
      <w:r>
        <w:rPr>
          <w:rFonts w:ascii="Times New Roman" w:hAnsi="Times New Roman"/>
          <w:szCs w:val="24"/>
        </w:rPr>
        <w:t>Executive Director and Secretary</w:t>
      </w:r>
    </w:p>
    <w:p w:rsidR="00624E2B" w:rsidRDefault="006D466E">
      <w:pPr>
        <w:rPr>
          <w:rFonts w:ascii="Times New Roman" w:hAnsi="Times New Roman"/>
          <w:szCs w:val="24"/>
        </w:rPr>
      </w:pPr>
      <w:r>
        <w:rPr>
          <w:rFonts w:ascii="Times New Roman" w:hAnsi="Times New Roman"/>
          <w:szCs w:val="24"/>
        </w:rPr>
        <w:t>Washington Utilities and Transportation Commission</w:t>
      </w:r>
    </w:p>
    <w:p w:rsidR="00624E2B" w:rsidRDefault="006D466E">
      <w:pPr>
        <w:pStyle w:val="NoSpacing"/>
        <w:rPr>
          <w:rFonts w:ascii="Times New Roman" w:hAnsi="Times New Roman" w:cs="Times New Roman"/>
          <w:sz w:val="24"/>
          <w:szCs w:val="24"/>
        </w:rPr>
      </w:pPr>
      <w:r>
        <w:rPr>
          <w:rFonts w:ascii="Times New Roman" w:hAnsi="Times New Roman" w:cs="Times New Roman"/>
          <w:sz w:val="24"/>
          <w:szCs w:val="24"/>
        </w:rPr>
        <w:t>1300 S. Evergreen Park Drive, S.W.</w:t>
      </w:r>
    </w:p>
    <w:p w:rsidR="00624E2B" w:rsidRDefault="006D466E">
      <w:pPr>
        <w:pStyle w:val="NoSpacing"/>
        <w:rPr>
          <w:rFonts w:ascii="Times New Roman" w:hAnsi="Times New Roman" w:cs="Times New Roman"/>
          <w:sz w:val="24"/>
          <w:szCs w:val="24"/>
        </w:rPr>
      </w:pPr>
      <w:r>
        <w:rPr>
          <w:rFonts w:ascii="Times New Roman" w:hAnsi="Times New Roman" w:cs="Times New Roman"/>
          <w:sz w:val="24"/>
          <w:szCs w:val="24"/>
        </w:rPr>
        <w:t>P.O. Box 47250</w:t>
      </w:r>
    </w:p>
    <w:p w:rsidR="00624E2B" w:rsidRDefault="006D466E">
      <w:pPr>
        <w:pStyle w:val="NoSpacing"/>
        <w:rPr>
          <w:rFonts w:ascii="Times New Roman" w:hAnsi="Times New Roman" w:cs="Times New Roman"/>
          <w:sz w:val="24"/>
          <w:szCs w:val="24"/>
        </w:rPr>
      </w:pPr>
      <w:r>
        <w:rPr>
          <w:rFonts w:ascii="Times New Roman" w:hAnsi="Times New Roman" w:cs="Times New Roman"/>
          <w:sz w:val="24"/>
          <w:szCs w:val="24"/>
        </w:rPr>
        <w:t>Olympia, Washington 98504-7250</w:t>
      </w:r>
    </w:p>
    <w:p w:rsidR="00624E2B" w:rsidRDefault="00624E2B">
      <w:pPr>
        <w:pStyle w:val="NoSpacing"/>
        <w:rPr>
          <w:rFonts w:ascii="Times New Roman" w:hAnsi="Times New Roman" w:cs="Times New Roman"/>
          <w:sz w:val="24"/>
          <w:szCs w:val="24"/>
        </w:rPr>
      </w:pPr>
    </w:p>
    <w:p w:rsidR="00624E2B" w:rsidRDefault="006D466E">
      <w:pPr>
        <w:ind w:left="720" w:hanging="720"/>
        <w:rPr>
          <w:rFonts w:ascii="Times New Roman" w:hAnsi="Times New Roman"/>
          <w:b/>
          <w:szCs w:val="24"/>
        </w:rPr>
      </w:pPr>
      <w:r>
        <w:rPr>
          <w:rFonts w:ascii="Times New Roman" w:hAnsi="Times New Roman"/>
          <w:b/>
          <w:szCs w:val="24"/>
        </w:rPr>
        <w:t>RE:</w:t>
      </w:r>
      <w:r>
        <w:rPr>
          <w:rFonts w:ascii="Times New Roman" w:hAnsi="Times New Roman"/>
          <w:b/>
          <w:szCs w:val="24"/>
        </w:rPr>
        <w:tab/>
        <w:t>Docket U-150040—Pacific Power &amp; Light Company’s Comments</w:t>
      </w:r>
    </w:p>
    <w:p w:rsidR="00624E2B" w:rsidRDefault="00624E2B">
      <w:pPr>
        <w:rPr>
          <w:rFonts w:ascii="Times New Roman" w:hAnsi="Times New Roman"/>
          <w:szCs w:val="24"/>
        </w:rPr>
      </w:pPr>
    </w:p>
    <w:p w:rsidR="00624E2B" w:rsidRDefault="006D466E">
      <w:pPr>
        <w:rPr>
          <w:rFonts w:ascii="Times New Roman" w:hAnsi="Times New Roman"/>
          <w:szCs w:val="24"/>
        </w:rPr>
      </w:pPr>
      <w:r>
        <w:rPr>
          <w:rFonts w:ascii="Times New Roman" w:hAnsi="Times New Roman"/>
          <w:szCs w:val="24"/>
        </w:rPr>
        <w:t xml:space="preserve">In response to the Washington Utilities and Transportation Commission’s February 5, 2015 Notice of Recessed Open Meeting and Notice of Opportunity to File Written Comments (Notice), Pacific Power &amp; Light Company, a division of PacifiCorp (Pacific Power or Company), submits these comments regarding the investigation of possible ratemaking mechanisms to address utility earnings attrition. </w:t>
      </w:r>
    </w:p>
    <w:p w:rsidR="00624E2B" w:rsidRDefault="00624E2B">
      <w:pPr>
        <w:rPr>
          <w:rFonts w:ascii="Times New Roman" w:hAnsi="Times New Roman"/>
          <w:szCs w:val="24"/>
        </w:rPr>
      </w:pPr>
    </w:p>
    <w:p w:rsidR="00624E2B" w:rsidRDefault="006D466E">
      <w:pPr>
        <w:rPr>
          <w:rFonts w:ascii="Times New Roman" w:hAnsi="Times New Roman"/>
        </w:rPr>
      </w:pPr>
      <w:r>
        <w:rPr>
          <w:rFonts w:ascii="Times New Roman" w:hAnsi="Times New Roman"/>
        </w:rPr>
        <w:t>Generally, there are two main issues impacting earnings attrition.  One significant consideration is the lag between the time a utility incurs costs for significant capital investments in generation, transmission, and distribution infrastructure, and the time that the utility is able to recover these costs through customer rates.  These investments are necessary to maintain safe, reliable, and efficient electric service to customers, but recovery of the associated costs typically occurs, in some cases, several years after the initial investment.  Variances in net power costs also create significant volatility for the Company.  These two concerns are further exacerbated in periods of low or no load growth.</w:t>
      </w:r>
    </w:p>
    <w:p w:rsidR="00624E2B" w:rsidRDefault="00624E2B">
      <w:pPr>
        <w:rPr>
          <w:rFonts w:ascii="Times New Roman" w:hAnsi="Times New Roman"/>
        </w:rPr>
      </w:pPr>
    </w:p>
    <w:p w:rsidR="00624E2B" w:rsidRDefault="006D466E">
      <w:pPr>
        <w:rPr>
          <w:rFonts w:ascii="Times New Roman" w:hAnsi="Times New Roman"/>
        </w:rPr>
      </w:pPr>
      <w:r>
        <w:rPr>
          <w:rFonts w:ascii="Times New Roman" w:hAnsi="Times New Roman"/>
        </w:rPr>
        <w:t>The Company has been able to better address attrition in other jurisdictions using different ratemaking mechanisms.  Short descriptions of these mechanisms are provided in the table below.</w:t>
      </w:r>
    </w:p>
    <w:p w:rsidR="00624E2B" w:rsidRDefault="00624E2B">
      <w:pPr>
        <w:rPr>
          <w:rFonts w:ascii="Times New Roman" w:hAnsi="Times New Roman"/>
        </w:rPr>
      </w:pPr>
    </w:p>
    <w:tbl>
      <w:tblPr>
        <w:tblStyle w:val="TableGrid"/>
        <w:tblW w:w="0" w:type="auto"/>
        <w:tblInd w:w="108" w:type="dxa"/>
        <w:tblLook w:val="04A0" w:firstRow="1" w:lastRow="0" w:firstColumn="1" w:lastColumn="0" w:noHBand="0" w:noVBand="1"/>
      </w:tblPr>
      <w:tblGrid>
        <w:gridCol w:w="1268"/>
        <w:gridCol w:w="8092"/>
      </w:tblGrid>
      <w:tr w:rsidR="00624E2B">
        <w:trPr>
          <w:trHeight w:val="350"/>
        </w:trPr>
        <w:tc>
          <w:tcPr>
            <w:tcW w:w="1268" w:type="dxa"/>
            <w:vAlign w:val="center"/>
          </w:tcPr>
          <w:p w:rsidR="00624E2B" w:rsidRDefault="006D466E">
            <w:pPr>
              <w:jc w:val="center"/>
              <w:rPr>
                <w:rFonts w:ascii="Times New Roman" w:hAnsi="Times New Roman"/>
                <w:b/>
                <w:sz w:val="22"/>
                <w:szCs w:val="22"/>
              </w:rPr>
            </w:pPr>
            <w:r>
              <w:rPr>
                <w:rFonts w:ascii="Times New Roman" w:hAnsi="Times New Roman"/>
                <w:b/>
                <w:sz w:val="22"/>
                <w:szCs w:val="22"/>
              </w:rPr>
              <w:t>STATE</w:t>
            </w:r>
          </w:p>
        </w:tc>
        <w:tc>
          <w:tcPr>
            <w:tcW w:w="8092" w:type="dxa"/>
            <w:vAlign w:val="center"/>
          </w:tcPr>
          <w:p w:rsidR="00624E2B" w:rsidRDefault="006D466E">
            <w:pPr>
              <w:jc w:val="center"/>
              <w:rPr>
                <w:rFonts w:ascii="Times New Roman" w:hAnsi="Times New Roman"/>
                <w:b/>
                <w:sz w:val="22"/>
                <w:szCs w:val="22"/>
              </w:rPr>
            </w:pPr>
            <w:r>
              <w:rPr>
                <w:rFonts w:ascii="Times New Roman" w:hAnsi="Times New Roman"/>
                <w:b/>
                <w:sz w:val="22"/>
                <w:szCs w:val="22"/>
              </w:rPr>
              <w:t>MECHANISMS</w:t>
            </w:r>
          </w:p>
        </w:tc>
      </w:tr>
      <w:tr w:rsidR="00624E2B">
        <w:tc>
          <w:tcPr>
            <w:tcW w:w="1268" w:type="dxa"/>
          </w:tcPr>
          <w:p w:rsidR="00624E2B" w:rsidRDefault="006D466E">
            <w:pPr>
              <w:rPr>
                <w:rFonts w:ascii="Times New Roman" w:hAnsi="Times New Roman"/>
                <w:sz w:val="22"/>
                <w:szCs w:val="22"/>
              </w:rPr>
            </w:pPr>
            <w:r>
              <w:rPr>
                <w:rFonts w:ascii="Times New Roman" w:hAnsi="Times New Roman"/>
                <w:sz w:val="22"/>
                <w:szCs w:val="22"/>
              </w:rPr>
              <w:t>California</w:t>
            </w:r>
          </w:p>
        </w:tc>
        <w:tc>
          <w:tcPr>
            <w:tcW w:w="8092" w:type="dxa"/>
          </w:tcPr>
          <w:p w:rsidR="00624E2B" w:rsidRDefault="006D466E">
            <w:pPr>
              <w:rPr>
                <w:rFonts w:ascii="Times New Roman" w:hAnsi="Times New Roman"/>
                <w:sz w:val="22"/>
                <w:szCs w:val="22"/>
              </w:rPr>
            </w:pPr>
            <w:r>
              <w:rPr>
                <w:rFonts w:ascii="Times New Roman" w:hAnsi="Times New Roman"/>
                <w:sz w:val="22"/>
                <w:szCs w:val="22"/>
              </w:rPr>
              <w:t>Post Test-year Adjustment Mechanism for Major Capital Additions</w:t>
            </w:r>
          </w:p>
          <w:p w:rsidR="00624E2B" w:rsidRDefault="006D466E">
            <w:pPr>
              <w:pStyle w:val="ListParagraph"/>
              <w:numPr>
                <w:ilvl w:val="0"/>
                <w:numId w:val="21"/>
              </w:numPr>
              <w:spacing w:line="240" w:lineRule="auto"/>
              <w:rPr>
                <w:rFonts w:ascii="Times New Roman" w:hAnsi="Times New Roman"/>
              </w:rPr>
            </w:pPr>
            <w:r>
              <w:rPr>
                <w:rFonts w:ascii="Times New Roman" w:hAnsi="Times New Roman"/>
              </w:rPr>
              <w:t>Allows rate adjustments outside a general rate case for capital additions exceeding $50 million on a total-company basis</w:t>
            </w:r>
          </w:p>
          <w:p w:rsidR="00624E2B" w:rsidRDefault="006D466E">
            <w:pPr>
              <w:pStyle w:val="ListParagraph"/>
              <w:numPr>
                <w:ilvl w:val="0"/>
                <w:numId w:val="21"/>
              </w:numPr>
              <w:spacing w:line="240" w:lineRule="auto"/>
              <w:rPr>
                <w:rFonts w:ascii="Times New Roman" w:hAnsi="Times New Roman" w:cs="Times New Roman"/>
              </w:rPr>
            </w:pPr>
            <w:r>
              <w:rPr>
                <w:rFonts w:ascii="Times New Roman" w:hAnsi="Times New Roman" w:cs="Times New Roman"/>
              </w:rPr>
              <w:t>Filed as investments are placed into service</w:t>
            </w:r>
          </w:p>
          <w:p w:rsidR="00624E2B" w:rsidRDefault="006D466E">
            <w:pPr>
              <w:rPr>
                <w:rFonts w:ascii="Times New Roman" w:hAnsi="Times New Roman"/>
                <w:sz w:val="22"/>
                <w:szCs w:val="22"/>
              </w:rPr>
            </w:pPr>
            <w:r>
              <w:rPr>
                <w:rFonts w:ascii="Times New Roman" w:hAnsi="Times New Roman"/>
                <w:sz w:val="22"/>
                <w:szCs w:val="22"/>
              </w:rPr>
              <w:t>Energy Cost Adjustment Clause</w:t>
            </w:r>
          </w:p>
          <w:p w:rsidR="00624E2B" w:rsidRDefault="006D466E">
            <w:pPr>
              <w:pStyle w:val="ListParagraph"/>
              <w:numPr>
                <w:ilvl w:val="0"/>
                <w:numId w:val="21"/>
              </w:numPr>
              <w:spacing w:line="240" w:lineRule="auto"/>
              <w:rPr>
                <w:rFonts w:ascii="Times New Roman" w:hAnsi="Times New Roman" w:cs="Times New Roman"/>
              </w:rPr>
            </w:pPr>
            <w:r>
              <w:rPr>
                <w:rFonts w:ascii="Times New Roman" w:hAnsi="Times New Roman" w:cs="Times New Roman"/>
              </w:rPr>
              <w:t xml:space="preserve">Allows for </w:t>
            </w:r>
            <w:r>
              <w:rPr>
                <w:rFonts w:ascii="Times New Roman" w:hAnsi="Times New Roman"/>
              </w:rPr>
              <w:t>an</w:t>
            </w:r>
            <w:r>
              <w:rPr>
                <w:rFonts w:ascii="Times New Roman" w:hAnsi="Times New Roman" w:cs="Times New Roman"/>
              </w:rPr>
              <w:t xml:space="preserve"> annual update to actual and forecasted net variable power costs</w:t>
            </w:r>
          </w:p>
          <w:p w:rsidR="00624E2B" w:rsidRDefault="006D466E">
            <w:pPr>
              <w:rPr>
                <w:rFonts w:ascii="Times New Roman" w:hAnsi="Times New Roman"/>
                <w:sz w:val="22"/>
                <w:szCs w:val="22"/>
              </w:rPr>
            </w:pPr>
            <w:r>
              <w:rPr>
                <w:rFonts w:ascii="Times New Roman" w:hAnsi="Times New Roman"/>
                <w:sz w:val="22"/>
                <w:szCs w:val="22"/>
              </w:rPr>
              <w:t>Post Test-year Adjustment Mechanism for Attrition</w:t>
            </w:r>
          </w:p>
          <w:p w:rsidR="00624E2B" w:rsidRDefault="006D466E">
            <w:pPr>
              <w:pStyle w:val="ListParagraph"/>
              <w:numPr>
                <w:ilvl w:val="0"/>
                <w:numId w:val="21"/>
              </w:numPr>
              <w:spacing w:line="240" w:lineRule="auto"/>
              <w:rPr>
                <w:rFonts w:ascii="Times New Roman" w:hAnsi="Times New Roman" w:cs="Times New Roman"/>
              </w:rPr>
            </w:pPr>
            <w:r>
              <w:rPr>
                <w:rFonts w:ascii="Times New Roman" w:hAnsi="Times New Roman"/>
              </w:rPr>
              <w:t>Allows</w:t>
            </w:r>
            <w:r>
              <w:rPr>
                <w:rFonts w:ascii="Times New Roman" w:hAnsi="Times New Roman" w:cs="Times New Roman"/>
              </w:rPr>
              <w:t xml:space="preserve"> for an annual adjustment outside a general rate case to costs other than net variable power costs (CPI minus 0.5% productivity factor)</w:t>
            </w:r>
          </w:p>
        </w:tc>
      </w:tr>
      <w:tr w:rsidR="00624E2B">
        <w:tc>
          <w:tcPr>
            <w:tcW w:w="1268" w:type="dxa"/>
          </w:tcPr>
          <w:p w:rsidR="00624E2B" w:rsidRDefault="006D466E">
            <w:pPr>
              <w:keepNext/>
              <w:rPr>
                <w:rFonts w:ascii="Times New Roman" w:hAnsi="Times New Roman"/>
                <w:sz w:val="22"/>
                <w:szCs w:val="22"/>
              </w:rPr>
            </w:pPr>
            <w:r>
              <w:rPr>
                <w:rFonts w:ascii="Times New Roman" w:hAnsi="Times New Roman"/>
                <w:sz w:val="22"/>
                <w:szCs w:val="22"/>
              </w:rPr>
              <w:lastRenderedPageBreak/>
              <w:t>Idaho</w:t>
            </w:r>
          </w:p>
        </w:tc>
        <w:tc>
          <w:tcPr>
            <w:tcW w:w="8092" w:type="dxa"/>
          </w:tcPr>
          <w:p w:rsidR="00624E2B" w:rsidRDefault="006D466E">
            <w:pPr>
              <w:keepNext/>
              <w:rPr>
                <w:rFonts w:ascii="Times New Roman" w:hAnsi="Times New Roman"/>
                <w:sz w:val="22"/>
                <w:szCs w:val="22"/>
              </w:rPr>
            </w:pPr>
            <w:r>
              <w:rPr>
                <w:rFonts w:ascii="Times New Roman" w:hAnsi="Times New Roman"/>
                <w:sz w:val="22"/>
                <w:szCs w:val="22"/>
              </w:rPr>
              <w:t>Energy Cost Adjustment Mechanism</w:t>
            </w:r>
          </w:p>
          <w:p w:rsidR="00624E2B" w:rsidRDefault="006D466E">
            <w:pPr>
              <w:pStyle w:val="ListParagraph"/>
              <w:numPr>
                <w:ilvl w:val="0"/>
                <w:numId w:val="21"/>
              </w:numPr>
              <w:spacing w:line="240" w:lineRule="auto"/>
              <w:rPr>
                <w:rFonts w:ascii="Times New Roman" w:hAnsi="Times New Roman"/>
              </w:rPr>
            </w:pPr>
            <w:r>
              <w:rPr>
                <w:rFonts w:ascii="Times New Roman" w:hAnsi="Times New Roman"/>
              </w:rPr>
              <w:t>Allows utilities to defer 90% of the difference between base net power costs and actual net power costs for future rate recovery.</w:t>
            </w:r>
          </w:p>
          <w:p w:rsidR="00624E2B" w:rsidRDefault="006D466E">
            <w:pPr>
              <w:pStyle w:val="ListParagraph"/>
              <w:numPr>
                <w:ilvl w:val="0"/>
                <w:numId w:val="21"/>
              </w:numPr>
              <w:spacing w:line="240" w:lineRule="auto"/>
              <w:rPr>
                <w:rFonts w:ascii="Times New Roman" w:hAnsi="Times New Roman" w:cs="Times New Roman"/>
              </w:rPr>
            </w:pPr>
            <w:r>
              <w:rPr>
                <w:rFonts w:ascii="Times New Roman" w:hAnsi="Times New Roman"/>
              </w:rPr>
              <w:t>Provides recovery of 100% of the difference in REC revenues in base rates and actual REC revenues</w:t>
            </w:r>
          </w:p>
        </w:tc>
      </w:tr>
      <w:tr w:rsidR="00624E2B">
        <w:trPr>
          <w:trHeight w:val="4148"/>
        </w:trPr>
        <w:tc>
          <w:tcPr>
            <w:tcW w:w="1268" w:type="dxa"/>
          </w:tcPr>
          <w:p w:rsidR="00624E2B" w:rsidRDefault="006D466E">
            <w:pPr>
              <w:rPr>
                <w:rFonts w:ascii="Times New Roman" w:hAnsi="Times New Roman"/>
                <w:sz w:val="22"/>
                <w:szCs w:val="22"/>
              </w:rPr>
            </w:pPr>
            <w:r>
              <w:rPr>
                <w:rFonts w:ascii="Times New Roman" w:hAnsi="Times New Roman"/>
                <w:sz w:val="22"/>
                <w:szCs w:val="22"/>
              </w:rPr>
              <w:t>Oregon</w:t>
            </w:r>
          </w:p>
        </w:tc>
        <w:tc>
          <w:tcPr>
            <w:tcW w:w="8092" w:type="dxa"/>
          </w:tcPr>
          <w:p w:rsidR="00624E2B" w:rsidRDefault="006D466E">
            <w:pPr>
              <w:rPr>
                <w:rFonts w:ascii="Times New Roman" w:hAnsi="Times New Roman"/>
                <w:sz w:val="22"/>
                <w:szCs w:val="22"/>
              </w:rPr>
            </w:pPr>
            <w:r>
              <w:rPr>
                <w:rFonts w:ascii="Times New Roman" w:hAnsi="Times New Roman"/>
                <w:sz w:val="22"/>
                <w:szCs w:val="22"/>
              </w:rPr>
              <w:t>Transition Adjustment Mechanism</w:t>
            </w:r>
          </w:p>
          <w:p w:rsidR="00624E2B" w:rsidRDefault="006D466E">
            <w:pPr>
              <w:pStyle w:val="ListParagraph"/>
              <w:numPr>
                <w:ilvl w:val="0"/>
                <w:numId w:val="21"/>
              </w:numPr>
              <w:spacing w:line="240" w:lineRule="auto"/>
              <w:rPr>
                <w:rFonts w:ascii="Times New Roman" w:hAnsi="Times New Roman" w:cs="Times New Roman"/>
              </w:rPr>
            </w:pPr>
            <w:r>
              <w:rPr>
                <w:rFonts w:ascii="Times New Roman" w:hAnsi="Times New Roman"/>
              </w:rPr>
              <w:t>Allows</w:t>
            </w:r>
            <w:r>
              <w:rPr>
                <w:rFonts w:ascii="Times New Roman" w:hAnsi="Times New Roman" w:cs="Times New Roman"/>
              </w:rPr>
              <w:t xml:space="preserve"> annual update to forecasted net variable power costs.</w:t>
            </w:r>
          </w:p>
          <w:p w:rsidR="00624E2B" w:rsidRDefault="006D466E">
            <w:pPr>
              <w:rPr>
                <w:rFonts w:ascii="Times New Roman" w:hAnsi="Times New Roman"/>
                <w:sz w:val="22"/>
                <w:szCs w:val="22"/>
              </w:rPr>
            </w:pPr>
            <w:r>
              <w:rPr>
                <w:rFonts w:ascii="Times New Roman" w:hAnsi="Times New Roman"/>
                <w:sz w:val="22"/>
                <w:szCs w:val="22"/>
              </w:rPr>
              <w:t>Separate tariff riders used for major capital additions allowing concurrent rate recovery.</w:t>
            </w:r>
          </w:p>
          <w:p w:rsidR="00624E2B" w:rsidRDefault="00624E2B">
            <w:pPr>
              <w:rPr>
                <w:rFonts w:ascii="Times New Roman" w:hAnsi="Times New Roman"/>
                <w:sz w:val="22"/>
                <w:szCs w:val="22"/>
              </w:rPr>
            </w:pPr>
          </w:p>
          <w:p w:rsidR="00624E2B" w:rsidRDefault="006D466E">
            <w:pPr>
              <w:rPr>
                <w:rFonts w:ascii="Times New Roman" w:hAnsi="Times New Roman"/>
                <w:sz w:val="22"/>
                <w:szCs w:val="22"/>
              </w:rPr>
            </w:pPr>
            <w:r>
              <w:rPr>
                <w:rFonts w:ascii="Times New Roman" w:hAnsi="Times New Roman"/>
                <w:sz w:val="22"/>
                <w:szCs w:val="22"/>
              </w:rPr>
              <w:t>Power Cost Adjustment Mechanism</w:t>
            </w:r>
          </w:p>
          <w:p w:rsidR="00624E2B" w:rsidRDefault="006D466E">
            <w:pPr>
              <w:pStyle w:val="ListParagraph"/>
              <w:numPr>
                <w:ilvl w:val="0"/>
                <w:numId w:val="21"/>
              </w:numPr>
              <w:spacing w:line="240" w:lineRule="auto"/>
              <w:rPr>
                <w:rFonts w:ascii="Times New Roman" w:hAnsi="Times New Roman"/>
              </w:rPr>
            </w:pPr>
            <w:r>
              <w:rPr>
                <w:rFonts w:ascii="Times New Roman" w:hAnsi="Times New Roman"/>
              </w:rPr>
              <w:t>Allows 90% of the difference between forecasted net variable power costs and actual net variable power costs to be deferred for future rate recovery.</w:t>
            </w:r>
          </w:p>
          <w:p w:rsidR="00624E2B" w:rsidRDefault="006D466E">
            <w:pPr>
              <w:pStyle w:val="ListParagraph"/>
              <w:numPr>
                <w:ilvl w:val="0"/>
                <w:numId w:val="21"/>
              </w:numPr>
              <w:spacing w:line="240" w:lineRule="auto"/>
              <w:rPr>
                <w:rFonts w:ascii="Times New Roman" w:hAnsi="Times New Roman"/>
              </w:rPr>
            </w:pPr>
            <w:r>
              <w:rPr>
                <w:rFonts w:ascii="Times New Roman" w:hAnsi="Times New Roman"/>
              </w:rPr>
              <w:t xml:space="preserve">Variance must fall outside of an established asymmetrical </w:t>
            </w:r>
            <w:proofErr w:type="spellStart"/>
            <w:r>
              <w:rPr>
                <w:rFonts w:ascii="Times New Roman" w:hAnsi="Times New Roman"/>
              </w:rPr>
              <w:t>deadband</w:t>
            </w:r>
            <w:proofErr w:type="spellEnd"/>
            <w:r>
              <w:rPr>
                <w:rFonts w:ascii="Times New Roman" w:hAnsi="Times New Roman"/>
              </w:rPr>
              <w:t xml:space="preserve"> range.</w:t>
            </w:r>
          </w:p>
          <w:p w:rsidR="00624E2B" w:rsidRDefault="006D466E">
            <w:pPr>
              <w:pStyle w:val="ListParagraph"/>
              <w:numPr>
                <w:ilvl w:val="0"/>
                <w:numId w:val="21"/>
              </w:numPr>
              <w:spacing w:line="240" w:lineRule="auto"/>
              <w:rPr>
                <w:rFonts w:ascii="Times New Roman" w:hAnsi="Times New Roman" w:cs="Times New Roman"/>
              </w:rPr>
            </w:pPr>
            <w:r>
              <w:rPr>
                <w:rFonts w:ascii="Times New Roman" w:hAnsi="Times New Roman"/>
              </w:rPr>
              <w:t>Subject</w:t>
            </w:r>
            <w:r>
              <w:rPr>
                <w:rFonts w:ascii="Times New Roman" w:hAnsi="Times New Roman" w:cs="Times New Roman"/>
              </w:rPr>
              <w:t xml:space="preserve"> to earnings test.</w:t>
            </w:r>
          </w:p>
          <w:p w:rsidR="00624E2B" w:rsidRDefault="006D466E">
            <w:pPr>
              <w:rPr>
                <w:rFonts w:ascii="Times New Roman" w:hAnsi="Times New Roman"/>
                <w:sz w:val="22"/>
                <w:szCs w:val="22"/>
              </w:rPr>
            </w:pPr>
            <w:r>
              <w:rPr>
                <w:rFonts w:ascii="Times New Roman" w:hAnsi="Times New Roman"/>
                <w:sz w:val="22"/>
                <w:szCs w:val="22"/>
              </w:rPr>
              <w:t>Renewable Adjustment Clause</w:t>
            </w:r>
          </w:p>
          <w:p w:rsidR="00624E2B" w:rsidRDefault="006D466E">
            <w:pPr>
              <w:pStyle w:val="ListParagraph"/>
              <w:numPr>
                <w:ilvl w:val="0"/>
                <w:numId w:val="21"/>
              </w:numPr>
              <w:spacing w:line="240" w:lineRule="auto"/>
              <w:rPr>
                <w:rFonts w:ascii="Times New Roman" w:hAnsi="Times New Roman" w:cs="Times New Roman"/>
              </w:rPr>
            </w:pPr>
            <w:r>
              <w:rPr>
                <w:rFonts w:ascii="Times New Roman" w:hAnsi="Times New Roman" w:cs="Times New Roman"/>
              </w:rPr>
              <w:t xml:space="preserve">Allows recovery of revenue requirement of new renewable resources and </w:t>
            </w:r>
            <w:r>
              <w:rPr>
                <w:rFonts w:ascii="Times New Roman" w:hAnsi="Times New Roman"/>
              </w:rPr>
              <w:t>associated</w:t>
            </w:r>
            <w:r>
              <w:rPr>
                <w:rFonts w:ascii="Times New Roman" w:hAnsi="Times New Roman" w:cs="Times New Roman"/>
              </w:rPr>
              <w:t xml:space="preserve"> transmission costs that are not reflected in base rates.</w:t>
            </w:r>
          </w:p>
          <w:p w:rsidR="00624E2B" w:rsidRDefault="006D466E">
            <w:pPr>
              <w:rPr>
                <w:rFonts w:ascii="Times New Roman" w:hAnsi="Times New Roman"/>
                <w:sz w:val="22"/>
                <w:szCs w:val="22"/>
              </w:rPr>
            </w:pPr>
            <w:r>
              <w:rPr>
                <w:rFonts w:ascii="Times New Roman" w:hAnsi="Times New Roman"/>
                <w:sz w:val="22"/>
                <w:szCs w:val="22"/>
              </w:rPr>
              <w:t>Balancing Account for REC Revenues</w:t>
            </w:r>
          </w:p>
        </w:tc>
      </w:tr>
      <w:tr w:rsidR="00624E2B">
        <w:trPr>
          <w:trHeight w:val="2393"/>
        </w:trPr>
        <w:tc>
          <w:tcPr>
            <w:tcW w:w="1268" w:type="dxa"/>
          </w:tcPr>
          <w:p w:rsidR="00624E2B" w:rsidRDefault="006D466E">
            <w:pPr>
              <w:rPr>
                <w:rFonts w:ascii="Times New Roman" w:hAnsi="Times New Roman"/>
                <w:sz w:val="22"/>
                <w:szCs w:val="22"/>
              </w:rPr>
            </w:pPr>
            <w:r>
              <w:rPr>
                <w:rFonts w:ascii="Times New Roman" w:hAnsi="Times New Roman"/>
                <w:sz w:val="22"/>
                <w:szCs w:val="22"/>
              </w:rPr>
              <w:t>Utah</w:t>
            </w:r>
          </w:p>
        </w:tc>
        <w:tc>
          <w:tcPr>
            <w:tcW w:w="8092" w:type="dxa"/>
          </w:tcPr>
          <w:p w:rsidR="00624E2B" w:rsidRDefault="006D466E">
            <w:pPr>
              <w:rPr>
                <w:rFonts w:ascii="Times New Roman" w:hAnsi="Times New Roman"/>
                <w:sz w:val="22"/>
                <w:szCs w:val="22"/>
              </w:rPr>
            </w:pPr>
            <w:r>
              <w:rPr>
                <w:rFonts w:ascii="Times New Roman" w:hAnsi="Times New Roman"/>
                <w:sz w:val="22"/>
                <w:szCs w:val="22"/>
              </w:rPr>
              <w:t>Energy Balancing Account</w:t>
            </w:r>
          </w:p>
          <w:p w:rsidR="00624E2B" w:rsidRDefault="006D466E">
            <w:pPr>
              <w:pStyle w:val="ListParagraph"/>
              <w:numPr>
                <w:ilvl w:val="0"/>
                <w:numId w:val="21"/>
              </w:numPr>
              <w:spacing w:line="240" w:lineRule="auto"/>
              <w:rPr>
                <w:rFonts w:ascii="Times New Roman" w:hAnsi="Times New Roman" w:cs="Times New Roman"/>
              </w:rPr>
            </w:pPr>
            <w:r>
              <w:rPr>
                <w:rFonts w:ascii="Times New Roman" w:hAnsi="Times New Roman" w:cs="Times New Roman"/>
              </w:rPr>
              <w:t>Allows 70% of difference between base net power costs and actual net power costs to be deferred for future rate recovery.</w:t>
            </w:r>
          </w:p>
          <w:p w:rsidR="00624E2B" w:rsidRDefault="006D466E">
            <w:pPr>
              <w:rPr>
                <w:rFonts w:ascii="Times New Roman" w:hAnsi="Times New Roman"/>
                <w:sz w:val="22"/>
                <w:szCs w:val="22"/>
              </w:rPr>
            </w:pPr>
            <w:r>
              <w:rPr>
                <w:rFonts w:ascii="Times New Roman" w:hAnsi="Times New Roman"/>
                <w:sz w:val="22"/>
                <w:szCs w:val="22"/>
              </w:rPr>
              <w:t>Major Capital Additions Mechanism</w:t>
            </w:r>
          </w:p>
          <w:p w:rsidR="00624E2B" w:rsidRDefault="006D466E">
            <w:pPr>
              <w:pStyle w:val="ListParagraph"/>
              <w:numPr>
                <w:ilvl w:val="0"/>
                <w:numId w:val="21"/>
              </w:numPr>
              <w:spacing w:line="240" w:lineRule="auto"/>
              <w:rPr>
                <w:rFonts w:ascii="Times New Roman" w:hAnsi="Times New Roman" w:cs="Times New Roman"/>
              </w:rPr>
            </w:pPr>
            <w:r>
              <w:rPr>
                <w:rFonts w:ascii="Times New Roman" w:hAnsi="Times New Roman" w:cs="Times New Roman"/>
              </w:rPr>
              <w:t>Allows recovery of capital investments that exceed 1% of rate base when a general rate case has occurred within the preceding 18 months.</w:t>
            </w:r>
          </w:p>
          <w:p w:rsidR="00624E2B" w:rsidRDefault="00624E2B">
            <w:pPr>
              <w:pStyle w:val="ListParagraph"/>
              <w:spacing w:after="0" w:line="240" w:lineRule="auto"/>
              <w:rPr>
                <w:rFonts w:ascii="Times New Roman" w:hAnsi="Times New Roman" w:cs="Times New Roman"/>
              </w:rPr>
            </w:pPr>
          </w:p>
          <w:p w:rsidR="00624E2B" w:rsidRDefault="006D466E">
            <w:pPr>
              <w:rPr>
                <w:rFonts w:ascii="Times New Roman" w:hAnsi="Times New Roman"/>
                <w:sz w:val="22"/>
                <w:szCs w:val="22"/>
              </w:rPr>
            </w:pPr>
            <w:r>
              <w:rPr>
                <w:rFonts w:ascii="Times New Roman" w:hAnsi="Times New Roman"/>
                <w:sz w:val="22"/>
                <w:szCs w:val="22"/>
              </w:rPr>
              <w:t>Balancing account for REC Revenues</w:t>
            </w:r>
          </w:p>
        </w:tc>
      </w:tr>
      <w:tr w:rsidR="00624E2B">
        <w:tc>
          <w:tcPr>
            <w:tcW w:w="1268" w:type="dxa"/>
          </w:tcPr>
          <w:p w:rsidR="00624E2B" w:rsidRDefault="006D466E">
            <w:pPr>
              <w:rPr>
                <w:rFonts w:ascii="Times New Roman" w:hAnsi="Times New Roman"/>
                <w:sz w:val="22"/>
                <w:szCs w:val="22"/>
              </w:rPr>
            </w:pPr>
            <w:r>
              <w:rPr>
                <w:rFonts w:ascii="Times New Roman" w:hAnsi="Times New Roman"/>
                <w:sz w:val="22"/>
                <w:szCs w:val="22"/>
              </w:rPr>
              <w:t>Wyoming</w:t>
            </w:r>
          </w:p>
        </w:tc>
        <w:tc>
          <w:tcPr>
            <w:tcW w:w="8092" w:type="dxa"/>
          </w:tcPr>
          <w:p w:rsidR="00624E2B" w:rsidRDefault="006D466E">
            <w:pPr>
              <w:rPr>
                <w:rFonts w:ascii="Times New Roman" w:hAnsi="Times New Roman"/>
                <w:sz w:val="22"/>
                <w:szCs w:val="22"/>
              </w:rPr>
            </w:pPr>
            <w:r>
              <w:rPr>
                <w:rFonts w:ascii="Times New Roman" w:hAnsi="Times New Roman"/>
                <w:sz w:val="22"/>
                <w:szCs w:val="22"/>
              </w:rPr>
              <w:t>Energy Cost Adjustment Mechanism</w:t>
            </w:r>
          </w:p>
          <w:p w:rsidR="00624E2B" w:rsidRDefault="006D466E">
            <w:pPr>
              <w:pStyle w:val="ListParagraph"/>
              <w:numPr>
                <w:ilvl w:val="0"/>
                <w:numId w:val="21"/>
              </w:numPr>
              <w:spacing w:line="240" w:lineRule="auto"/>
              <w:rPr>
                <w:rFonts w:ascii="Times New Roman" w:hAnsi="Times New Roman" w:cs="Times New Roman"/>
              </w:rPr>
            </w:pPr>
            <w:r>
              <w:rPr>
                <w:rFonts w:ascii="Times New Roman" w:hAnsi="Times New Roman" w:cs="Times New Roman"/>
              </w:rPr>
              <w:t>Allows 70% of difference between base net power costs and actual net power costs to be deferred for future rate recovery.</w:t>
            </w:r>
          </w:p>
          <w:p w:rsidR="00624E2B" w:rsidRDefault="006D466E">
            <w:pPr>
              <w:rPr>
                <w:rFonts w:ascii="Times New Roman" w:hAnsi="Times New Roman"/>
                <w:sz w:val="22"/>
                <w:szCs w:val="22"/>
              </w:rPr>
            </w:pPr>
            <w:r>
              <w:rPr>
                <w:rFonts w:ascii="Times New Roman" w:hAnsi="Times New Roman"/>
                <w:sz w:val="22"/>
                <w:szCs w:val="22"/>
              </w:rPr>
              <w:t>REC and Sulfur Dioxide Revenue Adjustment Mechanism</w:t>
            </w:r>
          </w:p>
          <w:p w:rsidR="00624E2B" w:rsidRDefault="006D466E">
            <w:pPr>
              <w:pStyle w:val="ListParagraph"/>
              <w:numPr>
                <w:ilvl w:val="0"/>
                <w:numId w:val="21"/>
              </w:numPr>
              <w:spacing w:line="240" w:lineRule="auto"/>
              <w:rPr>
                <w:rFonts w:ascii="Times New Roman" w:hAnsi="Times New Roman" w:cs="Times New Roman"/>
              </w:rPr>
            </w:pPr>
            <w:r>
              <w:rPr>
                <w:rFonts w:ascii="Times New Roman" w:hAnsi="Times New Roman" w:cs="Times New Roman"/>
              </w:rPr>
              <w:t>Allows recovery of 100% of difference between actual and forecasted REC and sulfur dioxide revenues</w:t>
            </w:r>
          </w:p>
        </w:tc>
      </w:tr>
    </w:tbl>
    <w:p w:rsidR="00624E2B" w:rsidRDefault="00624E2B">
      <w:pPr>
        <w:rPr>
          <w:rFonts w:ascii="Times New Roman" w:hAnsi="Times New Roman"/>
          <w:u w:val="single"/>
        </w:rPr>
      </w:pPr>
    </w:p>
    <w:p w:rsidR="00624E2B" w:rsidRDefault="006D466E">
      <w:pPr>
        <w:rPr>
          <w:rFonts w:ascii="Times New Roman" w:hAnsi="Times New Roman"/>
          <w:u w:val="single"/>
        </w:rPr>
      </w:pPr>
      <w:r>
        <w:rPr>
          <w:rFonts w:ascii="Times New Roman" w:hAnsi="Times New Roman"/>
          <w:u w:val="single"/>
        </w:rPr>
        <w:t>Test Period Conventions</w:t>
      </w:r>
    </w:p>
    <w:p w:rsidR="00624E2B" w:rsidRDefault="006D466E">
      <w:pPr>
        <w:rPr>
          <w:rFonts w:ascii="Times New Roman" w:hAnsi="Times New Roman"/>
        </w:rPr>
      </w:pPr>
      <w:r>
        <w:rPr>
          <w:rFonts w:ascii="Times New Roman" w:hAnsi="Times New Roman"/>
        </w:rPr>
        <w:t>The use of a future test year would help address one of the main causes of attrition.  This approach would set rates at a level representative of the costs expected during the rate year.</w:t>
      </w:r>
    </w:p>
    <w:p w:rsidR="00624E2B" w:rsidRDefault="00624E2B">
      <w:pPr>
        <w:rPr>
          <w:rFonts w:ascii="Times New Roman" w:hAnsi="Times New Roman"/>
        </w:rPr>
      </w:pPr>
    </w:p>
    <w:p w:rsidR="00624E2B" w:rsidRDefault="006D466E">
      <w:pPr>
        <w:rPr>
          <w:rFonts w:ascii="Times New Roman" w:hAnsi="Times New Roman"/>
          <w:u w:val="single"/>
        </w:rPr>
      </w:pPr>
      <w:r>
        <w:rPr>
          <w:rFonts w:ascii="Times New Roman" w:hAnsi="Times New Roman"/>
          <w:u w:val="single"/>
        </w:rPr>
        <w:t>Net Power Cost Mechanisms</w:t>
      </w:r>
    </w:p>
    <w:p w:rsidR="00624E2B" w:rsidRDefault="006D466E">
      <w:pPr>
        <w:rPr>
          <w:rFonts w:ascii="Times New Roman" w:hAnsi="Times New Roman"/>
        </w:rPr>
      </w:pPr>
      <w:r>
        <w:rPr>
          <w:rFonts w:ascii="Times New Roman" w:hAnsi="Times New Roman"/>
        </w:rPr>
        <w:t xml:space="preserve">A net power cost mechanism that allows for recovery of variances between actual NPC levels and the levels set in rates would significantly improve a utility’s ability to combat earnings </w:t>
      </w:r>
      <w:r>
        <w:rPr>
          <w:rFonts w:ascii="Times New Roman" w:hAnsi="Times New Roman"/>
        </w:rPr>
        <w:lastRenderedPageBreak/>
        <w:t xml:space="preserve">attrition.  These mechanisms would only address prudently incurred net power cost expenses and would address volatility that is outside of the Company’s control, similar to the mechanisms currently in place for the commodity and capacity costs of local gas distribution companies.  A net power cost mechanism would also allow utilities to address net power cost variances outside of a general rate case.  </w:t>
      </w:r>
    </w:p>
    <w:p w:rsidR="00624E2B" w:rsidRDefault="00624E2B">
      <w:pPr>
        <w:rPr>
          <w:rFonts w:ascii="Times New Roman" w:hAnsi="Times New Roman"/>
        </w:rPr>
      </w:pPr>
    </w:p>
    <w:p w:rsidR="00624E2B" w:rsidRDefault="006D466E">
      <w:pPr>
        <w:rPr>
          <w:rFonts w:ascii="Times New Roman" w:hAnsi="Times New Roman"/>
          <w:u w:val="single"/>
        </w:rPr>
      </w:pPr>
      <w:r>
        <w:rPr>
          <w:rFonts w:ascii="Times New Roman" w:hAnsi="Times New Roman"/>
          <w:u w:val="single"/>
        </w:rPr>
        <w:t>Mechanism for Capital Additions</w:t>
      </w:r>
    </w:p>
    <w:p w:rsidR="00624E2B" w:rsidRDefault="006D466E">
      <w:pPr>
        <w:rPr>
          <w:rFonts w:ascii="Times New Roman" w:hAnsi="Times New Roman"/>
        </w:rPr>
      </w:pPr>
      <w:r>
        <w:rPr>
          <w:rFonts w:ascii="Times New Roman" w:hAnsi="Times New Roman"/>
        </w:rPr>
        <w:t>A mechanism for major capital additions occurring between rate cases would address regulatory lag for these investments.  This type of mechanism could be developed with parameters on the financial significance (minimums and maximums) of the investments, the timing in relation to past rate cases, and a clear methodology for calculating the revenue requirement for these investments.</w:t>
      </w:r>
    </w:p>
    <w:p w:rsidR="00624E2B" w:rsidRDefault="00624E2B">
      <w:pPr>
        <w:rPr>
          <w:rFonts w:ascii="Times New Roman" w:hAnsi="Times New Roman"/>
        </w:rPr>
      </w:pPr>
    </w:p>
    <w:p w:rsidR="00624E2B" w:rsidRDefault="006D466E">
      <w:pPr>
        <w:rPr>
          <w:rFonts w:ascii="Times New Roman" w:hAnsi="Times New Roman"/>
        </w:rPr>
      </w:pPr>
      <w:r>
        <w:rPr>
          <w:rFonts w:ascii="Times New Roman" w:hAnsi="Times New Roman"/>
        </w:rPr>
        <w:t xml:space="preserve">For example, in California, the Company is authorized to file Post Test-Year Adjustment Mechanisms to recover the California-allocated share of reasonable costs associated with any major plant additions greater than $50 million on a total-company basis.  And in Oregon, the Commission has allowed the Company to recover the costs of large major capital additions through the use of a tariff surcharge until those costs could be included in base rates.  Both of these mechanisms have allowed the Company to avoid general rate cases in these states.  </w:t>
      </w:r>
    </w:p>
    <w:p w:rsidR="00624E2B" w:rsidRDefault="00624E2B">
      <w:pPr>
        <w:rPr>
          <w:rFonts w:ascii="Times New Roman" w:hAnsi="Times New Roman"/>
        </w:rPr>
      </w:pPr>
    </w:p>
    <w:p w:rsidR="00624E2B" w:rsidRDefault="006D466E">
      <w:pPr>
        <w:rPr>
          <w:rFonts w:ascii="Times New Roman" w:hAnsi="Times New Roman"/>
          <w:u w:val="single"/>
        </w:rPr>
      </w:pPr>
      <w:r>
        <w:rPr>
          <w:rFonts w:ascii="Times New Roman" w:hAnsi="Times New Roman"/>
          <w:u w:val="single"/>
        </w:rPr>
        <w:t>Other Mechanisms</w:t>
      </w:r>
    </w:p>
    <w:p w:rsidR="00624E2B" w:rsidRDefault="006D466E">
      <w:pPr>
        <w:rPr>
          <w:rFonts w:ascii="Times New Roman" w:hAnsi="Times New Roman"/>
        </w:rPr>
      </w:pPr>
      <w:r>
        <w:rPr>
          <w:rFonts w:ascii="Times New Roman" w:hAnsi="Times New Roman"/>
        </w:rPr>
        <w:t xml:space="preserve">A mechanism for cost changes other than net power costs could address the impacts of the general economy and other factors.  This type of mechanism could address issues such as general inflation or earnings attrition.  For example, in California the Company submits an annual attrition filing to adjust rates for cost increases experienced between general rate case filings.  This adjustment is calculated using the consumer price index with an offsetting productivity adjustment.  </w:t>
      </w:r>
    </w:p>
    <w:p w:rsidR="00624E2B" w:rsidRDefault="00624E2B">
      <w:pPr>
        <w:rPr>
          <w:rFonts w:ascii="Times New Roman" w:hAnsi="Times New Roman"/>
          <w:b/>
          <w:szCs w:val="24"/>
        </w:rPr>
      </w:pPr>
    </w:p>
    <w:p w:rsidR="00624E2B" w:rsidRDefault="006D466E">
      <w:pPr>
        <w:rPr>
          <w:rFonts w:ascii="Times New Roman" w:hAnsi="Times New Roman"/>
          <w:szCs w:val="24"/>
        </w:rPr>
      </w:pPr>
      <w:r>
        <w:rPr>
          <w:rFonts w:ascii="Times New Roman" w:hAnsi="Times New Roman"/>
          <w:szCs w:val="24"/>
        </w:rPr>
        <w:t xml:space="preserve">Pacific Power appreciates the opportunity to provide these preliminary comments and looks forward to participating in the open meeting. </w:t>
      </w:r>
    </w:p>
    <w:p w:rsidR="00624E2B" w:rsidRDefault="00624E2B">
      <w:pPr>
        <w:rPr>
          <w:rFonts w:ascii="Times New Roman" w:hAnsi="Times New Roman"/>
          <w:szCs w:val="24"/>
        </w:rPr>
      </w:pPr>
    </w:p>
    <w:p w:rsidR="00624E2B" w:rsidRDefault="006D466E">
      <w:pPr>
        <w:rPr>
          <w:rFonts w:ascii="Times New Roman" w:hAnsi="Times New Roman"/>
          <w:szCs w:val="24"/>
        </w:rPr>
      </w:pPr>
      <w:r>
        <w:rPr>
          <w:rFonts w:ascii="Times New Roman" w:hAnsi="Times New Roman"/>
          <w:szCs w:val="24"/>
        </w:rPr>
        <w:t>Please direct inquiries to Natasha Siores, Director, Regulatory Affairs &amp; Revenue Requirement, at (503) 813-6583.</w:t>
      </w:r>
    </w:p>
    <w:p w:rsidR="00624E2B" w:rsidRDefault="00624E2B">
      <w:pPr>
        <w:rPr>
          <w:rFonts w:ascii="Times New Roman" w:hAnsi="Times New Roman"/>
          <w:szCs w:val="24"/>
        </w:rPr>
      </w:pPr>
    </w:p>
    <w:p w:rsidR="00624E2B" w:rsidRDefault="006D466E">
      <w:pPr>
        <w:rPr>
          <w:rFonts w:ascii="Times New Roman" w:hAnsi="Times New Roman"/>
          <w:szCs w:val="24"/>
        </w:rPr>
      </w:pPr>
      <w:r>
        <w:rPr>
          <w:rFonts w:ascii="Times New Roman" w:hAnsi="Times New Roman"/>
          <w:szCs w:val="24"/>
        </w:rPr>
        <w:t>Sincerely,</w:t>
      </w:r>
    </w:p>
    <w:p w:rsidR="00624E2B" w:rsidRDefault="00624E2B">
      <w:pPr>
        <w:rPr>
          <w:rFonts w:ascii="Times New Roman" w:hAnsi="Times New Roman"/>
          <w:szCs w:val="24"/>
        </w:rPr>
      </w:pPr>
    </w:p>
    <w:p w:rsidR="00624E2B" w:rsidRDefault="00624E2B">
      <w:pPr>
        <w:rPr>
          <w:rFonts w:ascii="Times New Roman" w:hAnsi="Times New Roman"/>
          <w:szCs w:val="24"/>
        </w:rPr>
      </w:pPr>
    </w:p>
    <w:p w:rsidR="00624E2B" w:rsidRDefault="00624E2B">
      <w:pPr>
        <w:rPr>
          <w:rFonts w:ascii="Times New Roman" w:hAnsi="Times New Roman"/>
          <w:szCs w:val="24"/>
        </w:rPr>
      </w:pPr>
    </w:p>
    <w:p w:rsidR="00624E2B" w:rsidRDefault="006D466E">
      <w:pPr>
        <w:rPr>
          <w:rFonts w:ascii="Times New Roman" w:hAnsi="Times New Roman"/>
          <w:szCs w:val="24"/>
        </w:rPr>
      </w:pPr>
      <w:r>
        <w:rPr>
          <w:rFonts w:ascii="Times New Roman" w:hAnsi="Times New Roman"/>
          <w:szCs w:val="24"/>
        </w:rPr>
        <w:t>R. Bryce Dalley</w:t>
      </w:r>
    </w:p>
    <w:p w:rsidR="00624E2B" w:rsidRDefault="006D466E">
      <w:pPr>
        <w:rPr>
          <w:rFonts w:ascii="Times New Roman" w:hAnsi="Times New Roman"/>
          <w:szCs w:val="24"/>
        </w:rPr>
      </w:pPr>
      <w:r>
        <w:rPr>
          <w:rFonts w:ascii="Times New Roman" w:hAnsi="Times New Roman"/>
          <w:szCs w:val="24"/>
        </w:rPr>
        <w:t xml:space="preserve">Vice President, Regulation </w:t>
      </w:r>
    </w:p>
    <w:p w:rsidR="00624E2B" w:rsidRDefault="00624E2B">
      <w:pPr>
        <w:pStyle w:val="ReLine"/>
        <w:spacing w:before="0"/>
        <w:ind w:left="0" w:right="115" w:firstLine="0"/>
        <w:rPr>
          <w:rFonts w:hAnsi="Times New Roman"/>
          <w:b w:val="0"/>
          <w:szCs w:val="24"/>
          <w:u w:val="single"/>
        </w:rPr>
      </w:pPr>
    </w:p>
    <w:sectPr w:rsidR="00624E2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89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66E" w:rsidRDefault="006D466E">
      <w:r>
        <w:separator/>
      </w:r>
    </w:p>
  </w:endnote>
  <w:endnote w:type="continuationSeparator" w:id="0">
    <w:p w:rsidR="006D466E" w:rsidRDefault="006D466E">
      <w:r>
        <w:continuationSeparator/>
      </w:r>
    </w:p>
  </w:endnote>
  <w:endnote w:type="continuationNotice" w:id="1">
    <w:p w:rsidR="006D466E" w:rsidRDefault="006D4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9CD" w:rsidRDefault="00641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9CD" w:rsidRDefault="006419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9CD" w:rsidRDefault="00641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66E" w:rsidRDefault="006D466E">
      <w:r>
        <w:separator/>
      </w:r>
    </w:p>
  </w:footnote>
  <w:footnote w:type="continuationSeparator" w:id="0">
    <w:p w:rsidR="006D466E" w:rsidRDefault="006D466E">
      <w:r>
        <w:continuationSeparator/>
      </w:r>
    </w:p>
  </w:footnote>
  <w:footnote w:type="continuationNotice" w:id="1">
    <w:p w:rsidR="006D466E" w:rsidRDefault="006D46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9CD" w:rsidRDefault="006419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2B" w:rsidRDefault="006D466E">
    <w:pPr>
      <w:pStyle w:val="Header"/>
      <w:rPr>
        <w:sz w:val="22"/>
        <w:szCs w:val="22"/>
      </w:rPr>
    </w:pPr>
    <w:r>
      <w:rPr>
        <w:sz w:val="22"/>
        <w:szCs w:val="22"/>
      </w:rPr>
      <w:t>Docket U-150040</w:t>
    </w:r>
  </w:p>
  <w:p w:rsidR="00624E2B" w:rsidRDefault="006D466E">
    <w:pPr>
      <w:pStyle w:val="Header"/>
      <w:rPr>
        <w:sz w:val="22"/>
        <w:szCs w:val="22"/>
      </w:rPr>
    </w:pPr>
    <w:r>
      <w:rPr>
        <w:sz w:val="22"/>
        <w:szCs w:val="22"/>
      </w:rPr>
      <w:t>Washington Utilities and Transportation Commission</w:t>
    </w:r>
  </w:p>
  <w:p w:rsidR="00624E2B" w:rsidRDefault="00FC13D1">
    <w:pPr>
      <w:pStyle w:val="Header"/>
      <w:rPr>
        <w:sz w:val="22"/>
        <w:szCs w:val="22"/>
      </w:rPr>
    </w:pPr>
    <w:r>
      <w:rPr>
        <w:sz w:val="22"/>
        <w:szCs w:val="22"/>
      </w:rPr>
      <w:t>March 24</w:t>
    </w:r>
    <w:r w:rsidR="006D466E">
      <w:rPr>
        <w:sz w:val="22"/>
        <w:szCs w:val="22"/>
      </w:rPr>
      <w:t>, 2015</w:t>
    </w:r>
  </w:p>
  <w:p w:rsidR="00624E2B" w:rsidRDefault="006D466E">
    <w:pPr>
      <w:pStyle w:val="Header"/>
      <w:rPr>
        <w:sz w:val="22"/>
        <w:szCs w:val="22"/>
      </w:rPr>
    </w:pPr>
    <w:r>
      <w:rPr>
        <w:sz w:val="22"/>
        <w:szCs w:val="22"/>
      </w:rPr>
      <w:t xml:space="preserve">Page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6419CD">
      <w:rPr>
        <w:rStyle w:val="PageNumber"/>
        <w:noProof/>
        <w:sz w:val="22"/>
        <w:szCs w:val="22"/>
      </w:rPr>
      <w:t>2</w:t>
    </w:r>
    <w:r>
      <w:rPr>
        <w:rStyle w:val="PageNumber"/>
        <w:sz w:val="22"/>
        <w:szCs w:val="22"/>
      </w:rPr>
      <w:fldChar w:fldCharType="end"/>
    </w:r>
    <w:r>
      <w:rPr>
        <w:rStyle w:val="PageNumber"/>
        <w:sz w:val="22"/>
        <w:szCs w:val="22"/>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9CD" w:rsidRDefault="00641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FAA"/>
    <w:multiLevelType w:val="hybridMultilevel"/>
    <w:tmpl w:val="1C2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83AA7"/>
    <w:multiLevelType w:val="hybridMultilevel"/>
    <w:tmpl w:val="BC9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65AB8"/>
    <w:multiLevelType w:val="hybridMultilevel"/>
    <w:tmpl w:val="1714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C3FCE"/>
    <w:multiLevelType w:val="hybridMultilevel"/>
    <w:tmpl w:val="DA56B8C2"/>
    <w:lvl w:ilvl="0" w:tplc="E87EAB2A">
      <w:start w:val="17"/>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C5CA8"/>
    <w:multiLevelType w:val="hybridMultilevel"/>
    <w:tmpl w:val="9FA4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046E8"/>
    <w:multiLevelType w:val="hybridMultilevel"/>
    <w:tmpl w:val="4992B72C"/>
    <w:lvl w:ilvl="0" w:tplc="BBECE6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D198E"/>
    <w:multiLevelType w:val="hybridMultilevel"/>
    <w:tmpl w:val="E87EA6F8"/>
    <w:lvl w:ilvl="0" w:tplc="D548BE10">
      <w:start w:val="1"/>
      <w:numFmt w:val="decimal"/>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1A23B5"/>
    <w:multiLevelType w:val="hybridMultilevel"/>
    <w:tmpl w:val="4D3EB91A"/>
    <w:lvl w:ilvl="0" w:tplc="78C0C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313E6"/>
    <w:multiLevelType w:val="hybridMultilevel"/>
    <w:tmpl w:val="46E2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9B30B9"/>
    <w:multiLevelType w:val="hybridMultilevel"/>
    <w:tmpl w:val="50D6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C2381"/>
    <w:multiLevelType w:val="hybridMultilevel"/>
    <w:tmpl w:val="7AB2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E4357"/>
    <w:multiLevelType w:val="hybridMultilevel"/>
    <w:tmpl w:val="892026E6"/>
    <w:lvl w:ilvl="0" w:tplc="AA3EB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FD0A19"/>
    <w:multiLevelType w:val="hybridMultilevel"/>
    <w:tmpl w:val="39FA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7C1B86"/>
    <w:multiLevelType w:val="hybridMultilevel"/>
    <w:tmpl w:val="42A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B52D31"/>
    <w:multiLevelType w:val="hybridMultilevel"/>
    <w:tmpl w:val="EA5A1DE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8F60DC"/>
    <w:multiLevelType w:val="hybridMultilevel"/>
    <w:tmpl w:val="4BFC831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B04F96"/>
    <w:multiLevelType w:val="hybridMultilevel"/>
    <w:tmpl w:val="A2C8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E96770"/>
    <w:multiLevelType w:val="hybridMultilevel"/>
    <w:tmpl w:val="02F0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E92D22"/>
    <w:multiLevelType w:val="hybridMultilevel"/>
    <w:tmpl w:val="CAB06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B53E31"/>
    <w:multiLevelType w:val="hybridMultilevel"/>
    <w:tmpl w:val="7CD203DC"/>
    <w:lvl w:ilvl="0" w:tplc="6D560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9B7FFD"/>
    <w:multiLevelType w:val="hybridMultilevel"/>
    <w:tmpl w:val="E7DE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3"/>
  </w:num>
  <w:num w:numId="4">
    <w:abstractNumId w:val="2"/>
  </w:num>
  <w:num w:numId="5">
    <w:abstractNumId w:val="1"/>
  </w:num>
  <w:num w:numId="6">
    <w:abstractNumId w:val="20"/>
  </w:num>
  <w:num w:numId="7">
    <w:abstractNumId w:val="6"/>
  </w:num>
  <w:num w:numId="8">
    <w:abstractNumId w:val="14"/>
  </w:num>
  <w:num w:numId="9">
    <w:abstractNumId w:val="5"/>
  </w:num>
  <w:num w:numId="10">
    <w:abstractNumId w:val="17"/>
  </w:num>
  <w:num w:numId="11">
    <w:abstractNumId w:val="15"/>
  </w:num>
  <w:num w:numId="12">
    <w:abstractNumId w:val="8"/>
  </w:num>
  <w:num w:numId="13">
    <w:abstractNumId w:val="18"/>
  </w:num>
  <w:num w:numId="14">
    <w:abstractNumId w:val="19"/>
  </w:num>
  <w:num w:numId="15">
    <w:abstractNumId w:val="11"/>
  </w:num>
  <w:num w:numId="16">
    <w:abstractNumId w:val="7"/>
  </w:num>
  <w:num w:numId="17">
    <w:abstractNumId w:val="3"/>
  </w:num>
  <w:num w:numId="18">
    <w:abstractNumId w:val="4"/>
  </w:num>
  <w:num w:numId="19">
    <w:abstractNumId w:val="9"/>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2B"/>
    <w:rsid w:val="00273E51"/>
    <w:rsid w:val="00624E2B"/>
    <w:rsid w:val="006419CD"/>
    <w:rsid w:val="006D466E"/>
    <w:rsid w:val="00B10C0A"/>
    <w:rsid w:val="00FC13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Pr>
      <w:rFonts w:ascii="Times New Roman" w:eastAsia="Times New Roman" w:hAnsi="Times New Roman"/>
      <w:sz w:val="16"/>
    </w:rPr>
  </w:style>
  <w:style w:type="paragraph" w:styleId="BodyText">
    <w:name w:val="Body Text"/>
    <w:basedOn w:val="Normal"/>
    <w:pPr>
      <w:spacing w:line="480" w:lineRule="auto"/>
      <w:ind w:firstLine="720"/>
    </w:pPr>
    <w:rPr>
      <w:rFonts w:ascii="Times New Roman" w:eastAsia="Times New Roman" w:hAnsi="Times New Roman"/>
      <w:szCs w:val="24"/>
    </w:rPr>
  </w:style>
  <w:style w:type="paragraph" w:customStyle="1" w:styleId="Address">
    <w:name w:val="Address"/>
    <w:basedOn w:val="Normal"/>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Pr>
      <w:rFonts w:ascii="Times New Roman" w:hAnsi="Times New Roman"/>
      <w:color w:val="auto"/>
      <w:spacing w:val="0"/>
      <w:kern w:val="0"/>
      <w:position w:val="0"/>
      <w:sz w:val="24"/>
      <w:u w:val="none"/>
      <w:vertAlign w:val="baseline"/>
    </w:rPr>
  </w:style>
  <w:style w:type="paragraph" w:styleId="Header">
    <w:name w:val="header"/>
    <w:basedOn w:val="Normal"/>
    <w:pPr>
      <w:tabs>
        <w:tab w:val="center" w:pos="4680"/>
        <w:tab w:val="right" w:pos="9360"/>
      </w:tabs>
    </w:pPr>
    <w:rPr>
      <w:rFonts w:ascii="Times New Roman" w:eastAsia="Times New Roman" w:hAnsi="Times New Roman"/>
      <w:szCs w:val="24"/>
    </w:rPr>
  </w:style>
  <w:style w:type="character" w:styleId="PageNumber">
    <w:name w:val="page number"/>
    <w:basedOn w:val="DefaultParagraphFont"/>
  </w:style>
  <w:style w:type="paragraph" w:customStyle="1" w:styleId="CharChar">
    <w:name w:val="Char Char"/>
    <w:basedOn w:val="Normal"/>
    <w:pPr>
      <w:spacing w:after="160" w:line="240" w:lineRule="exact"/>
    </w:pPr>
    <w:rPr>
      <w:rFonts w:ascii="Verdana" w:eastAsia="Times New Roman" w:hAnsi="Verdana"/>
      <w:sz w:val="20"/>
    </w:rPr>
  </w:style>
  <w:style w:type="paragraph" w:customStyle="1" w:styleId="HangingIndent">
    <w:name w:val="Hanging Indent"/>
    <w:basedOn w:val="Normal"/>
    <w:pPr>
      <w:ind w:left="576" w:hanging="576"/>
    </w:pPr>
    <w:rPr>
      <w:rFonts w:ascii="Times New Roman" w:eastAsia="Times New Roman" w:hAnsi="Times New Roman"/>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harChar1">
    <w:name w:val="Char Char1"/>
    <w:basedOn w:val="Normal"/>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ignature">
    <w:name w:val="Letter Signature"/>
    <w:basedOn w:val="Normal"/>
    <w:pPr>
      <w:keepNext/>
      <w:keepLines/>
    </w:pPr>
    <w:rPr>
      <w:rFonts w:ascii="Times New Roman" w:eastAsia="Times New Roman" w:hAnsi="Times New Roman"/>
      <w:szCs w:val="24"/>
    </w:rPr>
  </w:style>
  <w:style w:type="paragraph" w:customStyle="1" w:styleId="ReLine">
    <w:name w:val="ReLine"/>
    <w:basedOn w:val="Normal"/>
    <w:next w:val="Normal"/>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pPr>
      <w:ind w:left="720" w:hanging="720"/>
    </w:pPr>
  </w:style>
  <w:style w:type="paragraph" w:customStyle="1" w:styleId="DocumentTitle">
    <w:name w:val="Document Title"/>
    <w:basedOn w:val="Normal"/>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Pr>
      <w:rFonts w:ascii="Times New Roman" w:eastAsia="Times New Roman" w:hAnsi="Times New Roman"/>
      <w:sz w:val="16"/>
    </w:rPr>
  </w:style>
  <w:style w:type="paragraph" w:styleId="BodyText">
    <w:name w:val="Body Text"/>
    <w:basedOn w:val="Normal"/>
    <w:pPr>
      <w:spacing w:line="480" w:lineRule="auto"/>
      <w:ind w:firstLine="720"/>
    </w:pPr>
    <w:rPr>
      <w:rFonts w:ascii="Times New Roman" w:eastAsia="Times New Roman" w:hAnsi="Times New Roman"/>
      <w:szCs w:val="24"/>
    </w:rPr>
  </w:style>
  <w:style w:type="paragraph" w:customStyle="1" w:styleId="Address">
    <w:name w:val="Address"/>
    <w:basedOn w:val="Normal"/>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Pr>
      <w:rFonts w:ascii="Times New Roman" w:hAnsi="Times New Roman"/>
      <w:color w:val="auto"/>
      <w:spacing w:val="0"/>
      <w:kern w:val="0"/>
      <w:position w:val="0"/>
      <w:sz w:val="24"/>
      <w:u w:val="none"/>
      <w:vertAlign w:val="baseline"/>
    </w:rPr>
  </w:style>
  <w:style w:type="paragraph" w:styleId="Header">
    <w:name w:val="header"/>
    <w:basedOn w:val="Normal"/>
    <w:pPr>
      <w:tabs>
        <w:tab w:val="center" w:pos="4680"/>
        <w:tab w:val="right" w:pos="9360"/>
      </w:tabs>
    </w:pPr>
    <w:rPr>
      <w:rFonts w:ascii="Times New Roman" w:eastAsia="Times New Roman" w:hAnsi="Times New Roman"/>
      <w:szCs w:val="24"/>
    </w:rPr>
  </w:style>
  <w:style w:type="character" w:styleId="PageNumber">
    <w:name w:val="page number"/>
    <w:basedOn w:val="DefaultParagraphFont"/>
  </w:style>
  <w:style w:type="paragraph" w:customStyle="1" w:styleId="CharChar">
    <w:name w:val="Char Char"/>
    <w:basedOn w:val="Normal"/>
    <w:pPr>
      <w:spacing w:after="160" w:line="240" w:lineRule="exact"/>
    </w:pPr>
    <w:rPr>
      <w:rFonts w:ascii="Verdana" w:eastAsia="Times New Roman" w:hAnsi="Verdana"/>
      <w:sz w:val="20"/>
    </w:rPr>
  </w:style>
  <w:style w:type="paragraph" w:customStyle="1" w:styleId="HangingIndent">
    <w:name w:val="Hanging Indent"/>
    <w:basedOn w:val="Normal"/>
    <w:pPr>
      <w:ind w:left="576" w:hanging="576"/>
    </w:pPr>
    <w:rPr>
      <w:rFonts w:ascii="Times New Roman" w:eastAsia="Times New Roman" w:hAnsi="Times New Roman"/>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harChar1">
    <w:name w:val="Char Char1"/>
    <w:basedOn w:val="Normal"/>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ignature">
    <w:name w:val="Letter Signature"/>
    <w:basedOn w:val="Normal"/>
    <w:pPr>
      <w:keepNext/>
      <w:keepLines/>
    </w:pPr>
    <w:rPr>
      <w:rFonts w:ascii="Times New Roman" w:eastAsia="Times New Roman" w:hAnsi="Times New Roman"/>
      <w:szCs w:val="24"/>
    </w:rPr>
  </w:style>
  <w:style w:type="paragraph" w:customStyle="1" w:styleId="ReLine">
    <w:name w:val="ReLine"/>
    <w:basedOn w:val="Normal"/>
    <w:next w:val="Normal"/>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pPr>
      <w:ind w:left="720" w:hanging="720"/>
    </w:pPr>
  </w:style>
  <w:style w:type="paragraph" w:customStyle="1" w:styleId="DocumentTitle">
    <w:name w:val="Document Title"/>
    <w:basedOn w:val="Normal"/>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2015-01-07T08:00:00+00:00</OpenedDate>
    <Date1 xmlns="dc463f71-b30c-4ab2-9473-d307f9d35888">2015-03-24T07:00:00+00:00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E9913851834743AF02A4619037F444" ma:contentTypeVersion="119" ma:contentTypeDescription="" ma:contentTypeScope="" ma:versionID="edbd40e55cd189a8486b8a421eb612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7D084-404B-4C45-B1FA-7E6FE327F176}"/>
</file>

<file path=customXml/itemProps2.xml><?xml version="1.0" encoding="utf-8"?>
<ds:datastoreItem xmlns:ds="http://schemas.openxmlformats.org/officeDocument/2006/customXml" ds:itemID="{0F5811B9-2926-4E10-8E78-A690FC7D204D}"/>
</file>

<file path=customXml/itemProps3.xml><?xml version="1.0" encoding="utf-8"?>
<ds:datastoreItem xmlns:ds="http://schemas.openxmlformats.org/officeDocument/2006/customXml" ds:itemID="{7182E28E-6A08-47E5-A763-B9B2B673C20C}"/>
</file>

<file path=customXml/itemProps4.xml><?xml version="1.0" encoding="utf-8"?>
<ds:datastoreItem xmlns:ds="http://schemas.openxmlformats.org/officeDocument/2006/customXml" ds:itemID="{80FCE1A2-2926-4B82-93D4-AB22305CA7CC}"/>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2015-03-24T19:52:00Z</dcterms:created>
  <dcterms:modified xsi:type="dcterms:W3CDTF">2015-03-24T20:04:00Z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0x0101006E56B4D1795A2E4DB2F0B01679ED314A000DE9913851834743AF02A4619037F444</vt:lpwstr>
  </property>
  <property fmtid="{D5CDD505-2E9C-101B-9397-08002B2CF9AE}" pid="4" name="_docset_NoMedatataSyncRequired">
    <vt:lpwstr>False</vt:lpwstr>
  </property>
</Properties>
</file>