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264F17" w:rsidP="00621F2E">
      <w:pPr>
        <w:jc w:val="center"/>
        <w:rPr>
          <w:szCs w:val="24"/>
        </w:rPr>
      </w:pPr>
      <w:r>
        <w:rPr>
          <w:szCs w:val="24"/>
        </w:rPr>
        <w:t>October</w:t>
      </w:r>
      <w:r w:rsidR="00621F2E" w:rsidRPr="00621F2E">
        <w:rPr>
          <w:szCs w:val="24"/>
        </w:rPr>
        <w:t xml:space="preserve"> </w:t>
      </w:r>
      <w:r w:rsidR="00D0228A">
        <w:rPr>
          <w:szCs w:val="24"/>
        </w:rPr>
        <w:t>30,</w:t>
      </w:r>
      <w:r w:rsidR="00621F2E" w:rsidRPr="00621F2E">
        <w:rPr>
          <w:szCs w:val="24"/>
        </w:rPr>
        <w:t xml:space="preserve"> 2014</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r>
      <w:r w:rsidR="00F70D0C" w:rsidRPr="00F70D0C">
        <w:rPr>
          <w:szCs w:val="24"/>
        </w:rPr>
        <w:t>Western Wahkiakum County Telephone Company</w:t>
      </w:r>
      <w:r w:rsidR="00264F17" w:rsidRPr="00264F17">
        <w:rPr>
          <w:szCs w:val="24"/>
        </w:rPr>
        <w:t xml:space="preserve"> - </w:t>
      </w:r>
      <w:r w:rsidR="004A4CE7">
        <w:rPr>
          <w:szCs w:val="24"/>
        </w:rPr>
        <w:t>Fourteenth Revision of Sheet No. 3</w:t>
      </w:r>
      <w:r w:rsidR="00264F17" w:rsidRPr="00264F17">
        <w:rPr>
          <w:szCs w:val="24"/>
        </w:rPr>
        <w:t xml:space="preserve">1 Canceling </w:t>
      </w:r>
      <w:r w:rsidR="004A4CE7">
        <w:rPr>
          <w:szCs w:val="24"/>
        </w:rPr>
        <w:t>Thirteenth</w:t>
      </w:r>
      <w:r w:rsidR="00264F17" w:rsidRPr="00264F17">
        <w:rPr>
          <w:szCs w:val="24"/>
        </w:rPr>
        <w:t xml:space="preserve"> Revision of Sheet No. </w:t>
      </w:r>
      <w:r w:rsidR="004A4CE7">
        <w:rPr>
          <w:szCs w:val="24"/>
        </w:rPr>
        <w:t>3</w:t>
      </w:r>
      <w:r w:rsidR="00264F17" w:rsidRPr="00264F17">
        <w:rPr>
          <w:szCs w:val="24"/>
        </w:rPr>
        <w:t>1</w:t>
      </w:r>
      <w:r w:rsidRPr="00621F2E">
        <w:rPr>
          <w:szCs w:val="24"/>
        </w:rPr>
        <w:t xml:space="preserve"> </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Attached you will find the above-referenced tariff sheet.  The purpose of this filing is to increase the monthly Residential Exchange Access Line Service to $16.00 from its current rate of $14.00 (14.28%) effective </w:t>
      </w:r>
      <w:r w:rsidR="00BB7098">
        <w:rPr>
          <w:szCs w:val="24"/>
        </w:rPr>
        <w:t>November</w:t>
      </w:r>
      <w:r w:rsidRPr="00621F2E">
        <w:rPr>
          <w:szCs w:val="24"/>
        </w:rPr>
        <w:t xml:space="preserve"> </w:t>
      </w:r>
      <w:r w:rsidR="00264F17">
        <w:rPr>
          <w:szCs w:val="24"/>
        </w:rPr>
        <w:t>30</w:t>
      </w:r>
      <w:r w:rsidRPr="00621F2E">
        <w:rPr>
          <w:szCs w:val="24"/>
        </w:rPr>
        <w:t xml:space="preserve">, 2014.  </w:t>
      </w:r>
    </w:p>
    <w:p w:rsidR="00621F2E" w:rsidRPr="00621F2E" w:rsidRDefault="00621F2E" w:rsidP="00621F2E">
      <w:pPr>
        <w:rPr>
          <w:szCs w:val="24"/>
        </w:rPr>
      </w:pPr>
    </w:p>
    <w:p w:rsidR="00621F2E" w:rsidRPr="00621F2E" w:rsidRDefault="00621F2E" w:rsidP="00621F2E">
      <w:pPr>
        <w:rPr>
          <w:szCs w:val="24"/>
        </w:rPr>
      </w:pPr>
      <w:r w:rsidRPr="00621F2E">
        <w:rPr>
          <w:szCs w:val="24"/>
        </w:rPr>
        <w:tab/>
        <w:t>The overall annual revenue effect for the Company is an increase of</w:t>
      </w:r>
      <w:r w:rsidR="00D30CB3">
        <w:rPr>
          <w:szCs w:val="24"/>
        </w:rPr>
        <w:t xml:space="preserve"> approximately</w:t>
      </w:r>
      <w:r w:rsidRPr="00621F2E">
        <w:rPr>
          <w:szCs w:val="24"/>
        </w:rPr>
        <w:t xml:space="preserve"> </w:t>
      </w:r>
      <w:r w:rsidR="00A30AE8">
        <w:rPr>
          <w:szCs w:val="24"/>
        </w:rPr>
        <w:t>$24,000.</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4A4CE7">
        <w:rPr>
          <w:szCs w:val="24"/>
        </w:rPr>
        <w:t>143034</w:t>
      </w:r>
      <w:r w:rsidRPr="00621F2E">
        <w:rPr>
          <w:szCs w:val="24"/>
        </w:rPr>
        <w:t>, the Compan</w:t>
      </w:r>
      <w:bookmarkStart w:id="0" w:name="_GoBack"/>
      <w:bookmarkEnd w:id="0"/>
      <w:r w:rsidRPr="00621F2E">
        <w:rPr>
          <w:szCs w:val="24"/>
        </w:rPr>
        <w:t>y filed financial information concerning its operations. In discussion with Commission Staff, this filing is based upon the information that the Company has filed in Docket UT-</w:t>
      </w:r>
      <w:r w:rsidR="004A4CE7">
        <w:rPr>
          <w:szCs w:val="24"/>
        </w:rPr>
        <w:t>143034</w:t>
      </w:r>
      <w:r w:rsidRPr="00621F2E">
        <w:rPr>
          <w:szCs w:val="24"/>
        </w:rPr>
        <w:t>.  As a result of using the financial information filed by the Company in Docket UT-</w:t>
      </w:r>
      <w:r w:rsidR="004A4CE7">
        <w:rPr>
          <w:szCs w:val="24"/>
        </w:rPr>
        <w:t>143034</w:t>
      </w:r>
      <w:r w:rsidRPr="00621F2E">
        <w:rPr>
          <w:szCs w:val="24"/>
        </w:rPr>
        <w:t>, the Company believes this complies with the filing requirements of WAC 480-120-339.</w:t>
      </w:r>
    </w:p>
    <w:p w:rsidR="00621F2E" w:rsidRPr="00621F2E" w:rsidRDefault="00621F2E" w:rsidP="00621F2E">
      <w:pPr>
        <w:rPr>
          <w:szCs w:val="24"/>
        </w:rPr>
      </w:pPr>
    </w:p>
    <w:p w:rsidR="00621F2E" w:rsidRDefault="00621F2E" w:rsidP="00BB7098">
      <w:pPr>
        <w:rPr>
          <w:szCs w:val="24"/>
        </w:rPr>
      </w:pPr>
      <w:r w:rsidRPr="00621F2E">
        <w:rPr>
          <w:szCs w:val="24"/>
        </w:rPr>
        <w:tab/>
        <w:t xml:space="preserve">The Notice to customers is attached and includes additional information concerning the </w:t>
      </w:r>
      <w:r w:rsidRPr="00621F2E">
        <w:rPr>
          <w:szCs w:val="24"/>
        </w:rPr>
        <w:lastRenderedPageBreak/>
        <w:t>filing.  The Notice was mailed to customers prior to the date of this letter.</w:t>
      </w:r>
    </w:p>
    <w:p w:rsidR="00F70D0C" w:rsidRDefault="00F70D0C" w:rsidP="00BB7098">
      <w:pPr>
        <w:rPr>
          <w:szCs w:val="24"/>
        </w:rPr>
      </w:pPr>
    </w:p>
    <w:p w:rsidR="00C41D34" w:rsidRPr="00621F2E" w:rsidRDefault="005C7761" w:rsidP="00C37BA0">
      <w:pPr>
        <w:ind w:firstLine="720"/>
        <w:rPr>
          <w:szCs w:val="24"/>
        </w:rPr>
      </w:pPr>
      <w:r w:rsidRPr="005C7761">
        <w:rPr>
          <w:szCs w:val="24"/>
        </w:rPr>
        <w:t>The undersigned has authority to</w:t>
      </w:r>
      <w:r w:rsidR="007E50AB">
        <w:rPr>
          <w:szCs w:val="24"/>
        </w:rPr>
        <w:t xml:space="preserve"> issue and</w:t>
      </w:r>
      <w:r w:rsidRPr="005C7761">
        <w:rPr>
          <w:szCs w:val="24"/>
        </w:rPr>
        <w:t xml:space="preserve"> file </w:t>
      </w:r>
      <w:r w:rsidR="007E50AB">
        <w:rPr>
          <w:szCs w:val="24"/>
        </w:rPr>
        <w:t>tariff</w:t>
      </w:r>
      <w:r w:rsidRPr="005C7761">
        <w:rPr>
          <w:szCs w:val="24"/>
        </w:rPr>
        <w:t xml:space="preserve"> sheets on behalf of </w:t>
      </w:r>
      <w:r w:rsidR="00F70D0C" w:rsidRPr="00F70D0C">
        <w:rPr>
          <w:szCs w:val="24"/>
        </w:rPr>
        <w:t>Western Wahkiakum County Telephone Company</w:t>
      </w:r>
      <w:r w:rsidR="002D4DF8">
        <w:rPr>
          <w:szCs w:val="24"/>
        </w:rPr>
        <w:t>.</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42" w:rsidRDefault="00783F42">
      <w:r>
        <w:separator/>
      </w:r>
    </w:p>
  </w:endnote>
  <w:endnote w:type="continuationSeparator" w:id="0">
    <w:p w:rsidR="00783F42" w:rsidRDefault="007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42" w:rsidRDefault="00783F42">
      <w:r>
        <w:separator/>
      </w:r>
    </w:p>
  </w:footnote>
  <w:footnote w:type="continuationSeparator" w:id="0">
    <w:p w:rsidR="00783F42" w:rsidRDefault="0078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2D4DF8" w:rsidP="0030167C">
    <w:pPr>
      <w:pStyle w:val="Header"/>
      <w:rPr>
        <w:rFonts w:ascii="Bookman Old Style" w:hAnsi="Bookman Old Style"/>
      </w:rPr>
    </w:pPr>
    <w:r>
      <w:rPr>
        <w:rFonts w:ascii="Bookman Old Style" w:hAnsi="Bookman Old Style"/>
      </w:rPr>
      <w:t>October</w:t>
    </w:r>
    <w:r w:rsidR="00BB5148">
      <w:rPr>
        <w:rFonts w:ascii="Bookman Old Style" w:hAnsi="Bookman Old Style"/>
      </w:rPr>
      <w:t xml:space="preserve"> </w:t>
    </w:r>
    <w:r w:rsidR="00D0228A">
      <w:rPr>
        <w:rFonts w:ascii="Bookman Old Style" w:hAnsi="Bookman Old Style"/>
      </w:rPr>
      <w:t>30,</w:t>
    </w:r>
    <w:r w:rsidR="005F4339">
      <w:rPr>
        <w:rFonts w:ascii="Bookman Old Style" w:hAnsi="Bookman Old Style"/>
      </w:rPr>
      <w:t xml:space="preserve">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A30AE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A30AE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53E6"/>
    <w:rsid w:val="0002088A"/>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4F17"/>
    <w:rsid w:val="002660D7"/>
    <w:rsid w:val="0028658F"/>
    <w:rsid w:val="002903FD"/>
    <w:rsid w:val="002A57D0"/>
    <w:rsid w:val="002A7E84"/>
    <w:rsid w:val="002B45B6"/>
    <w:rsid w:val="002C000D"/>
    <w:rsid w:val="002D29E0"/>
    <w:rsid w:val="002D2D26"/>
    <w:rsid w:val="002D4DF8"/>
    <w:rsid w:val="0030167C"/>
    <w:rsid w:val="0030252F"/>
    <w:rsid w:val="00305CE4"/>
    <w:rsid w:val="00313B90"/>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A2AC6"/>
    <w:rsid w:val="003B1E2D"/>
    <w:rsid w:val="003C23D9"/>
    <w:rsid w:val="003C4947"/>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8195A"/>
    <w:rsid w:val="004833F5"/>
    <w:rsid w:val="004A3145"/>
    <w:rsid w:val="004A4CE7"/>
    <w:rsid w:val="004D0FAE"/>
    <w:rsid w:val="004E298D"/>
    <w:rsid w:val="004E7879"/>
    <w:rsid w:val="005002D2"/>
    <w:rsid w:val="0050293A"/>
    <w:rsid w:val="00504DAF"/>
    <w:rsid w:val="00505024"/>
    <w:rsid w:val="00506807"/>
    <w:rsid w:val="0051606A"/>
    <w:rsid w:val="005267A5"/>
    <w:rsid w:val="00540FA9"/>
    <w:rsid w:val="0054731F"/>
    <w:rsid w:val="005526CE"/>
    <w:rsid w:val="0055577B"/>
    <w:rsid w:val="00557963"/>
    <w:rsid w:val="00561B3D"/>
    <w:rsid w:val="00563C6B"/>
    <w:rsid w:val="005662E4"/>
    <w:rsid w:val="005740CE"/>
    <w:rsid w:val="005821DA"/>
    <w:rsid w:val="00583CEF"/>
    <w:rsid w:val="005850E1"/>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83F42"/>
    <w:rsid w:val="007A2ED1"/>
    <w:rsid w:val="007B27D3"/>
    <w:rsid w:val="007B2A46"/>
    <w:rsid w:val="007B60AD"/>
    <w:rsid w:val="007C50F8"/>
    <w:rsid w:val="007E50AB"/>
    <w:rsid w:val="00801EC3"/>
    <w:rsid w:val="00806FAC"/>
    <w:rsid w:val="00807894"/>
    <w:rsid w:val="0083202B"/>
    <w:rsid w:val="00844934"/>
    <w:rsid w:val="00845461"/>
    <w:rsid w:val="0086000D"/>
    <w:rsid w:val="00865064"/>
    <w:rsid w:val="00871B0C"/>
    <w:rsid w:val="0088613B"/>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515E"/>
    <w:rsid w:val="00981CB9"/>
    <w:rsid w:val="00987F55"/>
    <w:rsid w:val="00992D62"/>
    <w:rsid w:val="009A04DC"/>
    <w:rsid w:val="009A3291"/>
    <w:rsid w:val="009A5E2F"/>
    <w:rsid w:val="009B0818"/>
    <w:rsid w:val="009D3C02"/>
    <w:rsid w:val="009E5FD8"/>
    <w:rsid w:val="009F0005"/>
    <w:rsid w:val="00A30AE8"/>
    <w:rsid w:val="00A5369E"/>
    <w:rsid w:val="00A63707"/>
    <w:rsid w:val="00A82B19"/>
    <w:rsid w:val="00AA0A59"/>
    <w:rsid w:val="00AB2C32"/>
    <w:rsid w:val="00AC076F"/>
    <w:rsid w:val="00AE2140"/>
    <w:rsid w:val="00AF3195"/>
    <w:rsid w:val="00AF69F9"/>
    <w:rsid w:val="00B215B4"/>
    <w:rsid w:val="00B24B3E"/>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40EF"/>
    <w:rsid w:val="00BB5148"/>
    <w:rsid w:val="00BB7098"/>
    <w:rsid w:val="00BC1A4D"/>
    <w:rsid w:val="00BE5404"/>
    <w:rsid w:val="00BF1541"/>
    <w:rsid w:val="00BF37D7"/>
    <w:rsid w:val="00C05BFA"/>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A5BCD"/>
    <w:rsid w:val="00CB0744"/>
    <w:rsid w:val="00CC3869"/>
    <w:rsid w:val="00CC483C"/>
    <w:rsid w:val="00CE060E"/>
    <w:rsid w:val="00CE0B1D"/>
    <w:rsid w:val="00D0198D"/>
    <w:rsid w:val="00D0228A"/>
    <w:rsid w:val="00D10972"/>
    <w:rsid w:val="00D20641"/>
    <w:rsid w:val="00D22D75"/>
    <w:rsid w:val="00D30CB3"/>
    <w:rsid w:val="00D51BBF"/>
    <w:rsid w:val="00D55985"/>
    <w:rsid w:val="00D600D1"/>
    <w:rsid w:val="00D60741"/>
    <w:rsid w:val="00D62D90"/>
    <w:rsid w:val="00D7137D"/>
    <w:rsid w:val="00D75224"/>
    <w:rsid w:val="00D97115"/>
    <w:rsid w:val="00DA5A32"/>
    <w:rsid w:val="00DB0FE6"/>
    <w:rsid w:val="00DC0680"/>
    <w:rsid w:val="00DC0D1C"/>
    <w:rsid w:val="00DC7121"/>
    <w:rsid w:val="00DE4F1F"/>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EF76F0"/>
    <w:rsid w:val="00F01393"/>
    <w:rsid w:val="00F10A6B"/>
    <w:rsid w:val="00F1165E"/>
    <w:rsid w:val="00F159BD"/>
    <w:rsid w:val="00F17B3A"/>
    <w:rsid w:val="00F21E7E"/>
    <w:rsid w:val="00F27403"/>
    <w:rsid w:val="00F36789"/>
    <w:rsid w:val="00F70273"/>
    <w:rsid w:val="00F70D0C"/>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A48DE0153D9A40A92D0FB148A7B87E" ma:contentTypeVersion="175" ma:contentTypeDescription="" ma:contentTypeScope="" ma:versionID="978fcfd0c6452dd55b597aba68966c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2014-10-30T07:00:00+00:00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143782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352EAC-F710-43EE-9DDE-D7E655AB2F1C}"/>
</file>

<file path=customXml/itemProps2.xml><?xml version="1.0" encoding="utf-8"?>
<ds:datastoreItem xmlns:ds="http://schemas.openxmlformats.org/officeDocument/2006/customXml" ds:itemID="{90422CD3-B3ED-425E-AC77-C73D7B4E8BF0}"/>
</file>

<file path=customXml/itemProps3.xml><?xml version="1.0" encoding="utf-8"?>
<ds:datastoreItem xmlns:ds="http://schemas.openxmlformats.org/officeDocument/2006/customXml" ds:itemID="{3EC505BF-6060-438A-AF70-3EE5B1F6E1B6}"/>
</file>

<file path=customXml/itemProps4.xml><?xml version="1.0" encoding="utf-8"?>
<ds:datastoreItem xmlns:ds="http://schemas.openxmlformats.org/officeDocument/2006/customXml" ds:itemID="{57820977-1EB2-4851-9931-B3A7CAE432DE}"/>
</file>

<file path=customXml/itemProps5.xml><?xml version="1.0" encoding="utf-8"?>
<ds:datastoreItem xmlns:ds="http://schemas.openxmlformats.org/officeDocument/2006/customXml" ds:itemID="{5880620E-3512-4778-B1B1-92882C94BB62}"/>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8</cp:revision>
  <cp:lastPrinted>2014-10-30T16:44:00Z</cp:lastPrinted>
  <dcterms:created xsi:type="dcterms:W3CDTF">2014-09-29T20:26:00Z</dcterms:created>
  <dcterms:modified xsi:type="dcterms:W3CDTF">2014-10-30T16:46:00Z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0x0101006E56B4D1795A2E4DB2F0B01679ED314A0031A48DE0153D9A40A92D0FB148A7B87E</vt:lpwstr>
  </property>
  <property fmtid="{D5CDD505-2E9C-101B-9397-08002B2CF9AE}" pid="3" name="_docset_NoMedatataSyncRequired">
    <vt:lpwstr>False</vt:lpwstr>
  </property>
</Properties>
</file>