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8A1CB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8A1CBD">
              <w:rPr>
                <w:rFonts w:ascii="Times New Roman" w:hAnsi="Times New Roman"/>
                <w:sz w:val="24"/>
              </w:rPr>
              <w:t>59640</w:t>
            </w:r>
            <w:r>
              <w:rPr>
                <w:rFonts w:ascii="Times New Roman" w:hAnsi="Times New Roman"/>
                <w:sz w:val="24"/>
              </w:rPr>
              <w:t xml:space="preserve"> held by</w:t>
            </w:r>
          </w:p>
          <w:p w:rsidR="007F4662" w:rsidRDefault="007F4662">
            <w:pPr>
              <w:rPr>
                <w:rFonts w:ascii="Times New Roman" w:hAnsi="Times New Roman"/>
                <w:sz w:val="24"/>
              </w:rPr>
            </w:pPr>
          </w:p>
          <w:p w:rsidR="008A1CBD" w:rsidRDefault="008A1CBD">
            <w:pPr>
              <w:rPr>
                <w:rFonts w:ascii="Times New Roman" w:hAnsi="Times New Roman"/>
                <w:sz w:val="24"/>
              </w:rPr>
            </w:pPr>
            <w:r>
              <w:rPr>
                <w:rFonts w:ascii="Times New Roman" w:hAnsi="Times New Roman"/>
                <w:sz w:val="24"/>
              </w:rPr>
              <w:t>SHAWN W COOK</w:t>
            </w:r>
            <w:r w:rsidR="007F4662">
              <w:rPr>
                <w:rFonts w:ascii="Times New Roman" w:hAnsi="Times New Roman"/>
                <w:sz w:val="24"/>
              </w:rPr>
              <w:t xml:space="preserve">, </w:t>
            </w:r>
          </w:p>
          <w:p w:rsidR="007F4662" w:rsidRDefault="008A1CBD">
            <w:pPr>
              <w:rPr>
                <w:rFonts w:ascii="Times New Roman" w:hAnsi="Times New Roman"/>
                <w:sz w:val="24"/>
              </w:rPr>
            </w:pPr>
            <w:r>
              <w:rPr>
                <w:rFonts w:ascii="Times New Roman" w:hAnsi="Times New Roman"/>
                <w:sz w:val="24"/>
              </w:rPr>
              <w:t>d/b/a SHAWN W COOK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8A1CBD">
              <w:rPr>
                <w:rFonts w:ascii="Times New Roman" w:hAnsi="Times New Roman"/>
                <w:sz w:val="24"/>
              </w:rPr>
              <w:t>140826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8A1CB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8A1CBD">
        <w:rPr>
          <w:rFonts w:ascii="Times New Roman" w:hAnsi="Times New Roman"/>
          <w:sz w:val="24"/>
        </w:rPr>
        <w:t>May 9, 2014</w:t>
      </w:r>
      <w:r w:rsidR="00702D56">
        <w:rPr>
          <w:rFonts w:ascii="Times New Roman" w:hAnsi="Times New Roman"/>
          <w:sz w:val="24"/>
        </w:rPr>
        <w:t>,</w:t>
      </w:r>
      <w:r w:rsidR="007F4662">
        <w:rPr>
          <w:rFonts w:ascii="Times New Roman" w:hAnsi="Times New Roman"/>
          <w:sz w:val="24"/>
        </w:rPr>
        <w:t xml:space="preserve"> in Order </w:t>
      </w:r>
      <w:r w:rsidR="008A1CB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8A1CBD">
        <w:rPr>
          <w:rFonts w:ascii="Times New Roman" w:hAnsi="Times New Roman"/>
          <w:sz w:val="24"/>
        </w:rPr>
        <w:t>Commission</w:t>
      </w:r>
      <w:r w:rsidR="00702D56">
        <w:rPr>
          <w:rFonts w:ascii="Times New Roman" w:hAnsi="Times New Roman"/>
          <w:sz w:val="24"/>
        </w:rPr>
        <w:t xml:space="preserve"> (</w:t>
      </w:r>
      <w:r w:rsidR="008A1CB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8A1CBD">
        <w:rPr>
          <w:rFonts w:ascii="Times New Roman" w:hAnsi="Times New Roman"/>
          <w:sz w:val="24"/>
        </w:rPr>
        <w:t>59640</w:t>
      </w:r>
      <w:bookmarkEnd w:id="2"/>
      <w:r w:rsidR="007F4662">
        <w:rPr>
          <w:rFonts w:ascii="Times New Roman" w:hAnsi="Times New Roman"/>
          <w:sz w:val="24"/>
        </w:rPr>
        <w:t xml:space="preserve"> held by </w:t>
      </w:r>
      <w:r w:rsidR="008A1CBD">
        <w:rPr>
          <w:rFonts w:ascii="Times New Roman" w:hAnsi="Times New Roman"/>
          <w:sz w:val="24"/>
        </w:rPr>
        <w:t>Shawn W Cook</w:t>
      </w:r>
      <w:r w:rsidR="007F4662">
        <w:rPr>
          <w:rFonts w:ascii="Times New Roman" w:hAnsi="Times New Roman"/>
          <w:sz w:val="24"/>
        </w:rPr>
        <w:t xml:space="preserve">, </w:t>
      </w:r>
      <w:r w:rsidR="008A1CBD">
        <w:rPr>
          <w:rFonts w:ascii="Times New Roman" w:hAnsi="Times New Roman"/>
          <w:sz w:val="24"/>
        </w:rPr>
        <w:t>d/b/a Shawn W Cook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8A1CB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8A1CBD">
        <w:rPr>
          <w:rFonts w:ascii="Times New Roman" w:hAnsi="Times New Roman"/>
          <w:sz w:val="24"/>
        </w:rPr>
        <w:t>May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8A1CB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8A1CBD">
        <w:rPr>
          <w:rFonts w:ascii="Times New Roman" w:hAnsi="Times New Roman"/>
          <w:sz w:val="24"/>
        </w:rPr>
        <w:t>59640</w:t>
      </w:r>
      <w:r w:rsidR="007F4662">
        <w:rPr>
          <w:rFonts w:ascii="Times New Roman" w:hAnsi="Times New Roman"/>
          <w:sz w:val="24"/>
        </w:rPr>
        <w:t xml:space="preserve"> previously ordered in Order </w:t>
      </w:r>
      <w:r w:rsidR="008A1CB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8A1CB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8A1CB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8A1CBD">
        <w:rPr>
          <w:rFonts w:ascii="Times New Roman" w:hAnsi="Times New Roman"/>
          <w:sz w:val="24"/>
        </w:rPr>
        <w:t>May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8A1CB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8A1CB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8A1CB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8A1CB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8A1CB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8A1CB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64" w:rsidRDefault="00C46764">
      <w:r>
        <w:separator/>
      </w:r>
    </w:p>
  </w:endnote>
  <w:endnote w:type="continuationSeparator" w:id="0">
    <w:p w:rsidR="00C46764" w:rsidRDefault="00C4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D" w:rsidRDefault="008A1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D" w:rsidRDefault="008A1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D" w:rsidRDefault="008A1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64" w:rsidRDefault="00C46764">
      <w:r>
        <w:separator/>
      </w:r>
    </w:p>
  </w:footnote>
  <w:footnote w:type="continuationSeparator" w:id="0">
    <w:p w:rsidR="00C46764" w:rsidRDefault="00C46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D" w:rsidRDefault="008A1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8A1CBD" w:rsidRPr="008A1CBD">
      <w:rPr>
        <w:rFonts w:ascii="Times New Roman" w:hAnsi="Times New Roman"/>
        <w:b/>
        <w:szCs w:val="20"/>
      </w:rPr>
      <w:t>140826</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A1CB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8A1CBD" w:rsidRPr="008A1CB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D" w:rsidRDefault="008A1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B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A1CBD"/>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46764"/>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CD47092-2712-45D4-92F3-F7446D3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D875953B6C6646B25015DEE28ACD7C" ma:contentTypeVersion="175" ma:contentTypeDescription="" ma:contentTypeScope="" ma:versionID="91d377775890b17c3a10772772074f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2014-05-09T07:00:00+00:00</OpenedDate>
    <CaseCompanyNames xmlns="dc463f71-b30c-4ab2-9473-d307f9d35888">Cook, Shawn W</CaseCompanyNames>
    <IndustryCode xmlns="dc463f71-b30c-4ab2-9473-d307f9d35888">200</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140826</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545633-ABB0-42EB-8283-8F8BB434CC3C}"/>
</file>

<file path=customXml/itemProps2.xml><?xml version="1.0" encoding="utf-8"?>
<ds:datastoreItem xmlns:ds="http://schemas.openxmlformats.org/officeDocument/2006/customXml" ds:itemID="{FB511692-688D-4D92-A384-961B34036D8D}"/>
</file>

<file path=customXml/itemProps3.xml><?xml version="1.0" encoding="utf-8"?>
<ds:datastoreItem xmlns:ds="http://schemas.openxmlformats.org/officeDocument/2006/customXml" ds:itemID="{7B1A0E08-5392-4BE9-AE31-500B9602BC39}"/>
</file>

<file path=customXml/itemProps4.xml><?xml version="1.0" encoding="utf-8"?>
<ds:datastoreItem xmlns:ds="http://schemas.openxmlformats.org/officeDocument/2006/customXml" ds:itemID="{7913D0BC-6D80-487C-A36F-7A76B92804FB}"/>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2014-05-23T15:48:00Z</dcterms:created>
  <dcterms:modified xsi:type="dcterms:W3CDTF">2014-05-23T15:49:00Z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0x0101006E56B4D1795A2E4DB2F0B01679ED314A0054D875953B6C6646B25015DEE28ACD7C</vt:lpwstr>
  </property>
  <property fmtid="{D5CDD505-2E9C-101B-9397-08002B2CF9AE}" pid="3" name="_docset_NoMedatataSyncRequired">
    <vt:lpwstr>False</vt:lpwstr>
  </property>
</Properties>
</file>