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ED4383">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68"/>
        <w:gridCol w:w="353"/>
        <w:gridCol w:w="4035"/>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(HG-</w:t>
            </w:r>
            <w:r w:rsidR="00ED4383">
              <w:rPr>
                <w:rFonts w:ascii="Times New Roman" w:hAnsi="Times New Roman"/>
                <w:sz w:val="24"/>
              </w:rPr>
              <w:t>063768</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361FDB" w:rsidRDefault="00ED4383">
            <w:pPr>
              <w:rPr>
                <w:rFonts w:ascii="Times New Roman" w:hAnsi="Times New Roman"/>
                <w:sz w:val="24"/>
              </w:rPr>
            </w:pPr>
            <w:r>
              <w:rPr>
                <w:rFonts w:ascii="Times New Roman" w:hAnsi="Times New Roman"/>
                <w:sz w:val="24"/>
              </w:rPr>
              <w:t>CAN’T STOP MOVING, LLC</w:t>
            </w:r>
            <w:r w:rsidR="00500396">
              <w:rPr>
                <w:rFonts w:ascii="Times New Roman" w:hAnsi="Times New Roman"/>
                <w:sz w:val="24"/>
              </w:rPr>
              <w:t>,</w:t>
            </w:r>
            <w:r w:rsidR="00361FDB">
              <w:rPr>
                <w:rFonts w:ascii="Times New Roman" w:hAnsi="Times New Roman"/>
                <w:sz w:val="24"/>
              </w:rPr>
              <w:t xml:space="preserve"> </w:t>
            </w:r>
            <w:r>
              <w:rPr>
                <w:rFonts w:ascii="Times New Roman" w:hAnsi="Times New Roman"/>
                <w:sz w:val="24"/>
              </w:rPr>
              <w:t xml:space="preserve"> </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E144AE" w:rsidRDefault="00361FDB" w:rsidP="00ED4383">
            <w:pPr>
              <w:tabs>
                <w:tab w:val="center" w:pos="4680"/>
              </w:tabs>
              <w:rPr>
                <w:rFonts w:ascii="Times New Roman" w:hAnsi="Times New Roman"/>
                <w:sz w:val="24"/>
              </w:rPr>
            </w:pPr>
            <w:r>
              <w:rPr>
                <w:rFonts w:ascii="Times New Roman" w:hAnsi="Times New Roman"/>
                <w:sz w:val="24"/>
              </w:rPr>
              <w:t>)</w:t>
            </w:r>
          </w:p>
          <w:p w:rsidR="00361FDB" w:rsidRPr="00EE588B" w:rsidRDefault="00E144AE" w:rsidP="00ED4383">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ED4383">
              <w:rPr>
                <w:rFonts w:ascii="Times New Roman" w:hAnsi="Times New Roman"/>
                <w:sz w:val="24"/>
              </w:rPr>
              <w:t>140254</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ED4383">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ED4383">
        <w:rPr>
          <w:rFonts w:ascii="Times New Roman" w:hAnsi="Times New Roman"/>
          <w:sz w:val="24"/>
        </w:rPr>
        <w:t>February 18, 2014</w:t>
      </w:r>
      <w:r w:rsidR="00361FDB" w:rsidRPr="00030A5D">
        <w:rPr>
          <w:rFonts w:ascii="Times New Roman" w:hAnsi="Times New Roman"/>
          <w:sz w:val="24"/>
        </w:rPr>
        <w:t xml:space="preserve">, in Order </w:t>
      </w:r>
      <w:r w:rsidR="00ED4383">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ED4383">
        <w:rPr>
          <w:rFonts w:ascii="Times New Roman" w:hAnsi="Times New Roman"/>
          <w:sz w:val="24"/>
        </w:rPr>
        <w:t>Commission</w:t>
      </w:r>
      <w:r w:rsidR="00806BB7" w:rsidRPr="00030A5D">
        <w:rPr>
          <w:rFonts w:ascii="Times New Roman" w:hAnsi="Times New Roman"/>
          <w:sz w:val="24"/>
        </w:rPr>
        <w:t xml:space="preserve"> (</w:t>
      </w:r>
      <w:r w:rsidR="00ED4383">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Pr="00030A5D">
        <w:rPr>
          <w:rFonts w:ascii="Times New Roman" w:hAnsi="Times New Roman"/>
          <w:sz w:val="24"/>
        </w:rPr>
        <w:t>HG</w:t>
      </w:r>
      <w:bookmarkEnd w:id="2"/>
      <w:r w:rsidR="00AD0890" w:rsidRPr="00030A5D">
        <w:rPr>
          <w:rFonts w:ascii="Times New Roman" w:hAnsi="Times New Roman"/>
          <w:sz w:val="24"/>
        </w:rPr>
        <w:t>-</w:t>
      </w:r>
      <w:r w:rsidR="00ED4383">
        <w:rPr>
          <w:rFonts w:ascii="Times New Roman" w:hAnsi="Times New Roman"/>
          <w:sz w:val="24"/>
        </w:rPr>
        <w:t>063768</w:t>
      </w:r>
      <w:r w:rsidR="00361FDB" w:rsidRPr="00030A5D">
        <w:rPr>
          <w:rFonts w:ascii="Times New Roman" w:hAnsi="Times New Roman"/>
          <w:sz w:val="24"/>
        </w:rPr>
        <w:t xml:space="preserve"> held by </w:t>
      </w:r>
      <w:r w:rsidR="00ED4383">
        <w:rPr>
          <w:rFonts w:ascii="Times New Roman" w:hAnsi="Times New Roman"/>
          <w:sz w:val="24"/>
        </w:rPr>
        <w:t>Can’t Stop Moving, LLC</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D4383">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ED4383">
        <w:rPr>
          <w:rFonts w:ascii="Times New Roman" w:hAnsi="Times New Roman"/>
          <w:sz w:val="24"/>
        </w:rPr>
        <w:t>February 19,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ED4383">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ED4383">
        <w:rPr>
          <w:rFonts w:ascii="Times New Roman" w:hAnsi="Times New Roman"/>
          <w:sz w:val="24"/>
        </w:rPr>
        <w:t>063768</w:t>
      </w:r>
      <w:r w:rsidR="00361FDB">
        <w:rPr>
          <w:rFonts w:ascii="Times New Roman" w:hAnsi="Times New Roman"/>
          <w:sz w:val="24"/>
        </w:rPr>
        <w:t xml:space="preserve"> previously ordered in Order </w:t>
      </w:r>
      <w:r w:rsidR="00ED4383">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ED4383">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ED4383">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ED4383">
        <w:rPr>
          <w:rFonts w:ascii="Times New Roman" w:hAnsi="Times New Roman"/>
          <w:sz w:val="24"/>
        </w:rPr>
        <w:t>February 19, 2014</w:t>
      </w:r>
      <w:r w:rsidR="00195446"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D4383">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ED4383">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ED4383">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ED4383">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ED4383">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ED4383">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ED4383">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ED4383">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ED4383">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D4383">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E4" w:rsidRDefault="000A30E4">
      <w:r>
        <w:separator/>
      </w:r>
    </w:p>
  </w:endnote>
  <w:endnote w:type="continuationSeparator" w:id="0">
    <w:p w:rsidR="000A30E4" w:rsidRDefault="000A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E4" w:rsidRDefault="000A30E4">
      <w:r>
        <w:separator/>
      </w:r>
    </w:p>
  </w:footnote>
  <w:footnote w:type="continuationSeparator" w:id="0">
    <w:p w:rsidR="000A30E4" w:rsidRDefault="000A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ED4383" w:rsidRPr="00ED4383">
      <w:rPr>
        <w:rFonts w:ascii="Times New Roman" w:hAnsi="Times New Roman"/>
        <w:b/>
        <w:szCs w:val="20"/>
      </w:rPr>
      <w:t>140254</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E144AE">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ED4383" w:rsidRPr="00ED438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83"/>
    <w:rsid w:val="00013DCE"/>
    <w:rsid w:val="00030A5D"/>
    <w:rsid w:val="00055FA9"/>
    <w:rsid w:val="00056985"/>
    <w:rsid w:val="000A30E4"/>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44AE"/>
    <w:rsid w:val="00E171D8"/>
    <w:rsid w:val="00E22D7D"/>
    <w:rsid w:val="00E252AA"/>
    <w:rsid w:val="00E86EBB"/>
    <w:rsid w:val="00EC0D59"/>
    <w:rsid w:val="00ED4383"/>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2014-02-18T08:00:00+00:00</OpenedDate>
    <Date1 xmlns="dc463f71-b30c-4ab2-9473-d307f9d35888">2014-02-20T08:00:00+00:00</Date1>
    <IsDocumentOrder xmlns="dc463f71-b30c-4ab2-9473-d307f9d35888">true</IsDocumentOrder>
    <IsHighlyConfidential xmlns="dc463f71-b30c-4ab2-9473-d307f9d35888">false</IsHighlyConfidential>
    <CaseCompanyNames xmlns="dc463f71-b30c-4ab2-9473-d307f9d35888">Can't Stop Moving, LLC</CaseCompanyNames>
    <DocketNumber xmlns="dc463f71-b30c-4ab2-9473-d307f9d35888">140254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7998753A9D3B45ABF0A32A063F05E2" ma:contentTypeVersion="175" ma:contentTypeDescription="" ma:contentTypeScope="" ma:versionID="77804d22bf35824d1c2dccdf7a46f0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22060B-458F-4347-9BA5-01440B0EBAA6}"/>
</file>

<file path=customXml/itemProps2.xml><?xml version="1.0" encoding="utf-8"?>
<ds:datastoreItem xmlns:ds="http://schemas.openxmlformats.org/officeDocument/2006/customXml" ds:itemID="{F550A4F2-2546-43DB-915A-75B7B400DB6F}"/>
</file>

<file path=customXml/itemProps3.xml><?xml version="1.0" encoding="utf-8"?>
<ds:datastoreItem xmlns:ds="http://schemas.openxmlformats.org/officeDocument/2006/customXml" ds:itemID="{7F344F0B-8387-4096-9968-06CDA5FF10C3}"/>
</file>

<file path=customXml/itemProps4.xml><?xml version="1.0" encoding="utf-8"?>
<ds:datastoreItem xmlns:ds="http://schemas.openxmlformats.org/officeDocument/2006/customXml" ds:itemID="{B5F3AFA6-47BD-4352-999E-45DDE18BF94A}"/>
</file>

<file path=docProps/app.xml><?xml version="1.0" encoding="utf-8"?>
<Properties xmlns="http://schemas.openxmlformats.org/officeDocument/2006/extended-properties" xmlns:vt="http://schemas.openxmlformats.org/officeDocument/2006/docPropsVTypes">
  <Template>HG #3 - TV Lifting Suspension Order</Template>
  <TotalTime>2</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2010-02-25T17:43:00Z</cp:lastPrinted>
  <dcterms:created xsi:type="dcterms:W3CDTF">2014-02-19T21:49:00Z</dcterms:created>
  <dcterms:modified xsi:type="dcterms:W3CDTF">2014-02-19T21:51:00Z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0x0101006E56B4D1795A2E4DB2F0B01679ED314A00247998753A9D3B45ABF0A32A063F05E2</vt:lpwstr>
  </property>
  <property fmtid="{D5CDD505-2E9C-101B-9397-08002B2CF9AE}" pid="3" name="_docset_NoMedatataSyncRequired">
    <vt:lpwstr>False</vt:lpwstr>
  </property>
</Properties>
</file>