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90" w:rsidRPr="00ED5746" w:rsidRDefault="00B70490" w:rsidP="00B70490">
      <w:pPr>
        <w:jc w:val="center"/>
        <w:rPr>
          <w:b/>
        </w:rPr>
      </w:pPr>
      <w:bookmarkStart w:id="0" w:name="_GoBack"/>
      <w:bookmarkEnd w:id="0"/>
      <w:r w:rsidRPr="00ED5746">
        <w:rPr>
          <w:rFonts w:ascii="Times New Roman Bold" w:hAnsi="Times New Roman Bold"/>
          <w:b/>
          <w:kern w:val="0"/>
          <w:szCs w:val="22"/>
        </w:rPr>
        <w:t>Before</w:t>
      </w:r>
      <w:r w:rsidRPr="00ED5746">
        <w:rPr>
          <w:b/>
        </w:rPr>
        <w:t xml:space="preserve"> the</w:t>
      </w:r>
    </w:p>
    <w:p w:rsidR="00B70490" w:rsidRPr="00ED5746" w:rsidRDefault="00B70490" w:rsidP="00B70490">
      <w:pPr>
        <w:pStyle w:val="StyleBoldCentered"/>
      </w:pPr>
      <w:r w:rsidRPr="00ED5746">
        <w:t>F</w:t>
      </w:r>
      <w:r w:rsidRPr="00ED5746">
        <w:rPr>
          <w:caps w:val="0"/>
        </w:rPr>
        <w:t>ederal Communications Commission</w:t>
      </w:r>
    </w:p>
    <w:p w:rsidR="00B70490" w:rsidRPr="00ED5746" w:rsidRDefault="00B70490" w:rsidP="00B70490">
      <w:pPr>
        <w:pStyle w:val="StyleBoldCentered"/>
        <w:tabs>
          <w:tab w:val="left" w:pos="1769"/>
          <w:tab w:val="center" w:pos="4680"/>
        </w:tabs>
        <w:jc w:val="left"/>
      </w:pPr>
      <w:r>
        <w:rPr>
          <w:caps w:val="0"/>
        </w:rPr>
        <w:tab/>
      </w:r>
      <w:r>
        <w:rPr>
          <w:caps w:val="0"/>
        </w:rPr>
        <w:tab/>
      </w:r>
      <w:r w:rsidRPr="00ED5746">
        <w:rPr>
          <w:caps w:val="0"/>
        </w:rPr>
        <w:t>Washington, DC 20554</w:t>
      </w:r>
    </w:p>
    <w:p w:rsidR="00B70490" w:rsidRPr="00ED5746" w:rsidRDefault="00B70490" w:rsidP="00B70490"/>
    <w:tbl>
      <w:tblPr>
        <w:tblW w:w="0" w:type="auto"/>
        <w:tblLayout w:type="fixed"/>
        <w:tblLook w:val="0000" w:firstRow="0" w:lastRow="0" w:firstColumn="0" w:lastColumn="0" w:noHBand="0" w:noVBand="0"/>
      </w:tblPr>
      <w:tblGrid>
        <w:gridCol w:w="4698"/>
        <w:gridCol w:w="630"/>
        <w:gridCol w:w="4248"/>
      </w:tblGrid>
      <w:tr w:rsidR="00B70490" w:rsidRPr="00D84548" w:rsidTr="00A91E27">
        <w:tc>
          <w:tcPr>
            <w:tcW w:w="4698" w:type="dxa"/>
          </w:tcPr>
          <w:p w:rsidR="00B70490" w:rsidRPr="00D84548" w:rsidRDefault="00B70490" w:rsidP="00A91E27">
            <w:pPr>
              <w:tabs>
                <w:tab w:val="center" w:pos="4680"/>
              </w:tabs>
              <w:suppressAutoHyphens/>
              <w:rPr>
                <w:spacing w:val="-2"/>
              </w:rPr>
            </w:pPr>
            <w:r w:rsidRPr="00ED5746">
              <w:rPr>
                <w:spacing w:val="-2"/>
              </w:rPr>
              <w:t>In the Matter of</w:t>
            </w:r>
          </w:p>
          <w:p w:rsidR="00B70490" w:rsidRPr="00D23E19" w:rsidRDefault="00B70490" w:rsidP="00A91E27">
            <w:pPr>
              <w:tabs>
                <w:tab w:val="left" w:pos="360"/>
                <w:tab w:val="center" w:pos="4680"/>
                <w:tab w:val="right" w:leader="dot" w:pos="9360"/>
              </w:tabs>
              <w:suppressAutoHyphens/>
              <w:ind w:left="360" w:right="720" w:hanging="360"/>
              <w:rPr>
                <w:spacing w:val="-2"/>
              </w:rPr>
            </w:pPr>
          </w:p>
          <w:p w:rsidR="00B70490" w:rsidRPr="00D84548" w:rsidRDefault="00B70490" w:rsidP="00A91E27">
            <w:pPr>
              <w:autoSpaceDE w:val="0"/>
              <w:autoSpaceDN w:val="0"/>
              <w:adjustRightInd w:val="0"/>
            </w:pPr>
            <w:r>
              <w:rPr>
                <w:szCs w:val="22"/>
              </w:rPr>
              <w:t>Verizon</w:t>
            </w:r>
          </w:p>
        </w:tc>
        <w:tc>
          <w:tcPr>
            <w:tcW w:w="630" w:type="dxa"/>
          </w:tcPr>
          <w:p w:rsidR="00B70490" w:rsidRPr="00D84548"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r w:rsidRPr="00D84548">
              <w:rPr>
                <w:b/>
                <w:spacing w:val="-2"/>
              </w:rPr>
              <w:t>)</w:t>
            </w:r>
          </w:p>
          <w:p w:rsidR="00B70490" w:rsidRPr="00D23E19" w:rsidRDefault="00B70490" w:rsidP="00A91E27">
            <w:pPr>
              <w:tabs>
                <w:tab w:val="center" w:pos="4680"/>
              </w:tabs>
              <w:suppressAutoHyphens/>
              <w:rPr>
                <w:b/>
                <w:spacing w:val="-2"/>
              </w:rPr>
            </w:pPr>
          </w:p>
        </w:tc>
        <w:tc>
          <w:tcPr>
            <w:tcW w:w="4248" w:type="dxa"/>
          </w:tcPr>
          <w:p w:rsidR="00B70490" w:rsidRDefault="00B70490" w:rsidP="00A91E27">
            <w:pPr>
              <w:tabs>
                <w:tab w:val="center" w:pos="4680"/>
              </w:tabs>
              <w:suppressAutoHyphens/>
              <w:ind w:left="432"/>
              <w:rPr>
                <w:spacing w:val="-2"/>
                <w:szCs w:val="22"/>
              </w:rPr>
            </w:pPr>
          </w:p>
          <w:p w:rsidR="00B70490" w:rsidRDefault="00B70490" w:rsidP="00A91E27">
            <w:pPr>
              <w:tabs>
                <w:tab w:val="center" w:pos="4680"/>
              </w:tabs>
              <w:suppressAutoHyphens/>
              <w:ind w:left="432"/>
              <w:rPr>
                <w:spacing w:val="-2"/>
                <w:szCs w:val="22"/>
              </w:rPr>
            </w:pPr>
          </w:p>
          <w:p w:rsidR="00B70490" w:rsidRPr="00D84548" w:rsidRDefault="00B70490" w:rsidP="00A91E27">
            <w:pPr>
              <w:tabs>
                <w:tab w:val="center" w:pos="4680"/>
              </w:tabs>
              <w:suppressAutoHyphens/>
              <w:ind w:left="432"/>
              <w:rPr>
                <w:spacing w:val="-2"/>
                <w:szCs w:val="22"/>
              </w:rPr>
            </w:pPr>
            <w:r w:rsidRPr="00D84548">
              <w:rPr>
                <w:spacing w:val="-2"/>
                <w:szCs w:val="22"/>
              </w:rPr>
              <w:t xml:space="preserve">File No.:  </w:t>
            </w:r>
            <w:r>
              <w:rPr>
                <w:spacing w:val="-2"/>
                <w:szCs w:val="22"/>
              </w:rPr>
              <w:t>EB-IHD-14-00014821</w:t>
            </w:r>
          </w:p>
          <w:p w:rsidR="00B70490" w:rsidRPr="00D84548" w:rsidRDefault="00B70490" w:rsidP="00A91E27">
            <w:pPr>
              <w:ind w:left="432"/>
              <w:rPr>
                <w:spacing w:val="-2"/>
                <w:szCs w:val="22"/>
              </w:rPr>
            </w:pPr>
            <w:r w:rsidRPr="00D84548">
              <w:rPr>
                <w:spacing w:val="-2"/>
                <w:szCs w:val="22"/>
              </w:rPr>
              <w:t xml:space="preserve">Acct. No.:  </w:t>
            </w:r>
            <w:r>
              <w:rPr>
                <w:spacing w:val="-2"/>
                <w:szCs w:val="22"/>
              </w:rPr>
              <w:t>201532080007</w:t>
            </w:r>
          </w:p>
          <w:p w:rsidR="00B70490" w:rsidRPr="00D84548" w:rsidRDefault="00B70490" w:rsidP="00A91E27">
            <w:pPr>
              <w:ind w:left="432"/>
              <w:rPr>
                <w:snapToGrid/>
                <w:spacing w:val="-2"/>
              </w:rPr>
            </w:pPr>
            <w:r w:rsidRPr="00D84548">
              <w:rPr>
                <w:szCs w:val="22"/>
              </w:rPr>
              <w:t xml:space="preserve">FRN:  </w:t>
            </w:r>
            <w:hyperlink r:id="rId7" w:tgtFrame="_blank" w:history="1">
              <w:r w:rsidRPr="009A61AF">
                <w:rPr>
                  <w:rStyle w:val="Hyperlink"/>
                  <w:color w:val="000000" w:themeColor="text1"/>
                  <w:u w:val="none"/>
                </w:rPr>
                <w:t>0004335592</w:t>
              </w:r>
            </w:hyperlink>
          </w:p>
        </w:tc>
      </w:tr>
    </w:tbl>
    <w:p w:rsidR="00B70490" w:rsidRPr="00D84548" w:rsidRDefault="00B70490" w:rsidP="00B70490">
      <w:pPr>
        <w:jc w:val="center"/>
        <w:outlineLvl w:val="0"/>
        <w:rPr>
          <w:b/>
          <w:szCs w:val="22"/>
        </w:rPr>
      </w:pPr>
      <w:r w:rsidRPr="00D84548">
        <w:rPr>
          <w:b/>
          <w:szCs w:val="22"/>
        </w:rPr>
        <w:t>ADOPTING ORDER</w:t>
      </w:r>
    </w:p>
    <w:p w:rsidR="00B70490" w:rsidRPr="00D84548" w:rsidRDefault="00B70490" w:rsidP="00B70490">
      <w:pPr>
        <w:tabs>
          <w:tab w:val="left" w:pos="-720"/>
        </w:tabs>
        <w:suppressAutoHyphens/>
        <w:spacing w:line="227" w:lineRule="auto"/>
        <w:rPr>
          <w:spacing w:val="-2"/>
        </w:rPr>
      </w:pPr>
    </w:p>
    <w:p w:rsidR="00B70490" w:rsidRPr="00D84548" w:rsidRDefault="00B70490" w:rsidP="00B70490">
      <w:pPr>
        <w:tabs>
          <w:tab w:val="left" w:pos="720"/>
          <w:tab w:val="right" w:pos="9360"/>
        </w:tabs>
        <w:suppressAutoHyphens/>
        <w:spacing w:line="227" w:lineRule="auto"/>
        <w:rPr>
          <w:spacing w:val="-2"/>
        </w:rPr>
      </w:pPr>
      <w:r w:rsidRPr="00D84548">
        <w:rPr>
          <w:b/>
          <w:spacing w:val="-2"/>
        </w:rPr>
        <w:t xml:space="preserve">Adopted:  </w:t>
      </w:r>
      <w:r w:rsidR="007E6B8D">
        <w:rPr>
          <w:b/>
          <w:spacing w:val="-2"/>
        </w:rPr>
        <w:t>January 26</w:t>
      </w:r>
      <w:r w:rsidRPr="00D84548">
        <w:rPr>
          <w:b/>
          <w:spacing w:val="-2"/>
        </w:rPr>
        <w:t>, 20</w:t>
      </w:r>
      <w:r>
        <w:rPr>
          <w:b/>
          <w:spacing w:val="-2"/>
        </w:rPr>
        <w:t>15</w:t>
      </w:r>
      <w:r w:rsidRPr="00D84548">
        <w:rPr>
          <w:b/>
          <w:spacing w:val="-2"/>
        </w:rPr>
        <w:tab/>
        <w:t xml:space="preserve">Released:  </w:t>
      </w:r>
      <w:r w:rsidR="007E6B8D">
        <w:rPr>
          <w:b/>
          <w:spacing w:val="-2"/>
        </w:rPr>
        <w:t>January 26</w:t>
      </w:r>
      <w:r w:rsidRPr="00D84548">
        <w:rPr>
          <w:b/>
          <w:spacing w:val="-2"/>
        </w:rPr>
        <w:t>, 20</w:t>
      </w:r>
      <w:r>
        <w:rPr>
          <w:b/>
          <w:spacing w:val="-2"/>
        </w:rPr>
        <w:t>15</w:t>
      </w:r>
    </w:p>
    <w:p w:rsidR="00B70490" w:rsidRPr="00D84548" w:rsidRDefault="00B70490" w:rsidP="00B70490"/>
    <w:p w:rsidR="00B70490" w:rsidRPr="00D84548" w:rsidRDefault="00B70490" w:rsidP="00B70490">
      <w:pPr>
        <w:rPr>
          <w:spacing w:val="-2"/>
        </w:rPr>
      </w:pPr>
      <w:r w:rsidRPr="00D84548">
        <w:rPr>
          <w:spacing w:val="-2"/>
          <w:szCs w:val="22"/>
        </w:rPr>
        <w:t>By the Chief, Enforcement Bureau:</w:t>
      </w:r>
    </w:p>
    <w:p w:rsidR="00B70490" w:rsidRPr="00D84548" w:rsidRDefault="00B70490" w:rsidP="00B70490"/>
    <w:p w:rsidR="00B70490" w:rsidRPr="00A130B6" w:rsidRDefault="00B70490" w:rsidP="00B70490">
      <w:pPr>
        <w:pStyle w:val="ParaNum"/>
        <w:numPr>
          <w:ilvl w:val="0"/>
          <w:numId w:val="22"/>
        </w:numPr>
        <w:tabs>
          <w:tab w:val="clear" w:pos="1080"/>
        </w:tabs>
        <w:rPr>
          <w:color w:val="000000"/>
          <w:szCs w:val="22"/>
        </w:rPr>
      </w:pPr>
      <w:r w:rsidRPr="00D84548">
        <w:rPr>
          <w:szCs w:val="22"/>
        </w:rPr>
        <w:t xml:space="preserve">The Enforcement Bureau (Bureau) of the Federal Communications Commission has entered into a Consent Decree to resolve its investigation into </w:t>
      </w:r>
      <w:r>
        <w:rPr>
          <w:szCs w:val="22"/>
        </w:rPr>
        <w:t>Verizon’s failure to investigate evidence it collected over an eight-month period that reflected potential problems</w:t>
      </w:r>
      <w:r w:rsidRPr="00D84548">
        <w:rPr>
          <w:szCs w:val="22"/>
        </w:rPr>
        <w:t xml:space="preserve"> </w:t>
      </w:r>
      <w:r>
        <w:rPr>
          <w:szCs w:val="22"/>
        </w:rPr>
        <w:t>with its delivery of calls to rural areas of the country.  Rural call completion problems have significant and immediate public interest ramifications.  They cause rural businesses to lose customers, impede medical professionals from reaching patients in rural areas, cut families off from their relatives, and create the potential for dangerous delays in public safety communications.</w:t>
      </w:r>
      <w:r w:rsidRPr="00D84548">
        <w:rPr>
          <w:szCs w:val="22"/>
        </w:rPr>
        <w:t xml:space="preserve"> </w:t>
      </w:r>
      <w:r>
        <w:rPr>
          <w:szCs w:val="22"/>
        </w:rPr>
        <w:t xml:space="preserve"> </w:t>
      </w:r>
      <w:r w:rsidRPr="00D84548">
        <w:rPr>
          <w:szCs w:val="22"/>
        </w:rPr>
        <w:t xml:space="preserve">To settle this matter, </w:t>
      </w:r>
      <w:r>
        <w:rPr>
          <w:szCs w:val="22"/>
        </w:rPr>
        <w:t xml:space="preserve">Verizon </w:t>
      </w:r>
      <w:r w:rsidRPr="00D84548">
        <w:rPr>
          <w:szCs w:val="22"/>
        </w:rPr>
        <w:t xml:space="preserve">admits that it </w:t>
      </w:r>
      <w:r>
        <w:rPr>
          <w:szCs w:val="22"/>
        </w:rPr>
        <w:t>failed to investigate the cause of low call answer rates in 26 rural areas</w:t>
      </w:r>
      <w:r w:rsidRPr="00D84548">
        <w:rPr>
          <w:szCs w:val="22"/>
        </w:rPr>
        <w:t>,</w:t>
      </w:r>
      <w:r>
        <w:rPr>
          <w:szCs w:val="22"/>
        </w:rPr>
        <w:t xml:space="preserve"> and will </w:t>
      </w:r>
      <w:r w:rsidRPr="00D84548">
        <w:rPr>
          <w:szCs w:val="22"/>
        </w:rPr>
        <w:t>pay a $</w:t>
      </w:r>
      <w:r>
        <w:rPr>
          <w:szCs w:val="22"/>
        </w:rPr>
        <w:t xml:space="preserve">2,000,000 fine.  Prospectively, Verizon also will </w:t>
      </w:r>
      <w:r w:rsidRPr="00D84548">
        <w:rPr>
          <w:szCs w:val="22"/>
        </w:rPr>
        <w:t>implement a compliance plan</w:t>
      </w:r>
      <w:r>
        <w:rPr>
          <w:szCs w:val="22"/>
        </w:rPr>
        <w:t xml:space="preserve"> in which it will spend an additional $3,000,000 on measures to advance and achieve Company and industry solutions to rural call completion problems.</w:t>
      </w:r>
    </w:p>
    <w:p w:rsidR="00B70490" w:rsidRPr="00D84548" w:rsidRDefault="00B70490" w:rsidP="00B70490">
      <w:pPr>
        <w:pStyle w:val="ParaNum"/>
        <w:numPr>
          <w:ilvl w:val="0"/>
          <w:numId w:val="22"/>
        </w:numPr>
        <w:tabs>
          <w:tab w:val="clear" w:pos="1080"/>
          <w:tab w:val="left" w:pos="1440"/>
        </w:tabs>
        <w:rPr>
          <w:szCs w:val="22"/>
        </w:rPr>
      </w:pPr>
      <w:r w:rsidRPr="00D84548">
        <w:rPr>
          <w:szCs w:val="22"/>
        </w:rPr>
        <w:t>After reviewing the terms of the Consent Decree and evaluating the facts before us, we find that the public interest would be served by adopting the Consent Decree and terminating the referenced investigation</w:t>
      </w:r>
      <w:r w:rsidR="00235BBD">
        <w:rPr>
          <w:rStyle w:val="FootnoteReference"/>
          <w:szCs w:val="22"/>
        </w:rPr>
        <w:footnoteReference w:id="2"/>
      </w:r>
      <w:r w:rsidRPr="00D84548">
        <w:rPr>
          <w:szCs w:val="22"/>
        </w:rPr>
        <w:t xml:space="preserve"> regarding </w:t>
      </w:r>
      <w:r>
        <w:rPr>
          <w:szCs w:val="22"/>
        </w:rPr>
        <w:t>Verizon</w:t>
      </w:r>
      <w:r w:rsidRPr="00D84548">
        <w:rPr>
          <w:szCs w:val="22"/>
        </w:rPr>
        <w:t xml:space="preserve">’s compliance with </w:t>
      </w:r>
      <w:r>
        <w:rPr>
          <w:szCs w:val="22"/>
        </w:rPr>
        <w:t>Sections 201(b) and 202(a) of the Communications Act of 1934, as amended</w:t>
      </w:r>
      <w:r w:rsidRPr="00D84548">
        <w:rPr>
          <w:rStyle w:val="FootnoteReference"/>
          <w:szCs w:val="22"/>
        </w:rPr>
        <w:footnoteReference w:id="3"/>
      </w:r>
      <w:r>
        <w:rPr>
          <w:szCs w:val="22"/>
        </w:rPr>
        <w:t xml:space="preserve"> with respect to its investigation of its call completion to rural areas</w:t>
      </w:r>
      <w:r w:rsidRPr="00D84548">
        <w:rPr>
          <w:szCs w:val="22"/>
        </w:rPr>
        <w:t>.</w:t>
      </w:r>
    </w:p>
    <w:p w:rsidR="00B70490" w:rsidRPr="00D84548" w:rsidRDefault="00B70490" w:rsidP="00B70490">
      <w:pPr>
        <w:pStyle w:val="ParaNum"/>
        <w:numPr>
          <w:ilvl w:val="0"/>
          <w:numId w:val="22"/>
        </w:numPr>
        <w:tabs>
          <w:tab w:val="clear" w:pos="1080"/>
          <w:tab w:val="left" w:pos="1440"/>
        </w:tabs>
        <w:rPr>
          <w:szCs w:val="22"/>
        </w:rPr>
      </w:pPr>
      <w:r w:rsidRPr="00D84548">
        <w:rPr>
          <w:szCs w:val="22"/>
        </w:rPr>
        <w:t xml:space="preserve">In the absence of material new evidence relating to this matter, we conclude that our investigation raises no substantial or material questions of fact as to whether </w:t>
      </w:r>
      <w:r>
        <w:rPr>
          <w:szCs w:val="22"/>
        </w:rPr>
        <w:t>Verizon</w:t>
      </w:r>
      <w:r w:rsidRPr="00D84548">
        <w:rPr>
          <w:szCs w:val="22"/>
        </w:rPr>
        <w:t xml:space="preserve"> possesses the basic qualifications, including those related to character, to hold or obtain any Commission license or authorization.</w:t>
      </w:r>
    </w:p>
    <w:p w:rsidR="00B70490" w:rsidRPr="00D84548" w:rsidRDefault="00B70490" w:rsidP="00B70490">
      <w:pPr>
        <w:pStyle w:val="ParaNum"/>
        <w:numPr>
          <w:ilvl w:val="0"/>
          <w:numId w:val="22"/>
        </w:numPr>
        <w:tabs>
          <w:tab w:val="clear" w:pos="1080"/>
          <w:tab w:val="left" w:pos="1440"/>
        </w:tabs>
        <w:rPr>
          <w:szCs w:val="22"/>
        </w:rPr>
      </w:pPr>
      <w:r w:rsidRPr="00D84548">
        <w:rPr>
          <w:szCs w:val="22"/>
        </w:rPr>
        <w:t xml:space="preserve">Accordingly, </w:t>
      </w:r>
      <w:r w:rsidRPr="00D84548">
        <w:rPr>
          <w:b/>
          <w:szCs w:val="22"/>
        </w:rPr>
        <w:t xml:space="preserve">IT IS ORDERED </w:t>
      </w:r>
      <w:r w:rsidRPr="00D84548">
        <w:rPr>
          <w:szCs w:val="22"/>
        </w:rPr>
        <w:t>that, pursuant to Section</w:t>
      </w:r>
      <w:r>
        <w:rPr>
          <w:szCs w:val="22"/>
        </w:rPr>
        <w:t xml:space="preserve"> </w:t>
      </w:r>
      <w:r w:rsidRPr="00D84548">
        <w:rPr>
          <w:szCs w:val="22"/>
        </w:rPr>
        <w:t>4(i) of the Act</w:t>
      </w:r>
      <w:r w:rsidRPr="00D84548">
        <w:rPr>
          <w:rStyle w:val="FootnoteReference"/>
          <w:szCs w:val="22"/>
        </w:rPr>
        <w:footnoteReference w:id="4"/>
      </w:r>
      <w:r w:rsidRPr="00D84548">
        <w:rPr>
          <w:szCs w:val="22"/>
        </w:rPr>
        <w:t xml:space="preserve"> and the authority delegated by Sections 0.111 and 0.311 of the Rules,</w:t>
      </w:r>
      <w:r w:rsidRPr="00D84548">
        <w:rPr>
          <w:rStyle w:val="FootnoteReference"/>
          <w:szCs w:val="22"/>
        </w:rPr>
        <w:footnoteReference w:id="5"/>
      </w:r>
      <w:r w:rsidRPr="00D84548">
        <w:rPr>
          <w:szCs w:val="22"/>
        </w:rPr>
        <w:t xml:space="preserve"> the attached Consent Decree </w:t>
      </w:r>
      <w:r w:rsidRPr="00D84548">
        <w:rPr>
          <w:b/>
          <w:szCs w:val="22"/>
        </w:rPr>
        <w:t xml:space="preserve">IS ADOPTED </w:t>
      </w:r>
      <w:r w:rsidRPr="00D84548">
        <w:rPr>
          <w:szCs w:val="22"/>
        </w:rPr>
        <w:t>and its terms incorporated by reference.</w:t>
      </w:r>
    </w:p>
    <w:p w:rsidR="00B70490" w:rsidRPr="00D84548" w:rsidRDefault="00B70490" w:rsidP="00B70490">
      <w:pPr>
        <w:pStyle w:val="ParaNum"/>
        <w:numPr>
          <w:ilvl w:val="0"/>
          <w:numId w:val="22"/>
        </w:numPr>
        <w:tabs>
          <w:tab w:val="clear" w:pos="1080"/>
          <w:tab w:val="left" w:pos="1440"/>
        </w:tabs>
        <w:rPr>
          <w:b/>
        </w:rPr>
      </w:pPr>
      <w:r w:rsidRPr="00D84548">
        <w:rPr>
          <w:b/>
        </w:rPr>
        <w:t>IT IS FURTHER ORDERED</w:t>
      </w:r>
      <w:r w:rsidRPr="00D84548">
        <w:t xml:space="preserve"> that the above-captioned matter </w:t>
      </w:r>
      <w:r w:rsidRPr="00D84548">
        <w:rPr>
          <w:b/>
        </w:rPr>
        <w:t>IS TERMINATED</w:t>
      </w:r>
      <w:r w:rsidRPr="00D84548">
        <w:t>.</w:t>
      </w:r>
    </w:p>
    <w:p w:rsidR="00B70490" w:rsidRDefault="00B70490" w:rsidP="00B70490">
      <w:pPr>
        <w:widowControl/>
        <w:rPr>
          <w:b/>
        </w:rPr>
      </w:pPr>
      <w:r>
        <w:rPr>
          <w:b/>
        </w:rPr>
        <w:br w:type="page"/>
      </w:r>
    </w:p>
    <w:p w:rsidR="00B70490" w:rsidRPr="00FE7D97" w:rsidRDefault="00B70490" w:rsidP="00B70490">
      <w:pPr>
        <w:pStyle w:val="ParaNum"/>
        <w:numPr>
          <w:ilvl w:val="0"/>
          <w:numId w:val="22"/>
        </w:numPr>
        <w:tabs>
          <w:tab w:val="clear" w:pos="1080"/>
          <w:tab w:val="left" w:pos="1440"/>
        </w:tabs>
        <w:rPr>
          <w:szCs w:val="22"/>
        </w:rPr>
      </w:pPr>
      <w:r w:rsidRPr="00FE7D97">
        <w:rPr>
          <w:b/>
        </w:rPr>
        <w:lastRenderedPageBreak/>
        <w:t>IT IS FURTHER ORDERED</w:t>
      </w:r>
      <w:r w:rsidRPr="00D84548">
        <w:t xml:space="preserve"> that a copy of this Order and Consent Decree </w:t>
      </w:r>
      <w:r w:rsidRPr="00FE7D97">
        <w:rPr>
          <w:color w:val="000000" w:themeColor="text1"/>
          <w:szCs w:val="22"/>
        </w:rPr>
        <w:t>shall be sent by first class mail and certified mail, return receipt requested, to T</w:t>
      </w:r>
      <w:r>
        <w:rPr>
          <w:color w:val="000000" w:themeColor="text1"/>
          <w:szCs w:val="22"/>
        </w:rPr>
        <w:t>amara Preiss, Vice President, Federal Regulatory Affairs, Verizon, 1300 I Street, NW, Suite 400 West, Washington, DC 20005</w:t>
      </w:r>
      <w:r w:rsidRPr="00FE7D97">
        <w:rPr>
          <w:color w:val="000000" w:themeColor="text1"/>
          <w:szCs w:val="22"/>
        </w:rPr>
        <w:t>.</w:t>
      </w:r>
    </w:p>
    <w:p w:rsidR="00B70490" w:rsidRDefault="00B70490" w:rsidP="00B70490">
      <w:pPr>
        <w:pStyle w:val="ParaNum"/>
        <w:numPr>
          <w:ilvl w:val="0"/>
          <w:numId w:val="0"/>
        </w:numPr>
        <w:tabs>
          <w:tab w:val="left" w:pos="1440"/>
        </w:tabs>
        <w:spacing w:after="240"/>
        <w:ind w:left="720"/>
        <w:rPr>
          <w:b/>
        </w:rPr>
      </w:pPr>
    </w:p>
    <w:p w:rsidR="00B70490" w:rsidRPr="00EF505E" w:rsidRDefault="00B70490" w:rsidP="00B70490">
      <w:pPr>
        <w:outlineLvl w:val="0"/>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sidRPr="00EF505E">
        <w:rPr>
          <w:szCs w:val="22"/>
          <w:lang w:val="fr-FR"/>
        </w:rPr>
        <w:t>FEDERAL COMMUNICATIONS COMMISSION</w:t>
      </w:r>
    </w:p>
    <w:p w:rsidR="00B70490" w:rsidRPr="00EF505E" w:rsidRDefault="00B70490" w:rsidP="00B70490">
      <w:pPr>
        <w:rPr>
          <w:szCs w:val="22"/>
          <w:lang w:val="fr-FR"/>
        </w:rPr>
      </w:pPr>
    </w:p>
    <w:p w:rsidR="00B70490" w:rsidRPr="00EF505E" w:rsidRDefault="00B70490" w:rsidP="00B70490">
      <w:pPr>
        <w:rPr>
          <w:szCs w:val="22"/>
          <w:lang w:val="fr-FR"/>
        </w:rPr>
      </w:pPr>
    </w:p>
    <w:p w:rsidR="00B70490" w:rsidRPr="00EF505E" w:rsidRDefault="00B70490" w:rsidP="00B70490">
      <w:pPr>
        <w:rPr>
          <w:szCs w:val="22"/>
          <w:lang w:val="fr-FR"/>
        </w:rPr>
      </w:pPr>
      <w:r w:rsidRPr="00EF505E">
        <w:rPr>
          <w:szCs w:val="22"/>
          <w:lang w:val="fr-FR"/>
        </w:rPr>
        <w:tab/>
      </w:r>
      <w:r w:rsidRPr="00EF505E">
        <w:rPr>
          <w:szCs w:val="22"/>
          <w:lang w:val="fr-FR"/>
        </w:rPr>
        <w:tab/>
      </w:r>
      <w:r w:rsidRPr="00EF505E">
        <w:rPr>
          <w:szCs w:val="22"/>
          <w:lang w:val="fr-FR"/>
        </w:rPr>
        <w:tab/>
      </w:r>
      <w:r w:rsidRPr="00EF505E">
        <w:rPr>
          <w:szCs w:val="22"/>
          <w:lang w:val="fr-FR"/>
        </w:rPr>
        <w:tab/>
      </w:r>
      <w:r w:rsidRPr="00EF505E">
        <w:rPr>
          <w:szCs w:val="22"/>
          <w:lang w:val="fr-FR"/>
        </w:rPr>
        <w:tab/>
      </w:r>
    </w:p>
    <w:p w:rsidR="00B70490" w:rsidRPr="00EF505E" w:rsidRDefault="00B70490" w:rsidP="00B70490">
      <w:pPr>
        <w:outlineLvl w:val="0"/>
        <w:rPr>
          <w:szCs w:val="22"/>
          <w:lang w:val="fr-FR"/>
        </w:rPr>
      </w:pPr>
    </w:p>
    <w:p w:rsidR="00B70490" w:rsidRDefault="00B70490" w:rsidP="00B70490">
      <w:pPr>
        <w:outlineLvl w:val="0"/>
        <w:rPr>
          <w:szCs w:val="22"/>
          <w:lang w:val="fr-FR"/>
        </w:rPr>
      </w:pPr>
      <w:r w:rsidRPr="00EF505E">
        <w:rPr>
          <w:szCs w:val="22"/>
          <w:lang w:val="fr-FR"/>
        </w:rPr>
        <w:tab/>
      </w:r>
      <w:r w:rsidRPr="00EF505E">
        <w:rPr>
          <w:szCs w:val="22"/>
          <w:lang w:val="fr-FR"/>
        </w:rPr>
        <w:tab/>
      </w:r>
      <w:r w:rsidRPr="00EF505E">
        <w:rPr>
          <w:szCs w:val="22"/>
          <w:lang w:val="fr-FR"/>
        </w:rPr>
        <w:tab/>
      </w:r>
      <w:r w:rsidRPr="00EF505E">
        <w:rPr>
          <w:szCs w:val="22"/>
          <w:lang w:val="fr-FR"/>
        </w:rPr>
        <w:tab/>
      </w:r>
      <w:r w:rsidRPr="00EF505E">
        <w:rPr>
          <w:szCs w:val="22"/>
          <w:lang w:val="fr-FR"/>
        </w:rPr>
        <w:tab/>
      </w:r>
      <w:r>
        <w:rPr>
          <w:szCs w:val="22"/>
          <w:lang w:val="fr-FR"/>
        </w:rPr>
        <w:t>Travis LeBlanc</w:t>
      </w:r>
    </w:p>
    <w:p w:rsidR="00B70490" w:rsidRDefault="00B70490" w:rsidP="00B70490">
      <w:pPr>
        <w:outlineLvl w:val="0"/>
        <w:rPr>
          <w:szCs w:val="22"/>
        </w:rPr>
      </w:pPr>
      <w:r>
        <w:rPr>
          <w:szCs w:val="22"/>
          <w:lang w:val="fr-FR"/>
        </w:rPr>
        <w:tab/>
      </w:r>
      <w:r>
        <w:rPr>
          <w:szCs w:val="22"/>
          <w:lang w:val="fr-FR"/>
        </w:rPr>
        <w:tab/>
      </w:r>
      <w:r>
        <w:rPr>
          <w:szCs w:val="22"/>
          <w:lang w:val="fr-FR"/>
        </w:rPr>
        <w:tab/>
      </w:r>
      <w:r>
        <w:rPr>
          <w:szCs w:val="22"/>
          <w:lang w:val="fr-FR"/>
        </w:rPr>
        <w:tab/>
      </w:r>
      <w:r>
        <w:rPr>
          <w:szCs w:val="22"/>
          <w:lang w:val="fr-FR"/>
        </w:rPr>
        <w:tab/>
      </w:r>
      <w:r w:rsidRPr="00A15CBD">
        <w:rPr>
          <w:szCs w:val="22"/>
        </w:rPr>
        <w:t>C</w:t>
      </w:r>
      <w:r>
        <w:rPr>
          <w:szCs w:val="22"/>
        </w:rPr>
        <w:t xml:space="preserve">hief </w:t>
      </w:r>
    </w:p>
    <w:p w:rsidR="00B70490" w:rsidRDefault="00B70490" w:rsidP="00B70490">
      <w:pPr>
        <w:ind w:left="2880" w:firstLine="720"/>
        <w:outlineLvl w:val="0"/>
        <w:rPr>
          <w:szCs w:val="22"/>
        </w:rPr>
      </w:pPr>
      <w:r>
        <w:rPr>
          <w:szCs w:val="22"/>
        </w:rPr>
        <w:t>Enforcement Bureau</w:t>
      </w:r>
    </w:p>
    <w:p w:rsidR="00B70490" w:rsidRDefault="00B70490" w:rsidP="005B4F0E">
      <w:pPr>
        <w:jc w:val="center"/>
        <w:rPr>
          <w:b/>
          <w:kern w:val="0"/>
          <w:szCs w:val="22"/>
        </w:rPr>
        <w:sectPr w:rsidR="00B70490" w:rsidSect="00302835">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260" w:right="1440" w:bottom="720" w:left="1440" w:header="720" w:footer="720" w:gutter="0"/>
          <w:pgNumType w:start="1"/>
          <w:cols w:space="720"/>
          <w:noEndnote/>
          <w:titlePg/>
          <w:docGrid w:linePitch="299"/>
        </w:sectPr>
      </w:pPr>
    </w:p>
    <w:p w:rsidR="00B70490" w:rsidRDefault="00B70490" w:rsidP="005B4F0E">
      <w:pPr>
        <w:jc w:val="center"/>
        <w:rPr>
          <w:b/>
          <w:kern w:val="0"/>
          <w:szCs w:val="22"/>
        </w:rPr>
      </w:pPr>
    </w:p>
    <w:p w:rsidR="005B4F0E" w:rsidRPr="002E1D57" w:rsidRDefault="005B4F0E" w:rsidP="005B4F0E">
      <w:pPr>
        <w:jc w:val="center"/>
        <w:rPr>
          <w:b/>
          <w:szCs w:val="22"/>
        </w:rPr>
      </w:pPr>
      <w:r w:rsidRPr="002E1D57">
        <w:rPr>
          <w:b/>
          <w:kern w:val="0"/>
          <w:szCs w:val="22"/>
        </w:rPr>
        <w:t>Before</w:t>
      </w:r>
      <w:r w:rsidRPr="002E1D57">
        <w:rPr>
          <w:b/>
          <w:szCs w:val="22"/>
        </w:rPr>
        <w:t xml:space="preserve"> the</w:t>
      </w:r>
    </w:p>
    <w:p w:rsidR="005B4F0E" w:rsidRPr="002E1D57" w:rsidRDefault="005B4F0E" w:rsidP="005B4F0E">
      <w:pPr>
        <w:pStyle w:val="StyleBoldCentered"/>
        <w:rPr>
          <w:rFonts w:ascii="Times New Roman" w:hAnsi="Times New Roman"/>
        </w:rPr>
      </w:pPr>
      <w:r w:rsidRPr="002E1D57">
        <w:rPr>
          <w:rFonts w:ascii="Times New Roman" w:hAnsi="Times New Roman"/>
        </w:rPr>
        <w:t>F</w:t>
      </w:r>
      <w:r w:rsidRPr="002E1D57">
        <w:rPr>
          <w:rFonts w:ascii="Times New Roman" w:hAnsi="Times New Roman"/>
          <w:caps w:val="0"/>
        </w:rPr>
        <w:t>ederal Communications Commission</w:t>
      </w:r>
    </w:p>
    <w:p w:rsidR="005B4F0E" w:rsidRPr="002E1D57" w:rsidRDefault="005B4F0E" w:rsidP="005B4F0E">
      <w:pPr>
        <w:pStyle w:val="StyleBoldCentered"/>
        <w:rPr>
          <w:rFonts w:ascii="Times New Roman" w:hAnsi="Times New Roman"/>
        </w:rPr>
      </w:pPr>
      <w:r w:rsidRPr="002E1D57">
        <w:rPr>
          <w:rFonts w:ascii="Times New Roman" w:hAnsi="Times New Roman"/>
          <w:caps w:val="0"/>
        </w:rPr>
        <w:t>Washington, DC 20554</w:t>
      </w:r>
    </w:p>
    <w:p w:rsidR="005B4F0E" w:rsidRPr="002E1D57" w:rsidRDefault="005B4F0E" w:rsidP="005B4F0E">
      <w:pPr>
        <w:rPr>
          <w:szCs w:val="22"/>
        </w:rPr>
      </w:pPr>
    </w:p>
    <w:tbl>
      <w:tblPr>
        <w:tblW w:w="9576" w:type="dxa"/>
        <w:tblLayout w:type="fixed"/>
        <w:tblLook w:val="0000" w:firstRow="0" w:lastRow="0" w:firstColumn="0" w:lastColumn="0" w:noHBand="0" w:noVBand="0"/>
      </w:tblPr>
      <w:tblGrid>
        <w:gridCol w:w="4698"/>
        <w:gridCol w:w="630"/>
        <w:gridCol w:w="4248"/>
      </w:tblGrid>
      <w:tr w:rsidR="005B4F0E" w:rsidRPr="00671A15" w:rsidTr="00051558">
        <w:trPr>
          <w:trHeight w:val="2043"/>
        </w:trPr>
        <w:tc>
          <w:tcPr>
            <w:tcW w:w="4698" w:type="dxa"/>
          </w:tcPr>
          <w:p w:rsidR="005B4F0E" w:rsidRPr="002E1D57" w:rsidRDefault="005B4F0E" w:rsidP="00BF7A5B">
            <w:pPr>
              <w:tabs>
                <w:tab w:val="center" w:pos="4680"/>
              </w:tabs>
              <w:suppressAutoHyphens/>
              <w:rPr>
                <w:spacing w:val="-2"/>
                <w:szCs w:val="22"/>
              </w:rPr>
            </w:pPr>
            <w:r w:rsidRPr="002E1D57">
              <w:rPr>
                <w:spacing w:val="-2"/>
                <w:szCs w:val="22"/>
              </w:rPr>
              <w:t>In the Matter of</w:t>
            </w:r>
          </w:p>
          <w:p w:rsidR="005B4F0E" w:rsidRPr="002E1D57" w:rsidRDefault="005B4F0E" w:rsidP="00BF7A5B">
            <w:pPr>
              <w:tabs>
                <w:tab w:val="center" w:pos="4680"/>
              </w:tabs>
              <w:suppressAutoHyphens/>
              <w:rPr>
                <w:spacing w:val="-2"/>
                <w:szCs w:val="22"/>
              </w:rPr>
            </w:pPr>
          </w:p>
          <w:p w:rsidR="008A1C76" w:rsidRDefault="00D95583" w:rsidP="00BF7A5B">
            <w:pPr>
              <w:tabs>
                <w:tab w:val="center" w:pos="4680"/>
              </w:tabs>
              <w:suppressAutoHyphens/>
              <w:rPr>
                <w:szCs w:val="22"/>
              </w:rPr>
            </w:pPr>
            <w:r w:rsidRPr="002E1D57">
              <w:rPr>
                <w:szCs w:val="22"/>
              </w:rPr>
              <w:t xml:space="preserve">Verizon </w:t>
            </w:r>
            <w:r w:rsidR="00077F73">
              <w:rPr>
                <w:szCs w:val="22"/>
              </w:rPr>
              <w:t xml:space="preserve">  </w:t>
            </w:r>
          </w:p>
          <w:p w:rsidR="00077F73" w:rsidRDefault="00077F73" w:rsidP="00BF7A5B">
            <w:pPr>
              <w:tabs>
                <w:tab w:val="center" w:pos="4680"/>
              </w:tabs>
              <w:suppressAutoHyphens/>
              <w:rPr>
                <w:szCs w:val="22"/>
              </w:rPr>
            </w:pPr>
          </w:p>
          <w:p w:rsidR="00077F73" w:rsidRPr="002E1D57" w:rsidRDefault="00077F73" w:rsidP="00BF7A5B">
            <w:pPr>
              <w:tabs>
                <w:tab w:val="center" w:pos="4680"/>
              </w:tabs>
              <w:suppressAutoHyphens/>
              <w:rPr>
                <w:spacing w:val="-2"/>
                <w:szCs w:val="22"/>
              </w:rPr>
            </w:pPr>
          </w:p>
        </w:tc>
        <w:tc>
          <w:tcPr>
            <w:tcW w:w="630" w:type="dxa"/>
          </w:tcPr>
          <w:p w:rsidR="005B4F0E" w:rsidRPr="002E1D57" w:rsidRDefault="005B4F0E" w:rsidP="00BF7A5B">
            <w:pPr>
              <w:tabs>
                <w:tab w:val="center" w:pos="4680"/>
              </w:tabs>
              <w:suppressAutoHyphens/>
              <w:rPr>
                <w:b/>
                <w:spacing w:val="-2"/>
                <w:szCs w:val="22"/>
              </w:rPr>
            </w:pPr>
            <w:r w:rsidRPr="002E1D57">
              <w:rPr>
                <w:b/>
                <w:spacing w:val="-2"/>
                <w:szCs w:val="22"/>
              </w:rPr>
              <w:t>)</w:t>
            </w:r>
          </w:p>
          <w:p w:rsidR="005B4F0E" w:rsidRPr="002E1D57" w:rsidRDefault="005B4F0E" w:rsidP="00BF7A5B">
            <w:pPr>
              <w:tabs>
                <w:tab w:val="center" w:pos="4680"/>
              </w:tabs>
              <w:suppressAutoHyphens/>
              <w:rPr>
                <w:b/>
                <w:spacing w:val="-2"/>
                <w:szCs w:val="22"/>
              </w:rPr>
            </w:pPr>
            <w:r w:rsidRPr="002E1D57">
              <w:rPr>
                <w:b/>
                <w:spacing w:val="-2"/>
                <w:szCs w:val="22"/>
              </w:rPr>
              <w:t>)</w:t>
            </w:r>
          </w:p>
          <w:p w:rsidR="005B4F0E" w:rsidRPr="002E1D57" w:rsidRDefault="005B4F0E" w:rsidP="00BF7A5B">
            <w:pPr>
              <w:tabs>
                <w:tab w:val="center" w:pos="4680"/>
              </w:tabs>
              <w:suppressAutoHyphens/>
              <w:rPr>
                <w:b/>
                <w:spacing w:val="-2"/>
                <w:szCs w:val="22"/>
              </w:rPr>
            </w:pPr>
            <w:r w:rsidRPr="002E1D57">
              <w:rPr>
                <w:b/>
                <w:spacing w:val="-2"/>
                <w:szCs w:val="22"/>
              </w:rPr>
              <w:t>)</w:t>
            </w:r>
          </w:p>
          <w:p w:rsidR="005B4F0E" w:rsidRPr="002E1D57" w:rsidRDefault="005B4F0E" w:rsidP="00BF7A5B">
            <w:pPr>
              <w:tabs>
                <w:tab w:val="center" w:pos="4680"/>
              </w:tabs>
              <w:suppressAutoHyphens/>
              <w:rPr>
                <w:b/>
                <w:spacing w:val="-2"/>
                <w:szCs w:val="22"/>
              </w:rPr>
            </w:pPr>
            <w:r w:rsidRPr="002E1D57">
              <w:rPr>
                <w:b/>
                <w:spacing w:val="-2"/>
                <w:szCs w:val="22"/>
              </w:rPr>
              <w:t>)</w:t>
            </w:r>
          </w:p>
          <w:p w:rsidR="005B4F0E" w:rsidRPr="002E1D57" w:rsidRDefault="005B4F0E" w:rsidP="00486AAF">
            <w:pPr>
              <w:tabs>
                <w:tab w:val="center" w:pos="4680"/>
              </w:tabs>
              <w:suppressAutoHyphens/>
              <w:rPr>
                <w:b/>
                <w:spacing w:val="-2"/>
                <w:szCs w:val="22"/>
              </w:rPr>
            </w:pPr>
            <w:r w:rsidRPr="002E1D57">
              <w:rPr>
                <w:b/>
                <w:spacing w:val="-2"/>
                <w:szCs w:val="22"/>
              </w:rPr>
              <w:t>)</w:t>
            </w:r>
          </w:p>
          <w:p w:rsidR="00302835" w:rsidRPr="002E1D57" w:rsidRDefault="00302835" w:rsidP="00486AAF">
            <w:pPr>
              <w:tabs>
                <w:tab w:val="center" w:pos="4680"/>
              </w:tabs>
              <w:suppressAutoHyphens/>
              <w:rPr>
                <w:b/>
                <w:spacing w:val="-2"/>
                <w:szCs w:val="22"/>
              </w:rPr>
            </w:pPr>
            <w:r w:rsidRPr="002E1D57">
              <w:rPr>
                <w:b/>
                <w:spacing w:val="-2"/>
                <w:szCs w:val="22"/>
              </w:rPr>
              <w:t>)</w:t>
            </w:r>
          </w:p>
          <w:p w:rsidR="00076C13" w:rsidRPr="002E1D57" w:rsidRDefault="00076C13" w:rsidP="00486AAF">
            <w:pPr>
              <w:tabs>
                <w:tab w:val="center" w:pos="4680"/>
              </w:tabs>
              <w:suppressAutoHyphens/>
              <w:rPr>
                <w:b/>
                <w:spacing w:val="-2"/>
                <w:szCs w:val="22"/>
              </w:rPr>
            </w:pPr>
            <w:r w:rsidRPr="002E1D57">
              <w:rPr>
                <w:b/>
                <w:spacing w:val="-2"/>
                <w:szCs w:val="22"/>
              </w:rPr>
              <w:t>)</w:t>
            </w:r>
          </w:p>
          <w:p w:rsidR="00302835" w:rsidRPr="002E1D57" w:rsidRDefault="00302835" w:rsidP="00486AAF">
            <w:pPr>
              <w:tabs>
                <w:tab w:val="center" w:pos="4680"/>
              </w:tabs>
              <w:suppressAutoHyphens/>
              <w:rPr>
                <w:spacing w:val="-2"/>
                <w:szCs w:val="22"/>
              </w:rPr>
            </w:pPr>
          </w:p>
        </w:tc>
        <w:tc>
          <w:tcPr>
            <w:tcW w:w="4248" w:type="dxa"/>
          </w:tcPr>
          <w:p w:rsidR="00843A5F" w:rsidRPr="002E1D57" w:rsidRDefault="00843A5F" w:rsidP="00076C13">
            <w:pPr>
              <w:tabs>
                <w:tab w:val="center" w:pos="4680"/>
              </w:tabs>
              <w:suppressAutoHyphens/>
              <w:ind w:left="432"/>
              <w:rPr>
                <w:spacing w:val="-2"/>
                <w:szCs w:val="22"/>
              </w:rPr>
            </w:pPr>
          </w:p>
          <w:p w:rsidR="00843A5F" w:rsidRPr="002E1D57" w:rsidRDefault="00843A5F" w:rsidP="00076C13">
            <w:pPr>
              <w:tabs>
                <w:tab w:val="center" w:pos="4680"/>
              </w:tabs>
              <w:suppressAutoHyphens/>
              <w:ind w:left="432"/>
              <w:rPr>
                <w:spacing w:val="-2"/>
                <w:szCs w:val="22"/>
              </w:rPr>
            </w:pPr>
          </w:p>
          <w:p w:rsidR="005B4F0E" w:rsidRPr="002E1D57" w:rsidRDefault="00E22653" w:rsidP="00076C13">
            <w:pPr>
              <w:tabs>
                <w:tab w:val="center" w:pos="4680"/>
              </w:tabs>
              <w:suppressAutoHyphens/>
              <w:ind w:left="432"/>
              <w:rPr>
                <w:spacing w:val="-2"/>
                <w:szCs w:val="22"/>
              </w:rPr>
            </w:pPr>
            <w:r w:rsidRPr="002E1D57">
              <w:rPr>
                <w:spacing w:val="-2"/>
                <w:szCs w:val="22"/>
              </w:rPr>
              <w:t xml:space="preserve">File No.:  </w:t>
            </w:r>
            <w:r w:rsidR="00D95583" w:rsidRPr="002E1D57">
              <w:rPr>
                <w:spacing w:val="-2"/>
                <w:szCs w:val="22"/>
              </w:rPr>
              <w:t>EB-IHD-14-</w:t>
            </w:r>
            <w:r w:rsidR="00C055F7">
              <w:rPr>
                <w:spacing w:val="-2"/>
                <w:szCs w:val="22"/>
              </w:rPr>
              <w:t>0</w:t>
            </w:r>
            <w:r w:rsidR="00D95583" w:rsidRPr="002E1D57">
              <w:rPr>
                <w:spacing w:val="-2"/>
                <w:szCs w:val="22"/>
              </w:rPr>
              <w:t>0014821</w:t>
            </w:r>
            <w:r w:rsidR="00D95583" w:rsidRPr="002E1D57">
              <w:rPr>
                <w:rStyle w:val="FootnoteReference"/>
                <w:spacing w:val="-2"/>
                <w:sz w:val="22"/>
                <w:szCs w:val="22"/>
              </w:rPr>
              <w:footnoteReference w:id="6"/>
            </w:r>
          </w:p>
          <w:p w:rsidR="00C43E4A" w:rsidRPr="002E1D57" w:rsidRDefault="005B4F0E" w:rsidP="00076C13">
            <w:pPr>
              <w:ind w:left="432"/>
              <w:rPr>
                <w:spacing w:val="-2"/>
                <w:szCs w:val="22"/>
              </w:rPr>
            </w:pPr>
            <w:r w:rsidRPr="002E1D57">
              <w:rPr>
                <w:spacing w:val="-2"/>
                <w:szCs w:val="22"/>
              </w:rPr>
              <w:t xml:space="preserve">Acct. No.:  </w:t>
            </w:r>
            <w:r w:rsidR="000D5CC3">
              <w:rPr>
                <w:spacing w:val="-2"/>
                <w:szCs w:val="22"/>
              </w:rPr>
              <w:t>201532080007</w:t>
            </w:r>
          </w:p>
          <w:p w:rsidR="005B4F0E" w:rsidRPr="00671A15" w:rsidRDefault="00FD0F9C" w:rsidP="000610FE">
            <w:pPr>
              <w:tabs>
                <w:tab w:val="center" w:pos="4680"/>
              </w:tabs>
              <w:suppressAutoHyphens/>
              <w:ind w:left="432"/>
              <w:rPr>
                <w:spacing w:val="-2"/>
                <w:szCs w:val="22"/>
              </w:rPr>
            </w:pPr>
            <w:r w:rsidRPr="00671A15">
              <w:rPr>
                <w:szCs w:val="22"/>
              </w:rPr>
              <w:t>FRN</w:t>
            </w:r>
            <w:r w:rsidR="005B4F0E" w:rsidRPr="00671A15">
              <w:rPr>
                <w:szCs w:val="22"/>
              </w:rPr>
              <w:t xml:space="preserve">:  </w:t>
            </w:r>
            <w:hyperlink r:id="rId14" w:tgtFrame="_blank" w:history="1">
              <w:r w:rsidR="000610FE" w:rsidRPr="0062460D">
                <w:rPr>
                  <w:rStyle w:val="Hyperlink"/>
                  <w:color w:val="000000" w:themeColor="text1"/>
                  <w:u w:val="none"/>
                </w:rPr>
                <w:t>0004335592</w:t>
              </w:r>
            </w:hyperlink>
          </w:p>
        </w:tc>
      </w:tr>
    </w:tbl>
    <w:p w:rsidR="00064ADC" w:rsidRDefault="00BD08D2" w:rsidP="00FD0F9C">
      <w:pPr>
        <w:pStyle w:val="StyleBoldCentered"/>
        <w:rPr>
          <w:rFonts w:ascii="Times New Roman" w:hAnsi="Times New Roman"/>
        </w:rPr>
      </w:pPr>
      <w:r w:rsidRPr="00671A15">
        <w:rPr>
          <w:rFonts w:ascii="Times New Roman" w:hAnsi="Times New Roman"/>
        </w:rPr>
        <w:t>CONSENT DECREE</w:t>
      </w:r>
    </w:p>
    <w:p w:rsidR="00265011" w:rsidRDefault="00265011" w:rsidP="00FD0F9C">
      <w:pPr>
        <w:pStyle w:val="StyleBoldCentered"/>
        <w:rPr>
          <w:rFonts w:ascii="Times New Roman" w:hAnsi="Times New Roman"/>
        </w:rPr>
      </w:pPr>
    </w:p>
    <w:p w:rsidR="00A442A7" w:rsidRPr="00EE4702" w:rsidRDefault="00BD08D2" w:rsidP="00A442A7">
      <w:pPr>
        <w:pStyle w:val="ParaNum"/>
        <w:numPr>
          <w:ilvl w:val="0"/>
          <w:numId w:val="8"/>
        </w:numPr>
        <w:rPr>
          <w:szCs w:val="22"/>
        </w:rPr>
      </w:pPr>
      <w:r w:rsidRPr="00EE4702">
        <w:rPr>
          <w:szCs w:val="22"/>
        </w:rPr>
        <w:t>The Enforcement Bureau of the Federal Communications Commission and</w:t>
      </w:r>
      <w:r w:rsidR="00302835" w:rsidRPr="00EE4702">
        <w:rPr>
          <w:szCs w:val="22"/>
        </w:rPr>
        <w:t xml:space="preserve"> </w:t>
      </w:r>
      <w:r w:rsidR="00D95583" w:rsidRPr="00EE4702">
        <w:rPr>
          <w:szCs w:val="22"/>
        </w:rPr>
        <w:t>Verizon</w:t>
      </w:r>
      <w:r w:rsidRPr="00EE4702">
        <w:rPr>
          <w:szCs w:val="22"/>
        </w:rPr>
        <w:t xml:space="preserve">, by their authorized representatives, hereby enter into this Consent Decree </w:t>
      </w:r>
      <w:r w:rsidR="00E84034">
        <w:rPr>
          <w:szCs w:val="22"/>
        </w:rPr>
        <w:t>to resolve and</w:t>
      </w:r>
      <w:r w:rsidRPr="00EE4702">
        <w:rPr>
          <w:szCs w:val="22"/>
        </w:rPr>
        <w:t xml:space="preserve"> terminat</w:t>
      </w:r>
      <w:r w:rsidR="00E84034">
        <w:rPr>
          <w:szCs w:val="22"/>
        </w:rPr>
        <w:t>e</w:t>
      </w:r>
      <w:r w:rsidRPr="00EE4702">
        <w:rPr>
          <w:szCs w:val="22"/>
        </w:rPr>
        <w:t xml:space="preserve"> the </w:t>
      </w:r>
      <w:r w:rsidR="00FD0F9C" w:rsidRPr="00EE4702">
        <w:rPr>
          <w:szCs w:val="22"/>
        </w:rPr>
        <w:t xml:space="preserve">Enforcement </w:t>
      </w:r>
      <w:r w:rsidR="00B709FD" w:rsidRPr="00EE4702">
        <w:rPr>
          <w:szCs w:val="22"/>
        </w:rPr>
        <w:t xml:space="preserve">Bureau’s </w:t>
      </w:r>
      <w:r w:rsidR="00D65117" w:rsidRPr="00EE4702">
        <w:rPr>
          <w:szCs w:val="22"/>
        </w:rPr>
        <w:t>investigation into</w:t>
      </w:r>
      <w:r w:rsidRPr="00EE4702">
        <w:rPr>
          <w:szCs w:val="22"/>
        </w:rPr>
        <w:t xml:space="preserve"> </w:t>
      </w:r>
      <w:r w:rsidR="00073450" w:rsidRPr="00EE4702">
        <w:rPr>
          <w:szCs w:val="22"/>
        </w:rPr>
        <w:t>whether</w:t>
      </w:r>
      <w:r w:rsidR="00EF5FE2" w:rsidRPr="00EE4702">
        <w:rPr>
          <w:szCs w:val="22"/>
        </w:rPr>
        <w:t xml:space="preserve"> </w:t>
      </w:r>
      <w:r w:rsidR="00D95583" w:rsidRPr="00EE4702">
        <w:rPr>
          <w:szCs w:val="22"/>
        </w:rPr>
        <w:t>Verizon</w:t>
      </w:r>
      <w:r w:rsidRPr="00EE4702">
        <w:rPr>
          <w:szCs w:val="22"/>
        </w:rPr>
        <w:t xml:space="preserve"> </w:t>
      </w:r>
      <w:r w:rsidR="00073450" w:rsidRPr="00EE4702">
        <w:rPr>
          <w:szCs w:val="22"/>
        </w:rPr>
        <w:t>violated</w:t>
      </w:r>
      <w:r w:rsidR="00EF5FE2" w:rsidRPr="00EE4702">
        <w:rPr>
          <w:szCs w:val="22"/>
        </w:rPr>
        <w:t xml:space="preserve"> </w:t>
      </w:r>
      <w:r w:rsidR="00D95583" w:rsidRPr="00EE4702">
        <w:rPr>
          <w:szCs w:val="22"/>
        </w:rPr>
        <w:t xml:space="preserve">Sections 201(b) and 202(a) of the Communications Act of 1934, </w:t>
      </w:r>
      <w:r w:rsidR="003058A7" w:rsidRPr="00EE4702">
        <w:rPr>
          <w:szCs w:val="22"/>
        </w:rPr>
        <w:t>a</w:t>
      </w:r>
      <w:r w:rsidR="00D95583" w:rsidRPr="00EE4702">
        <w:rPr>
          <w:szCs w:val="22"/>
        </w:rPr>
        <w:t xml:space="preserve">s </w:t>
      </w:r>
      <w:r w:rsidR="003058A7" w:rsidRPr="00EE4702">
        <w:rPr>
          <w:szCs w:val="22"/>
        </w:rPr>
        <w:t>a</w:t>
      </w:r>
      <w:r w:rsidR="00D95583" w:rsidRPr="00EE4702">
        <w:rPr>
          <w:szCs w:val="22"/>
        </w:rPr>
        <w:t>mended (Act)</w:t>
      </w:r>
      <w:r w:rsidR="00E45917" w:rsidRPr="00EE4702">
        <w:rPr>
          <w:szCs w:val="22"/>
        </w:rPr>
        <w:t>,</w:t>
      </w:r>
      <w:r w:rsidR="00D95583" w:rsidRPr="00EE4702">
        <w:rPr>
          <w:rStyle w:val="FootnoteReference"/>
          <w:sz w:val="22"/>
          <w:szCs w:val="22"/>
        </w:rPr>
        <w:footnoteReference w:id="7"/>
      </w:r>
      <w:r w:rsidR="003058A7" w:rsidRPr="00EE4702">
        <w:rPr>
          <w:szCs w:val="22"/>
        </w:rPr>
        <w:t xml:space="preserve"> </w:t>
      </w:r>
      <w:r w:rsidR="00EF5FE2" w:rsidRPr="00EE4702">
        <w:rPr>
          <w:szCs w:val="22"/>
        </w:rPr>
        <w:t xml:space="preserve">in connection </w:t>
      </w:r>
      <w:r w:rsidR="00916209">
        <w:rPr>
          <w:szCs w:val="22"/>
        </w:rPr>
        <w:t xml:space="preserve">with </w:t>
      </w:r>
      <w:r w:rsidR="003058A7" w:rsidRPr="00EE4702">
        <w:rPr>
          <w:szCs w:val="22"/>
        </w:rPr>
        <w:t>evidence collected over an eight-month period that reflected potentially substandard delivery of long distance calls to certain rural areas</w:t>
      </w:r>
      <w:r w:rsidRPr="00EE4702">
        <w:rPr>
          <w:szCs w:val="22"/>
        </w:rPr>
        <w:t>.</w:t>
      </w:r>
    </w:p>
    <w:p w:rsidR="00BD08D2" w:rsidRPr="00EE4702" w:rsidRDefault="00BD08D2" w:rsidP="00E02214">
      <w:pPr>
        <w:pStyle w:val="Heading1"/>
        <w:rPr>
          <w:rFonts w:ascii="Times New Roman" w:hAnsi="Times New Roman"/>
          <w:szCs w:val="22"/>
        </w:rPr>
      </w:pPr>
      <w:r w:rsidRPr="00EE4702">
        <w:rPr>
          <w:rFonts w:ascii="Times New Roman" w:hAnsi="Times New Roman"/>
          <w:szCs w:val="22"/>
        </w:rPr>
        <w:t>DEFINITIONS</w:t>
      </w:r>
    </w:p>
    <w:p w:rsidR="00BD08D2" w:rsidRPr="00C86691" w:rsidRDefault="00BD08D2" w:rsidP="008155A1">
      <w:pPr>
        <w:pStyle w:val="ParaNum"/>
        <w:rPr>
          <w:szCs w:val="22"/>
        </w:rPr>
      </w:pPr>
      <w:r w:rsidRPr="00EE4702">
        <w:rPr>
          <w:szCs w:val="22"/>
        </w:rPr>
        <w:t xml:space="preserve">For the </w:t>
      </w:r>
      <w:r w:rsidRPr="00C86691">
        <w:rPr>
          <w:szCs w:val="22"/>
        </w:rPr>
        <w:t>purposes of this Consent Decree, the following definitions</w:t>
      </w:r>
      <w:r w:rsidR="00DC051F" w:rsidRPr="00C86691">
        <w:rPr>
          <w:rStyle w:val="FootnoteReference"/>
          <w:szCs w:val="22"/>
        </w:rPr>
        <w:footnoteReference w:id="8"/>
      </w:r>
      <w:r w:rsidRPr="00C86691">
        <w:rPr>
          <w:szCs w:val="22"/>
        </w:rPr>
        <w:t xml:space="preserve"> shall apply:</w:t>
      </w:r>
    </w:p>
    <w:p w:rsidR="00BD08D2" w:rsidRPr="00C86691" w:rsidRDefault="00BD08D2" w:rsidP="00EF1B1B">
      <w:pPr>
        <w:numPr>
          <w:ilvl w:val="0"/>
          <w:numId w:val="5"/>
        </w:numPr>
        <w:tabs>
          <w:tab w:val="clear" w:pos="1224"/>
        </w:tabs>
        <w:spacing w:after="120"/>
        <w:ind w:left="1890"/>
        <w:rPr>
          <w:szCs w:val="22"/>
        </w:rPr>
      </w:pPr>
      <w:r w:rsidRPr="00C86691">
        <w:rPr>
          <w:szCs w:val="22"/>
        </w:rPr>
        <w:t>“Act”</w:t>
      </w:r>
      <w:r w:rsidRPr="00C86691">
        <w:rPr>
          <w:rStyle w:val="ParanumChar0"/>
          <w:szCs w:val="22"/>
        </w:rPr>
        <w:t xml:space="preserve"> </w:t>
      </w:r>
      <w:r w:rsidRPr="00C86691">
        <w:rPr>
          <w:szCs w:val="22"/>
        </w:rPr>
        <w:t>means the Communications Act of 1934, as amended</w:t>
      </w:r>
      <w:r w:rsidR="00610208" w:rsidRPr="00C86691">
        <w:rPr>
          <w:szCs w:val="22"/>
        </w:rPr>
        <w:t>.</w:t>
      </w:r>
      <w:r w:rsidR="00843A5F" w:rsidRPr="00C86691">
        <w:rPr>
          <w:rStyle w:val="FootnoteReference"/>
          <w:sz w:val="22"/>
          <w:szCs w:val="22"/>
        </w:rPr>
        <w:footnoteReference w:id="9"/>
      </w:r>
    </w:p>
    <w:p w:rsidR="00BD08D2" w:rsidRPr="00C86691" w:rsidRDefault="00AC2B38" w:rsidP="00EF1B1B">
      <w:pPr>
        <w:numPr>
          <w:ilvl w:val="0"/>
          <w:numId w:val="5"/>
        </w:numPr>
        <w:tabs>
          <w:tab w:val="clear" w:pos="1224"/>
        </w:tabs>
        <w:spacing w:after="120"/>
        <w:ind w:left="1890"/>
        <w:rPr>
          <w:szCs w:val="22"/>
        </w:rPr>
      </w:pPr>
      <w:r w:rsidRPr="00C86691" w:rsidDel="00AC2B38">
        <w:rPr>
          <w:szCs w:val="22"/>
        </w:rPr>
        <w:t xml:space="preserve"> </w:t>
      </w:r>
      <w:r w:rsidR="00BD08D2" w:rsidRPr="00C86691">
        <w:rPr>
          <w:szCs w:val="22"/>
        </w:rPr>
        <w:t>“Adopting</w:t>
      </w:r>
      <w:r w:rsidR="00246786" w:rsidRPr="00C86691">
        <w:rPr>
          <w:szCs w:val="22"/>
        </w:rPr>
        <w:t xml:space="preserve"> Order” means an o</w:t>
      </w:r>
      <w:r w:rsidR="00BD08D2" w:rsidRPr="00C86691">
        <w:rPr>
          <w:szCs w:val="22"/>
        </w:rPr>
        <w:t xml:space="preserve">rder of the </w:t>
      </w:r>
      <w:r w:rsidR="00C454BF" w:rsidRPr="00C86691">
        <w:rPr>
          <w:szCs w:val="22"/>
        </w:rPr>
        <w:t xml:space="preserve">Commission or the </w:t>
      </w:r>
      <w:r w:rsidR="00BD08D2" w:rsidRPr="00C86691">
        <w:rPr>
          <w:szCs w:val="22"/>
        </w:rPr>
        <w:t>Bureau adopting the terms of this Consent Decree without change, addition, deletion, or modification.</w:t>
      </w:r>
    </w:p>
    <w:p w:rsidR="0034569C" w:rsidRPr="00C86691" w:rsidRDefault="0034569C" w:rsidP="00EF1B1B">
      <w:pPr>
        <w:numPr>
          <w:ilvl w:val="0"/>
          <w:numId w:val="5"/>
        </w:numPr>
        <w:tabs>
          <w:tab w:val="clear" w:pos="1224"/>
        </w:tabs>
        <w:spacing w:after="120"/>
        <w:ind w:left="1890"/>
        <w:rPr>
          <w:szCs w:val="22"/>
        </w:rPr>
      </w:pPr>
      <w:r w:rsidRPr="00C86691">
        <w:rPr>
          <w:szCs w:val="22"/>
        </w:rPr>
        <w:t xml:space="preserve">“Answered Call” means </w:t>
      </w:r>
      <w:r w:rsidR="003B5426" w:rsidRPr="00C86691">
        <w:rPr>
          <w:szCs w:val="22"/>
        </w:rPr>
        <w:t xml:space="preserve">a </w:t>
      </w:r>
      <w:r w:rsidRPr="00C86691">
        <w:rPr>
          <w:szCs w:val="22"/>
        </w:rPr>
        <w:t>call that receive</w:t>
      </w:r>
      <w:r w:rsidR="003B5426" w:rsidRPr="00C86691">
        <w:rPr>
          <w:szCs w:val="22"/>
        </w:rPr>
        <w:t>s</w:t>
      </w:r>
      <w:r w:rsidRPr="00C86691">
        <w:rPr>
          <w:szCs w:val="22"/>
        </w:rPr>
        <w:t xml:space="preserve"> an answer message and a normal release </w:t>
      </w:r>
      <w:r w:rsidR="009F7FB6" w:rsidRPr="00C86691">
        <w:rPr>
          <w:szCs w:val="22"/>
        </w:rPr>
        <w:t xml:space="preserve">cause </w:t>
      </w:r>
      <w:r w:rsidRPr="00C86691">
        <w:rPr>
          <w:szCs w:val="22"/>
        </w:rPr>
        <w:t>code</w:t>
      </w:r>
      <w:r w:rsidR="00FC0654" w:rsidRPr="00C86691">
        <w:rPr>
          <w:szCs w:val="22"/>
        </w:rPr>
        <w:t xml:space="preserve"> (e.g., a release cause code</w:t>
      </w:r>
      <w:r w:rsidRPr="00C86691">
        <w:rPr>
          <w:szCs w:val="22"/>
        </w:rPr>
        <w:t xml:space="preserve"> of 16 or 31</w:t>
      </w:r>
      <w:r w:rsidR="00FC0654" w:rsidRPr="00C86691">
        <w:rPr>
          <w:szCs w:val="22"/>
        </w:rPr>
        <w:t xml:space="preserve"> for calls signaled with SS7 or the corresponding normal release code</w:t>
      </w:r>
      <w:r w:rsidR="003A171D" w:rsidRPr="00C86691">
        <w:rPr>
          <w:szCs w:val="22"/>
        </w:rPr>
        <w:t>s</w:t>
      </w:r>
      <w:r w:rsidR="00FC0654" w:rsidRPr="00C86691">
        <w:rPr>
          <w:szCs w:val="22"/>
        </w:rPr>
        <w:t xml:space="preserve"> for calls signaled with </w:t>
      </w:r>
      <w:r w:rsidR="009E0654">
        <w:rPr>
          <w:szCs w:val="22"/>
        </w:rPr>
        <w:t>session initiation protocol (</w:t>
      </w:r>
      <w:r w:rsidR="00FC0654" w:rsidRPr="00C86691">
        <w:rPr>
          <w:szCs w:val="22"/>
        </w:rPr>
        <w:t>SIP</w:t>
      </w:r>
      <w:r w:rsidR="009E0654">
        <w:rPr>
          <w:szCs w:val="22"/>
        </w:rPr>
        <w:t>)</w:t>
      </w:r>
      <w:r w:rsidR="00FC0654" w:rsidRPr="00C86691">
        <w:rPr>
          <w:szCs w:val="22"/>
        </w:rPr>
        <w:t>)</w:t>
      </w:r>
      <w:r w:rsidRPr="00C86691">
        <w:rPr>
          <w:szCs w:val="22"/>
        </w:rPr>
        <w:t>.</w:t>
      </w:r>
    </w:p>
    <w:p w:rsidR="00315822" w:rsidRPr="00C86691" w:rsidRDefault="00020C87" w:rsidP="00B64774">
      <w:pPr>
        <w:numPr>
          <w:ilvl w:val="0"/>
          <w:numId w:val="5"/>
        </w:numPr>
        <w:tabs>
          <w:tab w:val="clear" w:pos="1224"/>
        </w:tabs>
        <w:spacing w:after="120"/>
        <w:ind w:left="1890"/>
        <w:rPr>
          <w:b/>
          <w:szCs w:val="22"/>
        </w:rPr>
      </w:pPr>
      <w:r w:rsidRPr="00C86691">
        <w:rPr>
          <w:szCs w:val="22"/>
        </w:rPr>
        <w:t xml:space="preserve">“Attempted Call” means a call that results in transmission by </w:t>
      </w:r>
      <w:r w:rsidR="00152EBE">
        <w:rPr>
          <w:szCs w:val="22"/>
        </w:rPr>
        <w:t>Verizon</w:t>
      </w:r>
      <w:r w:rsidRPr="00C86691">
        <w:rPr>
          <w:szCs w:val="22"/>
        </w:rPr>
        <w:t xml:space="preserve"> toward an incumbent rural local exchange carrier of the initial call setup message, regardless of the voice call signaling and transmission technology used.</w:t>
      </w:r>
    </w:p>
    <w:p w:rsidR="00AC2B38" w:rsidRPr="00C86691" w:rsidRDefault="00AC2B38" w:rsidP="00B64774">
      <w:pPr>
        <w:numPr>
          <w:ilvl w:val="0"/>
          <w:numId w:val="5"/>
        </w:numPr>
        <w:tabs>
          <w:tab w:val="clear" w:pos="1224"/>
        </w:tabs>
        <w:spacing w:after="120"/>
        <w:ind w:left="1890"/>
        <w:rPr>
          <w:b/>
          <w:szCs w:val="22"/>
        </w:rPr>
      </w:pPr>
      <w:r w:rsidRPr="00C86691">
        <w:rPr>
          <w:szCs w:val="22"/>
        </w:rPr>
        <w:t>“A</w:t>
      </w:r>
      <w:r w:rsidR="0002520D" w:rsidRPr="00C86691">
        <w:rPr>
          <w:szCs w:val="22"/>
        </w:rPr>
        <w:t>ggregate</w:t>
      </w:r>
      <w:r w:rsidRPr="00C86691">
        <w:rPr>
          <w:szCs w:val="22"/>
        </w:rPr>
        <w:t xml:space="preserve"> Rural Answer Rate” means </w:t>
      </w:r>
      <w:r w:rsidR="00ED14C9" w:rsidRPr="00C86691">
        <w:rPr>
          <w:szCs w:val="22"/>
        </w:rPr>
        <w:t>the Call Answer Rate for calls</w:t>
      </w:r>
      <w:r w:rsidR="009F7FB6" w:rsidRPr="00C86691">
        <w:rPr>
          <w:szCs w:val="22"/>
        </w:rPr>
        <w:t xml:space="preserve"> </w:t>
      </w:r>
      <w:r w:rsidR="00021FF1" w:rsidRPr="00C86691">
        <w:rPr>
          <w:szCs w:val="22"/>
        </w:rPr>
        <w:t xml:space="preserve">to </w:t>
      </w:r>
      <w:r w:rsidR="002809BD" w:rsidRPr="00C86691">
        <w:rPr>
          <w:szCs w:val="22"/>
        </w:rPr>
        <w:t xml:space="preserve">all </w:t>
      </w:r>
      <w:r w:rsidR="00C454BF" w:rsidRPr="00C86691">
        <w:rPr>
          <w:szCs w:val="22"/>
        </w:rPr>
        <w:t>R</w:t>
      </w:r>
      <w:r w:rsidR="00021FF1" w:rsidRPr="00C86691">
        <w:rPr>
          <w:szCs w:val="22"/>
        </w:rPr>
        <w:t xml:space="preserve">ural </w:t>
      </w:r>
      <w:r w:rsidR="009F7FB6" w:rsidRPr="00C86691">
        <w:rPr>
          <w:szCs w:val="22"/>
        </w:rPr>
        <w:t>OCN</w:t>
      </w:r>
      <w:r w:rsidR="00021FF1" w:rsidRPr="00C86691">
        <w:rPr>
          <w:szCs w:val="22"/>
        </w:rPr>
        <w:t>s</w:t>
      </w:r>
      <w:r w:rsidRPr="00C86691">
        <w:rPr>
          <w:szCs w:val="22"/>
        </w:rPr>
        <w:t>.</w:t>
      </w:r>
    </w:p>
    <w:p w:rsidR="00BD08D2" w:rsidRPr="00C86691" w:rsidRDefault="00BD08D2" w:rsidP="00EF1B1B">
      <w:pPr>
        <w:numPr>
          <w:ilvl w:val="0"/>
          <w:numId w:val="5"/>
        </w:numPr>
        <w:tabs>
          <w:tab w:val="clear" w:pos="1224"/>
        </w:tabs>
        <w:spacing w:after="120"/>
        <w:ind w:left="1890"/>
        <w:rPr>
          <w:szCs w:val="22"/>
        </w:rPr>
      </w:pPr>
      <w:r w:rsidRPr="00C86691">
        <w:rPr>
          <w:szCs w:val="22"/>
        </w:rPr>
        <w:t>“Bureau” means the Enforcement Bureau of the Federal Communications Commission.</w:t>
      </w:r>
    </w:p>
    <w:p w:rsidR="00AC2B38" w:rsidRPr="00C86691" w:rsidRDefault="00AC2B38" w:rsidP="00AC2B38">
      <w:pPr>
        <w:numPr>
          <w:ilvl w:val="0"/>
          <w:numId w:val="5"/>
        </w:numPr>
        <w:tabs>
          <w:tab w:val="clear" w:pos="1224"/>
        </w:tabs>
        <w:spacing w:after="120"/>
        <w:ind w:left="1890"/>
        <w:rPr>
          <w:szCs w:val="22"/>
        </w:rPr>
      </w:pPr>
      <w:r w:rsidRPr="00C86691">
        <w:rPr>
          <w:szCs w:val="22"/>
        </w:rPr>
        <w:t xml:space="preserve">“Call Answer Rate” means a rate calculated by dividing (1) total Answered Calls by </w:t>
      </w:r>
      <w:r w:rsidRPr="00C86691">
        <w:rPr>
          <w:szCs w:val="22"/>
        </w:rPr>
        <w:lastRenderedPageBreak/>
        <w:t xml:space="preserve">(2) total Attempted Calls minus Attempted </w:t>
      </w:r>
      <w:r w:rsidR="00F85896" w:rsidRPr="00C86691">
        <w:rPr>
          <w:szCs w:val="22"/>
        </w:rPr>
        <w:t xml:space="preserve">Calls </w:t>
      </w:r>
      <w:r w:rsidRPr="00C86691">
        <w:rPr>
          <w:szCs w:val="22"/>
        </w:rPr>
        <w:t xml:space="preserve">to unassigned numbers as indicated by </w:t>
      </w:r>
      <w:r w:rsidR="000F5194">
        <w:rPr>
          <w:szCs w:val="22"/>
        </w:rPr>
        <w:t>the</w:t>
      </w:r>
      <w:r w:rsidRPr="00C86691">
        <w:rPr>
          <w:szCs w:val="22"/>
        </w:rPr>
        <w:t xml:space="preserve"> release cause code </w:t>
      </w:r>
      <w:r w:rsidR="000F5194">
        <w:rPr>
          <w:szCs w:val="22"/>
        </w:rPr>
        <w:t xml:space="preserve">(e.g., a release cause code </w:t>
      </w:r>
      <w:r w:rsidRPr="00C86691">
        <w:rPr>
          <w:szCs w:val="22"/>
        </w:rPr>
        <w:t>of 1</w:t>
      </w:r>
      <w:r w:rsidR="008B6694">
        <w:rPr>
          <w:szCs w:val="22"/>
        </w:rPr>
        <w:t xml:space="preserve"> </w:t>
      </w:r>
      <w:r w:rsidR="000F5194">
        <w:t>for calls signaled with SS7 or the corresponding release cause code for calls signaled with session initiation protocol)</w:t>
      </w:r>
      <w:r w:rsidRPr="00C86691">
        <w:rPr>
          <w:szCs w:val="22"/>
        </w:rPr>
        <w:t>.</w:t>
      </w:r>
    </w:p>
    <w:p w:rsidR="00BD08D2" w:rsidRPr="00C86691" w:rsidRDefault="00BD08D2" w:rsidP="00EF1B1B">
      <w:pPr>
        <w:numPr>
          <w:ilvl w:val="0"/>
          <w:numId w:val="5"/>
        </w:numPr>
        <w:tabs>
          <w:tab w:val="clear" w:pos="1224"/>
        </w:tabs>
        <w:spacing w:after="120"/>
        <w:ind w:left="1890"/>
        <w:rPr>
          <w:szCs w:val="22"/>
        </w:rPr>
      </w:pPr>
      <w:r w:rsidRPr="00C86691">
        <w:rPr>
          <w:szCs w:val="22"/>
        </w:rPr>
        <w:t>“Commission” and “FCC” mean the Federal Communications Commission and all of its bureaus and offices.</w:t>
      </w:r>
    </w:p>
    <w:p w:rsidR="00BD08D2" w:rsidRPr="00C86691" w:rsidRDefault="00BD08D2" w:rsidP="00EF1B1B">
      <w:pPr>
        <w:numPr>
          <w:ilvl w:val="0"/>
          <w:numId w:val="5"/>
        </w:numPr>
        <w:tabs>
          <w:tab w:val="clear" w:pos="1224"/>
        </w:tabs>
        <w:spacing w:after="120"/>
        <w:ind w:left="1890"/>
        <w:rPr>
          <w:szCs w:val="22"/>
        </w:rPr>
      </w:pPr>
      <w:r w:rsidRPr="00C86691">
        <w:rPr>
          <w:szCs w:val="22"/>
        </w:rPr>
        <w:t>“Communications Laws” means collectively, the Act, the Rules, and the published and promulgated orders and decision</w:t>
      </w:r>
      <w:r w:rsidR="00302835" w:rsidRPr="00C86691">
        <w:rPr>
          <w:szCs w:val="22"/>
        </w:rPr>
        <w:t xml:space="preserve">s of the Commission to which </w:t>
      </w:r>
      <w:r w:rsidR="00D95583" w:rsidRPr="00C86691">
        <w:rPr>
          <w:szCs w:val="22"/>
        </w:rPr>
        <w:t>Verizon</w:t>
      </w:r>
      <w:r w:rsidRPr="00C86691">
        <w:rPr>
          <w:szCs w:val="22"/>
        </w:rPr>
        <w:t xml:space="preserve"> is subject by vi</w:t>
      </w:r>
      <w:r w:rsidR="00246786" w:rsidRPr="00C86691">
        <w:rPr>
          <w:szCs w:val="22"/>
        </w:rPr>
        <w:t>rtue of its business activities</w:t>
      </w:r>
      <w:r w:rsidRPr="00C86691">
        <w:rPr>
          <w:szCs w:val="22"/>
        </w:rPr>
        <w:t>.</w:t>
      </w:r>
    </w:p>
    <w:p w:rsidR="00BD08D2" w:rsidRPr="00C86691" w:rsidRDefault="00BD08D2" w:rsidP="00EF1B1B">
      <w:pPr>
        <w:numPr>
          <w:ilvl w:val="0"/>
          <w:numId w:val="5"/>
        </w:numPr>
        <w:tabs>
          <w:tab w:val="clear" w:pos="1224"/>
        </w:tabs>
        <w:spacing w:after="120"/>
        <w:ind w:left="1890"/>
        <w:rPr>
          <w:szCs w:val="22"/>
        </w:rPr>
      </w:pPr>
      <w:r w:rsidRPr="00C86691">
        <w:rPr>
          <w:szCs w:val="22"/>
        </w:rPr>
        <w:t>“Compliance Plan” means the compliance obligations</w:t>
      </w:r>
      <w:r w:rsidR="008155A1" w:rsidRPr="00C86691">
        <w:rPr>
          <w:szCs w:val="22"/>
        </w:rPr>
        <w:t xml:space="preserve">, </w:t>
      </w:r>
      <w:r w:rsidRPr="00C86691">
        <w:rPr>
          <w:szCs w:val="22"/>
        </w:rPr>
        <w:t>program</w:t>
      </w:r>
      <w:r w:rsidR="008155A1" w:rsidRPr="00C86691">
        <w:rPr>
          <w:szCs w:val="22"/>
        </w:rPr>
        <w:t>, and procedures</w:t>
      </w:r>
      <w:r w:rsidR="00BC7821" w:rsidRPr="00C86691">
        <w:rPr>
          <w:szCs w:val="22"/>
        </w:rPr>
        <w:t xml:space="preserve"> d</w:t>
      </w:r>
      <w:r w:rsidRPr="00C86691">
        <w:rPr>
          <w:szCs w:val="22"/>
        </w:rPr>
        <w:t>escribed in this Consent Decree at paragraph</w:t>
      </w:r>
      <w:r w:rsidR="00FB39CB" w:rsidRPr="00C86691">
        <w:rPr>
          <w:szCs w:val="22"/>
        </w:rPr>
        <w:t xml:space="preserve"> </w:t>
      </w:r>
      <w:r w:rsidR="008E3B82">
        <w:rPr>
          <w:szCs w:val="22"/>
        </w:rPr>
        <w:t>18</w:t>
      </w:r>
      <w:r w:rsidRPr="00C86691">
        <w:rPr>
          <w:szCs w:val="22"/>
        </w:rPr>
        <w:t>.</w:t>
      </w:r>
    </w:p>
    <w:p w:rsidR="00BD08D2" w:rsidRPr="00C86691" w:rsidRDefault="00BD08D2" w:rsidP="00EF1B1B">
      <w:pPr>
        <w:numPr>
          <w:ilvl w:val="0"/>
          <w:numId w:val="5"/>
        </w:numPr>
        <w:tabs>
          <w:tab w:val="clear" w:pos="1224"/>
        </w:tabs>
        <w:spacing w:after="120"/>
        <w:ind w:left="1890"/>
        <w:rPr>
          <w:szCs w:val="22"/>
        </w:rPr>
      </w:pPr>
      <w:r w:rsidRPr="00C86691">
        <w:rPr>
          <w:szCs w:val="22"/>
        </w:rPr>
        <w:t>“Covered Employees” me</w:t>
      </w:r>
      <w:r w:rsidR="00FB39CB" w:rsidRPr="00C86691">
        <w:rPr>
          <w:szCs w:val="22"/>
        </w:rPr>
        <w:t xml:space="preserve">ans all employees and agents of </w:t>
      </w:r>
      <w:r w:rsidR="00D95583" w:rsidRPr="00C86691">
        <w:rPr>
          <w:szCs w:val="22"/>
        </w:rPr>
        <w:t>Verizon</w:t>
      </w:r>
      <w:r w:rsidR="00F96497" w:rsidRPr="00C86691">
        <w:rPr>
          <w:szCs w:val="22"/>
        </w:rPr>
        <w:t xml:space="preserve"> Business</w:t>
      </w:r>
      <w:r w:rsidR="00FB39CB" w:rsidRPr="00C86691">
        <w:rPr>
          <w:szCs w:val="22"/>
        </w:rPr>
        <w:t xml:space="preserve"> </w:t>
      </w:r>
      <w:r w:rsidRPr="00C86691">
        <w:rPr>
          <w:szCs w:val="22"/>
        </w:rPr>
        <w:t xml:space="preserve">who perform, or supervise, oversee, or manage the performance of, duties </w:t>
      </w:r>
      <w:r w:rsidR="00753E68" w:rsidRPr="00C86691">
        <w:rPr>
          <w:szCs w:val="22"/>
        </w:rPr>
        <w:t xml:space="preserve">directly </w:t>
      </w:r>
      <w:r w:rsidRPr="00C86691">
        <w:rPr>
          <w:szCs w:val="22"/>
        </w:rPr>
        <w:t>relate</w:t>
      </w:r>
      <w:r w:rsidR="00B63F92" w:rsidRPr="00C86691">
        <w:rPr>
          <w:szCs w:val="22"/>
        </w:rPr>
        <w:t>d</w:t>
      </w:r>
      <w:r w:rsidRPr="00C86691">
        <w:rPr>
          <w:szCs w:val="22"/>
        </w:rPr>
        <w:t xml:space="preserve"> to </w:t>
      </w:r>
      <w:r w:rsidR="00D95583" w:rsidRPr="00C86691">
        <w:rPr>
          <w:szCs w:val="22"/>
        </w:rPr>
        <w:t>Verizon</w:t>
      </w:r>
      <w:r w:rsidRPr="00C86691">
        <w:rPr>
          <w:szCs w:val="22"/>
        </w:rPr>
        <w:t xml:space="preserve">’s responsibilities under the </w:t>
      </w:r>
      <w:r w:rsidR="00753E68" w:rsidRPr="00C86691">
        <w:rPr>
          <w:szCs w:val="22"/>
        </w:rPr>
        <w:t>Rural Call Completion Rules</w:t>
      </w:r>
      <w:r w:rsidR="008278CA" w:rsidRPr="00C86691">
        <w:rPr>
          <w:szCs w:val="22"/>
        </w:rPr>
        <w:t>, including</w:t>
      </w:r>
      <w:r w:rsidR="00753E68" w:rsidRPr="00C86691">
        <w:rPr>
          <w:szCs w:val="22"/>
        </w:rPr>
        <w:t xml:space="preserve"> </w:t>
      </w:r>
      <w:r w:rsidRPr="00C86691">
        <w:rPr>
          <w:szCs w:val="22"/>
        </w:rPr>
        <w:t xml:space="preserve"> </w:t>
      </w:r>
      <w:r w:rsidR="00E457F3" w:rsidRPr="00C86691">
        <w:rPr>
          <w:szCs w:val="22"/>
        </w:rPr>
        <w:t xml:space="preserve">Sections 201(b) and 202(a) of the Act, as interpreted in the </w:t>
      </w:r>
      <w:r w:rsidR="00E457F3" w:rsidRPr="00C86691">
        <w:rPr>
          <w:i/>
          <w:szCs w:val="22"/>
        </w:rPr>
        <w:t>Rural Call Completion Declaratory Ruling</w:t>
      </w:r>
      <w:r w:rsidRPr="00C86691">
        <w:rPr>
          <w:szCs w:val="22"/>
        </w:rPr>
        <w:t>.</w:t>
      </w:r>
    </w:p>
    <w:p w:rsidR="00BD08D2" w:rsidRPr="00C86691" w:rsidRDefault="00BD08D2" w:rsidP="00EF1B1B">
      <w:pPr>
        <w:numPr>
          <w:ilvl w:val="0"/>
          <w:numId w:val="5"/>
        </w:numPr>
        <w:tabs>
          <w:tab w:val="clear" w:pos="1224"/>
        </w:tabs>
        <w:spacing w:after="120"/>
        <w:ind w:left="1890"/>
        <w:rPr>
          <w:szCs w:val="22"/>
        </w:rPr>
      </w:pPr>
      <w:r w:rsidRPr="00C86691">
        <w:rPr>
          <w:szCs w:val="22"/>
        </w:rPr>
        <w:t>“Effective</w:t>
      </w:r>
      <w:r w:rsidR="00CE68FE" w:rsidRPr="00C86691">
        <w:rPr>
          <w:szCs w:val="22"/>
        </w:rPr>
        <w:t xml:space="preserve"> Date” means the date by</w:t>
      </w:r>
      <w:r w:rsidR="00C04651" w:rsidRPr="00C86691">
        <w:rPr>
          <w:szCs w:val="22"/>
        </w:rPr>
        <w:t xml:space="preserve"> which </w:t>
      </w:r>
      <w:r w:rsidR="00CE68FE" w:rsidRPr="00C86691">
        <w:rPr>
          <w:szCs w:val="22"/>
        </w:rPr>
        <w:t xml:space="preserve">both </w:t>
      </w:r>
      <w:r w:rsidR="00C04651" w:rsidRPr="00C86691">
        <w:rPr>
          <w:szCs w:val="22"/>
        </w:rPr>
        <w:t xml:space="preserve">the Bureau </w:t>
      </w:r>
      <w:r w:rsidR="00CE68FE" w:rsidRPr="00C86691">
        <w:rPr>
          <w:szCs w:val="22"/>
        </w:rPr>
        <w:t xml:space="preserve">and </w:t>
      </w:r>
      <w:r w:rsidR="00D95583" w:rsidRPr="00C86691">
        <w:rPr>
          <w:szCs w:val="22"/>
        </w:rPr>
        <w:t>Verizon</w:t>
      </w:r>
      <w:r w:rsidR="00CE68FE" w:rsidRPr="00C86691">
        <w:rPr>
          <w:szCs w:val="22"/>
        </w:rPr>
        <w:t xml:space="preserve"> have signed the Consent Decree</w:t>
      </w:r>
      <w:r w:rsidR="00C04651" w:rsidRPr="00C86691">
        <w:rPr>
          <w:szCs w:val="22"/>
        </w:rPr>
        <w:t>.</w:t>
      </w:r>
    </w:p>
    <w:p w:rsidR="003B5426" w:rsidRPr="00C86691" w:rsidRDefault="00FD48A6" w:rsidP="0046549C">
      <w:pPr>
        <w:numPr>
          <w:ilvl w:val="0"/>
          <w:numId w:val="5"/>
        </w:numPr>
        <w:tabs>
          <w:tab w:val="clear" w:pos="1224"/>
        </w:tabs>
        <w:spacing w:after="120"/>
        <w:ind w:left="1890"/>
        <w:rPr>
          <w:szCs w:val="22"/>
        </w:rPr>
      </w:pPr>
      <w:r w:rsidRPr="00C86691">
        <w:rPr>
          <w:szCs w:val="22"/>
        </w:rPr>
        <w:t xml:space="preserve"> </w:t>
      </w:r>
      <w:r w:rsidR="003B5426" w:rsidRPr="00C86691">
        <w:rPr>
          <w:szCs w:val="22"/>
        </w:rPr>
        <w:t xml:space="preserve">“Intermediate Provider” </w:t>
      </w:r>
      <w:r w:rsidR="003649A3" w:rsidRPr="00C86691">
        <w:rPr>
          <w:szCs w:val="22"/>
        </w:rPr>
        <w:t>has the meaning provided in Section 64.1600(f) of the Rules,</w:t>
      </w:r>
      <w:r w:rsidR="003649A3" w:rsidRPr="00C86691">
        <w:rPr>
          <w:rStyle w:val="FootnoteReference"/>
          <w:szCs w:val="22"/>
        </w:rPr>
        <w:footnoteReference w:id="10"/>
      </w:r>
      <w:r w:rsidR="003649A3" w:rsidRPr="00C86691">
        <w:rPr>
          <w:szCs w:val="22"/>
        </w:rPr>
        <w:t xml:space="preserve"> but excludes a tandem provider to which the terminating carrier subtends or a carrier to which the terminating carrier requires an indirectly interconnecting carrier to deliver traffic.</w:t>
      </w:r>
    </w:p>
    <w:p w:rsidR="0046549C" w:rsidRPr="00C86691" w:rsidRDefault="00BD08D2" w:rsidP="0046549C">
      <w:pPr>
        <w:numPr>
          <w:ilvl w:val="0"/>
          <w:numId w:val="5"/>
        </w:numPr>
        <w:tabs>
          <w:tab w:val="clear" w:pos="1224"/>
        </w:tabs>
        <w:spacing w:after="120"/>
        <w:ind w:left="1890"/>
        <w:rPr>
          <w:szCs w:val="22"/>
        </w:rPr>
      </w:pPr>
      <w:r w:rsidRPr="00C86691">
        <w:rPr>
          <w:szCs w:val="22"/>
        </w:rPr>
        <w:t>“Investigation” m</w:t>
      </w:r>
      <w:r w:rsidR="00073450" w:rsidRPr="00C86691">
        <w:rPr>
          <w:szCs w:val="22"/>
        </w:rPr>
        <w:t>eans the investigation commenced</w:t>
      </w:r>
      <w:r w:rsidRPr="00C86691">
        <w:rPr>
          <w:szCs w:val="22"/>
        </w:rPr>
        <w:t xml:space="preserve"> by the Bureau </w:t>
      </w:r>
      <w:r w:rsidR="00D82A58" w:rsidRPr="00C86691">
        <w:rPr>
          <w:szCs w:val="22"/>
        </w:rPr>
        <w:t xml:space="preserve">under File No. EB-IHD-13-00011647 </w:t>
      </w:r>
      <w:r w:rsidRPr="00C86691">
        <w:rPr>
          <w:szCs w:val="22"/>
        </w:rPr>
        <w:t xml:space="preserve">regarding </w:t>
      </w:r>
      <w:r w:rsidR="00073450" w:rsidRPr="00C86691">
        <w:rPr>
          <w:szCs w:val="22"/>
        </w:rPr>
        <w:t xml:space="preserve">whether </w:t>
      </w:r>
      <w:r w:rsidR="00D95583" w:rsidRPr="00C86691">
        <w:rPr>
          <w:szCs w:val="22"/>
        </w:rPr>
        <w:t>Verizon</w:t>
      </w:r>
      <w:r w:rsidR="00CE417A" w:rsidRPr="00C86691">
        <w:rPr>
          <w:szCs w:val="22"/>
        </w:rPr>
        <w:t xml:space="preserve"> </w:t>
      </w:r>
      <w:r w:rsidR="00073450" w:rsidRPr="00C86691">
        <w:rPr>
          <w:szCs w:val="22"/>
        </w:rPr>
        <w:t xml:space="preserve">violated </w:t>
      </w:r>
      <w:r w:rsidR="00D82A58" w:rsidRPr="00C86691">
        <w:rPr>
          <w:szCs w:val="22"/>
        </w:rPr>
        <w:t>S</w:t>
      </w:r>
      <w:r w:rsidR="0046549C" w:rsidRPr="00C86691">
        <w:rPr>
          <w:szCs w:val="22"/>
        </w:rPr>
        <w:t>ections 201(b) and 202(a) of the Act</w:t>
      </w:r>
      <w:r w:rsidRPr="00C86691">
        <w:rPr>
          <w:szCs w:val="22"/>
        </w:rPr>
        <w:t>.</w:t>
      </w:r>
    </w:p>
    <w:p w:rsidR="000D32DF" w:rsidRPr="00C86691" w:rsidRDefault="0046549C" w:rsidP="000D32DF">
      <w:pPr>
        <w:numPr>
          <w:ilvl w:val="0"/>
          <w:numId w:val="5"/>
        </w:numPr>
        <w:tabs>
          <w:tab w:val="clear" w:pos="1224"/>
        </w:tabs>
        <w:spacing w:after="120"/>
        <w:ind w:left="1890"/>
        <w:rPr>
          <w:szCs w:val="22"/>
        </w:rPr>
      </w:pPr>
      <w:r w:rsidRPr="00C86691">
        <w:rPr>
          <w:szCs w:val="22"/>
        </w:rPr>
        <w:t xml:space="preserve">“LOI” means the Letter of Inquiry issued by the Bureau to Verizon on </w:t>
      </w:r>
      <w:r w:rsidR="00C61062" w:rsidRPr="00C86691">
        <w:rPr>
          <w:szCs w:val="22"/>
        </w:rPr>
        <w:t>February 3, 2014.</w:t>
      </w:r>
    </w:p>
    <w:p w:rsidR="000D32DF" w:rsidRPr="00C86691" w:rsidRDefault="000D32DF" w:rsidP="000D32DF">
      <w:pPr>
        <w:numPr>
          <w:ilvl w:val="0"/>
          <w:numId w:val="5"/>
        </w:numPr>
        <w:tabs>
          <w:tab w:val="clear" w:pos="1224"/>
        </w:tabs>
        <w:spacing w:after="120"/>
        <w:ind w:left="1890"/>
        <w:rPr>
          <w:szCs w:val="22"/>
        </w:rPr>
      </w:pPr>
      <w:r w:rsidRPr="00C86691">
        <w:rPr>
          <w:szCs w:val="22"/>
        </w:rPr>
        <w:t>“Negative Spike” means a sharp, material decrease from prior measurements over a short interval.</w:t>
      </w:r>
    </w:p>
    <w:p w:rsidR="002C4E2A" w:rsidRPr="00C86691" w:rsidRDefault="002C4E2A" w:rsidP="0046549C">
      <w:pPr>
        <w:numPr>
          <w:ilvl w:val="0"/>
          <w:numId w:val="5"/>
        </w:numPr>
        <w:tabs>
          <w:tab w:val="clear" w:pos="1224"/>
        </w:tabs>
        <w:spacing w:after="120"/>
        <w:ind w:left="1890"/>
        <w:rPr>
          <w:szCs w:val="22"/>
        </w:rPr>
      </w:pPr>
      <w:r w:rsidRPr="00C86691">
        <w:rPr>
          <w:szCs w:val="22"/>
        </w:rPr>
        <w:t xml:space="preserve">“OCN” means </w:t>
      </w:r>
      <w:r w:rsidR="007758BB" w:rsidRPr="00C86691">
        <w:rPr>
          <w:szCs w:val="22"/>
        </w:rPr>
        <w:t xml:space="preserve">an </w:t>
      </w:r>
      <w:r w:rsidRPr="00C86691">
        <w:rPr>
          <w:szCs w:val="22"/>
        </w:rPr>
        <w:t>Operating Company Number</w:t>
      </w:r>
      <w:r w:rsidR="003B5426" w:rsidRPr="00C86691">
        <w:t xml:space="preserve"> that </w:t>
      </w:r>
      <w:r w:rsidR="003B5426" w:rsidRPr="00C86691">
        <w:rPr>
          <w:szCs w:val="22"/>
        </w:rPr>
        <w:t>is an alphanumeric code that uniquely identifies providers of local telecommunications service.</w:t>
      </w:r>
      <w:r w:rsidR="00F85896" w:rsidRPr="00C86691">
        <w:rPr>
          <w:rStyle w:val="FootnoteReference"/>
          <w:szCs w:val="22"/>
        </w:rPr>
        <w:footnoteReference w:id="11"/>
      </w:r>
      <w:r w:rsidR="003B5426" w:rsidRPr="00C86691">
        <w:rPr>
          <w:szCs w:val="22"/>
        </w:rPr>
        <w:t xml:space="preserve">  </w:t>
      </w:r>
    </w:p>
    <w:p w:rsidR="00BD08D2" w:rsidRPr="00C86691" w:rsidRDefault="00BD08D2" w:rsidP="00EF1B1B">
      <w:pPr>
        <w:numPr>
          <w:ilvl w:val="0"/>
          <w:numId w:val="5"/>
        </w:numPr>
        <w:tabs>
          <w:tab w:val="clear" w:pos="1224"/>
        </w:tabs>
        <w:spacing w:after="120"/>
        <w:ind w:left="1890"/>
        <w:rPr>
          <w:szCs w:val="22"/>
        </w:rPr>
      </w:pPr>
      <w:r w:rsidRPr="00C86691">
        <w:rPr>
          <w:szCs w:val="22"/>
        </w:rPr>
        <w:t>“Operating Procedures” mean</w:t>
      </w:r>
      <w:r w:rsidR="003010FA" w:rsidRPr="00C86691">
        <w:rPr>
          <w:szCs w:val="22"/>
        </w:rPr>
        <w:t>s</w:t>
      </w:r>
      <w:r w:rsidR="00683B2D" w:rsidRPr="00C86691">
        <w:rPr>
          <w:szCs w:val="22"/>
        </w:rPr>
        <w:t xml:space="preserve"> the standard</w:t>
      </w:r>
      <w:r w:rsidRPr="00C86691">
        <w:rPr>
          <w:szCs w:val="22"/>
        </w:rPr>
        <w:t xml:space="preserve"> internal operating procedures and compliance pol</w:t>
      </w:r>
      <w:r w:rsidR="00AD6D76" w:rsidRPr="00C86691">
        <w:rPr>
          <w:szCs w:val="22"/>
        </w:rPr>
        <w:t xml:space="preserve">icies established by </w:t>
      </w:r>
      <w:r w:rsidR="00D95583" w:rsidRPr="00C86691">
        <w:rPr>
          <w:szCs w:val="22"/>
        </w:rPr>
        <w:t>Verizon</w:t>
      </w:r>
      <w:r w:rsidRPr="00C86691">
        <w:rPr>
          <w:szCs w:val="22"/>
        </w:rPr>
        <w:t xml:space="preserve"> to implement the Compliance Plan.</w:t>
      </w:r>
    </w:p>
    <w:p w:rsidR="00BD08D2" w:rsidRPr="00C86691" w:rsidRDefault="00BD08D2" w:rsidP="00EF1B1B">
      <w:pPr>
        <w:numPr>
          <w:ilvl w:val="0"/>
          <w:numId w:val="5"/>
        </w:numPr>
        <w:tabs>
          <w:tab w:val="clear" w:pos="1224"/>
        </w:tabs>
        <w:spacing w:after="120"/>
        <w:ind w:left="1890"/>
        <w:rPr>
          <w:szCs w:val="22"/>
        </w:rPr>
      </w:pPr>
      <w:r w:rsidRPr="00C86691">
        <w:rPr>
          <w:szCs w:val="22"/>
        </w:rPr>
        <w:t>“Parties” mean</w:t>
      </w:r>
      <w:r w:rsidR="003010FA" w:rsidRPr="00C86691">
        <w:rPr>
          <w:szCs w:val="22"/>
        </w:rPr>
        <w:t>s</w:t>
      </w:r>
      <w:r w:rsidRPr="00C86691">
        <w:rPr>
          <w:szCs w:val="22"/>
        </w:rPr>
        <w:t xml:space="preserve"> </w:t>
      </w:r>
      <w:r w:rsidR="00D95583" w:rsidRPr="00C86691">
        <w:rPr>
          <w:szCs w:val="22"/>
        </w:rPr>
        <w:t>Verizon</w:t>
      </w:r>
      <w:r w:rsidR="00AD6D76" w:rsidRPr="00C86691">
        <w:rPr>
          <w:szCs w:val="22"/>
        </w:rPr>
        <w:t xml:space="preserve"> </w:t>
      </w:r>
      <w:r w:rsidRPr="00C86691">
        <w:rPr>
          <w:szCs w:val="22"/>
        </w:rPr>
        <w:t>and the Bureau, each of which is a “Party.”</w:t>
      </w:r>
    </w:p>
    <w:p w:rsidR="00FD48A6" w:rsidRPr="00C86691" w:rsidRDefault="00BD08D2" w:rsidP="00FD48A6">
      <w:pPr>
        <w:numPr>
          <w:ilvl w:val="0"/>
          <w:numId w:val="5"/>
        </w:numPr>
        <w:tabs>
          <w:tab w:val="clear" w:pos="1224"/>
        </w:tabs>
        <w:spacing w:after="120"/>
        <w:ind w:left="1890"/>
        <w:rPr>
          <w:szCs w:val="22"/>
        </w:rPr>
      </w:pPr>
      <w:r w:rsidRPr="00C86691">
        <w:rPr>
          <w:szCs w:val="22"/>
        </w:rPr>
        <w:t>“Rules” mean</w:t>
      </w:r>
      <w:r w:rsidR="003010FA" w:rsidRPr="00C86691">
        <w:rPr>
          <w:szCs w:val="22"/>
        </w:rPr>
        <w:t>s</w:t>
      </w:r>
      <w:r w:rsidRPr="00C86691">
        <w:rPr>
          <w:szCs w:val="22"/>
        </w:rPr>
        <w:t xml:space="preserve"> the Commission’s regulations found in Title 47 of the Code of Federal Regulations.</w:t>
      </w:r>
    </w:p>
    <w:p w:rsidR="00A0444F" w:rsidRPr="00C86691" w:rsidRDefault="002C4E2A" w:rsidP="00FD48A6">
      <w:pPr>
        <w:numPr>
          <w:ilvl w:val="0"/>
          <w:numId w:val="5"/>
        </w:numPr>
        <w:tabs>
          <w:tab w:val="clear" w:pos="1224"/>
        </w:tabs>
        <w:spacing w:after="120"/>
        <w:ind w:left="1890"/>
        <w:rPr>
          <w:szCs w:val="22"/>
        </w:rPr>
      </w:pPr>
      <w:r w:rsidRPr="00C86691">
        <w:rPr>
          <w:szCs w:val="22"/>
        </w:rPr>
        <w:t>“</w:t>
      </w:r>
      <w:r w:rsidR="00A0444F" w:rsidRPr="00C86691">
        <w:rPr>
          <w:i/>
          <w:szCs w:val="22"/>
        </w:rPr>
        <w:t>Rural Call Completion Declaratory Ruling</w:t>
      </w:r>
      <w:r w:rsidRPr="00C86691">
        <w:rPr>
          <w:szCs w:val="22"/>
        </w:rPr>
        <w:t>”</w:t>
      </w:r>
      <w:r w:rsidR="00A0444F" w:rsidRPr="00C86691">
        <w:rPr>
          <w:i/>
          <w:szCs w:val="22"/>
        </w:rPr>
        <w:t xml:space="preserve"> </w:t>
      </w:r>
      <w:r w:rsidR="00A0444F" w:rsidRPr="00C86691">
        <w:rPr>
          <w:szCs w:val="22"/>
        </w:rPr>
        <w:t xml:space="preserve">means the declaratory ruling captioned </w:t>
      </w:r>
      <w:r w:rsidR="00F44F26" w:rsidRPr="00C86691">
        <w:rPr>
          <w:szCs w:val="22"/>
        </w:rPr>
        <w:t xml:space="preserve">as </w:t>
      </w:r>
      <w:r w:rsidR="00DC3EA5" w:rsidRPr="00C86691">
        <w:rPr>
          <w:i/>
          <w:szCs w:val="22"/>
        </w:rPr>
        <w:t>Developing an Unified Intercarrier Compensation Regime</w:t>
      </w:r>
      <w:r w:rsidR="00DC3EA5" w:rsidRPr="00C86691">
        <w:rPr>
          <w:szCs w:val="22"/>
        </w:rPr>
        <w:t>, Declaratory Ruling, 27 FCC Rcd 1351 (Wireline Comp. Bur. 2012).</w:t>
      </w:r>
      <w:r w:rsidR="00DC3EA5" w:rsidRPr="00C86691" w:rsidDel="00DC3EA5">
        <w:rPr>
          <w:i/>
          <w:szCs w:val="22"/>
        </w:rPr>
        <w:t xml:space="preserve"> </w:t>
      </w:r>
      <w:r w:rsidRPr="00C86691">
        <w:rPr>
          <w:szCs w:val="22"/>
        </w:rPr>
        <w:t>“</w:t>
      </w:r>
      <w:r w:rsidR="00A0444F" w:rsidRPr="00C86691">
        <w:rPr>
          <w:i/>
          <w:szCs w:val="22"/>
        </w:rPr>
        <w:t>Rural Call Completion Order</w:t>
      </w:r>
      <w:r w:rsidRPr="00C86691">
        <w:rPr>
          <w:szCs w:val="22"/>
        </w:rPr>
        <w:t>”</w:t>
      </w:r>
      <w:r w:rsidR="00A0444F" w:rsidRPr="00C86691">
        <w:rPr>
          <w:i/>
          <w:szCs w:val="22"/>
        </w:rPr>
        <w:t xml:space="preserve"> </w:t>
      </w:r>
      <w:r w:rsidR="00A0444F" w:rsidRPr="00C86691">
        <w:rPr>
          <w:szCs w:val="22"/>
        </w:rPr>
        <w:t>means</w:t>
      </w:r>
      <w:r w:rsidR="00A0444F" w:rsidRPr="00C86691">
        <w:rPr>
          <w:i/>
          <w:szCs w:val="22"/>
        </w:rPr>
        <w:t xml:space="preserve"> </w:t>
      </w:r>
      <w:r w:rsidR="00A0444F" w:rsidRPr="00C86691">
        <w:rPr>
          <w:szCs w:val="22"/>
        </w:rPr>
        <w:t xml:space="preserve">the order captioned as </w:t>
      </w:r>
      <w:r w:rsidR="00A0444F" w:rsidRPr="00C86691">
        <w:rPr>
          <w:i/>
          <w:szCs w:val="22"/>
        </w:rPr>
        <w:t xml:space="preserve">Rural Call Completion, </w:t>
      </w:r>
      <w:r w:rsidR="00A0444F" w:rsidRPr="00C86691">
        <w:rPr>
          <w:szCs w:val="22"/>
        </w:rPr>
        <w:t xml:space="preserve">Report and Order and Further Notice of Proposed Rulemaking, 28 FCC Rcd 16154 (2013), </w:t>
      </w:r>
      <w:r w:rsidR="00A0444F" w:rsidRPr="00C86691">
        <w:rPr>
          <w:i/>
          <w:szCs w:val="22"/>
        </w:rPr>
        <w:t xml:space="preserve">modified in part on </w:t>
      </w:r>
      <w:r w:rsidR="00A0444F" w:rsidRPr="00C86691">
        <w:rPr>
          <w:i/>
          <w:szCs w:val="22"/>
        </w:rPr>
        <w:lastRenderedPageBreak/>
        <w:t>recon.,</w:t>
      </w:r>
      <w:r w:rsidR="00A0444F" w:rsidRPr="00C86691">
        <w:rPr>
          <w:szCs w:val="22"/>
        </w:rPr>
        <w:t xml:space="preserve"> Order on Reconsideration, FCC 14-175, 2014 WL 6070709 (rel. Nov. 13, 2014). </w:t>
      </w:r>
    </w:p>
    <w:p w:rsidR="00FD48A6" w:rsidRPr="00C86691" w:rsidRDefault="00FD48A6" w:rsidP="00FD48A6">
      <w:pPr>
        <w:numPr>
          <w:ilvl w:val="0"/>
          <w:numId w:val="5"/>
        </w:numPr>
        <w:tabs>
          <w:tab w:val="clear" w:pos="1224"/>
        </w:tabs>
        <w:spacing w:after="120"/>
        <w:ind w:left="1890"/>
        <w:rPr>
          <w:szCs w:val="22"/>
        </w:rPr>
      </w:pPr>
      <w:r w:rsidRPr="00C86691">
        <w:rPr>
          <w:szCs w:val="22"/>
        </w:rPr>
        <w:t xml:space="preserve">“Rural Call Completion Rules” means Sections 201(b) and 202(a) of the Act, as interpreted in the </w:t>
      </w:r>
      <w:r w:rsidRPr="00C86691">
        <w:rPr>
          <w:i/>
          <w:szCs w:val="22"/>
        </w:rPr>
        <w:t>Rural Call Completion Declaratory Ruling</w:t>
      </w:r>
      <w:r w:rsidRPr="00C86691">
        <w:rPr>
          <w:szCs w:val="22"/>
        </w:rPr>
        <w:t xml:space="preserve">, and the rules adopted in the </w:t>
      </w:r>
      <w:r w:rsidRPr="00C86691">
        <w:rPr>
          <w:i/>
          <w:szCs w:val="22"/>
        </w:rPr>
        <w:t>Rural Call Completion Order</w:t>
      </w:r>
      <w:r w:rsidRPr="00C86691">
        <w:rPr>
          <w:szCs w:val="22"/>
        </w:rPr>
        <w:t xml:space="preserve">, 47 C.F.R. Sections 64.2101, 64.2103, 64.2105, 64.2107, 64.2109 and 64.2201, and other provisions of the Act, the Rules, and Commission orders related to Rural Call Completion.  </w:t>
      </w:r>
    </w:p>
    <w:p w:rsidR="00195E39" w:rsidRPr="00C86691" w:rsidRDefault="00791B47" w:rsidP="000D32DF">
      <w:pPr>
        <w:numPr>
          <w:ilvl w:val="0"/>
          <w:numId w:val="5"/>
        </w:numPr>
        <w:tabs>
          <w:tab w:val="clear" w:pos="1224"/>
        </w:tabs>
        <w:spacing w:after="120"/>
        <w:ind w:left="1890"/>
        <w:rPr>
          <w:szCs w:val="22"/>
        </w:rPr>
      </w:pPr>
      <w:r w:rsidRPr="00C86691">
        <w:rPr>
          <w:szCs w:val="22"/>
        </w:rPr>
        <w:t>“Rural OCN” mean</w:t>
      </w:r>
      <w:r w:rsidR="002C4E2A" w:rsidRPr="00C86691">
        <w:rPr>
          <w:szCs w:val="22"/>
        </w:rPr>
        <w:t>s</w:t>
      </w:r>
      <w:r w:rsidRPr="00C86691">
        <w:rPr>
          <w:szCs w:val="22"/>
        </w:rPr>
        <w:t xml:space="preserve"> </w:t>
      </w:r>
      <w:r w:rsidR="0056203E" w:rsidRPr="00C86691">
        <w:rPr>
          <w:szCs w:val="22"/>
        </w:rPr>
        <w:t xml:space="preserve">an </w:t>
      </w:r>
      <w:r w:rsidRPr="00C86691">
        <w:rPr>
          <w:szCs w:val="22"/>
        </w:rPr>
        <w:t xml:space="preserve">OCN </w:t>
      </w:r>
      <w:r w:rsidR="0056203E" w:rsidRPr="00C86691">
        <w:rPr>
          <w:szCs w:val="22"/>
        </w:rPr>
        <w:t xml:space="preserve">that is designated as rural on the annually updated list </w:t>
      </w:r>
      <w:r w:rsidRPr="00C86691">
        <w:rPr>
          <w:szCs w:val="22"/>
        </w:rPr>
        <w:t xml:space="preserve">published by </w:t>
      </w:r>
      <w:r w:rsidR="007758BB" w:rsidRPr="00C86691">
        <w:rPr>
          <w:szCs w:val="22"/>
        </w:rPr>
        <w:t xml:space="preserve">the National Exchange Carrier Association (NECA), as described in the </w:t>
      </w:r>
      <w:r w:rsidR="007758BB" w:rsidRPr="00C86691">
        <w:rPr>
          <w:i/>
          <w:szCs w:val="22"/>
        </w:rPr>
        <w:t>Rural Call Completion Order</w:t>
      </w:r>
      <w:r w:rsidR="007758BB" w:rsidRPr="00C86691">
        <w:rPr>
          <w:szCs w:val="22"/>
        </w:rPr>
        <w:t>, 28 FCC Rcd at 16187, para. 73</w:t>
      </w:r>
      <w:r w:rsidR="0056203E" w:rsidRPr="00C86691">
        <w:rPr>
          <w:szCs w:val="22"/>
        </w:rPr>
        <w:t>.</w:t>
      </w:r>
    </w:p>
    <w:p w:rsidR="00AD6D76" w:rsidRPr="00C86691" w:rsidRDefault="008B1570" w:rsidP="00195E39">
      <w:pPr>
        <w:numPr>
          <w:ilvl w:val="0"/>
          <w:numId w:val="5"/>
        </w:numPr>
        <w:tabs>
          <w:tab w:val="clear" w:pos="1224"/>
        </w:tabs>
        <w:spacing w:after="120"/>
        <w:ind w:left="1890"/>
        <w:rPr>
          <w:szCs w:val="22"/>
        </w:rPr>
      </w:pPr>
      <w:r w:rsidRPr="00C86691" w:rsidDel="008B1570">
        <w:rPr>
          <w:szCs w:val="22"/>
        </w:rPr>
        <w:t xml:space="preserve"> </w:t>
      </w:r>
      <w:r w:rsidR="00AD6D76" w:rsidRPr="00C86691">
        <w:rPr>
          <w:szCs w:val="22"/>
        </w:rPr>
        <w:t>“</w:t>
      </w:r>
      <w:r w:rsidR="00D95583" w:rsidRPr="00C86691">
        <w:rPr>
          <w:szCs w:val="22"/>
        </w:rPr>
        <w:t>Verizon</w:t>
      </w:r>
      <w:r w:rsidR="0046549C" w:rsidRPr="00C86691">
        <w:rPr>
          <w:szCs w:val="22"/>
        </w:rPr>
        <w:t>”</w:t>
      </w:r>
      <w:r w:rsidR="0011427B" w:rsidRPr="00C86691">
        <w:rPr>
          <w:szCs w:val="22"/>
        </w:rPr>
        <w:t xml:space="preserve"> or </w:t>
      </w:r>
      <w:r w:rsidR="0046549C" w:rsidRPr="00C86691">
        <w:rPr>
          <w:szCs w:val="22"/>
        </w:rPr>
        <w:t>“</w:t>
      </w:r>
      <w:r w:rsidR="0011427B" w:rsidRPr="00C86691">
        <w:rPr>
          <w:szCs w:val="22"/>
        </w:rPr>
        <w:t>Company</w:t>
      </w:r>
      <w:r w:rsidR="00AD6D76" w:rsidRPr="00C86691">
        <w:rPr>
          <w:szCs w:val="22"/>
        </w:rPr>
        <w:t xml:space="preserve">” means </w:t>
      </w:r>
      <w:r w:rsidR="00D97B77" w:rsidRPr="00C86691">
        <w:rPr>
          <w:szCs w:val="22"/>
        </w:rPr>
        <w:t>MCI Communications Services, Inc. d/b/a Verizon Business Services (“</w:t>
      </w:r>
      <w:r w:rsidR="00752151" w:rsidRPr="00C86691">
        <w:rPr>
          <w:szCs w:val="22"/>
        </w:rPr>
        <w:t>Verizon Business</w:t>
      </w:r>
      <w:r w:rsidR="00D97B77" w:rsidRPr="00C86691">
        <w:rPr>
          <w:szCs w:val="22"/>
        </w:rPr>
        <w:t>”)</w:t>
      </w:r>
      <w:r w:rsidR="00A4026B" w:rsidRPr="00C86691">
        <w:rPr>
          <w:szCs w:val="22"/>
        </w:rPr>
        <w:t xml:space="preserve">.  </w:t>
      </w:r>
    </w:p>
    <w:p w:rsidR="004C1E9A" w:rsidRPr="00C86691" w:rsidRDefault="004C1E9A" w:rsidP="00195E39">
      <w:pPr>
        <w:numPr>
          <w:ilvl w:val="0"/>
          <w:numId w:val="5"/>
        </w:numPr>
        <w:tabs>
          <w:tab w:val="clear" w:pos="1224"/>
        </w:tabs>
        <w:spacing w:after="120"/>
        <w:ind w:left="1890"/>
        <w:rPr>
          <w:szCs w:val="22"/>
        </w:rPr>
      </w:pPr>
      <w:r w:rsidRPr="00C86691">
        <w:rPr>
          <w:szCs w:val="22"/>
        </w:rPr>
        <w:t xml:space="preserve">“Verizon </w:t>
      </w:r>
      <w:r w:rsidR="007F1BAD">
        <w:rPr>
          <w:szCs w:val="22"/>
        </w:rPr>
        <w:t xml:space="preserve">and its regulated affiliates” </w:t>
      </w:r>
      <w:r w:rsidR="00B37AA9" w:rsidRPr="00C86691">
        <w:rPr>
          <w:szCs w:val="22"/>
        </w:rPr>
        <w:t>means</w:t>
      </w:r>
      <w:r w:rsidRPr="00C86691">
        <w:rPr>
          <w:szCs w:val="22"/>
        </w:rPr>
        <w:t xml:space="preserve"> </w:t>
      </w:r>
      <w:r w:rsidR="00916209" w:rsidRPr="00C86691">
        <w:rPr>
          <w:szCs w:val="22"/>
        </w:rPr>
        <w:t xml:space="preserve">the regulated wholly owned subsidiaries of </w:t>
      </w:r>
      <w:r w:rsidRPr="00C86691">
        <w:rPr>
          <w:szCs w:val="22"/>
        </w:rPr>
        <w:t xml:space="preserve">Verizon </w:t>
      </w:r>
      <w:r w:rsidR="00916209" w:rsidRPr="00C86691">
        <w:rPr>
          <w:szCs w:val="22"/>
        </w:rPr>
        <w:t xml:space="preserve">Communications Inc., including but not limited to Verizon Business, </w:t>
      </w:r>
      <w:r w:rsidR="00916209" w:rsidRPr="00C86691">
        <w:rPr>
          <w:snapToGrid/>
          <w:kern w:val="0"/>
          <w:szCs w:val="22"/>
        </w:rPr>
        <w:t xml:space="preserve">Cellco Partnership d/b/a Verizon Wireless (“Verizon Wireless”), and </w:t>
      </w:r>
      <w:r w:rsidR="00D36109" w:rsidRPr="00C86691">
        <w:rPr>
          <w:snapToGrid/>
          <w:kern w:val="0"/>
          <w:szCs w:val="22"/>
        </w:rPr>
        <w:t>all affiliated</w:t>
      </w:r>
      <w:r w:rsidR="00916209" w:rsidRPr="00C86691">
        <w:rPr>
          <w:snapToGrid/>
          <w:kern w:val="0"/>
          <w:szCs w:val="22"/>
        </w:rPr>
        <w:t xml:space="preserve"> incumbent local exchange carriers (“Verizon ILECs”).</w:t>
      </w:r>
      <w:r w:rsidR="00916209" w:rsidRPr="00C86691">
        <w:rPr>
          <w:szCs w:val="22"/>
        </w:rPr>
        <w:t xml:space="preserve"> </w:t>
      </w:r>
    </w:p>
    <w:p w:rsidR="003B5426" w:rsidRPr="00C86691" w:rsidRDefault="003B5426" w:rsidP="00AD6D76">
      <w:pPr>
        <w:numPr>
          <w:ilvl w:val="0"/>
          <w:numId w:val="5"/>
        </w:numPr>
        <w:tabs>
          <w:tab w:val="clear" w:pos="1224"/>
        </w:tabs>
        <w:spacing w:after="120"/>
        <w:ind w:left="1890"/>
        <w:rPr>
          <w:szCs w:val="22"/>
        </w:rPr>
      </w:pPr>
      <w:r w:rsidRPr="00C86691">
        <w:rPr>
          <w:szCs w:val="22"/>
        </w:rPr>
        <w:t xml:space="preserve">“Verizon RLEC Hotline” means </w:t>
      </w:r>
      <w:r w:rsidR="009B48D0" w:rsidRPr="00C86691">
        <w:rPr>
          <w:szCs w:val="22"/>
        </w:rPr>
        <w:t>(800) 285-3776</w:t>
      </w:r>
      <w:r w:rsidR="00F671EA" w:rsidRPr="00C86691">
        <w:rPr>
          <w:szCs w:val="22"/>
        </w:rPr>
        <w:t xml:space="preserve"> (</w:t>
      </w:r>
      <w:r w:rsidR="00F671EA" w:rsidRPr="00C86691">
        <w:t>or an alternative similarly designated number)</w:t>
      </w:r>
      <w:r w:rsidR="009B48D0" w:rsidRPr="00C86691">
        <w:rPr>
          <w:szCs w:val="22"/>
        </w:rPr>
        <w:t xml:space="preserve">, </w:t>
      </w:r>
      <w:r w:rsidR="00A46A99" w:rsidRPr="00C86691">
        <w:rPr>
          <w:szCs w:val="22"/>
        </w:rPr>
        <w:t>the toll free number established by Verizon for use by carriers to report rural calling issues</w:t>
      </w:r>
      <w:r w:rsidR="00C976FE" w:rsidRPr="00C86691">
        <w:rPr>
          <w:szCs w:val="22"/>
        </w:rPr>
        <w:t>.</w:t>
      </w:r>
    </w:p>
    <w:p w:rsidR="00E02214" w:rsidRPr="00C86691" w:rsidRDefault="00E02214" w:rsidP="00E24E9F">
      <w:pPr>
        <w:pStyle w:val="Heading1"/>
        <w:rPr>
          <w:rFonts w:ascii="Times New Roman" w:hAnsi="Times New Roman"/>
          <w:szCs w:val="22"/>
        </w:rPr>
      </w:pPr>
      <w:r w:rsidRPr="00C86691">
        <w:rPr>
          <w:rFonts w:ascii="Times New Roman" w:hAnsi="Times New Roman"/>
          <w:szCs w:val="22"/>
        </w:rPr>
        <w:t>BACKGROUND</w:t>
      </w:r>
    </w:p>
    <w:p w:rsidR="007760CA" w:rsidRPr="00C86691" w:rsidRDefault="007760CA" w:rsidP="007760CA">
      <w:pPr>
        <w:pStyle w:val="ParaNum"/>
        <w:widowControl/>
        <w:spacing w:after="240"/>
        <w:rPr>
          <w:szCs w:val="22"/>
        </w:rPr>
      </w:pPr>
      <w:r w:rsidRPr="00C86691">
        <w:rPr>
          <w:snapToGrid/>
          <w:szCs w:val="22"/>
        </w:rPr>
        <w:t>Section 201(b) of the Act provides</w:t>
      </w:r>
      <w:r w:rsidR="002C4E2A" w:rsidRPr="00C86691">
        <w:rPr>
          <w:snapToGrid/>
          <w:szCs w:val="22"/>
        </w:rPr>
        <w:t xml:space="preserve"> that</w:t>
      </w:r>
      <w:r w:rsidRPr="00C86691">
        <w:rPr>
          <w:snapToGrid/>
          <w:szCs w:val="22"/>
        </w:rPr>
        <w:t xml:space="preserve"> “[a]ll charges, practices, classifications, and regulations for and in connection with [interstate and foreign] communication service, shall be just and reasonable, and any such charge, practice, classification, or regulation that is unjust or unreasonable is declared to be unlawful.”</w:t>
      </w:r>
      <w:r w:rsidRPr="00C86691">
        <w:rPr>
          <w:snapToGrid/>
          <w:szCs w:val="22"/>
          <w:vertAlign w:val="superscript"/>
        </w:rPr>
        <w:footnoteReference w:id="12"/>
      </w:r>
      <w:r w:rsidRPr="00C86691">
        <w:rPr>
          <w:szCs w:val="22"/>
        </w:rPr>
        <w:t xml:space="preserve">  Section 202(a) states</w:t>
      </w:r>
      <w:r w:rsidR="00C92032" w:rsidRPr="00C86691">
        <w:rPr>
          <w:szCs w:val="22"/>
        </w:rPr>
        <w:t xml:space="preserve"> that</w:t>
      </w:r>
      <w:r w:rsidRPr="00C86691">
        <w:rPr>
          <w:szCs w:val="22"/>
        </w:rPr>
        <w:t xml:space="preserve"> “[i]t shall be unlawful for any common carrier to make any unjust or unreasonable discrimination in charges, practices, classifications, regulations, facilities, or services for or in connection with like communication service, directly or indirectly, by any means or device, . . . or to subject any particular person, class of persons, or locality to any undue or unreasonable prejudice or disadvantage.”</w:t>
      </w:r>
      <w:r w:rsidRPr="00C86691">
        <w:rPr>
          <w:rStyle w:val="FootnoteReference"/>
          <w:sz w:val="22"/>
          <w:szCs w:val="22"/>
        </w:rPr>
        <w:footnoteReference w:id="13"/>
      </w:r>
      <w:r w:rsidRPr="00C86691">
        <w:rPr>
          <w:szCs w:val="22"/>
        </w:rPr>
        <w:t xml:space="preserve"> </w:t>
      </w:r>
    </w:p>
    <w:p w:rsidR="007760CA" w:rsidRPr="00C86691" w:rsidRDefault="007760CA" w:rsidP="007760CA">
      <w:pPr>
        <w:pStyle w:val="ParaNum"/>
        <w:widowControl/>
        <w:spacing w:after="240"/>
        <w:rPr>
          <w:szCs w:val="22"/>
        </w:rPr>
      </w:pPr>
      <w:r w:rsidRPr="00C86691">
        <w:rPr>
          <w:snapToGrid/>
          <w:kern w:val="0"/>
          <w:szCs w:val="22"/>
        </w:rPr>
        <w:t>The Commission has emphasized that “i</w:t>
      </w:r>
      <w:r w:rsidRPr="00C86691">
        <w:rPr>
          <w:snapToGrid/>
          <w:kern w:val="0"/>
          <w:szCs w:val="22"/>
          <w:shd w:val="clear" w:color="auto" w:fill="FFFFFF"/>
        </w:rPr>
        <w:t>t is vital that our Nation maintains a communications network </w:t>
      </w:r>
      <w:bookmarkStart w:id="1" w:name="SR;848"/>
      <w:bookmarkStart w:id="2" w:name="SR;849"/>
      <w:bookmarkEnd w:id="1"/>
      <w:bookmarkEnd w:id="2"/>
      <w:r w:rsidRPr="00C86691">
        <w:rPr>
          <w:snapToGrid/>
          <w:kern w:val="0"/>
          <w:szCs w:val="22"/>
          <w:shd w:val="clear" w:color="auto" w:fill="FFFFFF"/>
        </w:rPr>
        <w:t>that offers reliable and resilient service</w:t>
      </w:r>
      <w:r w:rsidRPr="00C86691">
        <w:rPr>
          <w:snapToGrid/>
          <w:kern w:val="0"/>
          <w:szCs w:val="22"/>
        </w:rPr>
        <w:t>.”</w:t>
      </w:r>
      <w:r w:rsidRPr="00C86691">
        <w:rPr>
          <w:snapToGrid/>
          <w:kern w:val="0"/>
          <w:szCs w:val="22"/>
          <w:vertAlign w:val="superscript"/>
        </w:rPr>
        <w:footnoteReference w:id="14"/>
      </w:r>
      <w:r w:rsidRPr="00C86691">
        <w:rPr>
          <w:snapToGrid/>
          <w:kern w:val="0"/>
          <w:szCs w:val="22"/>
        </w:rPr>
        <w:t xml:space="preserve">  The Commission has also recognized that “permitting blocking or the refusal to deliver voice telephone traffic, whether as a means of ‘self-help’ to address perceived unreasonable intercarrier compensation charges or otherwise, risks ‘degradation of the country’s telecommunications network.’”</w:t>
      </w:r>
      <w:r w:rsidRPr="00C86691">
        <w:rPr>
          <w:snapToGrid/>
          <w:kern w:val="0"/>
          <w:szCs w:val="22"/>
          <w:vertAlign w:val="superscript"/>
        </w:rPr>
        <w:footnoteReference w:id="15"/>
      </w:r>
      <w:r w:rsidRPr="00C86691">
        <w:rPr>
          <w:snapToGrid/>
          <w:kern w:val="0"/>
          <w:szCs w:val="22"/>
        </w:rPr>
        <w:t xml:space="preserve">  To prevent that result, the Commission </w:t>
      </w:r>
      <w:r w:rsidRPr="00C86691">
        <w:rPr>
          <w:snapToGrid/>
          <w:kern w:val="0"/>
          <w:szCs w:val="22"/>
        </w:rPr>
        <w:lastRenderedPageBreak/>
        <w:t>has consistently held that telecommunications carriers, including interexchange carriers, generally may not “‘block, choke, reduce or restrict traffic in any way.’”</w:t>
      </w:r>
      <w:r w:rsidRPr="00C86691">
        <w:rPr>
          <w:snapToGrid/>
          <w:kern w:val="0"/>
          <w:szCs w:val="22"/>
          <w:vertAlign w:val="superscript"/>
        </w:rPr>
        <w:footnoteReference w:id="16"/>
      </w:r>
    </w:p>
    <w:p w:rsidR="007760CA" w:rsidRPr="00C86691" w:rsidRDefault="007760CA" w:rsidP="007760CA">
      <w:pPr>
        <w:pStyle w:val="ParaNum"/>
        <w:widowControl/>
        <w:spacing w:after="240"/>
        <w:rPr>
          <w:szCs w:val="22"/>
        </w:rPr>
      </w:pPr>
      <w:r w:rsidRPr="00C86691">
        <w:rPr>
          <w:szCs w:val="22"/>
        </w:rPr>
        <w:t>In June 2011, a coalition of trade associations representing rural rate-of-return incumbent local exchange carriers (LECs) sent a letter to the Bureau concerning “a nationwide and industry-wide epidemic” of calls to rural LEC service areas failing to complete or having poor call quality.</w:t>
      </w:r>
      <w:r w:rsidRPr="00C86691">
        <w:rPr>
          <w:szCs w:val="22"/>
          <w:vertAlign w:val="superscript"/>
        </w:rPr>
        <w:footnoteReference w:id="17"/>
      </w:r>
      <w:r w:rsidRPr="00C86691">
        <w:rPr>
          <w:szCs w:val="22"/>
        </w:rPr>
        <w:t xml:space="preserve">  In September 2011, the Commission announced that it had created a Rural Call Completion Task Force “to investigate and address the growing problem of calls to rural customers that are being delayed or that fail to connect.”</w:t>
      </w:r>
      <w:r w:rsidRPr="00C86691">
        <w:rPr>
          <w:szCs w:val="22"/>
          <w:vertAlign w:val="superscript"/>
        </w:rPr>
        <w:footnoteReference w:id="18"/>
      </w:r>
    </w:p>
    <w:p w:rsidR="00323039" w:rsidRPr="00C86691" w:rsidRDefault="007760CA" w:rsidP="00323039">
      <w:pPr>
        <w:pStyle w:val="ParaNum"/>
        <w:rPr>
          <w:szCs w:val="22"/>
        </w:rPr>
      </w:pPr>
      <w:r w:rsidRPr="00C86691">
        <w:rPr>
          <w:szCs w:val="22"/>
        </w:rPr>
        <w:t xml:space="preserve">On February 6, 2012, the Commission’s Wireline Competition Bureau (WCB) </w:t>
      </w:r>
      <w:r w:rsidR="00447A1A" w:rsidRPr="00C86691">
        <w:rPr>
          <w:szCs w:val="22"/>
        </w:rPr>
        <w:t xml:space="preserve">issued the </w:t>
      </w:r>
      <w:r w:rsidR="00447A1A" w:rsidRPr="00C86691">
        <w:rPr>
          <w:i/>
          <w:szCs w:val="22"/>
        </w:rPr>
        <w:t>Rural Call Completion Declaratory Ruling</w:t>
      </w:r>
      <w:r w:rsidR="00447A1A" w:rsidRPr="00C86691">
        <w:rPr>
          <w:szCs w:val="22"/>
        </w:rPr>
        <w:t xml:space="preserve">, which </w:t>
      </w:r>
      <w:r w:rsidRPr="00C86691">
        <w:rPr>
          <w:szCs w:val="22"/>
        </w:rPr>
        <w:t>“clarif[ied] that a carrier that knows or should know that calls are not being completed to certain areas, and that engages in acts (or omissions) that allow or effectively allow these conditions to persist, may be liable for a violation of section 201 of the Act.”</w:t>
      </w:r>
      <w:r w:rsidRPr="00C86691">
        <w:rPr>
          <w:rStyle w:val="FootnoteReference"/>
          <w:sz w:val="22"/>
          <w:szCs w:val="22"/>
        </w:rPr>
        <w:footnoteReference w:id="19"/>
      </w:r>
      <w:r w:rsidRPr="00C86691">
        <w:rPr>
          <w:szCs w:val="22"/>
        </w:rPr>
        <w:t xml:space="preserve">  It found that “it is an unjust and unreasonable practice in violation of section 201 of the Act for a carrier that knows or should know that it is providing degraded service to certain areas to fail to correct the problem or to fail to ensure that intermediate providers, least-cost routers, or other entities acting for or employed by the carrier are performing adequately.”</w:t>
      </w:r>
      <w:r w:rsidRPr="00C86691">
        <w:rPr>
          <w:szCs w:val="22"/>
          <w:vertAlign w:val="superscript"/>
        </w:rPr>
        <w:footnoteReference w:id="20"/>
      </w:r>
      <w:r w:rsidRPr="00C86691">
        <w:rPr>
          <w:szCs w:val="22"/>
        </w:rPr>
        <w:t xml:space="preserve">  WCB further clarified that “adopting or perpetuating routing practices that result in lower quality service to rural or high-cost localities than like service to urban or lower cost localities (including other lower cost rural areas) may, in the absence of a persuasive explanation, constitute unjust or unreasonable discrimination in practices, facilities, or services and violate section 202 of the Act.”</w:t>
      </w:r>
      <w:r w:rsidRPr="00C86691">
        <w:rPr>
          <w:szCs w:val="22"/>
          <w:vertAlign w:val="superscript"/>
        </w:rPr>
        <w:footnoteReference w:id="21"/>
      </w:r>
      <w:r w:rsidR="00323039" w:rsidRPr="00C86691">
        <w:rPr>
          <w:szCs w:val="22"/>
        </w:rPr>
        <w:t xml:space="preserve"> </w:t>
      </w:r>
    </w:p>
    <w:p w:rsidR="00323039" w:rsidRPr="00C86691" w:rsidRDefault="00323039" w:rsidP="00AB4EEF">
      <w:pPr>
        <w:pStyle w:val="ParaNum"/>
      </w:pPr>
      <w:r w:rsidRPr="00C86691">
        <w:t xml:space="preserve">On November 8, 2013, the Commission released the </w:t>
      </w:r>
      <w:r w:rsidRPr="00C86691">
        <w:rPr>
          <w:i/>
        </w:rPr>
        <w:t>Rural Call Completion Order</w:t>
      </w:r>
      <w:r w:rsidRPr="00C86691">
        <w:t>, which adopted rules requiring covered providers to record, retain, and report to the Commission call answer rates for long-distance calls.</w:t>
      </w:r>
      <w:r w:rsidRPr="00C86691">
        <w:rPr>
          <w:rStyle w:val="FootnoteReference"/>
          <w:sz w:val="22"/>
          <w:szCs w:val="22"/>
        </w:rPr>
        <w:footnoteReference w:id="22"/>
      </w:r>
      <w:r w:rsidRPr="00C86691">
        <w:t xml:space="preserve">  The Commission found that “rural call completion problems are serious and widespread,”</w:t>
      </w:r>
      <w:r w:rsidRPr="00C86691">
        <w:rPr>
          <w:rStyle w:val="FootnoteReference"/>
          <w:sz w:val="22"/>
          <w:szCs w:val="22"/>
        </w:rPr>
        <w:footnoteReference w:id="23"/>
      </w:r>
      <w:r w:rsidRPr="00C86691">
        <w:t xml:space="preserve"> and that “[t]hese failures have significant and immediate public interest ramifications, causing rural businesses to lose customers, cutting families off from their relatives in rural areas, and creating potential for dangerous delays in public safety communications in rural areas.”</w:t>
      </w:r>
      <w:r w:rsidRPr="00C86691">
        <w:rPr>
          <w:rStyle w:val="FootnoteReference"/>
          <w:sz w:val="22"/>
          <w:szCs w:val="22"/>
        </w:rPr>
        <w:footnoteReference w:id="24"/>
      </w:r>
      <w:r w:rsidRPr="00C86691">
        <w:t xml:space="preserve">  The new rules require “covered providers”</w:t>
      </w:r>
      <w:r w:rsidRPr="00C86691">
        <w:rPr>
          <w:rStyle w:val="FootnoteReference"/>
          <w:sz w:val="22"/>
          <w:szCs w:val="22"/>
        </w:rPr>
        <w:footnoteReference w:id="25"/>
      </w:r>
      <w:r w:rsidRPr="00C86691">
        <w:t xml:space="preserve"> to record and retain detailed information about long-distance calls </w:t>
      </w:r>
      <w:r w:rsidRPr="00C86691">
        <w:lastRenderedPageBreak/>
        <w:t>to customers of incumbent rural LECs,</w:t>
      </w:r>
      <w:r w:rsidRPr="00C86691">
        <w:rPr>
          <w:rStyle w:val="FootnoteReference"/>
          <w:sz w:val="22"/>
          <w:szCs w:val="22"/>
        </w:rPr>
        <w:footnoteReference w:id="26"/>
      </w:r>
      <w:r w:rsidRPr="00C86691">
        <w:t xml:space="preserve"> identified by OCN. The rules also require covered providers to report to the Commission, on a quarterly basis, answer rates </w:t>
      </w:r>
      <w:r w:rsidR="00B52932" w:rsidRPr="00C86691">
        <w:t xml:space="preserve">and call completion rates </w:t>
      </w:r>
      <w:r w:rsidRPr="00C86691">
        <w:t xml:space="preserve">for long-distance calls delivered to each rural OCN and answer rates </w:t>
      </w:r>
      <w:r w:rsidR="00B52932" w:rsidRPr="00C86691">
        <w:t xml:space="preserve">and call completion rates </w:t>
      </w:r>
      <w:r w:rsidRPr="00C86691">
        <w:t>for long-distance calls delivered to non-rural OCNs in the aggregate.</w:t>
      </w:r>
      <w:r w:rsidRPr="00C86691">
        <w:rPr>
          <w:rStyle w:val="FootnoteReference"/>
          <w:sz w:val="22"/>
          <w:szCs w:val="22"/>
        </w:rPr>
        <w:footnoteReference w:id="27"/>
      </w:r>
      <w:r w:rsidRPr="00C86691">
        <w:t xml:space="preserve">  The information collections required by the </w:t>
      </w:r>
      <w:r w:rsidRPr="00C86691">
        <w:rPr>
          <w:i/>
        </w:rPr>
        <w:t>Rural Call Completion Order</w:t>
      </w:r>
      <w:r w:rsidRPr="00C86691">
        <w:t xml:space="preserve"> will go into effect after the Office of Management and Budget approves the information collections and the Commission publishes a notice in the Federal Register announcing their effective date(s).</w:t>
      </w:r>
      <w:r w:rsidRPr="00C86691">
        <w:rPr>
          <w:rStyle w:val="FootnoteReference"/>
          <w:sz w:val="22"/>
          <w:szCs w:val="22"/>
        </w:rPr>
        <w:footnoteReference w:id="28"/>
      </w:r>
      <w:r w:rsidRPr="00C86691">
        <w:t xml:space="preserve"> </w:t>
      </w:r>
    </w:p>
    <w:p w:rsidR="00323039" w:rsidRPr="00C86691" w:rsidRDefault="00323039" w:rsidP="00323039">
      <w:pPr>
        <w:pStyle w:val="ParaNum"/>
        <w:rPr>
          <w:szCs w:val="22"/>
        </w:rPr>
      </w:pPr>
      <w:r w:rsidRPr="00C86691">
        <w:rPr>
          <w:szCs w:val="22"/>
        </w:rPr>
        <w:t xml:space="preserve">In its 2014 </w:t>
      </w:r>
      <w:r w:rsidRPr="00C86691">
        <w:rPr>
          <w:i/>
          <w:szCs w:val="22"/>
        </w:rPr>
        <w:t>Rural Call Completion Reconsideration Order</w:t>
      </w:r>
      <w:r w:rsidRPr="00C86691">
        <w:rPr>
          <w:szCs w:val="22"/>
        </w:rPr>
        <w:t xml:space="preserve">, the Commission </w:t>
      </w:r>
      <w:r w:rsidR="00B52932" w:rsidRPr="00C86691">
        <w:rPr>
          <w:szCs w:val="22"/>
        </w:rPr>
        <w:t xml:space="preserve">stated </w:t>
      </w:r>
      <w:r w:rsidRPr="00C86691">
        <w:rPr>
          <w:szCs w:val="22"/>
        </w:rPr>
        <w:t>that a failure “to investigate evidence of a rural call delivery problem or to correct a problem of degraded service about which [a carrier] knows or should know … may lead to enforcement action.”</w:t>
      </w:r>
      <w:r w:rsidRPr="00C86691">
        <w:rPr>
          <w:rStyle w:val="FootnoteReference"/>
          <w:sz w:val="22"/>
          <w:szCs w:val="22"/>
        </w:rPr>
        <w:footnoteReference w:id="29"/>
      </w:r>
    </w:p>
    <w:p w:rsidR="0076646D" w:rsidRPr="00C86691" w:rsidRDefault="00094385" w:rsidP="0076646D">
      <w:pPr>
        <w:pStyle w:val="ParaNum"/>
        <w:widowControl/>
        <w:spacing w:after="240"/>
        <w:rPr>
          <w:szCs w:val="22"/>
        </w:rPr>
      </w:pPr>
      <w:r w:rsidRPr="00C86691">
        <w:rPr>
          <w:szCs w:val="22"/>
        </w:rPr>
        <w:t xml:space="preserve">Verizon </w:t>
      </w:r>
      <w:r w:rsidR="009F1F16" w:rsidRPr="00C86691">
        <w:rPr>
          <w:szCs w:val="22"/>
        </w:rPr>
        <w:t xml:space="preserve">and its affiliates are among </w:t>
      </w:r>
      <w:r w:rsidRPr="00C86691">
        <w:rPr>
          <w:szCs w:val="22"/>
        </w:rPr>
        <w:t>the world’s leading providers of communications</w:t>
      </w:r>
      <w:r w:rsidR="009F1F16" w:rsidRPr="00C86691">
        <w:rPr>
          <w:szCs w:val="22"/>
        </w:rPr>
        <w:t xml:space="preserve">.  </w:t>
      </w:r>
      <w:r w:rsidR="00CC0230" w:rsidRPr="00C86691">
        <w:rPr>
          <w:szCs w:val="22"/>
        </w:rPr>
        <w:t xml:space="preserve">Verizon and its wireline affiliates </w:t>
      </w:r>
      <w:r w:rsidRPr="00C86691">
        <w:rPr>
          <w:szCs w:val="22"/>
        </w:rPr>
        <w:t xml:space="preserve">provide </w:t>
      </w:r>
      <w:r w:rsidR="004C1E9A" w:rsidRPr="00C86691">
        <w:rPr>
          <w:szCs w:val="22"/>
        </w:rPr>
        <w:t xml:space="preserve">retail and wholesale </w:t>
      </w:r>
      <w:r w:rsidRPr="00C86691">
        <w:rPr>
          <w:szCs w:val="22"/>
        </w:rPr>
        <w:t xml:space="preserve">local and long distance voice services to </w:t>
      </w:r>
      <w:r w:rsidR="004C1E9A" w:rsidRPr="00C86691">
        <w:rPr>
          <w:szCs w:val="22"/>
        </w:rPr>
        <w:t xml:space="preserve">customers </w:t>
      </w:r>
      <w:r w:rsidRPr="00C86691">
        <w:rPr>
          <w:szCs w:val="22"/>
        </w:rPr>
        <w:t xml:space="preserve">and carriers, including to </w:t>
      </w:r>
      <w:r w:rsidR="009F1F16" w:rsidRPr="00C86691">
        <w:rPr>
          <w:szCs w:val="22"/>
        </w:rPr>
        <w:t xml:space="preserve">their </w:t>
      </w:r>
      <w:r w:rsidRPr="00C86691">
        <w:rPr>
          <w:szCs w:val="22"/>
        </w:rPr>
        <w:t xml:space="preserve">wireless affiliate, Verizon Wireless, as well as to businesses and government customers.  </w:t>
      </w:r>
      <w:r w:rsidR="00717B38" w:rsidRPr="00C86691">
        <w:rPr>
          <w:szCs w:val="22"/>
        </w:rPr>
        <w:t xml:space="preserve"> </w:t>
      </w:r>
      <w:r w:rsidR="00BA5BAA" w:rsidRPr="00C86691">
        <w:rPr>
          <w:szCs w:val="22"/>
        </w:rPr>
        <w:t xml:space="preserve"> </w:t>
      </w:r>
    </w:p>
    <w:p w:rsidR="0076646D" w:rsidRPr="00C86691" w:rsidRDefault="00EA53AE" w:rsidP="0076646D">
      <w:pPr>
        <w:pStyle w:val="ParaNum"/>
        <w:widowControl/>
        <w:spacing w:after="240"/>
        <w:rPr>
          <w:szCs w:val="22"/>
        </w:rPr>
      </w:pPr>
      <w:r w:rsidRPr="00C86691">
        <w:rPr>
          <w:szCs w:val="22"/>
        </w:rPr>
        <w:t>In April 2013, Verizon began to collect weekly samples of its call answer rates to individual rural incumbent LECs, identified by OCN.</w:t>
      </w:r>
      <w:bookmarkStart w:id="3" w:name="_Ref402881710"/>
      <w:r w:rsidRPr="00C86691">
        <w:rPr>
          <w:szCs w:val="22"/>
          <w:vertAlign w:val="superscript"/>
        </w:rPr>
        <w:footnoteReference w:id="30"/>
      </w:r>
      <w:bookmarkEnd w:id="3"/>
      <w:r w:rsidRPr="00C86691">
        <w:rPr>
          <w:szCs w:val="22"/>
        </w:rPr>
        <w:t xml:space="preserve">  These </w:t>
      </w:r>
      <w:r w:rsidR="0022166D" w:rsidRPr="00C86691">
        <w:rPr>
          <w:szCs w:val="22"/>
        </w:rPr>
        <w:t xml:space="preserve">samples </w:t>
      </w:r>
      <w:r w:rsidRPr="00C86691">
        <w:rPr>
          <w:szCs w:val="22"/>
        </w:rPr>
        <w:t xml:space="preserve">captured, for Wednesday of each week, all </w:t>
      </w:r>
      <w:r w:rsidRPr="00C86691">
        <w:rPr>
          <w:color w:val="000000"/>
          <w:szCs w:val="22"/>
        </w:rPr>
        <w:t xml:space="preserve">retail and wholesale traffic </w:t>
      </w:r>
      <w:r w:rsidR="0081558D" w:rsidRPr="00C86691">
        <w:rPr>
          <w:color w:val="000000"/>
          <w:szCs w:val="22"/>
        </w:rPr>
        <w:t>handled by</w:t>
      </w:r>
      <w:r w:rsidRPr="00C86691">
        <w:rPr>
          <w:color w:val="000000"/>
          <w:szCs w:val="22"/>
        </w:rPr>
        <w:t xml:space="preserve"> Verizon’s TDM (Time Division Multiplex) </w:t>
      </w:r>
    </w:p>
    <w:p w:rsidR="0076646D" w:rsidRPr="00C86691" w:rsidRDefault="00EA53AE" w:rsidP="00E821FA">
      <w:pPr>
        <w:pStyle w:val="ParaNum"/>
        <w:widowControl/>
        <w:numPr>
          <w:ilvl w:val="0"/>
          <w:numId w:val="0"/>
        </w:numPr>
        <w:spacing w:after="240"/>
        <w:ind w:left="1440" w:right="720"/>
        <w:rPr>
          <w:szCs w:val="22"/>
        </w:rPr>
      </w:pPr>
      <w:r w:rsidRPr="00C86691">
        <w:rPr>
          <w:szCs w:val="22"/>
        </w:rPr>
        <w:t>long distance networks [that was] destined to wireline local exchange carriers in rural areas.  The data indicate the number of calls attempted to each rural destination and whether or not the call was answered, based on whether an SS7 Answer Message was generated for the call.</w:t>
      </w:r>
      <w:r w:rsidRPr="00C86691">
        <w:rPr>
          <w:szCs w:val="22"/>
          <w:vertAlign w:val="superscript"/>
        </w:rPr>
        <w:footnoteReference w:id="31"/>
      </w:r>
      <w:r w:rsidR="0076646D" w:rsidRPr="00C86691">
        <w:rPr>
          <w:szCs w:val="22"/>
        </w:rPr>
        <w:t xml:space="preserve">  </w:t>
      </w:r>
    </w:p>
    <w:p w:rsidR="0076646D" w:rsidRPr="00C86691" w:rsidRDefault="00EA53AE" w:rsidP="00E821FA">
      <w:pPr>
        <w:pStyle w:val="ParaNum"/>
        <w:widowControl/>
        <w:numPr>
          <w:ilvl w:val="0"/>
          <w:numId w:val="0"/>
        </w:numPr>
        <w:spacing w:after="240"/>
        <w:rPr>
          <w:szCs w:val="22"/>
        </w:rPr>
      </w:pPr>
      <w:r w:rsidRPr="00C86691">
        <w:rPr>
          <w:szCs w:val="22"/>
        </w:rPr>
        <w:t>Verizon collected this information for each Wednesday between April 24 and December 25, 2013 and periodically provided its weekly reports to the Enforcement Bureau.</w:t>
      </w:r>
      <w:r w:rsidRPr="00C86691">
        <w:rPr>
          <w:szCs w:val="22"/>
          <w:vertAlign w:val="superscript"/>
        </w:rPr>
        <w:footnoteReference w:id="32"/>
      </w:r>
      <w:r w:rsidRPr="00C86691">
        <w:rPr>
          <w:szCs w:val="22"/>
        </w:rPr>
        <w:t xml:space="preserve">  </w:t>
      </w:r>
    </w:p>
    <w:p w:rsidR="007B0D37" w:rsidRPr="00C86691" w:rsidRDefault="00EA53AE" w:rsidP="00AD2814">
      <w:pPr>
        <w:pStyle w:val="ParaNum"/>
        <w:widowControl/>
        <w:spacing w:after="240"/>
        <w:rPr>
          <w:szCs w:val="22"/>
        </w:rPr>
      </w:pPr>
      <w:r w:rsidRPr="00C86691">
        <w:rPr>
          <w:szCs w:val="22"/>
        </w:rPr>
        <w:lastRenderedPageBreak/>
        <w:t xml:space="preserve">After reviewing all of Verizon’s reports for 2013, the Bureau issued a letter of inquiry (LOI) to Verizon seeking information </w:t>
      </w:r>
      <w:r w:rsidR="00301368" w:rsidRPr="00C86691">
        <w:rPr>
          <w:szCs w:val="22"/>
        </w:rPr>
        <w:t>about</w:t>
      </w:r>
      <w:r w:rsidRPr="00C86691">
        <w:rPr>
          <w:szCs w:val="22"/>
        </w:rPr>
        <w:t xml:space="preserve"> what efforts Verizon had made to investigate </w:t>
      </w:r>
      <w:r w:rsidR="00DC3EA5" w:rsidRPr="00C86691">
        <w:rPr>
          <w:szCs w:val="22"/>
        </w:rPr>
        <w:t xml:space="preserve">the causes of its persistently </w:t>
      </w:r>
      <w:r w:rsidRPr="00C86691">
        <w:rPr>
          <w:szCs w:val="22"/>
        </w:rPr>
        <w:t xml:space="preserve">low call answer rates in 39 </w:t>
      </w:r>
      <w:r w:rsidR="00016941" w:rsidRPr="00C86691">
        <w:rPr>
          <w:szCs w:val="22"/>
        </w:rPr>
        <w:t xml:space="preserve">specific </w:t>
      </w:r>
      <w:r w:rsidRPr="00C86691">
        <w:rPr>
          <w:szCs w:val="22"/>
        </w:rPr>
        <w:t>rural OCNs.</w:t>
      </w:r>
      <w:r w:rsidRPr="00C86691">
        <w:rPr>
          <w:szCs w:val="22"/>
          <w:vertAlign w:val="superscript"/>
        </w:rPr>
        <w:footnoteReference w:id="33"/>
      </w:r>
      <w:r w:rsidRPr="00C86691">
        <w:rPr>
          <w:szCs w:val="22"/>
        </w:rPr>
        <w:t xml:space="preserve">  In its April 4, 2014 response</w:t>
      </w:r>
      <w:r w:rsidRPr="00C86691">
        <w:rPr>
          <w:rFonts w:eastAsiaTheme="minorEastAsia"/>
          <w:szCs w:val="22"/>
        </w:rPr>
        <w:t xml:space="preserve"> to the LOI, Verizon </w:t>
      </w:r>
      <w:r w:rsidR="0081558D" w:rsidRPr="00C86691">
        <w:rPr>
          <w:rFonts w:eastAsiaTheme="minorEastAsia"/>
          <w:szCs w:val="22"/>
        </w:rPr>
        <w:t>acknowledg</w:t>
      </w:r>
      <w:r w:rsidR="00B52932" w:rsidRPr="00C86691">
        <w:rPr>
          <w:rFonts w:eastAsiaTheme="minorEastAsia"/>
          <w:szCs w:val="22"/>
        </w:rPr>
        <w:t xml:space="preserve">ed </w:t>
      </w:r>
      <w:r w:rsidRPr="00C86691">
        <w:rPr>
          <w:rFonts w:eastAsiaTheme="minorEastAsia"/>
          <w:szCs w:val="22"/>
        </w:rPr>
        <w:t xml:space="preserve">that, although it had previously initiated investigations </w:t>
      </w:r>
      <w:r w:rsidR="00B52932" w:rsidRPr="00C86691">
        <w:rPr>
          <w:rFonts w:eastAsiaTheme="minorEastAsia"/>
          <w:szCs w:val="22"/>
        </w:rPr>
        <w:t xml:space="preserve">or taken remedial action </w:t>
      </w:r>
      <w:r w:rsidR="002128EE" w:rsidRPr="00C86691">
        <w:rPr>
          <w:rFonts w:eastAsiaTheme="minorEastAsia"/>
          <w:szCs w:val="22"/>
        </w:rPr>
        <w:t>for</w:t>
      </w:r>
      <w:r w:rsidRPr="00C86691">
        <w:rPr>
          <w:rFonts w:eastAsiaTheme="minorEastAsia"/>
          <w:szCs w:val="22"/>
        </w:rPr>
        <w:t xml:space="preserve"> 13 of the 39 OCNs, it had not </w:t>
      </w:r>
      <w:r w:rsidR="00B52932" w:rsidRPr="00C86691">
        <w:rPr>
          <w:rFonts w:eastAsiaTheme="minorEastAsia"/>
          <w:szCs w:val="22"/>
        </w:rPr>
        <w:t xml:space="preserve">done so </w:t>
      </w:r>
      <w:r w:rsidR="002128EE" w:rsidRPr="00C86691">
        <w:rPr>
          <w:rFonts w:eastAsiaTheme="minorEastAsia"/>
          <w:szCs w:val="22"/>
        </w:rPr>
        <w:t>for</w:t>
      </w:r>
      <w:r w:rsidRPr="00C86691">
        <w:rPr>
          <w:rFonts w:eastAsiaTheme="minorEastAsia"/>
          <w:szCs w:val="22"/>
        </w:rPr>
        <w:t xml:space="preserve"> the remaining 26 OCNs prior to being served with the LOI.</w:t>
      </w:r>
      <w:r w:rsidRPr="00C86691">
        <w:rPr>
          <w:rFonts w:eastAsiaTheme="minorEastAsia"/>
          <w:szCs w:val="22"/>
          <w:vertAlign w:val="superscript"/>
        </w:rPr>
        <w:footnoteReference w:id="34"/>
      </w:r>
      <w:r w:rsidRPr="00C86691">
        <w:rPr>
          <w:rFonts w:eastAsiaTheme="minorEastAsia"/>
          <w:szCs w:val="22"/>
        </w:rPr>
        <w:t xml:space="preserve">  </w:t>
      </w:r>
      <w:r w:rsidR="00020C87" w:rsidRPr="00C86691">
        <w:rPr>
          <w:rFonts w:eastAsiaTheme="minorEastAsia"/>
          <w:szCs w:val="22"/>
        </w:rPr>
        <w:t>Verizon did undertake an investigation of the remaining 26 OCNs after receiving the LOI and provided the results to the Bureau showing that</w:t>
      </w:r>
      <w:r w:rsidR="00955201">
        <w:rPr>
          <w:rFonts w:eastAsiaTheme="minorEastAsia"/>
          <w:szCs w:val="22"/>
        </w:rPr>
        <w:t>, in Verizon’s estimation,</w:t>
      </w:r>
      <w:r w:rsidR="00020C87" w:rsidRPr="00C86691">
        <w:rPr>
          <w:rFonts w:eastAsiaTheme="minorEastAsia"/>
          <w:szCs w:val="22"/>
        </w:rPr>
        <w:t xml:space="preserve"> the low call answer rates were not attributable to Verizon’s network or call completion practices.</w:t>
      </w:r>
      <w:r w:rsidR="004A6D1C" w:rsidRPr="00C86691">
        <w:rPr>
          <w:rFonts w:eastAsiaTheme="minorEastAsia"/>
          <w:szCs w:val="22"/>
        </w:rPr>
        <w:t xml:space="preserve"> </w:t>
      </w:r>
    </w:p>
    <w:p w:rsidR="00E02214" w:rsidRPr="00C86691" w:rsidRDefault="00E02214" w:rsidP="001B74D4">
      <w:pPr>
        <w:pStyle w:val="Heading1"/>
        <w:rPr>
          <w:rFonts w:ascii="Times New Roman" w:hAnsi="Times New Roman"/>
          <w:szCs w:val="22"/>
        </w:rPr>
      </w:pPr>
      <w:bookmarkStart w:id="4" w:name="FN[FN18]"/>
      <w:bookmarkEnd w:id="4"/>
      <w:r w:rsidRPr="00C86691">
        <w:rPr>
          <w:rFonts w:ascii="Times New Roman" w:hAnsi="Times New Roman"/>
          <w:szCs w:val="22"/>
        </w:rPr>
        <w:t>TERMS OF AGREEMENT</w:t>
      </w:r>
    </w:p>
    <w:p w:rsidR="00E02214" w:rsidRPr="00C86691" w:rsidRDefault="00E02214" w:rsidP="001B74D4">
      <w:pPr>
        <w:pStyle w:val="ParaNum"/>
        <w:rPr>
          <w:szCs w:val="22"/>
        </w:rPr>
      </w:pPr>
      <w:r w:rsidRPr="00C86691">
        <w:rPr>
          <w:b/>
          <w:szCs w:val="22"/>
          <w:u w:val="single"/>
        </w:rPr>
        <w:t>Adopting Order</w:t>
      </w:r>
      <w:r w:rsidR="00CE68FE" w:rsidRPr="00C86691">
        <w:rPr>
          <w:szCs w:val="22"/>
        </w:rPr>
        <w:t xml:space="preserve">.  The provisions of this Consent Decree shall be incorporated by the </w:t>
      </w:r>
      <w:r w:rsidR="00F671EA" w:rsidRPr="00C86691">
        <w:rPr>
          <w:szCs w:val="22"/>
        </w:rPr>
        <w:t xml:space="preserve">Commission or the </w:t>
      </w:r>
      <w:r w:rsidR="00CE68FE" w:rsidRPr="00C86691">
        <w:rPr>
          <w:szCs w:val="22"/>
        </w:rPr>
        <w:t>Bureau in an Adopting Order without change, addition, deletion, or modification</w:t>
      </w:r>
      <w:r w:rsidRPr="00C86691">
        <w:rPr>
          <w:szCs w:val="22"/>
        </w:rPr>
        <w:t>.</w:t>
      </w:r>
    </w:p>
    <w:p w:rsidR="00E02214" w:rsidRPr="00C86691" w:rsidRDefault="00E02214" w:rsidP="00073450">
      <w:pPr>
        <w:pStyle w:val="ParaNum"/>
        <w:widowControl/>
        <w:rPr>
          <w:szCs w:val="22"/>
        </w:rPr>
      </w:pPr>
      <w:r w:rsidRPr="00C86691">
        <w:rPr>
          <w:b/>
          <w:szCs w:val="22"/>
          <w:u w:val="single"/>
        </w:rPr>
        <w:t>Jurisdiction</w:t>
      </w:r>
      <w:r w:rsidRPr="00C86691">
        <w:rPr>
          <w:szCs w:val="22"/>
        </w:rPr>
        <w:t xml:space="preserve">.  </w:t>
      </w:r>
      <w:r w:rsidR="00D95583" w:rsidRPr="00C86691">
        <w:rPr>
          <w:szCs w:val="22"/>
        </w:rPr>
        <w:t>Verizon</w:t>
      </w:r>
      <w:r w:rsidR="00EF30D3" w:rsidRPr="00C86691">
        <w:rPr>
          <w:szCs w:val="22"/>
        </w:rPr>
        <w:t xml:space="preserve"> </w:t>
      </w:r>
      <w:r w:rsidRPr="00C86691">
        <w:rPr>
          <w:szCs w:val="22"/>
        </w:rPr>
        <w:t xml:space="preserve">agrees that the </w:t>
      </w:r>
      <w:r w:rsidR="008B1570" w:rsidRPr="00C86691">
        <w:rPr>
          <w:szCs w:val="22"/>
        </w:rPr>
        <w:t xml:space="preserve">Commission, acting through the </w:t>
      </w:r>
      <w:r w:rsidR="00C055F7" w:rsidRPr="00C86691">
        <w:rPr>
          <w:szCs w:val="22"/>
        </w:rPr>
        <w:t>Bureau</w:t>
      </w:r>
      <w:r w:rsidR="008B1570" w:rsidRPr="00C86691">
        <w:rPr>
          <w:szCs w:val="22"/>
        </w:rPr>
        <w:t>,</w:t>
      </w:r>
      <w:r w:rsidR="00C055F7" w:rsidRPr="00C86691">
        <w:rPr>
          <w:szCs w:val="22"/>
        </w:rPr>
        <w:t xml:space="preserve"> </w:t>
      </w:r>
      <w:r w:rsidRPr="00C86691">
        <w:rPr>
          <w:szCs w:val="22"/>
        </w:rPr>
        <w:t>has jurisdiction over it and the matters contained in this Con</w:t>
      </w:r>
      <w:r w:rsidR="00073450" w:rsidRPr="00C86691">
        <w:rPr>
          <w:szCs w:val="22"/>
        </w:rPr>
        <w:t xml:space="preserve">sent Decree and </w:t>
      </w:r>
      <w:r w:rsidRPr="00C86691">
        <w:rPr>
          <w:szCs w:val="22"/>
        </w:rPr>
        <w:t>has the authority to enter into and adopt this Consent Decree.</w:t>
      </w:r>
    </w:p>
    <w:p w:rsidR="0013249B" w:rsidRPr="00C86691" w:rsidRDefault="00E02214" w:rsidP="00B26748">
      <w:pPr>
        <w:pStyle w:val="ParaNum"/>
        <w:widowControl/>
        <w:rPr>
          <w:szCs w:val="22"/>
        </w:rPr>
      </w:pPr>
      <w:r w:rsidRPr="00C86691">
        <w:rPr>
          <w:b/>
          <w:szCs w:val="22"/>
          <w:u w:val="single"/>
        </w:rPr>
        <w:t>Effective Date; Violations</w:t>
      </w:r>
      <w:r w:rsidRPr="00C86691">
        <w:rPr>
          <w:szCs w:val="22"/>
        </w:rPr>
        <w:t xml:space="preserve">.  The Parties agree that this Consent Decree shall become effective on the Effective Date as defined herein.  As of the Effective Date, the </w:t>
      </w:r>
      <w:r w:rsidR="00CE68FE" w:rsidRPr="00C86691">
        <w:rPr>
          <w:szCs w:val="22"/>
        </w:rPr>
        <w:t xml:space="preserve">Parties agree that </w:t>
      </w:r>
      <w:r w:rsidRPr="00C86691">
        <w:rPr>
          <w:szCs w:val="22"/>
        </w:rPr>
        <w:t xml:space="preserve">this Consent Decree shall have the same force and effect as any other order of the Commission.  </w:t>
      </w:r>
    </w:p>
    <w:p w:rsidR="00F16CFE" w:rsidRPr="00C86691" w:rsidRDefault="00E02214" w:rsidP="00F16CFE">
      <w:pPr>
        <w:pStyle w:val="ParaNum"/>
        <w:widowControl/>
        <w:rPr>
          <w:szCs w:val="22"/>
        </w:rPr>
      </w:pPr>
      <w:r w:rsidRPr="00C86691">
        <w:rPr>
          <w:b/>
          <w:szCs w:val="22"/>
          <w:u w:val="single"/>
        </w:rPr>
        <w:t>Termination of Investigation</w:t>
      </w:r>
      <w:r w:rsidRPr="00C86691">
        <w:rPr>
          <w:szCs w:val="22"/>
        </w:rPr>
        <w:t>.  In express reliance on the covenants and representations in this Consent Decree and to avoid further expenditure of public resources, the Bureau agrees to terminate the Investigation</w:t>
      </w:r>
      <w:r w:rsidR="000762EF" w:rsidRPr="00C86691">
        <w:rPr>
          <w:szCs w:val="22"/>
        </w:rPr>
        <w:t xml:space="preserve"> </w:t>
      </w:r>
      <w:r w:rsidR="00424121">
        <w:rPr>
          <w:szCs w:val="22"/>
        </w:rPr>
        <w:t xml:space="preserve">of </w:t>
      </w:r>
      <w:r w:rsidR="007F1BAD">
        <w:rPr>
          <w:szCs w:val="22"/>
        </w:rPr>
        <w:t>Verizon and its regulated affiliates</w:t>
      </w:r>
      <w:r w:rsidRPr="00C86691">
        <w:rPr>
          <w:szCs w:val="22"/>
        </w:rPr>
        <w:t xml:space="preserve">.  In consideration for </w:t>
      </w:r>
      <w:r w:rsidR="007A541A" w:rsidRPr="00C86691">
        <w:rPr>
          <w:szCs w:val="22"/>
        </w:rPr>
        <w:t xml:space="preserve">the </w:t>
      </w:r>
      <w:r w:rsidRPr="00C86691">
        <w:rPr>
          <w:szCs w:val="22"/>
        </w:rPr>
        <w:t xml:space="preserve">termination of the Investigation, </w:t>
      </w:r>
      <w:r w:rsidR="00D95583" w:rsidRPr="00C86691">
        <w:rPr>
          <w:szCs w:val="22"/>
        </w:rPr>
        <w:t>Verizon</w:t>
      </w:r>
      <w:r w:rsidR="00076C13" w:rsidRPr="00C86691">
        <w:rPr>
          <w:szCs w:val="22"/>
        </w:rPr>
        <w:t xml:space="preserve"> </w:t>
      </w:r>
      <w:r w:rsidR="006A0CCD" w:rsidRPr="00C86691">
        <w:rPr>
          <w:szCs w:val="22"/>
        </w:rPr>
        <w:t>a</w:t>
      </w:r>
      <w:r w:rsidRPr="00C86691">
        <w:rPr>
          <w:szCs w:val="22"/>
        </w:rPr>
        <w:t xml:space="preserve">grees to the terms, conditions, and procedures contained herein. </w:t>
      </w:r>
      <w:r w:rsidR="00073450" w:rsidRPr="00C86691">
        <w:rPr>
          <w:szCs w:val="22"/>
        </w:rPr>
        <w:t xml:space="preserve"> The Bureau further agrees that,</w:t>
      </w:r>
      <w:r w:rsidRPr="00C86691">
        <w:rPr>
          <w:szCs w:val="22"/>
        </w:rPr>
        <w:t xml:space="preserve"> in the absence of n</w:t>
      </w:r>
      <w:r w:rsidR="00076C13" w:rsidRPr="00C86691">
        <w:rPr>
          <w:szCs w:val="22"/>
        </w:rPr>
        <w:t>ew material evidence, it</w:t>
      </w:r>
      <w:r w:rsidRPr="00C86691">
        <w:rPr>
          <w:szCs w:val="22"/>
        </w:rPr>
        <w:t xml:space="preserve"> will not</w:t>
      </w:r>
      <w:r w:rsidR="00683B2D" w:rsidRPr="00C86691">
        <w:rPr>
          <w:szCs w:val="22"/>
        </w:rPr>
        <w:t xml:space="preserve"> use the facts developed in the</w:t>
      </w:r>
      <w:r w:rsidRPr="00C86691">
        <w:rPr>
          <w:szCs w:val="22"/>
        </w:rPr>
        <w:t xml:space="preserve"> Investigation through the Effective Date, or the existence of this Consent Decree, to institute any new proceeding, formal or informal, or take any action against </w:t>
      </w:r>
      <w:r w:rsidR="007F1BAD">
        <w:rPr>
          <w:szCs w:val="22"/>
        </w:rPr>
        <w:t>Verizon and its regulated affiliates</w:t>
      </w:r>
      <w:r w:rsidR="000762EF" w:rsidRPr="007C5FAB">
        <w:rPr>
          <w:kern w:val="0"/>
        </w:rPr>
        <w:t xml:space="preserve"> </w:t>
      </w:r>
      <w:r w:rsidRPr="00C86691">
        <w:rPr>
          <w:szCs w:val="22"/>
        </w:rPr>
        <w:t>concerning the matters that were the subject of the Investigation.  The Bureau also agrees that</w:t>
      </w:r>
      <w:r w:rsidR="00076C13" w:rsidRPr="00C86691">
        <w:rPr>
          <w:szCs w:val="22"/>
        </w:rPr>
        <w:t>,</w:t>
      </w:r>
      <w:r w:rsidRPr="00C86691">
        <w:rPr>
          <w:szCs w:val="22"/>
        </w:rPr>
        <w:t xml:space="preserve"> in the absence of new material evidence</w:t>
      </w:r>
      <w:r w:rsidR="00076C13" w:rsidRPr="00C86691">
        <w:rPr>
          <w:szCs w:val="22"/>
        </w:rPr>
        <w:t>,</w:t>
      </w:r>
      <w:r w:rsidRPr="00C86691">
        <w:rPr>
          <w:szCs w:val="22"/>
        </w:rPr>
        <w:t xml:space="preserve"> it will not</w:t>
      </w:r>
      <w:r w:rsidR="00683B2D" w:rsidRPr="00C86691">
        <w:rPr>
          <w:szCs w:val="22"/>
        </w:rPr>
        <w:t xml:space="preserve"> use the facts developed in the</w:t>
      </w:r>
      <w:r w:rsidRPr="00C86691">
        <w:rPr>
          <w:szCs w:val="22"/>
        </w:rPr>
        <w:t xml:space="preserve"> Investigation through the Effective Date, or the existence of this Consent Decree, to institute any proceeding, formal or informal, or take any action against </w:t>
      </w:r>
      <w:r w:rsidR="007F1BAD">
        <w:rPr>
          <w:szCs w:val="22"/>
        </w:rPr>
        <w:t xml:space="preserve">Verizon and its </w:t>
      </w:r>
      <w:r w:rsidR="000762EF" w:rsidRPr="00C86691">
        <w:rPr>
          <w:snapToGrid/>
          <w:kern w:val="0"/>
          <w:szCs w:val="22"/>
        </w:rPr>
        <w:t>regulated</w:t>
      </w:r>
      <w:r w:rsidR="007F1BAD">
        <w:rPr>
          <w:snapToGrid/>
          <w:kern w:val="0"/>
          <w:szCs w:val="22"/>
        </w:rPr>
        <w:t xml:space="preserve"> affil</w:t>
      </w:r>
      <w:r w:rsidR="00D97F84">
        <w:rPr>
          <w:snapToGrid/>
          <w:kern w:val="0"/>
          <w:szCs w:val="22"/>
        </w:rPr>
        <w:t>i</w:t>
      </w:r>
      <w:r w:rsidR="007F1BAD">
        <w:rPr>
          <w:snapToGrid/>
          <w:kern w:val="0"/>
          <w:szCs w:val="22"/>
        </w:rPr>
        <w:t>ates</w:t>
      </w:r>
      <w:r w:rsidR="006A0CCD" w:rsidRPr="00C86691">
        <w:rPr>
          <w:szCs w:val="22"/>
        </w:rPr>
        <w:t xml:space="preserve"> </w:t>
      </w:r>
      <w:r w:rsidRPr="00C86691">
        <w:rPr>
          <w:szCs w:val="22"/>
        </w:rPr>
        <w:t xml:space="preserve">with respect to </w:t>
      </w:r>
      <w:r w:rsidR="000762EF" w:rsidRPr="00C86691">
        <w:rPr>
          <w:szCs w:val="22"/>
        </w:rPr>
        <w:t xml:space="preserve">their </w:t>
      </w:r>
      <w:r w:rsidRPr="00C86691">
        <w:rPr>
          <w:szCs w:val="22"/>
        </w:rPr>
        <w:t>basic qualifications, including character qualifications, to be a Commission licensee or hold Commission licenses or authorizations</w:t>
      </w:r>
      <w:r w:rsidR="00B1444F" w:rsidRPr="00C86691">
        <w:rPr>
          <w:szCs w:val="22"/>
        </w:rPr>
        <w:t>.</w:t>
      </w:r>
      <w:r w:rsidR="00BD5BEC" w:rsidRPr="00C86691">
        <w:rPr>
          <w:szCs w:val="22"/>
        </w:rPr>
        <w:t xml:space="preserve"> </w:t>
      </w:r>
    </w:p>
    <w:p w:rsidR="00B75A45" w:rsidRPr="00C86691" w:rsidRDefault="00C055F7" w:rsidP="001F700A">
      <w:pPr>
        <w:pStyle w:val="ParaNum"/>
        <w:rPr>
          <w:szCs w:val="22"/>
          <w:u w:val="single"/>
        </w:rPr>
      </w:pPr>
      <w:r w:rsidRPr="00C86691">
        <w:rPr>
          <w:b/>
          <w:u w:val="single"/>
        </w:rPr>
        <w:t>Admissions</w:t>
      </w:r>
      <w:r w:rsidR="00F16CFE" w:rsidRPr="00C86691">
        <w:t xml:space="preserve">.  </w:t>
      </w:r>
      <w:r w:rsidR="00D95583" w:rsidRPr="00C86691">
        <w:t>Verizon</w:t>
      </w:r>
      <w:r w:rsidR="00F16CFE" w:rsidRPr="00C86691">
        <w:t xml:space="preserve"> </w:t>
      </w:r>
      <w:r w:rsidRPr="00C86691">
        <w:t xml:space="preserve">admits </w:t>
      </w:r>
      <w:r w:rsidR="00F16CFE" w:rsidRPr="00C86691">
        <w:t xml:space="preserve">for the purpose of this Consent Decree and in express reliance on the provisions of paragraph </w:t>
      </w:r>
      <w:r w:rsidR="00F37D26">
        <w:t>15</w:t>
      </w:r>
      <w:r w:rsidR="00F16CFE" w:rsidRPr="00C86691">
        <w:t xml:space="preserve"> herein,</w:t>
      </w:r>
      <w:r w:rsidR="004E0FDF" w:rsidRPr="00C86691">
        <w:t xml:space="preserve"> that its </w:t>
      </w:r>
      <w:r w:rsidR="000610FE">
        <w:t>c</w:t>
      </w:r>
      <w:r w:rsidR="004E0FDF" w:rsidRPr="00C86691">
        <w:t xml:space="preserve">all </w:t>
      </w:r>
      <w:r w:rsidR="000610FE">
        <w:t>a</w:t>
      </w:r>
      <w:r w:rsidR="004E0FDF" w:rsidRPr="00C86691">
        <w:t xml:space="preserve">nswer </w:t>
      </w:r>
      <w:r w:rsidR="000610FE">
        <w:t>r</w:t>
      </w:r>
      <w:r w:rsidR="004E0FDF" w:rsidRPr="00C86691">
        <w:t>ate</w:t>
      </w:r>
      <w:r w:rsidR="005C2461" w:rsidRPr="00C86691">
        <w:t>s</w:t>
      </w:r>
      <w:r w:rsidR="004E0FDF" w:rsidRPr="00C86691">
        <w:t xml:space="preserve"> </w:t>
      </w:r>
      <w:r w:rsidR="005C2461" w:rsidRPr="00C86691">
        <w:t xml:space="preserve">for </w:t>
      </w:r>
      <w:r w:rsidR="004E0FDF" w:rsidRPr="00C86691">
        <w:t xml:space="preserve">the 39 OCNs </w:t>
      </w:r>
      <w:r w:rsidR="005C2461" w:rsidRPr="00C86691">
        <w:t xml:space="preserve">were </w:t>
      </w:r>
      <w:r w:rsidR="004E0FDF" w:rsidRPr="00C86691">
        <w:t xml:space="preserve">substantially below </w:t>
      </w:r>
      <w:r w:rsidR="00DC3EA5" w:rsidRPr="00C86691">
        <w:t xml:space="preserve">its </w:t>
      </w:r>
      <w:r w:rsidR="000610FE">
        <w:t>c</w:t>
      </w:r>
      <w:r w:rsidR="004E0FDF" w:rsidRPr="00C86691">
        <w:t xml:space="preserve">all </w:t>
      </w:r>
      <w:r w:rsidR="000610FE">
        <w:t>a</w:t>
      </w:r>
      <w:r w:rsidR="004E0FDF" w:rsidRPr="00C86691">
        <w:t xml:space="preserve">nswer </w:t>
      </w:r>
      <w:r w:rsidR="000610FE">
        <w:t>r</w:t>
      </w:r>
      <w:r w:rsidR="004E0FDF" w:rsidRPr="00C86691">
        <w:t xml:space="preserve">ates to other </w:t>
      </w:r>
      <w:r w:rsidR="00DC3EA5" w:rsidRPr="00C86691">
        <w:t xml:space="preserve">rural </w:t>
      </w:r>
      <w:r w:rsidR="004E0FDF" w:rsidRPr="00C86691">
        <w:t>areas</w:t>
      </w:r>
      <w:r w:rsidR="005C2461" w:rsidRPr="00C86691">
        <w:t>,</w:t>
      </w:r>
      <w:r w:rsidR="004E0FDF" w:rsidRPr="00C86691">
        <w:t xml:space="preserve"> and that it investigated the cause of the low </w:t>
      </w:r>
      <w:r w:rsidR="000610FE">
        <w:t>c</w:t>
      </w:r>
      <w:r w:rsidR="005C2461" w:rsidRPr="00C86691">
        <w:t xml:space="preserve">all </w:t>
      </w:r>
      <w:r w:rsidR="000610FE">
        <w:t>a</w:t>
      </w:r>
      <w:r w:rsidR="004E0FDF" w:rsidRPr="00C86691">
        <w:t xml:space="preserve">nswer </w:t>
      </w:r>
      <w:r w:rsidR="000610FE">
        <w:t>r</w:t>
      </w:r>
      <w:r w:rsidR="004E0FDF" w:rsidRPr="00C86691">
        <w:t xml:space="preserve">ates </w:t>
      </w:r>
      <w:r w:rsidR="00717408" w:rsidRPr="00C86691">
        <w:t xml:space="preserve">or took remedial action </w:t>
      </w:r>
      <w:r w:rsidR="004E0FDF" w:rsidRPr="00C86691">
        <w:t xml:space="preserve">prior to receipt of the LOI for 13 of these OCNs but </w:t>
      </w:r>
      <w:r w:rsidR="000A0B25" w:rsidRPr="00C86691">
        <w:t>did not</w:t>
      </w:r>
      <w:r w:rsidR="00DC3EA5" w:rsidRPr="00C86691">
        <w:t xml:space="preserve"> </w:t>
      </w:r>
      <w:r w:rsidR="00717408" w:rsidRPr="00C86691">
        <w:t xml:space="preserve">do so for </w:t>
      </w:r>
      <w:r w:rsidR="004E0FDF" w:rsidRPr="00C86691">
        <w:t>the remaining 26 OCNs.</w:t>
      </w:r>
      <w:r w:rsidR="001F700A" w:rsidRPr="00C86691">
        <w:t xml:space="preserve">  </w:t>
      </w:r>
      <w:r w:rsidR="008B1570" w:rsidRPr="00C86691">
        <w:rPr>
          <w:rFonts w:eastAsiaTheme="minorEastAsia"/>
          <w:szCs w:val="22"/>
        </w:rPr>
        <w:t>Verizon did undertake an investigation of the remaining 26 OCNs after receiving the LOI and provided the results to the Bureau showing that</w:t>
      </w:r>
      <w:r w:rsidR="00955201">
        <w:rPr>
          <w:rFonts w:eastAsiaTheme="minorEastAsia"/>
          <w:szCs w:val="22"/>
        </w:rPr>
        <w:t>, in Verizon’s estimation,</w:t>
      </w:r>
      <w:r w:rsidR="008B1570" w:rsidRPr="00C86691">
        <w:rPr>
          <w:rFonts w:eastAsiaTheme="minorEastAsia"/>
          <w:szCs w:val="22"/>
        </w:rPr>
        <w:t xml:space="preserve"> the low call answer rates were not attributable to Verizon’s network</w:t>
      </w:r>
      <w:r w:rsidR="00427EC7" w:rsidRPr="00C86691">
        <w:rPr>
          <w:rFonts w:eastAsiaTheme="minorEastAsia"/>
          <w:szCs w:val="22"/>
        </w:rPr>
        <w:t xml:space="preserve"> or call completion practices</w:t>
      </w:r>
      <w:r w:rsidR="008B1570" w:rsidRPr="00C86691">
        <w:rPr>
          <w:rFonts w:eastAsiaTheme="minorEastAsia"/>
          <w:szCs w:val="22"/>
        </w:rPr>
        <w:t xml:space="preserve">. </w:t>
      </w:r>
      <w:r w:rsidR="00047C0D" w:rsidRPr="00C86691">
        <w:t xml:space="preserve"> </w:t>
      </w:r>
      <w:r w:rsidR="00B75A45" w:rsidRPr="00C86691">
        <w:rPr>
          <w:szCs w:val="22"/>
          <w:u w:val="single"/>
        </w:rPr>
        <w:t xml:space="preserve">  </w:t>
      </w:r>
    </w:p>
    <w:p w:rsidR="00E02214" w:rsidRPr="00C86691" w:rsidRDefault="00E02214" w:rsidP="00707D0F">
      <w:pPr>
        <w:pStyle w:val="ParaNum"/>
        <w:widowControl/>
        <w:rPr>
          <w:szCs w:val="22"/>
        </w:rPr>
      </w:pPr>
      <w:bookmarkStart w:id="5" w:name="_Ref379202869"/>
      <w:r w:rsidRPr="00C86691">
        <w:rPr>
          <w:b/>
          <w:szCs w:val="22"/>
          <w:u w:val="single"/>
        </w:rPr>
        <w:t>Compliance Officer</w:t>
      </w:r>
      <w:r w:rsidRPr="00C86691">
        <w:rPr>
          <w:szCs w:val="22"/>
        </w:rPr>
        <w:t xml:space="preserve">.  Within thirty (30) calendar days after the Effective Date, </w:t>
      </w:r>
      <w:r w:rsidR="00D95583" w:rsidRPr="00C86691">
        <w:rPr>
          <w:szCs w:val="22"/>
        </w:rPr>
        <w:t>Verizon</w:t>
      </w:r>
      <w:r w:rsidR="00EF30D3" w:rsidRPr="00C86691">
        <w:rPr>
          <w:szCs w:val="22"/>
        </w:rPr>
        <w:t xml:space="preserve"> </w:t>
      </w:r>
      <w:r w:rsidRPr="00C86691">
        <w:rPr>
          <w:szCs w:val="22"/>
        </w:rPr>
        <w:t xml:space="preserve">shall designate a </w:t>
      </w:r>
      <w:r w:rsidR="00450FBB" w:rsidRPr="00C86691">
        <w:rPr>
          <w:szCs w:val="22"/>
        </w:rPr>
        <w:t xml:space="preserve">vice president </w:t>
      </w:r>
      <w:r w:rsidR="00BE34F5" w:rsidRPr="00C86691">
        <w:rPr>
          <w:szCs w:val="22"/>
        </w:rPr>
        <w:t xml:space="preserve">who will have </w:t>
      </w:r>
      <w:r w:rsidR="00DA1573" w:rsidRPr="00C86691">
        <w:rPr>
          <w:szCs w:val="22"/>
        </w:rPr>
        <w:t xml:space="preserve">oversight over </w:t>
      </w:r>
      <w:r w:rsidR="00756428">
        <w:rPr>
          <w:szCs w:val="22"/>
        </w:rPr>
        <w:t>rural call completion matter</w:t>
      </w:r>
      <w:r w:rsidR="00D97F84">
        <w:rPr>
          <w:szCs w:val="22"/>
        </w:rPr>
        <w:t>s for</w:t>
      </w:r>
      <w:r w:rsidR="00756428">
        <w:rPr>
          <w:szCs w:val="22"/>
        </w:rPr>
        <w:t xml:space="preserve"> </w:t>
      </w:r>
      <w:r w:rsidR="00DA1573" w:rsidRPr="00C86691">
        <w:rPr>
          <w:szCs w:val="22"/>
        </w:rPr>
        <w:t xml:space="preserve">Verizon </w:t>
      </w:r>
      <w:r w:rsidR="00756428">
        <w:rPr>
          <w:szCs w:val="22"/>
        </w:rPr>
        <w:t>and its regulated affiliates</w:t>
      </w:r>
      <w:r w:rsidR="00CD033B" w:rsidRPr="00C86691">
        <w:rPr>
          <w:szCs w:val="22"/>
        </w:rPr>
        <w:t xml:space="preserve"> </w:t>
      </w:r>
      <w:r w:rsidRPr="00C86691">
        <w:rPr>
          <w:szCs w:val="22"/>
        </w:rPr>
        <w:t xml:space="preserve">to serve as a Compliance Officer and to discharge the duties set forth below.  </w:t>
      </w:r>
      <w:r w:rsidRPr="00C86691">
        <w:rPr>
          <w:szCs w:val="22"/>
        </w:rPr>
        <w:lastRenderedPageBreak/>
        <w:t xml:space="preserve">The Compliance Officer shall be </w:t>
      </w:r>
      <w:r w:rsidR="00450FBB" w:rsidRPr="00C86691">
        <w:rPr>
          <w:szCs w:val="22"/>
        </w:rPr>
        <w:t xml:space="preserve">the Company’s Rural Call Completion Ombudsperson and shall be </w:t>
      </w:r>
      <w:r w:rsidRPr="00C86691">
        <w:rPr>
          <w:szCs w:val="22"/>
        </w:rPr>
        <w:t xml:space="preserve">responsible </w:t>
      </w:r>
      <w:r w:rsidR="00DA1573" w:rsidRPr="00C86691">
        <w:rPr>
          <w:szCs w:val="22"/>
        </w:rPr>
        <w:t xml:space="preserve">for </w:t>
      </w:r>
      <w:r w:rsidRPr="00C86691">
        <w:rPr>
          <w:szCs w:val="22"/>
        </w:rPr>
        <w:t>developing, implementing, and ad</w:t>
      </w:r>
      <w:r w:rsidR="00DA1573" w:rsidRPr="00C86691">
        <w:rPr>
          <w:szCs w:val="22"/>
        </w:rPr>
        <w:t xml:space="preserve">ministering the Compliance Plan, </w:t>
      </w:r>
      <w:r w:rsidR="00323039" w:rsidRPr="00C86691">
        <w:rPr>
          <w:szCs w:val="22"/>
        </w:rPr>
        <w:t xml:space="preserve">and for </w:t>
      </w:r>
      <w:r w:rsidRPr="00C86691">
        <w:rPr>
          <w:szCs w:val="22"/>
        </w:rPr>
        <w:t xml:space="preserve">ensuring that </w:t>
      </w:r>
      <w:r w:rsidR="00D95583" w:rsidRPr="00C86691">
        <w:rPr>
          <w:szCs w:val="22"/>
        </w:rPr>
        <w:t>Verizon</w:t>
      </w:r>
      <w:r w:rsidR="00302C38" w:rsidRPr="00C86691">
        <w:rPr>
          <w:szCs w:val="22"/>
        </w:rPr>
        <w:t xml:space="preserve"> </w:t>
      </w:r>
      <w:r w:rsidRPr="00C86691">
        <w:rPr>
          <w:szCs w:val="22"/>
        </w:rPr>
        <w:t>complies with the terms and conditions of the Compliance Plan and this Consent Decree</w:t>
      </w:r>
      <w:r w:rsidR="00DA1573" w:rsidRPr="00C86691">
        <w:rPr>
          <w:szCs w:val="22"/>
        </w:rPr>
        <w:t xml:space="preserve">, including the investigation and resolution of </w:t>
      </w:r>
      <w:r w:rsidR="00A75547" w:rsidRPr="00C86691">
        <w:rPr>
          <w:szCs w:val="22"/>
        </w:rPr>
        <w:t>r</w:t>
      </w:r>
      <w:r w:rsidR="00DA1573" w:rsidRPr="00C86691">
        <w:rPr>
          <w:szCs w:val="22"/>
        </w:rPr>
        <w:t xml:space="preserve">ural </w:t>
      </w:r>
      <w:r w:rsidR="00A75547" w:rsidRPr="00C86691">
        <w:rPr>
          <w:szCs w:val="22"/>
        </w:rPr>
        <w:t>c</w:t>
      </w:r>
      <w:r w:rsidR="00DA1573" w:rsidRPr="00C86691">
        <w:rPr>
          <w:szCs w:val="22"/>
        </w:rPr>
        <w:t xml:space="preserve">all </w:t>
      </w:r>
      <w:r w:rsidR="00A75547" w:rsidRPr="00C86691">
        <w:rPr>
          <w:szCs w:val="22"/>
        </w:rPr>
        <w:t>c</w:t>
      </w:r>
      <w:r w:rsidR="00DA1573" w:rsidRPr="00C86691">
        <w:rPr>
          <w:szCs w:val="22"/>
        </w:rPr>
        <w:t>ompletion issues</w:t>
      </w:r>
      <w:r w:rsidRPr="00C86691">
        <w:rPr>
          <w:szCs w:val="22"/>
        </w:rPr>
        <w:t>.</w:t>
      </w:r>
      <w:r w:rsidR="00B0044E" w:rsidRPr="00C86691">
        <w:rPr>
          <w:szCs w:val="22"/>
        </w:rPr>
        <w:t xml:space="preserve"> </w:t>
      </w:r>
      <w:r w:rsidRPr="00C86691">
        <w:rPr>
          <w:szCs w:val="22"/>
        </w:rPr>
        <w:t xml:space="preserve"> In addition to the general knowledge of the Communications Laws necessary to discharge his</w:t>
      </w:r>
      <w:r w:rsidR="00B0044E" w:rsidRPr="00C86691">
        <w:rPr>
          <w:szCs w:val="22"/>
        </w:rPr>
        <w:t xml:space="preserve"> or </w:t>
      </w:r>
      <w:r w:rsidRPr="00C86691">
        <w:rPr>
          <w:szCs w:val="22"/>
        </w:rPr>
        <w:t>her duties under this Consent Decree, the Compliance Officer shall have specifi</w:t>
      </w:r>
      <w:r w:rsidR="00302C38" w:rsidRPr="00C86691">
        <w:rPr>
          <w:szCs w:val="22"/>
        </w:rPr>
        <w:t xml:space="preserve">c knowledge of </w:t>
      </w:r>
      <w:r w:rsidR="00450FBB" w:rsidRPr="00C86691">
        <w:rPr>
          <w:szCs w:val="22"/>
        </w:rPr>
        <w:t xml:space="preserve">Sections 201(b) and 202(a) of the Act, as interpreted in the </w:t>
      </w:r>
      <w:r w:rsidR="00450FBB" w:rsidRPr="00C86691">
        <w:rPr>
          <w:i/>
          <w:szCs w:val="22"/>
        </w:rPr>
        <w:t>Rural Call Completion Declaratory Ruling</w:t>
      </w:r>
      <w:r w:rsidR="00450FBB" w:rsidRPr="00C86691">
        <w:rPr>
          <w:szCs w:val="22"/>
        </w:rPr>
        <w:t xml:space="preserve">, and the </w:t>
      </w:r>
      <w:r w:rsidR="00450FBB" w:rsidRPr="00C86691">
        <w:rPr>
          <w:i/>
          <w:szCs w:val="22"/>
        </w:rPr>
        <w:t xml:space="preserve">Rural Call Completion </w:t>
      </w:r>
      <w:r w:rsidR="000610FE">
        <w:rPr>
          <w:i/>
          <w:szCs w:val="22"/>
        </w:rPr>
        <w:t>Rules</w:t>
      </w:r>
      <w:r w:rsidR="00450FBB" w:rsidRPr="00C86691">
        <w:rPr>
          <w:szCs w:val="22"/>
        </w:rPr>
        <w:t xml:space="preserve">, </w:t>
      </w:r>
      <w:r w:rsidRPr="00C86691">
        <w:rPr>
          <w:szCs w:val="22"/>
        </w:rPr>
        <w:t>prior to assuming his/her duties.</w:t>
      </w:r>
      <w:bookmarkEnd w:id="5"/>
    </w:p>
    <w:p w:rsidR="00C762B6" w:rsidRPr="00C86691" w:rsidRDefault="00E02214" w:rsidP="001B74D4">
      <w:pPr>
        <w:pStyle w:val="ParaNum"/>
        <w:rPr>
          <w:szCs w:val="22"/>
        </w:rPr>
      </w:pPr>
      <w:bookmarkStart w:id="6" w:name="_Ref357521857"/>
      <w:r w:rsidRPr="00C86691">
        <w:rPr>
          <w:b/>
          <w:szCs w:val="22"/>
          <w:u w:val="single"/>
        </w:rPr>
        <w:t>Compliance Plan</w:t>
      </w:r>
      <w:r w:rsidRPr="00C86691">
        <w:rPr>
          <w:szCs w:val="22"/>
        </w:rPr>
        <w:t xml:space="preserve">.  For purposes of settling the matters set forth herein, </w:t>
      </w:r>
      <w:r w:rsidR="00D95583" w:rsidRPr="00C86691">
        <w:rPr>
          <w:szCs w:val="22"/>
        </w:rPr>
        <w:t>Verizon</w:t>
      </w:r>
      <w:r w:rsidR="00EA12C6" w:rsidRPr="00C86691">
        <w:rPr>
          <w:szCs w:val="22"/>
        </w:rPr>
        <w:t xml:space="preserve"> </w:t>
      </w:r>
      <w:r w:rsidRPr="00C86691">
        <w:rPr>
          <w:szCs w:val="22"/>
        </w:rPr>
        <w:t xml:space="preserve">agrees that it shall, within </w:t>
      </w:r>
      <w:r w:rsidR="00C762B6" w:rsidRPr="00C86691">
        <w:rPr>
          <w:szCs w:val="22"/>
        </w:rPr>
        <w:t xml:space="preserve">ninety </w:t>
      </w:r>
      <w:r w:rsidRPr="00C86691">
        <w:rPr>
          <w:szCs w:val="22"/>
        </w:rPr>
        <w:t>(</w:t>
      </w:r>
      <w:r w:rsidR="00C762B6" w:rsidRPr="00C86691">
        <w:rPr>
          <w:szCs w:val="22"/>
        </w:rPr>
        <w:t>9</w:t>
      </w:r>
      <w:r w:rsidRPr="00C86691">
        <w:rPr>
          <w:szCs w:val="22"/>
        </w:rPr>
        <w:t xml:space="preserve">0) calendar days after the Effective Date, develop and implement a Compliance Plan designed to ensure future compliance with the </w:t>
      </w:r>
      <w:r w:rsidR="00424121">
        <w:rPr>
          <w:szCs w:val="22"/>
        </w:rPr>
        <w:t>Rural Call Completion Rules</w:t>
      </w:r>
      <w:r w:rsidR="00F671EA" w:rsidRPr="00C86691">
        <w:rPr>
          <w:szCs w:val="22"/>
        </w:rPr>
        <w:t xml:space="preserve"> </w:t>
      </w:r>
      <w:r w:rsidRPr="00C86691">
        <w:rPr>
          <w:szCs w:val="22"/>
        </w:rPr>
        <w:t xml:space="preserve">and with the terms and conditions of this Consent Decree.  </w:t>
      </w:r>
      <w:r w:rsidR="00360540" w:rsidRPr="00C86691">
        <w:rPr>
          <w:szCs w:val="22"/>
        </w:rPr>
        <w:t>Except as otherwise provided below, t</w:t>
      </w:r>
      <w:r w:rsidR="003E7B77" w:rsidRPr="00C86691">
        <w:rPr>
          <w:szCs w:val="22"/>
        </w:rPr>
        <w:t xml:space="preserve">he Compliance Plan </w:t>
      </w:r>
      <w:r w:rsidR="00360540" w:rsidRPr="00C86691">
        <w:rPr>
          <w:szCs w:val="22"/>
        </w:rPr>
        <w:t xml:space="preserve">and </w:t>
      </w:r>
      <w:r w:rsidR="00424121">
        <w:rPr>
          <w:szCs w:val="22"/>
        </w:rPr>
        <w:t>these</w:t>
      </w:r>
      <w:r w:rsidR="00360540" w:rsidRPr="00C86691">
        <w:rPr>
          <w:szCs w:val="22"/>
        </w:rPr>
        <w:t xml:space="preserve"> subparts </w:t>
      </w:r>
      <w:r w:rsidR="003E7B77" w:rsidRPr="00C86691">
        <w:rPr>
          <w:szCs w:val="22"/>
        </w:rPr>
        <w:t xml:space="preserve">shall be adopted by and apply only to Verizon </w:t>
      </w:r>
      <w:r w:rsidR="00360540" w:rsidRPr="00C86691">
        <w:rPr>
          <w:szCs w:val="22"/>
        </w:rPr>
        <w:t xml:space="preserve">as defined </w:t>
      </w:r>
      <w:r w:rsidR="006D45ED" w:rsidRPr="00C86691">
        <w:rPr>
          <w:szCs w:val="22"/>
        </w:rPr>
        <w:t xml:space="preserve">in </w:t>
      </w:r>
      <w:r w:rsidR="00360540" w:rsidRPr="00C86691">
        <w:rPr>
          <w:szCs w:val="22"/>
        </w:rPr>
        <w:t>paragraph I(2)(x)</w:t>
      </w:r>
      <w:r w:rsidR="003E7B77" w:rsidRPr="00C86691">
        <w:rPr>
          <w:szCs w:val="22"/>
        </w:rPr>
        <w:t>.</w:t>
      </w:r>
    </w:p>
    <w:p w:rsidR="00E02214" w:rsidRPr="00C86691" w:rsidRDefault="00C762B6" w:rsidP="00E821FA">
      <w:pPr>
        <w:pStyle w:val="ParaNum"/>
        <w:numPr>
          <w:ilvl w:val="0"/>
          <w:numId w:val="0"/>
        </w:numPr>
        <w:ind w:left="720"/>
        <w:rPr>
          <w:szCs w:val="22"/>
        </w:rPr>
      </w:pPr>
      <w:r w:rsidRPr="00C86691">
        <w:rPr>
          <w:szCs w:val="22"/>
        </w:rPr>
        <w:t xml:space="preserve">(a)   </w:t>
      </w:r>
      <w:r w:rsidRPr="00C86691">
        <w:rPr>
          <w:szCs w:val="22"/>
        </w:rPr>
        <w:tab/>
      </w:r>
      <w:r w:rsidR="00E02214" w:rsidRPr="00C86691">
        <w:rPr>
          <w:szCs w:val="22"/>
        </w:rPr>
        <w:t>W</w:t>
      </w:r>
      <w:r w:rsidR="00302C38" w:rsidRPr="00C86691">
        <w:rPr>
          <w:szCs w:val="22"/>
        </w:rPr>
        <w:t xml:space="preserve">ith respect to the </w:t>
      </w:r>
      <w:r w:rsidR="00212F9A" w:rsidRPr="00C86691">
        <w:rPr>
          <w:szCs w:val="22"/>
        </w:rPr>
        <w:t xml:space="preserve">Rural Call Completion </w:t>
      </w:r>
      <w:r w:rsidR="00E02214" w:rsidRPr="00C86691">
        <w:rPr>
          <w:szCs w:val="22"/>
        </w:rPr>
        <w:t xml:space="preserve">Rules, </w:t>
      </w:r>
      <w:r w:rsidR="00D95583" w:rsidRPr="00C86691">
        <w:rPr>
          <w:szCs w:val="22"/>
        </w:rPr>
        <w:t>Verizon</w:t>
      </w:r>
      <w:r w:rsidR="00302C38" w:rsidRPr="00C86691">
        <w:rPr>
          <w:szCs w:val="22"/>
        </w:rPr>
        <w:t xml:space="preserve"> will</w:t>
      </w:r>
      <w:r w:rsidR="00E02214" w:rsidRPr="00C86691">
        <w:rPr>
          <w:szCs w:val="22"/>
        </w:rPr>
        <w:t xml:space="preserve"> implement</w:t>
      </w:r>
      <w:r w:rsidR="00073450" w:rsidRPr="00C86691">
        <w:rPr>
          <w:szCs w:val="22"/>
        </w:rPr>
        <w:t>, at a minimum,</w:t>
      </w:r>
      <w:r w:rsidR="00E02214" w:rsidRPr="00C86691">
        <w:rPr>
          <w:szCs w:val="22"/>
        </w:rPr>
        <w:t xml:space="preserve"> the following procedures:</w:t>
      </w:r>
      <w:bookmarkEnd w:id="6"/>
    </w:p>
    <w:p w:rsidR="0055035F" w:rsidRPr="00C86691" w:rsidRDefault="00323039" w:rsidP="00C762B6">
      <w:pPr>
        <w:pStyle w:val="ListParagraph"/>
        <w:numPr>
          <w:ilvl w:val="0"/>
          <w:numId w:val="6"/>
        </w:numPr>
        <w:spacing w:after="120"/>
        <w:rPr>
          <w:sz w:val="22"/>
          <w:szCs w:val="22"/>
        </w:rPr>
      </w:pPr>
      <w:r w:rsidRPr="00C86691">
        <w:rPr>
          <w:b/>
          <w:sz w:val="22"/>
          <w:szCs w:val="22"/>
          <w:u w:val="single"/>
        </w:rPr>
        <w:t xml:space="preserve">[1] </w:t>
      </w:r>
      <w:r w:rsidR="00E02214" w:rsidRPr="00C86691">
        <w:rPr>
          <w:b/>
          <w:sz w:val="22"/>
          <w:szCs w:val="22"/>
          <w:u w:val="single"/>
        </w:rPr>
        <w:t>Operating Procedures</w:t>
      </w:r>
      <w:r w:rsidR="00E02214" w:rsidRPr="00C86691">
        <w:rPr>
          <w:sz w:val="22"/>
          <w:szCs w:val="22"/>
        </w:rPr>
        <w:t xml:space="preserve">.  Within </w:t>
      </w:r>
      <w:r w:rsidR="00190ED7" w:rsidRPr="00C86691">
        <w:rPr>
          <w:sz w:val="22"/>
          <w:szCs w:val="22"/>
        </w:rPr>
        <w:t>ninety</w:t>
      </w:r>
      <w:r w:rsidR="00E02214" w:rsidRPr="00C86691">
        <w:rPr>
          <w:sz w:val="22"/>
          <w:szCs w:val="22"/>
        </w:rPr>
        <w:t xml:space="preserve"> (</w:t>
      </w:r>
      <w:r w:rsidR="00190ED7" w:rsidRPr="00C86691">
        <w:rPr>
          <w:sz w:val="22"/>
          <w:szCs w:val="22"/>
        </w:rPr>
        <w:t>9</w:t>
      </w:r>
      <w:r w:rsidR="00E02214" w:rsidRPr="00C86691">
        <w:rPr>
          <w:sz w:val="22"/>
          <w:szCs w:val="22"/>
        </w:rPr>
        <w:t xml:space="preserve">0) calendar days after the Effective Date, </w:t>
      </w:r>
      <w:r w:rsidR="00D95583" w:rsidRPr="00C86691">
        <w:rPr>
          <w:sz w:val="22"/>
          <w:szCs w:val="22"/>
        </w:rPr>
        <w:t>Verizon</w:t>
      </w:r>
      <w:r w:rsidR="00E02214" w:rsidRPr="00C86691">
        <w:rPr>
          <w:sz w:val="22"/>
          <w:szCs w:val="22"/>
        </w:rPr>
        <w:t xml:space="preserve"> shall establish Operating Procedures that all Covered Employees must follow to help ensure </w:t>
      </w:r>
      <w:r w:rsidR="00D95583" w:rsidRPr="00C86691">
        <w:rPr>
          <w:sz w:val="22"/>
          <w:szCs w:val="22"/>
        </w:rPr>
        <w:t>Verizon</w:t>
      </w:r>
      <w:r w:rsidR="00EA12C6" w:rsidRPr="00C86691">
        <w:rPr>
          <w:sz w:val="22"/>
          <w:szCs w:val="22"/>
        </w:rPr>
        <w:t>’</w:t>
      </w:r>
      <w:r w:rsidR="00E02214" w:rsidRPr="00C86691">
        <w:rPr>
          <w:sz w:val="22"/>
          <w:szCs w:val="22"/>
        </w:rPr>
        <w:t>s c</w:t>
      </w:r>
      <w:r w:rsidR="00302C38" w:rsidRPr="00C86691">
        <w:rPr>
          <w:sz w:val="22"/>
          <w:szCs w:val="22"/>
        </w:rPr>
        <w:t xml:space="preserve">ompliance with the </w:t>
      </w:r>
      <w:r w:rsidR="009F1A33" w:rsidRPr="00C86691">
        <w:rPr>
          <w:sz w:val="22"/>
          <w:szCs w:val="22"/>
        </w:rPr>
        <w:t xml:space="preserve">Rural Call Completion </w:t>
      </w:r>
      <w:r w:rsidR="00E02214" w:rsidRPr="00C86691">
        <w:rPr>
          <w:sz w:val="22"/>
          <w:szCs w:val="22"/>
        </w:rPr>
        <w:t>Rules</w:t>
      </w:r>
      <w:r w:rsidR="00B62A4D" w:rsidRPr="00C86691">
        <w:rPr>
          <w:sz w:val="22"/>
          <w:szCs w:val="22"/>
        </w:rPr>
        <w:t xml:space="preserve"> and this Consent Decree</w:t>
      </w:r>
      <w:r w:rsidR="00E02214" w:rsidRPr="00C86691">
        <w:rPr>
          <w:sz w:val="22"/>
          <w:szCs w:val="22"/>
        </w:rPr>
        <w:t xml:space="preserve">.  </w:t>
      </w:r>
      <w:r w:rsidR="00D95583" w:rsidRPr="00C86691">
        <w:rPr>
          <w:sz w:val="22"/>
          <w:szCs w:val="22"/>
        </w:rPr>
        <w:t>Verizon</w:t>
      </w:r>
      <w:r w:rsidR="00E02214" w:rsidRPr="00C86691">
        <w:rPr>
          <w:sz w:val="22"/>
          <w:szCs w:val="22"/>
        </w:rPr>
        <w:t>’s Operating Procedures shall include internal procedures and policies specifically designed to ensure that</w:t>
      </w:r>
      <w:r w:rsidR="00BE103C" w:rsidRPr="00C86691">
        <w:rPr>
          <w:sz w:val="22"/>
          <w:szCs w:val="22"/>
        </w:rPr>
        <w:t xml:space="preserve"> </w:t>
      </w:r>
      <w:r w:rsidR="00B750BB" w:rsidRPr="00C86691">
        <w:rPr>
          <w:sz w:val="22"/>
          <w:szCs w:val="22"/>
        </w:rPr>
        <w:t>Verizon will timely investigate evidence of potential rural call completion problems</w:t>
      </w:r>
      <w:r w:rsidR="0001478C" w:rsidRPr="00C86691">
        <w:rPr>
          <w:sz w:val="22"/>
          <w:szCs w:val="22"/>
        </w:rPr>
        <w:t xml:space="preserve"> </w:t>
      </w:r>
      <w:r w:rsidR="00FD48A6" w:rsidRPr="00C86691">
        <w:rPr>
          <w:sz w:val="22"/>
          <w:szCs w:val="22"/>
        </w:rPr>
        <w:t xml:space="preserve">about which it knows or should know, </w:t>
      </w:r>
      <w:r w:rsidR="0001478C" w:rsidRPr="00C86691">
        <w:rPr>
          <w:sz w:val="22"/>
          <w:szCs w:val="22"/>
        </w:rPr>
        <w:t>as further described below</w:t>
      </w:r>
      <w:r w:rsidR="00FD48A6" w:rsidRPr="00C86691">
        <w:rPr>
          <w:sz w:val="22"/>
          <w:szCs w:val="22"/>
        </w:rPr>
        <w:t xml:space="preserve">, and, if its investigation reveals a rural call completion problem, that Verizon will take </w:t>
      </w:r>
      <w:r w:rsidR="00BB28AA" w:rsidRPr="00C86691">
        <w:rPr>
          <w:sz w:val="22"/>
          <w:szCs w:val="22"/>
        </w:rPr>
        <w:t>appropriate</w:t>
      </w:r>
      <w:r w:rsidR="00FD48A6" w:rsidRPr="00C86691">
        <w:rPr>
          <w:sz w:val="22"/>
          <w:szCs w:val="22"/>
        </w:rPr>
        <w:t xml:space="preserve"> steps to </w:t>
      </w:r>
      <w:r w:rsidR="00BB28AA" w:rsidRPr="00C86691">
        <w:rPr>
          <w:sz w:val="22"/>
          <w:szCs w:val="22"/>
        </w:rPr>
        <w:t xml:space="preserve">attempt to </w:t>
      </w:r>
      <w:r w:rsidR="00FD48A6" w:rsidRPr="00C86691">
        <w:rPr>
          <w:sz w:val="22"/>
          <w:szCs w:val="22"/>
        </w:rPr>
        <w:t>resolve the problem</w:t>
      </w:r>
      <w:r w:rsidR="0001478C" w:rsidRPr="00C86691">
        <w:rPr>
          <w:sz w:val="22"/>
          <w:szCs w:val="22"/>
        </w:rPr>
        <w:t>.</w:t>
      </w:r>
      <w:r w:rsidR="00E02214" w:rsidRPr="00C86691">
        <w:rPr>
          <w:sz w:val="22"/>
          <w:szCs w:val="22"/>
        </w:rPr>
        <w:t xml:space="preserve">  </w:t>
      </w:r>
      <w:r w:rsidR="00D95583" w:rsidRPr="00C86691">
        <w:rPr>
          <w:sz w:val="22"/>
          <w:szCs w:val="22"/>
        </w:rPr>
        <w:t>Verizon</w:t>
      </w:r>
      <w:r w:rsidR="00302C38" w:rsidRPr="00C86691">
        <w:rPr>
          <w:sz w:val="22"/>
          <w:szCs w:val="22"/>
        </w:rPr>
        <w:t xml:space="preserve"> </w:t>
      </w:r>
      <w:r w:rsidR="00E02214" w:rsidRPr="00C86691">
        <w:rPr>
          <w:sz w:val="22"/>
          <w:szCs w:val="22"/>
        </w:rPr>
        <w:t xml:space="preserve">shall also develop a Compliance Checklist that describes the steps </w:t>
      </w:r>
      <w:r w:rsidR="006E4E12" w:rsidRPr="00C86691">
        <w:rPr>
          <w:sz w:val="22"/>
          <w:szCs w:val="22"/>
        </w:rPr>
        <w:t xml:space="preserve">that </w:t>
      </w:r>
      <w:r w:rsidR="00E02214" w:rsidRPr="00C86691">
        <w:rPr>
          <w:sz w:val="22"/>
          <w:szCs w:val="22"/>
        </w:rPr>
        <w:t xml:space="preserve">a Covered Employee must follow to ensure compliance </w:t>
      </w:r>
      <w:r w:rsidR="00302C38" w:rsidRPr="00C86691">
        <w:rPr>
          <w:sz w:val="22"/>
          <w:szCs w:val="22"/>
        </w:rPr>
        <w:t xml:space="preserve">with the </w:t>
      </w:r>
      <w:r w:rsidR="009F1A33" w:rsidRPr="00C86691">
        <w:rPr>
          <w:sz w:val="22"/>
          <w:szCs w:val="22"/>
        </w:rPr>
        <w:t xml:space="preserve">Rural Call Completion </w:t>
      </w:r>
      <w:r w:rsidR="00E02214" w:rsidRPr="00C86691">
        <w:rPr>
          <w:sz w:val="22"/>
          <w:szCs w:val="22"/>
        </w:rPr>
        <w:t>Rules.</w:t>
      </w:r>
    </w:p>
    <w:p w:rsidR="007567C9" w:rsidRPr="00C86691" w:rsidRDefault="00323039" w:rsidP="00C866BE">
      <w:pPr>
        <w:pStyle w:val="ListParagraph"/>
        <w:numPr>
          <w:ilvl w:val="0"/>
          <w:numId w:val="6"/>
        </w:numPr>
        <w:spacing w:after="120"/>
        <w:rPr>
          <w:color w:val="000000"/>
          <w:sz w:val="22"/>
          <w:szCs w:val="22"/>
        </w:rPr>
      </w:pPr>
      <w:r w:rsidRPr="00C86691">
        <w:rPr>
          <w:b/>
          <w:sz w:val="22"/>
          <w:szCs w:val="22"/>
          <w:u w:val="single"/>
        </w:rPr>
        <w:t xml:space="preserve">[2] </w:t>
      </w:r>
      <w:r w:rsidR="00B750BB" w:rsidRPr="00C86691">
        <w:rPr>
          <w:b/>
          <w:sz w:val="22"/>
          <w:szCs w:val="22"/>
          <w:u w:val="single"/>
        </w:rPr>
        <w:t>Investigations</w:t>
      </w:r>
      <w:r w:rsidR="00B750BB" w:rsidRPr="00C86691">
        <w:rPr>
          <w:sz w:val="22"/>
          <w:szCs w:val="22"/>
        </w:rPr>
        <w:t xml:space="preserve">.  Within </w:t>
      </w:r>
      <w:r w:rsidR="007567C9" w:rsidRPr="00C86691">
        <w:rPr>
          <w:sz w:val="22"/>
          <w:szCs w:val="22"/>
        </w:rPr>
        <w:t xml:space="preserve">ninety </w:t>
      </w:r>
      <w:r w:rsidR="00B750BB" w:rsidRPr="00C86691">
        <w:rPr>
          <w:sz w:val="22"/>
          <w:szCs w:val="22"/>
        </w:rPr>
        <w:t>(</w:t>
      </w:r>
      <w:r w:rsidR="007567C9" w:rsidRPr="00C86691">
        <w:rPr>
          <w:sz w:val="22"/>
          <w:szCs w:val="22"/>
        </w:rPr>
        <w:t>90</w:t>
      </w:r>
      <w:r w:rsidR="00B750BB" w:rsidRPr="00C86691">
        <w:rPr>
          <w:sz w:val="22"/>
          <w:szCs w:val="22"/>
        </w:rPr>
        <w:t xml:space="preserve">) calendar days after the Effective Date, Verizon shall commence monthly investigations </w:t>
      </w:r>
      <w:r w:rsidR="007567C9" w:rsidRPr="00C86691">
        <w:rPr>
          <w:sz w:val="22"/>
          <w:szCs w:val="22"/>
        </w:rPr>
        <w:t xml:space="preserve">of potential rural call completion </w:t>
      </w:r>
      <w:r w:rsidRPr="00C86691">
        <w:rPr>
          <w:sz w:val="22"/>
          <w:szCs w:val="22"/>
        </w:rPr>
        <w:t xml:space="preserve">problems </w:t>
      </w:r>
      <w:r w:rsidR="007567C9" w:rsidRPr="00C86691">
        <w:rPr>
          <w:sz w:val="22"/>
          <w:szCs w:val="22"/>
        </w:rPr>
        <w:t>using the metrics-driven approaches described below</w:t>
      </w:r>
      <w:r w:rsidR="00F806C9" w:rsidRPr="00C86691">
        <w:rPr>
          <w:sz w:val="22"/>
          <w:szCs w:val="22"/>
        </w:rPr>
        <w:t xml:space="preserve"> based on data </w:t>
      </w:r>
      <w:r w:rsidR="00EB1423" w:rsidRPr="00C86691">
        <w:rPr>
          <w:sz w:val="22"/>
          <w:szCs w:val="22"/>
        </w:rPr>
        <w:t>from</w:t>
      </w:r>
      <w:r w:rsidR="00F806C9" w:rsidRPr="00C86691">
        <w:rPr>
          <w:sz w:val="22"/>
          <w:szCs w:val="22"/>
        </w:rPr>
        <w:t xml:space="preserve"> Verizon’s three long distance networks (which formed the basis of Verizon’s previous data reporting to the Bureau)</w:t>
      </w:r>
      <w:r w:rsidR="007567C9" w:rsidRPr="00C86691">
        <w:rPr>
          <w:sz w:val="22"/>
          <w:szCs w:val="22"/>
        </w:rPr>
        <w:t>.  Verizon will investigate its call delivery to 20 Rural OCNs per month</w:t>
      </w:r>
      <w:r w:rsidR="003350CD" w:rsidRPr="00C86691">
        <w:rPr>
          <w:sz w:val="22"/>
          <w:szCs w:val="22"/>
        </w:rPr>
        <w:t xml:space="preserve"> un</w:t>
      </w:r>
      <w:r w:rsidR="00BA4365" w:rsidRPr="00C86691">
        <w:rPr>
          <w:sz w:val="22"/>
          <w:szCs w:val="22"/>
        </w:rPr>
        <w:t>less certain conditions are met</w:t>
      </w:r>
      <w:r w:rsidR="003350CD" w:rsidRPr="00C86691">
        <w:rPr>
          <w:sz w:val="22"/>
          <w:szCs w:val="22"/>
        </w:rPr>
        <w:t>, as described below</w:t>
      </w:r>
      <w:r w:rsidR="007567C9" w:rsidRPr="00C86691">
        <w:rPr>
          <w:sz w:val="22"/>
          <w:szCs w:val="22"/>
        </w:rPr>
        <w:t>.</w:t>
      </w:r>
    </w:p>
    <w:p w:rsidR="00C866BE" w:rsidRPr="00C86691" w:rsidRDefault="00BA4365" w:rsidP="008A0C4A">
      <w:pPr>
        <w:pStyle w:val="ListParagraph"/>
        <w:numPr>
          <w:ilvl w:val="2"/>
          <w:numId w:val="19"/>
        </w:numPr>
        <w:spacing w:after="120"/>
        <w:rPr>
          <w:color w:val="000000"/>
          <w:sz w:val="22"/>
          <w:szCs w:val="22"/>
        </w:rPr>
      </w:pPr>
      <w:r w:rsidRPr="00C86691">
        <w:rPr>
          <w:sz w:val="22"/>
          <w:szCs w:val="22"/>
          <w:u w:val="single"/>
        </w:rPr>
        <w:t xml:space="preserve">Monthly </w:t>
      </w:r>
      <w:r w:rsidR="00295954" w:rsidRPr="00C86691">
        <w:rPr>
          <w:sz w:val="22"/>
          <w:szCs w:val="22"/>
          <w:u w:val="single"/>
        </w:rPr>
        <w:t>Investigation</w:t>
      </w:r>
      <w:r w:rsidR="00293E2B" w:rsidRPr="00C86691">
        <w:rPr>
          <w:sz w:val="22"/>
          <w:szCs w:val="22"/>
          <w:u w:val="single"/>
        </w:rPr>
        <w:t>s</w:t>
      </w:r>
      <w:r w:rsidR="007567C9" w:rsidRPr="00C86691">
        <w:rPr>
          <w:sz w:val="22"/>
          <w:szCs w:val="22"/>
        </w:rPr>
        <w:t xml:space="preserve">:  Verizon shall investigate its call delivery to </w:t>
      </w:r>
      <w:r w:rsidR="00A52DF5" w:rsidRPr="00C86691">
        <w:rPr>
          <w:sz w:val="22"/>
          <w:szCs w:val="22"/>
        </w:rPr>
        <w:t xml:space="preserve">up to 20 </w:t>
      </w:r>
      <w:r w:rsidR="007567C9" w:rsidRPr="00C86691">
        <w:rPr>
          <w:sz w:val="22"/>
          <w:szCs w:val="22"/>
        </w:rPr>
        <w:t xml:space="preserve">Rural OCNs for which its </w:t>
      </w:r>
      <w:r w:rsidR="00B62A4D" w:rsidRPr="00C86691">
        <w:rPr>
          <w:sz w:val="22"/>
          <w:szCs w:val="22"/>
        </w:rPr>
        <w:t xml:space="preserve">Call </w:t>
      </w:r>
      <w:r w:rsidR="007567C9" w:rsidRPr="00C86691">
        <w:rPr>
          <w:sz w:val="22"/>
          <w:szCs w:val="22"/>
        </w:rPr>
        <w:t xml:space="preserve">Answer Rate fell below 80% </w:t>
      </w:r>
      <w:r w:rsidR="00802F95" w:rsidRPr="00C86691">
        <w:rPr>
          <w:sz w:val="22"/>
          <w:szCs w:val="22"/>
        </w:rPr>
        <w:t>of</w:t>
      </w:r>
      <w:r w:rsidR="00EF6303" w:rsidRPr="00C86691">
        <w:rPr>
          <w:sz w:val="22"/>
          <w:szCs w:val="22"/>
        </w:rPr>
        <w:t xml:space="preserve"> its </w:t>
      </w:r>
      <w:r w:rsidR="00D97B77" w:rsidRPr="00C86691">
        <w:rPr>
          <w:sz w:val="22"/>
          <w:szCs w:val="22"/>
        </w:rPr>
        <w:t xml:space="preserve">Aggregate </w:t>
      </w:r>
      <w:r w:rsidR="00EF6303" w:rsidRPr="00C86691">
        <w:rPr>
          <w:sz w:val="22"/>
          <w:szCs w:val="22"/>
        </w:rPr>
        <w:t>Rural Answer Rate</w:t>
      </w:r>
      <w:r w:rsidR="00665373" w:rsidRPr="00C86691">
        <w:rPr>
          <w:sz w:val="22"/>
          <w:szCs w:val="22"/>
        </w:rPr>
        <w:t xml:space="preserve"> </w:t>
      </w:r>
      <w:r w:rsidR="007567C9" w:rsidRPr="00C86691">
        <w:rPr>
          <w:sz w:val="22"/>
          <w:szCs w:val="22"/>
        </w:rPr>
        <w:t>in the prior month.  I</w:t>
      </w:r>
      <w:r w:rsidR="00B31BC1" w:rsidRPr="00C86691">
        <w:rPr>
          <w:sz w:val="22"/>
          <w:szCs w:val="22"/>
        </w:rPr>
        <w:t>f Verizon</w:t>
      </w:r>
      <w:r w:rsidR="00360540" w:rsidRPr="00C86691">
        <w:rPr>
          <w:sz w:val="22"/>
          <w:szCs w:val="22"/>
        </w:rPr>
        <w:t>’s</w:t>
      </w:r>
      <w:r w:rsidR="00B31BC1" w:rsidRPr="00C86691">
        <w:rPr>
          <w:sz w:val="22"/>
          <w:szCs w:val="22"/>
        </w:rPr>
        <w:t xml:space="preserve"> </w:t>
      </w:r>
      <w:r w:rsidR="00B62A4D" w:rsidRPr="00C86691">
        <w:rPr>
          <w:sz w:val="22"/>
          <w:szCs w:val="22"/>
        </w:rPr>
        <w:t xml:space="preserve">Call </w:t>
      </w:r>
      <w:r w:rsidR="00B31BC1" w:rsidRPr="00C86691">
        <w:rPr>
          <w:sz w:val="22"/>
          <w:szCs w:val="22"/>
        </w:rPr>
        <w:t xml:space="preserve">Answer Rate falls below 80% </w:t>
      </w:r>
      <w:r w:rsidR="00802F95" w:rsidRPr="00C86691">
        <w:rPr>
          <w:sz w:val="22"/>
          <w:szCs w:val="22"/>
        </w:rPr>
        <w:t xml:space="preserve">of the </w:t>
      </w:r>
      <w:r w:rsidR="00023DBF" w:rsidRPr="00C86691">
        <w:rPr>
          <w:sz w:val="22"/>
          <w:szCs w:val="22"/>
        </w:rPr>
        <w:t>A</w:t>
      </w:r>
      <w:r w:rsidR="00D97B77" w:rsidRPr="00C86691">
        <w:rPr>
          <w:sz w:val="22"/>
          <w:szCs w:val="22"/>
        </w:rPr>
        <w:t>ggregate</w:t>
      </w:r>
      <w:r w:rsidR="00023DBF" w:rsidRPr="00C86691">
        <w:rPr>
          <w:sz w:val="22"/>
          <w:szCs w:val="22"/>
        </w:rPr>
        <w:t xml:space="preserve"> </w:t>
      </w:r>
      <w:r w:rsidR="00802F95" w:rsidRPr="00C86691">
        <w:rPr>
          <w:sz w:val="22"/>
          <w:szCs w:val="22"/>
        </w:rPr>
        <w:t>Rural</w:t>
      </w:r>
      <w:r w:rsidR="00A27B90" w:rsidRPr="00C86691">
        <w:rPr>
          <w:sz w:val="22"/>
          <w:szCs w:val="22"/>
        </w:rPr>
        <w:t xml:space="preserve"> </w:t>
      </w:r>
      <w:r w:rsidR="00802F95" w:rsidRPr="00C86691">
        <w:rPr>
          <w:sz w:val="22"/>
          <w:szCs w:val="22"/>
        </w:rPr>
        <w:t xml:space="preserve">Answer Rate </w:t>
      </w:r>
      <w:r w:rsidR="0066152F" w:rsidRPr="00C86691">
        <w:rPr>
          <w:sz w:val="22"/>
          <w:szCs w:val="22"/>
        </w:rPr>
        <w:t xml:space="preserve">in </w:t>
      </w:r>
      <w:r w:rsidR="00B31BC1" w:rsidRPr="00C86691">
        <w:rPr>
          <w:sz w:val="22"/>
          <w:szCs w:val="22"/>
        </w:rPr>
        <w:t>20</w:t>
      </w:r>
      <w:r w:rsidR="00717408" w:rsidRPr="00C86691">
        <w:rPr>
          <w:sz w:val="22"/>
          <w:szCs w:val="22"/>
        </w:rPr>
        <w:t xml:space="preserve"> or more</w:t>
      </w:r>
      <w:r w:rsidR="00B31BC1" w:rsidRPr="00C86691">
        <w:rPr>
          <w:sz w:val="22"/>
          <w:szCs w:val="22"/>
        </w:rPr>
        <w:t xml:space="preserve"> Rural OCNs </w:t>
      </w:r>
      <w:r w:rsidR="0066152F" w:rsidRPr="00C86691">
        <w:rPr>
          <w:sz w:val="22"/>
          <w:szCs w:val="22"/>
        </w:rPr>
        <w:t xml:space="preserve">for </w:t>
      </w:r>
      <w:r w:rsidR="00B31BC1" w:rsidRPr="00C86691">
        <w:rPr>
          <w:sz w:val="22"/>
          <w:szCs w:val="22"/>
        </w:rPr>
        <w:t xml:space="preserve">any month, Verizon will </w:t>
      </w:r>
      <w:r w:rsidR="00293E2B" w:rsidRPr="00C86691">
        <w:rPr>
          <w:sz w:val="22"/>
          <w:szCs w:val="22"/>
        </w:rPr>
        <w:t xml:space="preserve">investigate </w:t>
      </w:r>
      <w:r w:rsidR="002F1E83" w:rsidRPr="00C86691">
        <w:rPr>
          <w:sz w:val="22"/>
          <w:szCs w:val="22"/>
        </w:rPr>
        <w:t xml:space="preserve">up to </w:t>
      </w:r>
      <w:r w:rsidR="00293E2B" w:rsidRPr="00C86691">
        <w:rPr>
          <w:sz w:val="22"/>
          <w:szCs w:val="22"/>
        </w:rPr>
        <w:t xml:space="preserve">20 Rural OCNs, which will include the </w:t>
      </w:r>
      <w:r w:rsidR="00B31BC1" w:rsidRPr="00C86691">
        <w:rPr>
          <w:sz w:val="22"/>
          <w:szCs w:val="22"/>
        </w:rPr>
        <w:t xml:space="preserve">OCNs with the lowest </w:t>
      </w:r>
      <w:r w:rsidR="00B62A4D" w:rsidRPr="00C86691">
        <w:rPr>
          <w:sz w:val="22"/>
          <w:szCs w:val="22"/>
        </w:rPr>
        <w:t xml:space="preserve">Call </w:t>
      </w:r>
      <w:r w:rsidR="00B31BC1" w:rsidRPr="00C86691">
        <w:rPr>
          <w:sz w:val="22"/>
          <w:szCs w:val="22"/>
        </w:rPr>
        <w:t xml:space="preserve">Answer Rates </w:t>
      </w:r>
      <w:r w:rsidR="00293E2B" w:rsidRPr="00C86691">
        <w:rPr>
          <w:sz w:val="22"/>
          <w:szCs w:val="22"/>
        </w:rPr>
        <w:t xml:space="preserve">during </w:t>
      </w:r>
      <w:r w:rsidR="00B31BC1" w:rsidRPr="00C86691">
        <w:rPr>
          <w:sz w:val="22"/>
          <w:szCs w:val="22"/>
        </w:rPr>
        <w:t xml:space="preserve">the </w:t>
      </w:r>
      <w:r w:rsidR="00293E2B" w:rsidRPr="00C86691">
        <w:rPr>
          <w:sz w:val="22"/>
          <w:szCs w:val="22"/>
        </w:rPr>
        <w:t xml:space="preserve">prior </w:t>
      </w:r>
      <w:r w:rsidR="00B31BC1" w:rsidRPr="00C86691">
        <w:rPr>
          <w:sz w:val="22"/>
          <w:szCs w:val="22"/>
        </w:rPr>
        <w:t>month</w:t>
      </w:r>
      <w:r w:rsidR="00A27B90" w:rsidRPr="00C86691">
        <w:rPr>
          <w:sz w:val="22"/>
          <w:szCs w:val="22"/>
        </w:rPr>
        <w:t xml:space="preserve"> but</w:t>
      </w:r>
      <w:r w:rsidR="00717408" w:rsidRPr="00C86691">
        <w:rPr>
          <w:sz w:val="22"/>
          <w:szCs w:val="22"/>
        </w:rPr>
        <w:t xml:space="preserve"> </w:t>
      </w:r>
      <w:r w:rsidR="006F1EA7" w:rsidRPr="00C86691">
        <w:rPr>
          <w:sz w:val="22"/>
          <w:szCs w:val="22"/>
        </w:rPr>
        <w:t>exclud</w:t>
      </w:r>
      <w:r w:rsidR="00A27B90" w:rsidRPr="00C86691">
        <w:rPr>
          <w:sz w:val="22"/>
          <w:szCs w:val="22"/>
        </w:rPr>
        <w:t>e</w:t>
      </w:r>
      <w:r w:rsidR="006F1EA7" w:rsidRPr="00C86691">
        <w:rPr>
          <w:sz w:val="22"/>
          <w:szCs w:val="22"/>
        </w:rPr>
        <w:t xml:space="preserve"> </w:t>
      </w:r>
      <w:r w:rsidR="00B31BC1" w:rsidRPr="00C86691">
        <w:rPr>
          <w:sz w:val="22"/>
          <w:szCs w:val="22"/>
        </w:rPr>
        <w:t>OCN</w:t>
      </w:r>
      <w:r w:rsidR="006F1EA7" w:rsidRPr="00C86691">
        <w:rPr>
          <w:sz w:val="22"/>
          <w:szCs w:val="22"/>
        </w:rPr>
        <w:t>s</w:t>
      </w:r>
      <w:r w:rsidR="00B8325B" w:rsidRPr="00C86691">
        <w:rPr>
          <w:sz w:val="22"/>
          <w:szCs w:val="22"/>
        </w:rPr>
        <w:t xml:space="preserve"> it investigated within the prior two months</w:t>
      </w:r>
      <w:r w:rsidR="006F1EA7" w:rsidRPr="00C86691">
        <w:rPr>
          <w:sz w:val="22"/>
          <w:szCs w:val="22"/>
        </w:rPr>
        <w:t xml:space="preserve">.  </w:t>
      </w:r>
      <w:r w:rsidR="00802F95" w:rsidRPr="00C86691">
        <w:rPr>
          <w:sz w:val="22"/>
          <w:szCs w:val="22"/>
        </w:rPr>
        <w:t xml:space="preserve">  </w:t>
      </w:r>
    </w:p>
    <w:p w:rsidR="007567C9" w:rsidRPr="00C86691" w:rsidRDefault="00631CDF" w:rsidP="008A0C4A">
      <w:pPr>
        <w:pStyle w:val="ListParagraph"/>
        <w:numPr>
          <w:ilvl w:val="2"/>
          <w:numId w:val="19"/>
        </w:numPr>
        <w:spacing w:after="120"/>
        <w:rPr>
          <w:sz w:val="22"/>
          <w:szCs w:val="22"/>
        </w:rPr>
      </w:pPr>
      <w:r w:rsidRPr="00C86691">
        <w:rPr>
          <w:sz w:val="22"/>
          <w:szCs w:val="22"/>
          <w:u w:val="single"/>
        </w:rPr>
        <w:t xml:space="preserve">Negative </w:t>
      </w:r>
      <w:r w:rsidR="007567C9" w:rsidRPr="00C86691">
        <w:rPr>
          <w:sz w:val="22"/>
          <w:szCs w:val="22"/>
          <w:u w:val="single"/>
        </w:rPr>
        <w:t>Spike Inv</w:t>
      </w:r>
      <w:r w:rsidR="00295954" w:rsidRPr="00C86691">
        <w:rPr>
          <w:sz w:val="22"/>
          <w:szCs w:val="22"/>
          <w:u w:val="single"/>
        </w:rPr>
        <w:t>estigation</w:t>
      </w:r>
      <w:r w:rsidR="00293E2B" w:rsidRPr="00C86691">
        <w:rPr>
          <w:sz w:val="22"/>
          <w:szCs w:val="22"/>
          <w:u w:val="single"/>
        </w:rPr>
        <w:t>s</w:t>
      </w:r>
      <w:r w:rsidR="007567C9" w:rsidRPr="00C86691">
        <w:rPr>
          <w:sz w:val="22"/>
          <w:szCs w:val="22"/>
        </w:rPr>
        <w:t xml:space="preserve">:  </w:t>
      </w:r>
      <w:r w:rsidR="00146154">
        <w:rPr>
          <w:sz w:val="22"/>
          <w:szCs w:val="22"/>
        </w:rPr>
        <w:t xml:space="preserve">Within 30 days of the Effective Date, </w:t>
      </w:r>
      <w:r w:rsidR="00B62B28" w:rsidRPr="00C86691">
        <w:rPr>
          <w:sz w:val="22"/>
          <w:szCs w:val="22"/>
        </w:rPr>
        <w:t xml:space="preserve">Verizon </w:t>
      </w:r>
      <w:r w:rsidR="007567C9" w:rsidRPr="00C86691">
        <w:rPr>
          <w:sz w:val="22"/>
          <w:szCs w:val="22"/>
        </w:rPr>
        <w:t>shall establish a metric</w:t>
      </w:r>
      <w:r w:rsidR="00B62B28" w:rsidRPr="00C86691">
        <w:rPr>
          <w:sz w:val="22"/>
          <w:szCs w:val="22"/>
        </w:rPr>
        <w:t xml:space="preserve">, subject to approval by the Bureau, </w:t>
      </w:r>
      <w:r w:rsidR="007567C9" w:rsidRPr="00C86691">
        <w:rPr>
          <w:sz w:val="22"/>
          <w:szCs w:val="22"/>
        </w:rPr>
        <w:t xml:space="preserve">to identify </w:t>
      </w:r>
      <w:r w:rsidRPr="00C86691">
        <w:rPr>
          <w:sz w:val="22"/>
          <w:szCs w:val="22"/>
        </w:rPr>
        <w:t xml:space="preserve">Negative </w:t>
      </w:r>
      <w:r w:rsidR="00FA2AE9" w:rsidRPr="00C86691">
        <w:rPr>
          <w:sz w:val="22"/>
          <w:szCs w:val="22"/>
        </w:rPr>
        <w:t>S</w:t>
      </w:r>
      <w:r w:rsidR="007567C9" w:rsidRPr="00C86691">
        <w:rPr>
          <w:sz w:val="22"/>
          <w:szCs w:val="22"/>
        </w:rPr>
        <w:t xml:space="preserve">pikes in </w:t>
      </w:r>
      <w:r w:rsidR="00293E2B" w:rsidRPr="00C86691">
        <w:rPr>
          <w:sz w:val="22"/>
          <w:szCs w:val="22"/>
        </w:rPr>
        <w:t>C</w:t>
      </w:r>
      <w:r w:rsidR="00B62A4D" w:rsidRPr="00C86691">
        <w:rPr>
          <w:sz w:val="22"/>
          <w:szCs w:val="22"/>
        </w:rPr>
        <w:t xml:space="preserve">all </w:t>
      </w:r>
      <w:r w:rsidR="007567C9" w:rsidRPr="00C86691">
        <w:rPr>
          <w:sz w:val="22"/>
          <w:szCs w:val="22"/>
        </w:rPr>
        <w:t xml:space="preserve">Answer Rates to individual </w:t>
      </w:r>
      <w:r w:rsidR="00023DBF" w:rsidRPr="00C86691">
        <w:rPr>
          <w:sz w:val="22"/>
          <w:szCs w:val="22"/>
        </w:rPr>
        <w:t>R</w:t>
      </w:r>
      <w:r w:rsidR="007567C9" w:rsidRPr="00C86691">
        <w:rPr>
          <w:sz w:val="22"/>
          <w:szCs w:val="22"/>
        </w:rPr>
        <w:t xml:space="preserve">ural OCNs </w:t>
      </w:r>
      <w:r w:rsidR="00D23E93" w:rsidRPr="00C86691">
        <w:rPr>
          <w:sz w:val="22"/>
          <w:szCs w:val="22"/>
        </w:rPr>
        <w:t xml:space="preserve">in order to capture sudden decreases and short material disruptions in the Call Answer Rate to a Rural OCN, which the monthly investigation process might not otherwise flag for prompt investigation.  Verizon </w:t>
      </w:r>
      <w:r w:rsidR="007567C9" w:rsidRPr="00C86691">
        <w:rPr>
          <w:sz w:val="22"/>
          <w:szCs w:val="22"/>
        </w:rPr>
        <w:t xml:space="preserve">shall investigate up to </w:t>
      </w:r>
      <w:r w:rsidR="00F806C9" w:rsidRPr="00C86691">
        <w:rPr>
          <w:sz w:val="22"/>
          <w:szCs w:val="22"/>
        </w:rPr>
        <w:t xml:space="preserve">ten </w:t>
      </w:r>
      <w:r w:rsidR="007567C9" w:rsidRPr="00C86691">
        <w:rPr>
          <w:sz w:val="22"/>
          <w:szCs w:val="22"/>
        </w:rPr>
        <w:t>(</w:t>
      </w:r>
      <w:r w:rsidR="00F806C9" w:rsidRPr="00C86691">
        <w:rPr>
          <w:sz w:val="22"/>
          <w:szCs w:val="22"/>
        </w:rPr>
        <w:t>10</w:t>
      </w:r>
      <w:r w:rsidR="007567C9" w:rsidRPr="00C86691">
        <w:rPr>
          <w:sz w:val="22"/>
          <w:szCs w:val="22"/>
        </w:rPr>
        <w:t>) “</w:t>
      </w:r>
      <w:r w:rsidRPr="00C86691">
        <w:rPr>
          <w:sz w:val="22"/>
          <w:szCs w:val="22"/>
        </w:rPr>
        <w:t xml:space="preserve">Negative </w:t>
      </w:r>
      <w:r w:rsidR="00FA2AE9" w:rsidRPr="00C86691">
        <w:rPr>
          <w:sz w:val="22"/>
          <w:szCs w:val="22"/>
        </w:rPr>
        <w:t>Spike</w:t>
      </w:r>
      <w:r w:rsidR="007567C9" w:rsidRPr="00C86691">
        <w:rPr>
          <w:sz w:val="22"/>
          <w:szCs w:val="22"/>
        </w:rPr>
        <w:t xml:space="preserve"> OCNs” per month.  Each </w:t>
      </w:r>
      <w:r w:rsidRPr="00C86691">
        <w:rPr>
          <w:sz w:val="22"/>
          <w:szCs w:val="22"/>
        </w:rPr>
        <w:t xml:space="preserve">Negative </w:t>
      </w:r>
      <w:r w:rsidR="00FA2AE9" w:rsidRPr="00C86691">
        <w:rPr>
          <w:sz w:val="22"/>
          <w:szCs w:val="22"/>
        </w:rPr>
        <w:t>Spike</w:t>
      </w:r>
      <w:r w:rsidR="007567C9" w:rsidRPr="00C86691">
        <w:rPr>
          <w:sz w:val="22"/>
          <w:szCs w:val="22"/>
        </w:rPr>
        <w:t xml:space="preserve"> OCN investigation shall reduce (from 20) the number of </w:t>
      </w:r>
      <w:r w:rsidR="000610FE">
        <w:rPr>
          <w:sz w:val="22"/>
          <w:szCs w:val="22"/>
        </w:rPr>
        <w:t>m</w:t>
      </w:r>
      <w:r w:rsidR="00BA4365" w:rsidRPr="00C86691">
        <w:rPr>
          <w:sz w:val="22"/>
          <w:szCs w:val="22"/>
        </w:rPr>
        <w:t xml:space="preserve">onthly </w:t>
      </w:r>
      <w:r w:rsidR="000610FE">
        <w:rPr>
          <w:sz w:val="22"/>
          <w:szCs w:val="22"/>
        </w:rPr>
        <w:t>i</w:t>
      </w:r>
      <w:r w:rsidR="007567C9" w:rsidRPr="00C86691">
        <w:rPr>
          <w:sz w:val="22"/>
          <w:szCs w:val="22"/>
        </w:rPr>
        <w:t xml:space="preserve">nvestigations that Verizon is required to conduct each month.  Verizon shall implement the </w:t>
      </w:r>
      <w:r w:rsidRPr="00C86691">
        <w:rPr>
          <w:sz w:val="22"/>
          <w:szCs w:val="22"/>
        </w:rPr>
        <w:t xml:space="preserve">Negative </w:t>
      </w:r>
      <w:r w:rsidR="00FA2AE9" w:rsidRPr="00C86691">
        <w:rPr>
          <w:sz w:val="22"/>
          <w:szCs w:val="22"/>
        </w:rPr>
        <w:t>Spike</w:t>
      </w:r>
      <w:r w:rsidR="007567C9" w:rsidRPr="00C86691">
        <w:rPr>
          <w:sz w:val="22"/>
          <w:szCs w:val="22"/>
        </w:rPr>
        <w:t xml:space="preserve"> OCN investigation process </w:t>
      </w:r>
      <w:r w:rsidR="007567C9" w:rsidRPr="00C86691">
        <w:rPr>
          <w:sz w:val="22"/>
          <w:szCs w:val="22"/>
        </w:rPr>
        <w:lastRenderedPageBreak/>
        <w:t xml:space="preserve">as soon as possible </w:t>
      </w:r>
      <w:r w:rsidR="00295954" w:rsidRPr="00C86691">
        <w:rPr>
          <w:sz w:val="22"/>
          <w:szCs w:val="22"/>
        </w:rPr>
        <w:t xml:space="preserve">following implementation of the </w:t>
      </w:r>
      <w:r w:rsidR="000610FE">
        <w:rPr>
          <w:sz w:val="22"/>
          <w:szCs w:val="22"/>
        </w:rPr>
        <w:t>m</w:t>
      </w:r>
      <w:r w:rsidR="00BA4365" w:rsidRPr="00C86691">
        <w:rPr>
          <w:sz w:val="22"/>
          <w:szCs w:val="22"/>
        </w:rPr>
        <w:t xml:space="preserve">onthly </w:t>
      </w:r>
      <w:r w:rsidR="000610FE">
        <w:rPr>
          <w:sz w:val="22"/>
          <w:szCs w:val="22"/>
        </w:rPr>
        <w:t>i</w:t>
      </w:r>
      <w:r w:rsidR="00295954" w:rsidRPr="00C86691">
        <w:rPr>
          <w:sz w:val="22"/>
          <w:szCs w:val="22"/>
        </w:rPr>
        <w:t xml:space="preserve">nvestigation </w:t>
      </w:r>
      <w:r w:rsidR="00293E2B" w:rsidRPr="00C86691">
        <w:rPr>
          <w:sz w:val="22"/>
          <w:szCs w:val="22"/>
        </w:rPr>
        <w:t>p</w:t>
      </w:r>
      <w:r w:rsidR="00295954" w:rsidRPr="00C86691">
        <w:rPr>
          <w:sz w:val="22"/>
          <w:szCs w:val="22"/>
        </w:rPr>
        <w:t xml:space="preserve">rocess but no later than </w:t>
      </w:r>
      <w:r w:rsidR="00955201">
        <w:rPr>
          <w:sz w:val="22"/>
          <w:szCs w:val="22"/>
        </w:rPr>
        <w:t>120</w:t>
      </w:r>
      <w:r w:rsidR="00955201" w:rsidRPr="00C86691">
        <w:rPr>
          <w:sz w:val="22"/>
          <w:szCs w:val="22"/>
        </w:rPr>
        <w:t xml:space="preserve"> </w:t>
      </w:r>
      <w:r w:rsidR="00295954" w:rsidRPr="00C86691">
        <w:rPr>
          <w:sz w:val="22"/>
          <w:szCs w:val="22"/>
        </w:rPr>
        <w:t xml:space="preserve">days from the </w:t>
      </w:r>
      <w:r w:rsidR="00146154">
        <w:rPr>
          <w:sz w:val="22"/>
          <w:szCs w:val="22"/>
        </w:rPr>
        <w:t>Bureau’s approval of the metric.</w:t>
      </w:r>
    </w:p>
    <w:p w:rsidR="003350CD" w:rsidRPr="008B6694" w:rsidRDefault="003350CD" w:rsidP="008A0C4A">
      <w:pPr>
        <w:pStyle w:val="ListParagraph"/>
        <w:numPr>
          <w:ilvl w:val="2"/>
          <w:numId w:val="19"/>
        </w:numPr>
        <w:spacing w:after="120"/>
        <w:rPr>
          <w:sz w:val="22"/>
          <w:szCs w:val="22"/>
          <w:u w:val="single"/>
        </w:rPr>
      </w:pPr>
      <w:r w:rsidRPr="008B6694">
        <w:rPr>
          <w:sz w:val="22"/>
          <w:szCs w:val="22"/>
          <w:u w:val="single"/>
        </w:rPr>
        <w:t>Complaint Investigation Process:</w:t>
      </w:r>
      <w:r w:rsidRPr="008B6694">
        <w:rPr>
          <w:sz w:val="22"/>
          <w:szCs w:val="22"/>
        </w:rPr>
        <w:t xml:space="preserve"> Verizon shall continue its current practice of investigating rural call completion complaints that </w:t>
      </w:r>
      <w:r w:rsidR="00B62A4D" w:rsidRPr="008B6694">
        <w:rPr>
          <w:sz w:val="22"/>
          <w:szCs w:val="22"/>
        </w:rPr>
        <w:t xml:space="preserve">it receives from </w:t>
      </w:r>
      <w:r w:rsidRPr="00AB764B">
        <w:rPr>
          <w:sz w:val="22"/>
          <w:szCs w:val="22"/>
        </w:rPr>
        <w:t>the FCC</w:t>
      </w:r>
      <w:r w:rsidR="00B62A4D" w:rsidRPr="00AB764B">
        <w:rPr>
          <w:sz w:val="22"/>
          <w:szCs w:val="22"/>
        </w:rPr>
        <w:t xml:space="preserve">, its </w:t>
      </w:r>
      <w:r w:rsidR="00B0010E" w:rsidRPr="00AB764B">
        <w:rPr>
          <w:sz w:val="22"/>
          <w:szCs w:val="22"/>
        </w:rPr>
        <w:t xml:space="preserve">RLEC </w:t>
      </w:r>
      <w:r w:rsidR="00B62A4D" w:rsidRPr="00AB764B">
        <w:rPr>
          <w:sz w:val="22"/>
          <w:szCs w:val="22"/>
        </w:rPr>
        <w:t xml:space="preserve">Hotline, </w:t>
      </w:r>
      <w:r w:rsidR="00A27B90" w:rsidRPr="00AB764B">
        <w:rPr>
          <w:sz w:val="22"/>
          <w:szCs w:val="22"/>
        </w:rPr>
        <w:t xml:space="preserve">customers, rural </w:t>
      </w:r>
      <w:r w:rsidR="00B62A4D" w:rsidRPr="00AB764B">
        <w:rPr>
          <w:sz w:val="22"/>
          <w:szCs w:val="22"/>
        </w:rPr>
        <w:t>consumers, or other sources</w:t>
      </w:r>
      <w:r w:rsidRPr="00AB764B">
        <w:rPr>
          <w:sz w:val="22"/>
          <w:szCs w:val="22"/>
        </w:rPr>
        <w:t xml:space="preserve">.  </w:t>
      </w:r>
      <w:r w:rsidR="00955201" w:rsidRPr="0062460D">
        <w:rPr>
          <w:sz w:val="22"/>
          <w:szCs w:val="22"/>
        </w:rPr>
        <w:t xml:space="preserve">These investigations shall not count toward the 20 </w:t>
      </w:r>
      <w:r w:rsidR="000610FE" w:rsidRPr="0062460D">
        <w:rPr>
          <w:sz w:val="22"/>
          <w:szCs w:val="22"/>
        </w:rPr>
        <w:t>m</w:t>
      </w:r>
      <w:r w:rsidR="00955201" w:rsidRPr="0062460D">
        <w:rPr>
          <w:sz w:val="22"/>
          <w:szCs w:val="22"/>
        </w:rPr>
        <w:t xml:space="preserve">onthly or Negative Spike </w:t>
      </w:r>
      <w:r w:rsidR="000610FE" w:rsidRPr="0062460D">
        <w:rPr>
          <w:sz w:val="22"/>
          <w:szCs w:val="22"/>
        </w:rPr>
        <w:t>i</w:t>
      </w:r>
      <w:r w:rsidR="00955201" w:rsidRPr="0062460D">
        <w:rPr>
          <w:sz w:val="22"/>
          <w:szCs w:val="22"/>
        </w:rPr>
        <w:t>nvestigations described in paragraphs A and B above.</w:t>
      </w:r>
    </w:p>
    <w:p w:rsidR="00295954" w:rsidRPr="00C86691" w:rsidRDefault="00295954" w:rsidP="008A0C4A">
      <w:pPr>
        <w:pStyle w:val="ListParagraph"/>
        <w:numPr>
          <w:ilvl w:val="2"/>
          <w:numId w:val="19"/>
        </w:numPr>
        <w:spacing w:after="120"/>
        <w:rPr>
          <w:sz w:val="22"/>
          <w:szCs w:val="22"/>
        </w:rPr>
      </w:pPr>
      <w:r w:rsidRPr="00C86691">
        <w:rPr>
          <w:sz w:val="22"/>
          <w:szCs w:val="22"/>
          <w:u w:val="single"/>
        </w:rPr>
        <w:t>Investigation Checklist</w:t>
      </w:r>
      <w:r w:rsidRPr="00C86691">
        <w:rPr>
          <w:sz w:val="22"/>
          <w:szCs w:val="22"/>
        </w:rPr>
        <w:t>:  Verizon’s investigations</w:t>
      </w:r>
      <w:r w:rsidR="00D23E93" w:rsidRPr="00C86691">
        <w:rPr>
          <w:sz w:val="22"/>
          <w:szCs w:val="22"/>
        </w:rPr>
        <w:t xml:space="preserve">, which shall </w:t>
      </w:r>
      <w:r w:rsidR="003A6503" w:rsidRPr="00C86691">
        <w:rPr>
          <w:sz w:val="22"/>
          <w:szCs w:val="22"/>
        </w:rPr>
        <w:t>be similar to</w:t>
      </w:r>
      <w:r w:rsidR="00D23E93" w:rsidRPr="00C86691">
        <w:rPr>
          <w:sz w:val="22"/>
          <w:szCs w:val="22"/>
        </w:rPr>
        <w:t xml:space="preserve"> its investigations of the Rural OCNs conducted in response to the LOI, </w:t>
      </w:r>
      <w:r w:rsidRPr="00C86691">
        <w:rPr>
          <w:sz w:val="22"/>
          <w:szCs w:val="22"/>
        </w:rPr>
        <w:t>shall include one or more of the following, depending on the scope and nature of information observed and identified during the course of the investigation:</w:t>
      </w:r>
    </w:p>
    <w:p w:rsidR="00295954" w:rsidRPr="00C86691" w:rsidRDefault="00295954" w:rsidP="00295954">
      <w:pPr>
        <w:pStyle w:val="ListParagraph"/>
        <w:numPr>
          <w:ilvl w:val="3"/>
          <w:numId w:val="6"/>
        </w:numPr>
        <w:spacing w:after="120"/>
        <w:rPr>
          <w:sz w:val="22"/>
          <w:szCs w:val="22"/>
        </w:rPr>
      </w:pPr>
      <w:r w:rsidRPr="00C86691">
        <w:rPr>
          <w:sz w:val="22"/>
          <w:szCs w:val="22"/>
        </w:rPr>
        <w:t xml:space="preserve">Contact with </w:t>
      </w:r>
      <w:r w:rsidR="007A3F50" w:rsidRPr="00C86691">
        <w:rPr>
          <w:sz w:val="22"/>
          <w:szCs w:val="22"/>
        </w:rPr>
        <w:t xml:space="preserve">the </w:t>
      </w:r>
      <w:r w:rsidR="00D23E93" w:rsidRPr="00C86691">
        <w:rPr>
          <w:sz w:val="22"/>
          <w:szCs w:val="22"/>
        </w:rPr>
        <w:t xml:space="preserve">rural LEC, </w:t>
      </w:r>
      <w:r w:rsidRPr="00C86691">
        <w:rPr>
          <w:sz w:val="22"/>
          <w:szCs w:val="22"/>
        </w:rPr>
        <w:t xml:space="preserve">tandem provider, and/or </w:t>
      </w:r>
      <w:r w:rsidR="00C94BA7" w:rsidRPr="00C86691">
        <w:rPr>
          <w:sz w:val="22"/>
          <w:szCs w:val="22"/>
        </w:rPr>
        <w:t>I</w:t>
      </w:r>
      <w:r w:rsidRPr="00C86691">
        <w:rPr>
          <w:sz w:val="22"/>
          <w:szCs w:val="22"/>
        </w:rPr>
        <w:t xml:space="preserve">ntermediate </w:t>
      </w:r>
      <w:r w:rsidR="00C94BA7" w:rsidRPr="00C86691">
        <w:rPr>
          <w:sz w:val="22"/>
          <w:szCs w:val="22"/>
        </w:rPr>
        <w:t>P</w:t>
      </w:r>
      <w:r w:rsidR="00F76E10" w:rsidRPr="00C86691">
        <w:rPr>
          <w:sz w:val="22"/>
          <w:szCs w:val="22"/>
        </w:rPr>
        <w:t>rovider</w:t>
      </w:r>
      <w:r w:rsidR="007A3F50" w:rsidRPr="00C86691">
        <w:rPr>
          <w:sz w:val="22"/>
          <w:szCs w:val="22"/>
        </w:rPr>
        <w:t>;</w:t>
      </w:r>
    </w:p>
    <w:p w:rsidR="00D97B77" w:rsidRPr="00C86691" w:rsidRDefault="007405DB" w:rsidP="009868CE">
      <w:pPr>
        <w:pStyle w:val="ListParagraph"/>
        <w:numPr>
          <w:ilvl w:val="3"/>
          <w:numId w:val="6"/>
        </w:numPr>
        <w:spacing w:after="120"/>
        <w:rPr>
          <w:sz w:val="22"/>
          <w:szCs w:val="22"/>
        </w:rPr>
      </w:pPr>
      <w:r w:rsidRPr="00C86691">
        <w:rPr>
          <w:sz w:val="22"/>
          <w:szCs w:val="22"/>
        </w:rPr>
        <w:t>Performance</w:t>
      </w:r>
      <w:r w:rsidR="00D97B77" w:rsidRPr="00C86691">
        <w:rPr>
          <w:sz w:val="22"/>
          <w:szCs w:val="22"/>
        </w:rPr>
        <w:t xml:space="preserve"> of milliwatt testing;</w:t>
      </w:r>
    </w:p>
    <w:p w:rsidR="009868CE" w:rsidRPr="00C86691" w:rsidRDefault="00295954" w:rsidP="009868CE">
      <w:pPr>
        <w:pStyle w:val="ListParagraph"/>
        <w:numPr>
          <w:ilvl w:val="3"/>
          <w:numId w:val="6"/>
        </w:numPr>
        <w:spacing w:after="120"/>
        <w:rPr>
          <w:sz w:val="22"/>
          <w:szCs w:val="22"/>
        </w:rPr>
      </w:pPr>
      <w:r w:rsidRPr="00C86691">
        <w:rPr>
          <w:sz w:val="22"/>
          <w:szCs w:val="22"/>
        </w:rPr>
        <w:t>Placement of manual test calls</w:t>
      </w:r>
      <w:r w:rsidR="00B24DFA" w:rsidRPr="00C86691">
        <w:rPr>
          <w:sz w:val="22"/>
          <w:szCs w:val="22"/>
        </w:rPr>
        <w:t>,</w:t>
      </w:r>
      <w:r w:rsidR="009868CE" w:rsidRPr="00C86691">
        <w:rPr>
          <w:sz w:val="22"/>
          <w:szCs w:val="22"/>
        </w:rPr>
        <w:t xml:space="preserve"> including to previously unanswered numbers</w:t>
      </w:r>
      <w:r w:rsidR="00B71B1F" w:rsidRPr="00C86691">
        <w:rPr>
          <w:sz w:val="22"/>
          <w:szCs w:val="22"/>
        </w:rPr>
        <w:t>,</w:t>
      </w:r>
      <w:r w:rsidR="009868CE" w:rsidRPr="00C86691">
        <w:rPr>
          <w:sz w:val="22"/>
          <w:szCs w:val="22"/>
        </w:rPr>
        <w:t xml:space="preserve"> utilizing SS7 call trace equipment to monitor the exchange of signaling i</w:t>
      </w:r>
      <w:r w:rsidR="0012109C" w:rsidRPr="00C86691">
        <w:rPr>
          <w:sz w:val="22"/>
          <w:szCs w:val="22"/>
        </w:rPr>
        <w:t>n</w:t>
      </w:r>
      <w:r w:rsidR="009868CE" w:rsidRPr="00C86691">
        <w:rPr>
          <w:sz w:val="22"/>
          <w:szCs w:val="22"/>
        </w:rPr>
        <w:t xml:space="preserve">formation in real time and to confirm signaling messages were coming from the </w:t>
      </w:r>
      <w:r w:rsidR="00F76E10" w:rsidRPr="00C86691">
        <w:rPr>
          <w:sz w:val="22"/>
          <w:szCs w:val="22"/>
        </w:rPr>
        <w:t>rural LEC</w:t>
      </w:r>
      <w:r w:rsidR="009868CE" w:rsidRPr="00C86691">
        <w:rPr>
          <w:sz w:val="22"/>
          <w:szCs w:val="22"/>
        </w:rPr>
        <w:t xml:space="preserve"> or </w:t>
      </w:r>
      <w:r w:rsidR="00F76E10" w:rsidRPr="00C86691">
        <w:rPr>
          <w:sz w:val="22"/>
          <w:szCs w:val="22"/>
        </w:rPr>
        <w:t xml:space="preserve">a </w:t>
      </w:r>
      <w:r w:rsidR="009868CE" w:rsidRPr="00C86691">
        <w:rPr>
          <w:sz w:val="22"/>
          <w:szCs w:val="22"/>
        </w:rPr>
        <w:t xml:space="preserve">tandem provider and not an </w:t>
      </w:r>
      <w:r w:rsidR="00F76E10" w:rsidRPr="00C86691">
        <w:rPr>
          <w:sz w:val="22"/>
          <w:szCs w:val="22"/>
        </w:rPr>
        <w:t>I</w:t>
      </w:r>
      <w:r w:rsidR="009868CE" w:rsidRPr="00C86691">
        <w:rPr>
          <w:sz w:val="22"/>
          <w:szCs w:val="22"/>
        </w:rPr>
        <w:t xml:space="preserve">ntermediate </w:t>
      </w:r>
      <w:r w:rsidR="00F76E10" w:rsidRPr="00C86691">
        <w:rPr>
          <w:sz w:val="22"/>
          <w:szCs w:val="22"/>
        </w:rPr>
        <w:t>P</w:t>
      </w:r>
      <w:r w:rsidR="009868CE" w:rsidRPr="00C86691">
        <w:rPr>
          <w:sz w:val="22"/>
          <w:szCs w:val="22"/>
        </w:rPr>
        <w:t>rovider</w:t>
      </w:r>
      <w:r w:rsidR="007A3F50" w:rsidRPr="00C86691">
        <w:rPr>
          <w:sz w:val="22"/>
          <w:szCs w:val="22"/>
        </w:rPr>
        <w:t>;</w:t>
      </w:r>
    </w:p>
    <w:p w:rsidR="009868CE" w:rsidRPr="00C86691" w:rsidRDefault="009868CE" w:rsidP="00295954">
      <w:pPr>
        <w:pStyle w:val="ListParagraph"/>
        <w:numPr>
          <w:ilvl w:val="3"/>
          <w:numId w:val="6"/>
        </w:numPr>
        <w:spacing w:after="120"/>
        <w:rPr>
          <w:sz w:val="22"/>
          <w:szCs w:val="22"/>
        </w:rPr>
      </w:pPr>
      <w:r w:rsidRPr="00C86691">
        <w:rPr>
          <w:sz w:val="22"/>
          <w:szCs w:val="22"/>
        </w:rPr>
        <w:t>Review of routing arrangements, trunk capacity, and network translations</w:t>
      </w:r>
      <w:r w:rsidR="007A3F50" w:rsidRPr="00C86691">
        <w:rPr>
          <w:sz w:val="22"/>
          <w:szCs w:val="22"/>
        </w:rPr>
        <w:t>;</w:t>
      </w:r>
    </w:p>
    <w:p w:rsidR="005311E3" w:rsidRPr="00C86691" w:rsidRDefault="00295954" w:rsidP="00295954">
      <w:pPr>
        <w:pStyle w:val="ListParagraph"/>
        <w:numPr>
          <w:ilvl w:val="3"/>
          <w:numId w:val="6"/>
        </w:numPr>
        <w:spacing w:after="120"/>
        <w:rPr>
          <w:sz w:val="22"/>
          <w:szCs w:val="22"/>
        </w:rPr>
      </w:pPr>
      <w:r w:rsidRPr="00C86691">
        <w:rPr>
          <w:sz w:val="22"/>
          <w:szCs w:val="22"/>
        </w:rPr>
        <w:t>C</w:t>
      </w:r>
      <w:r w:rsidR="009E26B2" w:rsidRPr="00C86691">
        <w:rPr>
          <w:sz w:val="22"/>
          <w:szCs w:val="22"/>
        </w:rPr>
        <w:t xml:space="preserve">onsultation with </w:t>
      </w:r>
      <w:r w:rsidRPr="00C86691">
        <w:rPr>
          <w:sz w:val="22"/>
          <w:szCs w:val="22"/>
        </w:rPr>
        <w:t xml:space="preserve">Verizon’s </w:t>
      </w:r>
      <w:r w:rsidR="005311E3" w:rsidRPr="00C86691">
        <w:rPr>
          <w:sz w:val="22"/>
          <w:szCs w:val="22"/>
        </w:rPr>
        <w:t>fraud group to analyze traffic patterns that may reflect potential call reorigination or other fraudulent behavior</w:t>
      </w:r>
      <w:r w:rsidR="007A3F50" w:rsidRPr="00C86691">
        <w:rPr>
          <w:sz w:val="22"/>
          <w:szCs w:val="22"/>
        </w:rPr>
        <w:t>;</w:t>
      </w:r>
    </w:p>
    <w:p w:rsidR="00F806C9" w:rsidRPr="00C86691" w:rsidRDefault="00B711BF" w:rsidP="009868CE">
      <w:pPr>
        <w:pStyle w:val="ListParagraph"/>
        <w:numPr>
          <w:ilvl w:val="3"/>
          <w:numId w:val="6"/>
        </w:numPr>
        <w:spacing w:after="120"/>
        <w:rPr>
          <w:sz w:val="22"/>
          <w:szCs w:val="22"/>
        </w:rPr>
      </w:pPr>
      <w:r w:rsidRPr="00C86691">
        <w:rPr>
          <w:sz w:val="22"/>
          <w:szCs w:val="22"/>
        </w:rPr>
        <w:t xml:space="preserve">Review by Verizon </w:t>
      </w:r>
      <w:r w:rsidR="00F76E10" w:rsidRPr="00C86691">
        <w:rPr>
          <w:sz w:val="22"/>
          <w:szCs w:val="22"/>
        </w:rPr>
        <w:t>n</w:t>
      </w:r>
      <w:r w:rsidRPr="00C86691">
        <w:rPr>
          <w:sz w:val="22"/>
          <w:szCs w:val="22"/>
        </w:rPr>
        <w:t xml:space="preserve">etwork </w:t>
      </w:r>
      <w:r w:rsidR="00F76E10" w:rsidRPr="00C86691">
        <w:rPr>
          <w:sz w:val="22"/>
          <w:szCs w:val="22"/>
        </w:rPr>
        <w:t>e</w:t>
      </w:r>
      <w:r w:rsidRPr="00C86691">
        <w:rPr>
          <w:sz w:val="22"/>
          <w:szCs w:val="22"/>
        </w:rPr>
        <w:t>ngineering personnel of call detail records, release cause codes, or other traffic data for the OCN, or switch and tru</w:t>
      </w:r>
      <w:r w:rsidR="00A27B90" w:rsidRPr="00C86691">
        <w:rPr>
          <w:sz w:val="22"/>
          <w:szCs w:val="22"/>
        </w:rPr>
        <w:t>n</w:t>
      </w:r>
      <w:r w:rsidRPr="00C86691">
        <w:rPr>
          <w:sz w:val="22"/>
          <w:szCs w:val="22"/>
        </w:rPr>
        <w:t>k data for the Verizon network</w:t>
      </w:r>
      <w:r w:rsidR="007A3F50" w:rsidRPr="00C86691">
        <w:rPr>
          <w:sz w:val="22"/>
          <w:szCs w:val="22"/>
        </w:rPr>
        <w:t>;</w:t>
      </w:r>
      <w:r w:rsidR="00746EEE" w:rsidRPr="00C86691">
        <w:rPr>
          <w:sz w:val="22"/>
          <w:szCs w:val="22"/>
        </w:rPr>
        <w:t xml:space="preserve"> </w:t>
      </w:r>
      <w:r w:rsidR="00F806C9" w:rsidRPr="00C86691">
        <w:rPr>
          <w:sz w:val="22"/>
          <w:szCs w:val="22"/>
        </w:rPr>
        <w:t>and</w:t>
      </w:r>
    </w:p>
    <w:p w:rsidR="00746EEE" w:rsidRPr="00C86691" w:rsidRDefault="00F806C9" w:rsidP="00F806C9">
      <w:pPr>
        <w:pStyle w:val="ListParagraph"/>
        <w:numPr>
          <w:ilvl w:val="3"/>
          <w:numId w:val="6"/>
        </w:numPr>
        <w:spacing w:after="120"/>
        <w:rPr>
          <w:sz w:val="22"/>
          <w:szCs w:val="22"/>
        </w:rPr>
      </w:pPr>
      <w:r w:rsidRPr="00C86691">
        <w:rPr>
          <w:sz w:val="22"/>
          <w:szCs w:val="22"/>
        </w:rPr>
        <w:t>Inquiry into whether other factors (</w:t>
      </w:r>
      <w:r w:rsidRPr="00C86691">
        <w:rPr>
          <w:i/>
          <w:sz w:val="22"/>
          <w:szCs w:val="22"/>
        </w:rPr>
        <w:t>e.g.,</w:t>
      </w:r>
      <w:r w:rsidRPr="00C86691">
        <w:rPr>
          <w:sz w:val="22"/>
          <w:szCs w:val="22"/>
        </w:rPr>
        <w:t xml:space="preserve"> prevalence of lines with answering technology such as voicemail, or autodialer traffic, or relative proportion of unassigned numbers) are relevant.</w:t>
      </w:r>
    </w:p>
    <w:p w:rsidR="00FA1C36" w:rsidRPr="00C86691" w:rsidRDefault="00717408" w:rsidP="008A0C4A">
      <w:pPr>
        <w:pStyle w:val="ListParagraph"/>
        <w:numPr>
          <w:ilvl w:val="2"/>
          <w:numId w:val="19"/>
        </w:numPr>
        <w:spacing w:after="120"/>
        <w:rPr>
          <w:sz w:val="22"/>
          <w:szCs w:val="22"/>
        </w:rPr>
      </w:pPr>
      <w:r w:rsidRPr="00C86691">
        <w:rPr>
          <w:sz w:val="22"/>
          <w:szCs w:val="22"/>
        </w:rPr>
        <w:t xml:space="preserve">To the extent Verizon does not already have contact information, </w:t>
      </w:r>
      <w:r w:rsidR="00FA1C36" w:rsidRPr="00C86691">
        <w:rPr>
          <w:sz w:val="22"/>
          <w:szCs w:val="22"/>
        </w:rPr>
        <w:t>Verizon shall consult the Local Exchange Routing Guide (LERG) for rural LEC contact information.  In the absence of LERG contact information, Verizon will seek contact information using the rural LEC’s web site, the FCC’s Form 499 database, the NECA Tariff</w:t>
      </w:r>
      <w:r w:rsidR="00D23E93" w:rsidRPr="00C86691">
        <w:rPr>
          <w:sz w:val="22"/>
          <w:szCs w:val="22"/>
        </w:rPr>
        <w:t xml:space="preserve"> FCC No. 5</w:t>
      </w:r>
      <w:r w:rsidR="00FA1C36" w:rsidRPr="00C86691">
        <w:rPr>
          <w:sz w:val="22"/>
          <w:szCs w:val="22"/>
        </w:rPr>
        <w:t>, or other available resources.</w:t>
      </w:r>
    </w:p>
    <w:p w:rsidR="00FA1C36" w:rsidRPr="00C86691" w:rsidRDefault="00D23E93" w:rsidP="008A0C4A">
      <w:pPr>
        <w:pStyle w:val="ListParagraph"/>
        <w:numPr>
          <w:ilvl w:val="2"/>
          <w:numId w:val="19"/>
        </w:numPr>
        <w:spacing w:after="120"/>
        <w:rPr>
          <w:sz w:val="22"/>
          <w:szCs w:val="22"/>
        </w:rPr>
      </w:pPr>
      <w:r w:rsidRPr="00C86691">
        <w:rPr>
          <w:sz w:val="22"/>
          <w:szCs w:val="22"/>
        </w:rPr>
        <w:t xml:space="preserve"> </w:t>
      </w:r>
      <w:r w:rsidR="00FA1C36" w:rsidRPr="00C86691">
        <w:rPr>
          <w:sz w:val="22"/>
          <w:szCs w:val="22"/>
        </w:rPr>
        <w:t xml:space="preserve">If an investigation reveals a possible problem with the rural </w:t>
      </w:r>
      <w:r w:rsidR="00ED436B" w:rsidRPr="00C86691">
        <w:rPr>
          <w:sz w:val="22"/>
          <w:szCs w:val="22"/>
        </w:rPr>
        <w:t xml:space="preserve">LEC’s </w:t>
      </w:r>
      <w:r w:rsidR="00FA1C36" w:rsidRPr="00C86691">
        <w:rPr>
          <w:sz w:val="22"/>
          <w:szCs w:val="22"/>
        </w:rPr>
        <w:t xml:space="preserve">network or call signaling </w:t>
      </w:r>
      <w:r w:rsidR="00584644" w:rsidRPr="00C86691">
        <w:rPr>
          <w:sz w:val="22"/>
          <w:szCs w:val="22"/>
        </w:rPr>
        <w:t>practices</w:t>
      </w:r>
      <w:r w:rsidR="00FA1C36" w:rsidRPr="00C86691">
        <w:rPr>
          <w:sz w:val="22"/>
          <w:szCs w:val="22"/>
        </w:rPr>
        <w:t xml:space="preserve">, Verizon will promptly notify the rural </w:t>
      </w:r>
      <w:r w:rsidR="007D7327" w:rsidRPr="00C86691">
        <w:rPr>
          <w:sz w:val="22"/>
          <w:szCs w:val="22"/>
        </w:rPr>
        <w:t>LEC</w:t>
      </w:r>
      <w:r w:rsidR="002E25B2" w:rsidRPr="00C86691">
        <w:rPr>
          <w:sz w:val="22"/>
          <w:szCs w:val="22"/>
        </w:rPr>
        <w:t xml:space="preserve"> </w:t>
      </w:r>
      <w:r w:rsidR="00FA1C36" w:rsidRPr="00C86691">
        <w:rPr>
          <w:sz w:val="22"/>
          <w:szCs w:val="22"/>
        </w:rPr>
        <w:t>and request troubleshooting and correction.</w:t>
      </w:r>
    </w:p>
    <w:p w:rsidR="00D23E93" w:rsidRPr="00C86691" w:rsidRDefault="00D23E93" w:rsidP="008A0C4A">
      <w:pPr>
        <w:pStyle w:val="ListParagraph"/>
        <w:numPr>
          <w:ilvl w:val="2"/>
          <w:numId w:val="19"/>
        </w:numPr>
        <w:spacing w:after="120"/>
        <w:rPr>
          <w:sz w:val="22"/>
          <w:szCs w:val="22"/>
        </w:rPr>
      </w:pPr>
      <w:r w:rsidRPr="00C86691">
        <w:rPr>
          <w:sz w:val="22"/>
          <w:szCs w:val="22"/>
        </w:rPr>
        <w:t>Verizon will remove from rout</w:t>
      </w:r>
      <w:r w:rsidR="006D45ED" w:rsidRPr="00C86691">
        <w:rPr>
          <w:sz w:val="22"/>
          <w:szCs w:val="22"/>
        </w:rPr>
        <w:t>ing</w:t>
      </w:r>
      <w:r w:rsidRPr="00C86691">
        <w:rPr>
          <w:sz w:val="22"/>
          <w:szCs w:val="22"/>
        </w:rPr>
        <w:t xml:space="preserve"> any Intermediate Provider</w:t>
      </w:r>
      <w:r w:rsidR="009E0654">
        <w:rPr>
          <w:sz w:val="22"/>
          <w:szCs w:val="22"/>
        </w:rPr>
        <w:t xml:space="preserve"> that it uses</w:t>
      </w:r>
      <w:r w:rsidRPr="00C86691">
        <w:rPr>
          <w:sz w:val="22"/>
          <w:szCs w:val="22"/>
        </w:rPr>
        <w:t xml:space="preserve"> that it has reason to believe is causing call completion problems, or will work cooperatively with each such Intermediate Provider to analyze and resolve such problems as soon as practicable.</w:t>
      </w:r>
    </w:p>
    <w:p w:rsidR="009F7E5F" w:rsidRPr="00C86691" w:rsidRDefault="00323039" w:rsidP="00B64774">
      <w:pPr>
        <w:pStyle w:val="ListParagraph"/>
        <w:numPr>
          <w:ilvl w:val="0"/>
          <w:numId w:val="6"/>
        </w:numPr>
        <w:spacing w:after="120"/>
        <w:rPr>
          <w:b/>
          <w:sz w:val="22"/>
          <w:szCs w:val="22"/>
          <w:u w:val="single"/>
        </w:rPr>
      </w:pPr>
      <w:r w:rsidRPr="00C86691">
        <w:rPr>
          <w:b/>
          <w:sz w:val="22"/>
          <w:szCs w:val="22"/>
          <w:u w:val="single"/>
        </w:rPr>
        <w:t xml:space="preserve">[3] </w:t>
      </w:r>
      <w:r w:rsidR="00FA1C36" w:rsidRPr="00C86691">
        <w:rPr>
          <w:b/>
          <w:sz w:val="22"/>
          <w:szCs w:val="22"/>
          <w:u w:val="single"/>
        </w:rPr>
        <w:t>Investigative L</w:t>
      </w:r>
      <w:r w:rsidR="00313EB2" w:rsidRPr="00C86691">
        <w:rPr>
          <w:b/>
          <w:sz w:val="22"/>
          <w:szCs w:val="22"/>
          <w:u w:val="single"/>
        </w:rPr>
        <w:t xml:space="preserve">ogs; Quarterly </w:t>
      </w:r>
      <w:r w:rsidR="00FA1C36" w:rsidRPr="00C86691">
        <w:rPr>
          <w:b/>
          <w:sz w:val="22"/>
          <w:szCs w:val="22"/>
          <w:u w:val="single"/>
        </w:rPr>
        <w:t>R</w:t>
      </w:r>
      <w:r w:rsidR="00313EB2" w:rsidRPr="00C86691">
        <w:rPr>
          <w:b/>
          <w:sz w:val="22"/>
          <w:szCs w:val="22"/>
          <w:u w:val="single"/>
        </w:rPr>
        <w:t>eports</w:t>
      </w:r>
      <w:r w:rsidR="00360540" w:rsidRPr="00C86691">
        <w:rPr>
          <w:b/>
          <w:sz w:val="22"/>
          <w:szCs w:val="22"/>
          <w:u w:val="single"/>
        </w:rPr>
        <w:t xml:space="preserve">; </w:t>
      </w:r>
      <w:r w:rsidR="00313EB2" w:rsidRPr="00C86691">
        <w:rPr>
          <w:b/>
          <w:sz w:val="22"/>
          <w:szCs w:val="22"/>
          <w:u w:val="single"/>
        </w:rPr>
        <w:t>Meetings</w:t>
      </w:r>
      <w:r w:rsidR="008B6694">
        <w:rPr>
          <w:b/>
          <w:sz w:val="22"/>
          <w:szCs w:val="22"/>
        </w:rPr>
        <w:t>.</w:t>
      </w:r>
      <w:r w:rsidR="00FA1C36" w:rsidRPr="00C86691">
        <w:rPr>
          <w:b/>
          <w:sz w:val="22"/>
          <w:szCs w:val="22"/>
        </w:rPr>
        <w:t xml:space="preserve">  </w:t>
      </w:r>
      <w:r w:rsidR="00FA1C36" w:rsidRPr="00C86691">
        <w:rPr>
          <w:sz w:val="22"/>
          <w:szCs w:val="22"/>
        </w:rPr>
        <w:t>Verizon shall keep logs of its investigative and notification efforts and provide quarterly s</w:t>
      </w:r>
      <w:r w:rsidR="00313EB2" w:rsidRPr="00C86691">
        <w:rPr>
          <w:sz w:val="22"/>
          <w:szCs w:val="22"/>
        </w:rPr>
        <w:t xml:space="preserve">ummaries to the </w:t>
      </w:r>
      <w:r w:rsidR="00313EB2" w:rsidRPr="00C86691">
        <w:rPr>
          <w:sz w:val="22"/>
          <w:szCs w:val="22"/>
        </w:rPr>
        <w:lastRenderedPageBreak/>
        <w:t>Bureau</w:t>
      </w:r>
      <w:r w:rsidR="00E85BE7" w:rsidRPr="00C86691">
        <w:rPr>
          <w:sz w:val="22"/>
          <w:szCs w:val="22"/>
        </w:rPr>
        <w:t>.  The summaries shall specify, by individual investigated Rural OCN, the Investigative Checklist methods employed by Verizon and explain why the chosen investigative methods were appropriate for the individual Rural OCN.  A</w:t>
      </w:r>
      <w:r w:rsidR="00584644" w:rsidRPr="00C86691">
        <w:rPr>
          <w:sz w:val="22"/>
          <w:szCs w:val="22"/>
        </w:rPr>
        <w:t xml:space="preserve">t the Bureau’s request, </w:t>
      </w:r>
      <w:r w:rsidR="00E85BE7" w:rsidRPr="00C86691">
        <w:rPr>
          <w:sz w:val="22"/>
          <w:szCs w:val="22"/>
        </w:rPr>
        <w:t xml:space="preserve">Verizon </w:t>
      </w:r>
      <w:r w:rsidR="00313EB2" w:rsidRPr="00C86691">
        <w:rPr>
          <w:sz w:val="22"/>
          <w:szCs w:val="22"/>
        </w:rPr>
        <w:t xml:space="preserve">will meet to </w:t>
      </w:r>
      <w:r w:rsidR="00584644" w:rsidRPr="00C86691">
        <w:rPr>
          <w:sz w:val="22"/>
          <w:szCs w:val="22"/>
        </w:rPr>
        <w:t>discuss its investigations</w:t>
      </w:r>
      <w:r w:rsidR="00313EB2" w:rsidRPr="00C86691">
        <w:rPr>
          <w:sz w:val="22"/>
          <w:szCs w:val="22"/>
        </w:rPr>
        <w:t>, identify lessons learned, and address whether to employ different or additional investigative methods going forward</w:t>
      </w:r>
      <w:r w:rsidR="00B94566" w:rsidRPr="00C86691">
        <w:rPr>
          <w:sz w:val="22"/>
          <w:szCs w:val="22"/>
        </w:rPr>
        <w:t xml:space="preserve">.  </w:t>
      </w:r>
    </w:p>
    <w:p w:rsidR="007405DB" w:rsidRPr="00C86691" w:rsidRDefault="00DB3D7F" w:rsidP="006C7DEB">
      <w:pPr>
        <w:pStyle w:val="ListParagraph"/>
        <w:numPr>
          <w:ilvl w:val="0"/>
          <w:numId w:val="6"/>
        </w:numPr>
        <w:spacing w:after="120"/>
        <w:rPr>
          <w:b/>
          <w:sz w:val="22"/>
          <w:szCs w:val="22"/>
          <w:u w:val="single"/>
        </w:rPr>
      </w:pPr>
      <w:r w:rsidRPr="00C86691" w:rsidDel="00DB3D7F">
        <w:rPr>
          <w:color w:val="1F497D"/>
          <w:sz w:val="22"/>
          <w:szCs w:val="22"/>
        </w:rPr>
        <w:t xml:space="preserve"> </w:t>
      </w:r>
      <w:r w:rsidR="008A0C4A" w:rsidRPr="00C86691">
        <w:rPr>
          <w:b/>
          <w:sz w:val="22"/>
          <w:szCs w:val="22"/>
          <w:u w:val="single"/>
        </w:rPr>
        <w:t>[4</w:t>
      </w:r>
      <w:r w:rsidR="00323039" w:rsidRPr="00C86691">
        <w:rPr>
          <w:b/>
          <w:sz w:val="22"/>
          <w:szCs w:val="22"/>
          <w:u w:val="single"/>
        </w:rPr>
        <w:t xml:space="preserve">] </w:t>
      </w:r>
      <w:r w:rsidR="00BF7A5B" w:rsidRPr="00C86691">
        <w:rPr>
          <w:b/>
          <w:sz w:val="22"/>
          <w:szCs w:val="22"/>
          <w:u w:val="single"/>
        </w:rPr>
        <w:t xml:space="preserve">Adjustment of </w:t>
      </w:r>
      <w:r w:rsidR="00313EB2" w:rsidRPr="00C86691">
        <w:rPr>
          <w:b/>
          <w:sz w:val="22"/>
          <w:szCs w:val="22"/>
          <w:u w:val="single"/>
        </w:rPr>
        <w:t xml:space="preserve">Investigation </w:t>
      </w:r>
      <w:r w:rsidRPr="00C86691">
        <w:rPr>
          <w:b/>
          <w:sz w:val="22"/>
          <w:szCs w:val="22"/>
          <w:u w:val="single"/>
        </w:rPr>
        <w:t>Metrics</w:t>
      </w:r>
      <w:r w:rsidR="008B6694">
        <w:rPr>
          <w:b/>
          <w:sz w:val="22"/>
          <w:szCs w:val="22"/>
        </w:rPr>
        <w:t>.</w:t>
      </w:r>
      <w:r w:rsidR="00313EB2" w:rsidRPr="00C86691">
        <w:rPr>
          <w:b/>
          <w:sz w:val="22"/>
          <w:szCs w:val="22"/>
        </w:rPr>
        <w:t xml:space="preserve">  </w:t>
      </w:r>
      <w:r w:rsidR="00313EB2" w:rsidRPr="00C86691">
        <w:rPr>
          <w:sz w:val="22"/>
          <w:szCs w:val="22"/>
        </w:rPr>
        <w:t xml:space="preserve">After six months of investigations are complete, Verizon </w:t>
      </w:r>
      <w:r w:rsidR="00BF7A5B" w:rsidRPr="00C86691">
        <w:rPr>
          <w:sz w:val="22"/>
          <w:szCs w:val="22"/>
        </w:rPr>
        <w:t xml:space="preserve">or the Bureau may periodically propose changes to the metrics or triggers used to identify </w:t>
      </w:r>
      <w:r w:rsidR="00543E51" w:rsidRPr="00C86691">
        <w:rPr>
          <w:sz w:val="22"/>
          <w:szCs w:val="22"/>
        </w:rPr>
        <w:t xml:space="preserve">Rural </w:t>
      </w:r>
      <w:r w:rsidR="00BF7A5B" w:rsidRPr="00C86691">
        <w:rPr>
          <w:sz w:val="22"/>
          <w:szCs w:val="22"/>
        </w:rPr>
        <w:t>OCNs for investigation, and</w:t>
      </w:r>
      <w:r w:rsidR="00BC54A6" w:rsidRPr="00C86691">
        <w:rPr>
          <w:sz w:val="22"/>
          <w:szCs w:val="22"/>
        </w:rPr>
        <w:t xml:space="preserve"> will consider whether the </w:t>
      </w:r>
      <w:r w:rsidR="00501B19" w:rsidRPr="00C86691">
        <w:rPr>
          <w:sz w:val="22"/>
          <w:szCs w:val="22"/>
        </w:rPr>
        <w:t xml:space="preserve">maximum number </w:t>
      </w:r>
      <w:r w:rsidR="00BC54A6" w:rsidRPr="00C86691">
        <w:rPr>
          <w:sz w:val="22"/>
          <w:szCs w:val="22"/>
        </w:rPr>
        <w:t xml:space="preserve">of Negative Spike </w:t>
      </w:r>
      <w:r w:rsidR="000610FE">
        <w:rPr>
          <w:sz w:val="22"/>
          <w:szCs w:val="22"/>
        </w:rPr>
        <w:t>i</w:t>
      </w:r>
      <w:r w:rsidR="00BC54A6" w:rsidRPr="00C86691">
        <w:rPr>
          <w:sz w:val="22"/>
          <w:szCs w:val="22"/>
        </w:rPr>
        <w:t>nvestigations should be altered.  S</w:t>
      </w:r>
      <w:r w:rsidR="00BF7A5B" w:rsidRPr="00C86691">
        <w:rPr>
          <w:sz w:val="22"/>
          <w:szCs w:val="22"/>
        </w:rPr>
        <w:t xml:space="preserve">ubject </w:t>
      </w:r>
      <w:r w:rsidR="00313B11" w:rsidRPr="00C86691">
        <w:rPr>
          <w:sz w:val="22"/>
          <w:szCs w:val="22"/>
        </w:rPr>
        <w:t xml:space="preserve">to </w:t>
      </w:r>
      <w:r w:rsidR="00BF7A5B" w:rsidRPr="00C86691">
        <w:rPr>
          <w:sz w:val="22"/>
          <w:szCs w:val="22"/>
        </w:rPr>
        <w:t xml:space="preserve">approval of the other </w:t>
      </w:r>
      <w:r w:rsidR="000610FE">
        <w:rPr>
          <w:sz w:val="22"/>
          <w:szCs w:val="22"/>
        </w:rPr>
        <w:t>P</w:t>
      </w:r>
      <w:r w:rsidR="00BF7A5B" w:rsidRPr="00C86691">
        <w:rPr>
          <w:sz w:val="22"/>
          <w:szCs w:val="22"/>
        </w:rPr>
        <w:t xml:space="preserve">arty, </w:t>
      </w:r>
      <w:r w:rsidR="00313B11" w:rsidRPr="00C86691">
        <w:rPr>
          <w:sz w:val="22"/>
          <w:szCs w:val="22"/>
        </w:rPr>
        <w:t xml:space="preserve">which will not be unreasonably withheld after consultation between the </w:t>
      </w:r>
      <w:r w:rsidR="000610FE">
        <w:rPr>
          <w:sz w:val="22"/>
          <w:szCs w:val="22"/>
        </w:rPr>
        <w:t>P</w:t>
      </w:r>
      <w:r w:rsidR="00313B11" w:rsidRPr="00C86691">
        <w:rPr>
          <w:sz w:val="22"/>
          <w:szCs w:val="22"/>
        </w:rPr>
        <w:t xml:space="preserve">arties, </w:t>
      </w:r>
      <w:r w:rsidR="00BF7A5B" w:rsidRPr="00C86691">
        <w:rPr>
          <w:sz w:val="22"/>
          <w:szCs w:val="22"/>
        </w:rPr>
        <w:t>adjustments to the metrics</w:t>
      </w:r>
      <w:r w:rsidR="00BC54A6" w:rsidRPr="00C86691">
        <w:rPr>
          <w:sz w:val="22"/>
          <w:szCs w:val="22"/>
        </w:rPr>
        <w:t xml:space="preserve">, </w:t>
      </w:r>
      <w:r w:rsidR="00BF7A5B" w:rsidRPr="00C86691">
        <w:rPr>
          <w:sz w:val="22"/>
          <w:szCs w:val="22"/>
        </w:rPr>
        <w:t>triggers</w:t>
      </w:r>
      <w:r w:rsidR="00BC54A6" w:rsidRPr="00C86691">
        <w:rPr>
          <w:sz w:val="22"/>
          <w:szCs w:val="22"/>
        </w:rPr>
        <w:t xml:space="preserve">, or </w:t>
      </w:r>
      <w:r w:rsidR="00501B19" w:rsidRPr="00C86691">
        <w:rPr>
          <w:sz w:val="22"/>
          <w:szCs w:val="22"/>
        </w:rPr>
        <w:t xml:space="preserve">maximum number of </w:t>
      </w:r>
      <w:r w:rsidR="00BC54A6" w:rsidRPr="00C86691">
        <w:rPr>
          <w:sz w:val="22"/>
          <w:szCs w:val="22"/>
        </w:rPr>
        <w:t>Negative Spike Investigations</w:t>
      </w:r>
      <w:r w:rsidR="00BF7A5B" w:rsidRPr="00C86691">
        <w:rPr>
          <w:sz w:val="22"/>
          <w:szCs w:val="22"/>
        </w:rPr>
        <w:t xml:space="preserve"> may be implemented</w:t>
      </w:r>
      <w:r w:rsidR="00313EB2" w:rsidRPr="00C86691">
        <w:rPr>
          <w:sz w:val="22"/>
          <w:szCs w:val="22"/>
        </w:rPr>
        <w:t>.</w:t>
      </w:r>
    </w:p>
    <w:p w:rsidR="00631CDF" w:rsidRPr="00C86691" w:rsidRDefault="008A0C4A" w:rsidP="007405DB">
      <w:pPr>
        <w:pStyle w:val="ListParagraph"/>
        <w:numPr>
          <w:ilvl w:val="0"/>
          <w:numId w:val="6"/>
        </w:numPr>
        <w:spacing w:after="120"/>
        <w:rPr>
          <w:sz w:val="22"/>
          <w:szCs w:val="22"/>
        </w:rPr>
      </w:pPr>
      <w:r w:rsidRPr="00C86691">
        <w:rPr>
          <w:b/>
          <w:sz w:val="22"/>
          <w:szCs w:val="22"/>
          <w:u w:val="single"/>
        </w:rPr>
        <w:t>[5</w:t>
      </w:r>
      <w:r w:rsidR="00323039" w:rsidRPr="00C86691">
        <w:rPr>
          <w:b/>
          <w:sz w:val="22"/>
          <w:szCs w:val="22"/>
          <w:u w:val="single"/>
        </w:rPr>
        <w:t xml:space="preserve">] </w:t>
      </w:r>
      <w:r w:rsidR="007E3C24" w:rsidRPr="00C86691">
        <w:rPr>
          <w:b/>
          <w:sz w:val="22"/>
          <w:szCs w:val="22"/>
          <w:u w:val="single"/>
        </w:rPr>
        <w:t>Steps to Limit Verizon’s Use of Intermediate Providers</w:t>
      </w:r>
      <w:r w:rsidR="008B6694">
        <w:rPr>
          <w:b/>
          <w:sz w:val="22"/>
          <w:szCs w:val="22"/>
        </w:rPr>
        <w:t>.</w:t>
      </w:r>
      <w:r w:rsidR="008B6694" w:rsidRPr="00C86691">
        <w:rPr>
          <w:b/>
          <w:sz w:val="22"/>
          <w:szCs w:val="22"/>
        </w:rPr>
        <w:t xml:space="preserve">  </w:t>
      </w:r>
      <w:r w:rsidR="00631CDF" w:rsidRPr="00C86691">
        <w:rPr>
          <w:sz w:val="22"/>
          <w:szCs w:val="22"/>
        </w:rPr>
        <w:t xml:space="preserve">Within six months of the Effective Date, </w:t>
      </w:r>
      <w:r w:rsidR="00172073" w:rsidRPr="00C86691">
        <w:rPr>
          <w:sz w:val="22"/>
          <w:szCs w:val="22"/>
        </w:rPr>
        <w:t xml:space="preserve">for traffic from any of Verizon’s long distance networks that is destined for </w:t>
      </w:r>
      <w:r w:rsidR="000610FE">
        <w:rPr>
          <w:sz w:val="22"/>
          <w:szCs w:val="22"/>
        </w:rPr>
        <w:t>R</w:t>
      </w:r>
      <w:r w:rsidR="00172073" w:rsidRPr="00C86691">
        <w:rPr>
          <w:sz w:val="22"/>
          <w:szCs w:val="22"/>
        </w:rPr>
        <w:t xml:space="preserve">ural OCNs, </w:t>
      </w:r>
      <w:r w:rsidR="00631CDF" w:rsidRPr="00C86691">
        <w:rPr>
          <w:sz w:val="22"/>
          <w:szCs w:val="22"/>
        </w:rPr>
        <w:t xml:space="preserve">Verizon shall </w:t>
      </w:r>
      <w:r w:rsidR="00172073" w:rsidRPr="00C86691">
        <w:rPr>
          <w:sz w:val="22"/>
          <w:szCs w:val="22"/>
        </w:rPr>
        <w:t xml:space="preserve">limit its use of </w:t>
      </w:r>
      <w:r w:rsidR="00631CDF" w:rsidRPr="00C86691">
        <w:rPr>
          <w:sz w:val="22"/>
          <w:szCs w:val="22"/>
        </w:rPr>
        <w:t xml:space="preserve">Intermediate Providers </w:t>
      </w:r>
      <w:r w:rsidR="00172073" w:rsidRPr="00C86691">
        <w:rPr>
          <w:sz w:val="22"/>
          <w:szCs w:val="22"/>
        </w:rPr>
        <w:t xml:space="preserve">in the following manner:  Verizon will route such traffic through Intermediate Providers </w:t>
      </w:r>
      <w:r w:rsidR="00631CDF" w:rsidRPr="00C86691">
        <w:rPr>
          <w:sz w:val="22"/>
          <w:szCs w:val="22"/>
        </w:rPr>
        <w:t xml:space="preserve">only </w:t>
      </w:r>
      <w:r w:rsidR="00172073" w:rsidRPr="00C86691">
        <w:rPr>
          <w:sz w:val="22"/>
          <w:szCs w:val="22"/>
        </w:rPr>
        <w:t xml:space="preserve">if </w:t>
      </w:r>
      <w:r w:rsidR="00631CDF" w:rsidRPr="00C86691">
        <w:rPr>
          <w:sz w:val="22"/>
          <w:szCs w:val="22"/>
        </w:rPr>
        <w:t xml:space="preserve">the </w:t>
      </w:r>
      <w:r w:rsidR="007729F5" w:rsidRPr="00C86691">
        <w:rPr>
          <w:sz w:val="22"/>
          <w:szCs w:val="22"/>
        </w:rPr>
        <w:t xml:space="preserve">initial </w:t>
      </w:r>
      <w:r w:rsidR="00631CDF" w:rsidRPr="00C86691">
        <w:rPr>
          <w:sz w:val="22"/>
          <w:szCs w:val="22"/>
        </w:rPr>
        <w:t xml:space="preserve">Intermediate Provider </w:t>
      </w:r>
      <w:r w:rsidR="007729F5" w:rsidRPr="00C86691">
        <w:rPr>
          <w:sz w:val="22"/>
          <w:szCs w:val="22"/>
        </w:rPr>
        <w:t xml:space="preserve">to which Verizon has delivered the traffic </w:t>
      </w:r>
      <w:r w:rsidR="00631CDF" w:rsidRPr="00C86691">
        <w:rPr>
          <w:sz w:val="22"/>
          <w:szCs w:val="22"/>
        </w:rPr>
        <w:t xml:space="preserve">has </w:t>
      </w:r>
      <w:r w:rsidR="005E3681" w:rsidRPr="00C86691">
        <w:rPr>
          <w:sz w:val="22"/>
          <w:szCs w:val="22"/>
        </w:rPr>
        <w:t xml:space="preserve">committed to </w:t>
      </w:r>
      <w:r w:rsidR="00631CDF" w:rsidRPr="00C86691">
        <w:rPr>
          <w:sz w:val="22"/>
          <w:szCs w:val="22"/>
        </w:rPr>
        <w:t xml:space="preserve">terminate traffic to the </w:t>
      </w:r>
      <w:r w:rsidR="005E3681" w:rsidRPr="00C86691">
        <w:rPr>
          <w:sz w:val="22"/>
          <w:szCs w:val="22"/>
        </w:rPr>
        <w:t xml:space="preserve">rural </w:t>
      </w:r>
      <w:r w:rsidR="00631CDF" w:rsidRPr="00C86691">
        <w:rPr>
          <w:sz w:val="22"/>
          <w:szCs w:val="22"/>
        </w:rPr>
        <w:t xml:space="preserve">LEC (or the tandem switch that the </w:t>
      </w:r>
      <w:r w:rsidR="00963098" w:rsidRPr="00C86691">
        <w:rPr>
          <w:sz w:val="22"/>
          <w:szCs w:val="22"/>
        </w:rPr>
        <w:t xml:space="preserve">rural </w:t>
      </w:r>
      <w:r w:rsidR="00631CDF" w:rsidRPr="00C86691">
        <w:rPr>
          <w:sz w:val="22"/>
          <w:szCs w:val="22"/>
        </w:rPr>
        <w:t xml:space="preserve">LEC’s switch subtends) through direct connections (“onnet”) or through no more than one additional </w:t>
      </w:r>
      <w:r w:rsidR="005E3681" w:rsidRPr="00C86691">
        <w:rPr>
          <w:sz w:val="22"/>
          <w:szCs w:val="22"/>
        </w:rPr>
        <w:t>I</w:t>
      </w:r>
      <w:r w:rsidR="00631CDF" w:rsidRPr="00C86691">
        <w:rPr>
          <w:sz w:val="22"/>
          <w:szCs w:val="22"/>
        </w:rPr>
        <w:t xml:space="preserve">ntermediate </w:t>
      </w:r>
      <w:r w:rsidR="005E3681" w:rsidRPr="00C86691">
        <w:rPr>
          <w:sz w:val="22"/>
          <w:szCs w:val="22"/>
        </w:rPr>
        <w:t>P</w:t>
      </w:r>
      <w:r w:rsidR="00631CDF" w:rsidRPr="00C86691">
        <w:rPr>
          <w:sz w:val="22"/>
          <w:szCs w:val="22"/>
        </w:rPr>
        <w:t xml:space="preserve">rovider.  For purposes of this provision, any Intermediate Provider’s use of overflow arrangements (by which an Intermediate Provider’s traffic is routed to another provider’s network in the event of network outages or congestion) shall not be deemed to violate </w:t>
      </w:r>
      <w:r w:rsidR="005E3681" w:rsidRPr="00C86691">
        <w:rPr>
          <w:sz w:val="22"/>
          <w:szCs w:val="22"/>
        </w:rPr>
        <w:t xml:space="preserve">the </w:t>
      </w:r>
      <w:r w:rsidR="00631CDF" w:rsidRPr="00C86691">
        <w:rPr>
          <w:sz w:val="22"/>
          <w:szCs w:val="22"/>
        </w:rPr>
        <w:t>requirement</w:t>
      </w:r>
      <w:r w:rsidR="005E3681" w:rsidRPr="00C86691">
        <w:rPr>
          <w:sz w:val="22"/>
          <w:szCs w:val="22"/>
        </w:rPr>
        <w:t>s set forth in this paragraph</w:t>
      </w:r>
      <w:r w:rsidR="00074B44">
        <w:rPr>
          <w:sz w:val="22"/>
          <w:szCs w:val="22"/>
        </w:rPr>
        <w:t>.</w:t>
      </w:r>
      <w:r w:rsidR="00955201">
        <w:rPr>
          <w:sz w:val="22"/>
          <w:szCs w:val="22"/>
        </w:rPr>
        <w:t xml:space="preserve"> </w:t>
      </w:r>
      <w:r w:rsidR="00631CDF" w:rsidRPr="00C86691">
        <w:rPr>
          <w:sz w:val="22"/>
          <w:szCs w:val="22"/>
        </w:rPr>
        <w:t xml:space="preserve"> </w:t>
      </w:r>
      <w:r w:rsidR="00074B44">
        <w:rPr>
          <w:sz w:val="22"/>
          <w:szCs w:val="22"/>
        </w:rPr>
        <w:t xml:space="preserve">Verizon will seek agreement from </w:t>
      </w:r>
      <w:r w:rsidR="00146154">
        <w:rPr>
          <w:sz w:val="22"/>
          <w:szCs w:val="22"/>
        </w:rPr>
        <w:t xml:space="preserve">each of </w:t>
      </w:r>
      <w:r w:rsidR="00074B44">
        <w:rPr>
          <w:sz w:val="22"/>
          <w:szCs w:val="22"/>
        </w:rPr>
        <w:t xml:space="preserve">its Intermediate Providers to provide a quarterly </w:t>
      </w:r>
      <w:r w:rsidR="00146154">
        <w:rPr>
          <w:sz w:val="22"/>
          <w:szCs w:val="22"/>
        </w:rPr>
        <w:t xml:space="preserve">estimate of the percentage of that provider’s traffic that is routed through overflow arrangements, provided however that it is not a violation of this Consent Decree if Verizon </w:t>
      </w:r>
      <w:r w:rsidR="00EA78C6">
        <w:rPr>
          <w:sz w:val="22"/>
          <w:szCs w:val="22"/>
        </w:rPr>
        <w:t>does</w:t>
      </w:r>
      <w:r w:rsidR="00146154">
        <w:rPr>
          <w:sz w:val="22"/>
          <w:szCs w:val="22"/>
        </w:rPr>
        <w:t xml:space="preserve"> not obtain such agreement.</w:t>
      </w:r>
      <w:r w:rsidR="00074B44">
        <w:rPr>
          <w:sz w:val="22"/>
          <w:szCs w:val="22"/>
        </w:rPr>
        <w:t xml:space="preserve"> </w:t>
      </w:r>
      <w:r w:rsidR="00146154">
        <w:rPr>
          <w:sz w:val="22"/>
          <w:szCs w:val="22"/>
        </w:rPr>
        <w:t xml:space="preserve"> </w:t>
      </w:r>
      <w:r w:rsidR="00631CDF" w:rsidRPr="00C86691">
        <w:rPr>
          <w:sz w:val="22"/>
          <w:szCs w:val="22"/>
        </w:rPr>
        <w:t xml:space="preserve">Inadvertent routing of a non-material amount of traffic to Intermediate Providers </w:t>
      </w:r>
      <w:r w:rsidR="00EA78C6">
        <w:rPr>
          <w:sz w:val="22"/>
          <w:szCs w:val="22"/>
        </w:rPr>
        <w:t xml:space="preserve">other than as set forth above </w:t>
      </w:r>
      <w:r w:rsidR="00631CDF" w:rsidRPr="00C86691">
        <w:rPr>
          <w:sz w:val="22"/>
          <w:szCs w:val="22"/>
        </w:rPr>
        <w:t>shall not constitute a violation of this section provided that Verizon</w:t>
      </w:r>
      <w:r w:rsidR="007068E3" w:rsidRPr="00C86691">
        <w:rPr>
          <w:sz w:val="22"/>
          <w:szCs w:val="22"/>
        </w:rPr>
        <w:t xml:space="preserve"> </w:t>
      </w:r>
      <w:r w:rsidR="00631CDF" w:rsidRPr="00C86691">
        <w:rPr>
          <w:sz w:val="22"/>
          <w:szCs w:val="22"/>
        </w:rPr>
        <w:t>corrects any such situation promptly upon learning of it.</w:t>
      </w:r>
      <w:r w:rsidR="007068E3" w:rsidRPr="00C86691">
        <w:rPr>
          <w:sz w:val="22"/>
          <w:szCs w:val="22"/>
        </w:rPr>
        <w:t xml:space="preserve">  Verizon</w:t>
      </w:r>
      <w:r w:rsidR="0097201E" w:rsidRPr="00C86691">
        <w:rPr>
          <w:sz w:val="22"/>
          <w:szCs w:val="22"/>
        </w:rPr>
        <w:t xml:space="preserve"> shall retain the option </w:t>
      </w:r>
      <w:r w:rsidR="007068E3" w:rsidRPr="00C86691">
        <w:rPr>
          <w:sz w:val="22"/>
          <w:szCs w:val="22"/>
        </w:rPr>
        <w:t>to adopt the FCC’s safe harbor with respect to use of Intermediate Providers</w:t>
      </w:r>
      <w:r w:rsidR="0097201E" w:rsidRPr="00C86691">
        <w:rPr>
          <w:sz w:val="22"/>
          <w:szCs w:val="22"/>
        </w:rPr>
        <w:t xml:space="preserve"> as an alternative way to satisfy this provision</w:t>
      </w:r>
      <w:r w:rsidR="007068E3" w:rsidRPr="00C86691">
        <w:rPr>
          <w:sz w:val="22"/>
          <w:szCs w:val="22"/>
        </w:rPr>
        <w:t>.</w:t>
      </w:r>
      <w:r w:rsidR="00BC54A6" w:rsidRPr="00C86691">
        <w:rPr>
          <w:rStyle w:val="FootnoteReference"/>
          <w:szCs w:val="22"/>
        </w:rPr>
        <w:footnoteReference w:id="35"/>
      </w:r>
      <w:r w:rsidR="007068E3" w:rsidRPr="00C86691">
        <w:rPr>
          <w:sz w:val="22"/>
          <w:szCs w:val="22"/>
        </w:rPr>
        <w:t xml:space="preserve"> </w:t>
      </w:r>
    </w:p>
    <w:p w:rsidR="0001478C" w:rsidRPr="00C86691" w:rsidRDefault="008A0C4A" w:rsidP="00F60217">
      <w:pPr>
        <w:widowControl/>
        <w:numPr>
          <w:ilvl w:val="0"/>
          <w:numId w:val="6"/>
        </w:numPr>
        <w:spacing w:after="120"/>
        <w:ind w:left="1886"/>
        <w:rPr>
          <w:szCs w:val="22"/>
        </w:rPr>
      </w:pPr>
      <w:r w:rsidRPr="00C86691">
        <w:rPr>
          <w:b/>
          <w:szCs w:val="22"/>
          <w:u w:val="single"/>
        </w:rPr>
        <w:t>[6</w:t>
      </w:r>
      <w:r w:rsidR="00323039" w:rsidRPr="00C86691">
        <w:rPr>
          <w:b/>
          <w:szCs w:val="22"/>
          <w:u w:val="single"/>
        </w:rPr>
        <w:t xml:space="preserve">] </w:t>
      </w:r>
      <w:r w:rsidR="007066DB" w:rsidRPr="00C86691">
        <w:rPr>
          <w:b/>
          <w:szCs w:val="22"/>
          <w:u w:val="single"/>
        </w:rPr>
        <w:t xml:space="preserve">Intake </w:t>
      </w:r>
      <w:r w:rsidR="004722F2" w:rsidRPr="00C86691">
        <w:rPr>
          <w:b/>
          <w:szCs w:val="22"/>
          <w:u w:val="single"/>
        </w:rPr>
        <w:t xml:space="preserve">Identification </w:t>
      </w:r>
      <w:r w:rsidR="007066DB" w:rsidRPr="00C86691">
        <w:rPr>
          <w:b/>
          <w:szCs w:val="22"/>
          <w:u w:val="single"/>
        </w:rPr>
        <w:t xml:space="preserve">and Special Handling </w:t>
      </w:r>
      <w:r w:rsidR="004722F2" w:rsidRPr="00C86691">
        <w:rPr>
          <w:b/>
          <w:szCs w:val="22"/>
          <w:u w:val="single"/>
        </w:rPr>
        <w:t>of Rural Call Completion Problems</w:t>
      </w:r>
      <w:r w:rsidR="008B6694">
        <w:rPr>
          <w:szCs w:val="22"/>
        </w:rPr>
        <w:t>.</w:t>
      </w:r>
      <w:r w:rsidR="008B6694" w:rsidRPr="00C86691">
        <w:rPr>
          <w:szCs w:val="22"/>
        </w:rPr>
        <w:t xml:space="preserve">  </w:t>
      </w:r>
      <w:r w:rsidR="007066DB" w:rsidRPr="00C86691">
        <w:rPr>
          <w:szCs w:val="22"/>
        </w:rPr>
        <w:t xml:space="preserve">Within six months </w:t>
      </w:r>
      <w:r w:rsidR="00B94566" w:rsidRPr="00C86691">
        <w:rPr>
          <w:szCs w:val="22"/>
        </w:rPr>
        <w:t>of the Effective Date</w:t>
      </w:r>
      <w:r w:rsidR="004722F2" w:rsidRPr="00C86691">
        <w:rPr>
          <w:szCs w:val="22"/>
        </w:rPr>
        <w:t xml:space="preserve">, Verizon </w:t>
      </w:r>
      <w:r w:rsidR="007066DB" w:rsidRPr="00C86691">
        <w:rPr>
          <w:szCs w:val="22"/>
        </w:rPr>
        <w:t xml:space="preserve">shall implement changes to its internal systems for customer complaint intake and handling that will result in the automatic flagging of issues related to rural call completion.  Specifically, Verizon’s IT systems will compare the NPA-NXX of the “dialed-to” number contained in the complaint to the LERG database and will flag </w:t>
      </w:r>
      <w:r w:rsidR="00875260" w:rsidRPr="00C86691">
        <w:rPr>
          <w:szCs w:val="22"/>
        </w:rPr>
        <w:t xml:space="preserve">rural </w:t>
      </w:r>
      <w:r w:rsidR="007066DB" w:rsidRPr="00C86691">
        <w:rPr>
          <w:szCs w:val="22"/>
        </w:rPr>
        <w:t>LEC issues for special handling pursuant to the Operating Procedures.</w:t>
      </w:r>
      <w:r w:rsidR="00707D0F" w:rsidRPr="00C86691">
        <w:rPr>
          <w:szCs w:val="22"/>
        </w:rPr>
        <w:t xml:space="preserve">  This provision shall apply to both Verizon and the Verizon ILECs.</w:t>
      </w:r>
    </w:p>
    <w:p w:rsidR="0055035F" w:rsidRPr="00C86691" w:rsidRDefault="008A0C4A" w:rsidP="00F60217">
      <w:pPr>
        <w:widowControl/>
        <w:numPr>
          <w:ilvl w:val="0"/>
          <w:numId w:val="6"/>
        </w:numPr>
        <w:spacing w:after="120"/>
        <w:ind w:left="1886"/>
        <w:rPr>
          <w:szCs w:val="22"/>
        </w:rPr>
      </w:pPr>
      <w:r w:rsidRPr="00C86691">
        <w:rPr>
          <w:b/>
          <w:szCs w:val="22"/>
          <w:u w:val="single"/>
        </w:rPr>
        <w:t>[7</w:t>
      </w:r>
      <w:r w:rsidR="00323039" w:rsidRPr="00C86691">
        <w:rPr>
          <w:b/>
          <w:szCs w:val="22"/>
          <w:u w:val="single"/>
        </w:rPr>
        <w:t xml:space="preserve">] </w:t>
      </w:r>
      <w:r w:rsidR="00E02214" w:rsidRPr="00C86691">
        <w:rPr>
          <w:b/>
          <w:szCs w:val="22"/>
          <w:u w:val="single"/>
        </w:rPr>
        <w:t>Compliance Manual</w:t>
      </w:r>
      <w:r w:rsidR="006C7DEB" w:rsidRPr="00C86691">
        <w:rPr>
          <w:szCs w:val="22"/>
        </w:rPr>
        <w:t>.  Within ninety (9</w:t>
      </w:r>
      <w:r w:rsidR="00E02214" w:rsidRPr="00C86691">
        <w:rPr>
          <w:szCs w:val="22"/>
        </w:rPr>
        <w:t>0) calendar days after the Effective Date, the Compliance Officer shall develop and distribute a Compliance Manual to all Covered Employees.  The Compliance Manual</w:t>
      </w:r>
      <w:r w:rsidR="00302C38" w:rsidRPr="00C86691">
        <w:rPr>
          <w:szCs w:val="22"/>
        </w:rPr>
        <w:t xml:space="preserve"> shall explain the </w:t>
      </w:r>
      <w:r w:rsidR="009F1A33" w:rsidRPr="00C86691">
        <w:rPr>
          <w:szCs w:val="22"/>
        </w:rPr>
        <w:t>Rural Call Completion</w:t>
      </w:r>
      <w:r w:rsidR="00E02214" w:rsidRPr="00C86691">
        <w:rPr>
          <w:szCs w:val="22"/>
        </w:rPr>
        <w:t xml:space="preserve"> Rules and set forth the Operating Procedures that Covered Employees shall follow to help ensure </w:t>
      </w:r>
      <w:r w:rsidR="00D95583" w:rsidRPr="00C86691">
        <w:rPr>
          <w:szCs w:val="22"/>
        </w:rPr>
        <w:t>Verizon</w:t>
      </w:r>
      <w:r w:rsidR="00EA12C6" w:rsidRPr="00C86691">
        <w:rPr>
          <w:szCs w:val="22"/>
        </w:rPr>
        <w:t>’</w:t>
      </w:r>
      <w:r w:rsidR="00E02214" w:rsidRPr="00C86691">
        <w:rPr>
          <w:szCs w:val="22"/>
        </w:rPr>
        <w:t>s co</w:t>
      </w:r>
      <w:r w:rsidR="00302C38" w:rsidRPr="00C86691">
        <w:rPr>
          <w:szCs w:val="22"/>
        </w:rPr>
        <w:t xml:space="preserve">mpliance with the </w:t>
      </w:r>
      <w:r w:rsidR="009F1A33" w:rsidRPr="00C86691">
        <w:rPr>
          <w:szCs w:val="22"/>
        </w:rPr>
        <w:t>Rural Call Completion</w:t>
      </w:r>
      <w:r w:rsidR="00302C38" w:rsidRPr="00C86691">
        <w:rPr>
          <w:szCs w:val="22"/>
        </w:rPr>
        <w:t xml:space="preserve"> </w:t>
      </w:r>
      <w:r w:rsidR="00E02214" w:rsidRPr="00C86691">
        <w:rPr>
          <w:szCs w:val="22"/>
        </w:rPr>
        <w:t>Rules</w:t>
      </w:r>
      <w:r w:rsidR="0036382D" w:rsidRPr="00C86691">
        <w:rPr>
          <w:szCs w:val="22"/>
        </w:rPr>
        <w:t xml:space="preserve"> and this Consent Decree</w:t>
      </w:r>
      <w:r w:rsidR="00E02214" w:rsidRPr="00C86691">
        <w:rPr>
          <w:szCs w:val="22"/>
        </w:rPr>
        <w:t xml:space="preserve">.  </w:t>
      </w:r>
      <w:r w:rsidR="00D95583" w:rsidRPr="00C86691">
        <w:rPr>
          <w:szCs w:val="22"/>
        </w:rPr>
        <w:t>Verizon</w:t>
      </w:r>
      <w:r w:rsidR="00EA12C6" w:rsidRPr="00C86691">
        <w:rPr>
          <w:szCs w:val="22"/>
        </w:rPr>
        <w:t xml:space="preserve"> </w:t>
      </w:r>
      <w:r w:rsidR="00E02214" w:rsidRPr="00C86691">
        <w:rPr>
          <w:szCs w:val="22"/>
        </w:rPr>
        <w:t xml:space="preserve">shall periodically review and revise the Compliance Manual as necessary to ensure that the information set forth therein </w:t>
      </w:r>
      <w:r w:rsidR="00E02214" w:rsidRPr="00C86691">
        <w:rPr>
          <w:szCs w:val="22"/>
        </w:rPr>
        <w:lastRenderedPageBreak/>
        <w:t xml:space="preserve">remains current and accurate.  </w:t>
      </w:r>
      <w:r w:rsidR="00D95583" w:rsidRPr="00C86691">
        <w:rPr>
          <w:szCs w:val="22"/>
        </w:rPr>
        <w:t>Verizon</w:t>
      </w:r>
      <w:r w:rsidR="00EA12C6" w:rsidRPr="00C86691">
        <w:rPr>
          <w:szCs w:val="22"/>
        </w:rPr>
        <w:t xml:space="preserve"> </w:t>
      </w:r>
      <w:r w:rsidR="00E02214" w:rsidRPr="00C86691">
        <w:rPr>
          <w:szCs w:val="22"/>
        </w:rPr>
        <w:t xml:space="preserve">shall distribute any revisions to the Compliance Manual promptly to </w:t>
      </w:r>
      <w:r w:rsidR="006E4E12" w:rsidRPr="00C86691">
        <w:rPr>
          <w:szCs w:val="22"/>
        </w:rPr>
        <w:t xml:space="preserve">all </w:t>
      </w:r>
      <w:r w:rsidR="00E02214" w:rsidRPr="00C86691">
        <w:rPr>
          <w:szCs w:val="22"/>
        </w:rPr>
        <w:t>Covered Employees.</w:t>
      </w:r>
    </w:p>
    <w:p w:rsidR="000C739A" w:rsidRPr="00C86691" w:rsidRDefault="008A0C4A" w:rsidP="00F60217">
      <w:pPr>
        <w:widowControl/>
        <w:numPr>
          <w:ilvl w:val="0"/>
          <w:numId w:val="6"/>
        </w:numPr>
        <w:spacing w:after="120"/>
        <w:ind w:left="1886"/>
        <w:rPr>
          <w:szCs w:val="22"/>
        </w:rPr>
      </w:pPr>
      <w:r w:rsidRPr="00C86691">
        <w:rPr>
          <w:b/>
          <w:szCs w:val="22"/>
          <w:u w:val="single"/>
        </w:rPr>
        <w:t>[8</w:t>
      </w:r>
      <w:r w:rsidR="00323039" w:rsidRPr="00C86691">
        <w:rPr>
          <w:b/>
          <w:szCs w:val="22"/>
          <w:u w:val="single"/>
        </w:rPr>
        <w:t xml:space="preserve">] </w:t>
      </w:r>
      <w:r w:rsidR="00E02214" w:rsidRPr="00C86691">
        <w:rPr>
          <w:b/>
          <w:szCs w:val="22"/>
          <w:u w:val="single"/>
        </w:rPr>
        <w:t>Compliance Training Program</w:t>
      </w:r>
      <w:r w:rsidR="00E02214" w:rsidRPr="00C86691">
        <w:rPr>
          <w:szCs w:val="22"/>
        </w:rPr>
        <w:t xml:space="preserve">.  </w:t>
      </w:r>
      <w:r w:rsidR="00D95583" w:rsidRPr="00C86691">
        <w:rPr>
          <w:szCs w:val="22"/>
        </w:rPr>
        <w:t>Verizon</w:t>
      </w:r>
      <w:r w:rsidR="00EA12C6" w:rsidRPr="00C86691">
        <w:rPr>
          <w:szCs w:val="22"/>
        </w:rPr>
        <w:t xml:space="preserve"> </w:t>
      </w:r>
      <w:r w:rsidR="00E02214" w:rsidRPr="00C86691">
        <w:rPr>
          <w:szCs w:val="22"/>
        </w:rPr>
        <w:t>shall establish and implement a Compliance Training Program on c</w:t>
      </w:r>
      <w:r w:rsidR="00302C38" w:rsidRPr="00C86691">
        <w:rPr>
          <w:szCs w:val="22"/>
        </w:rPr>
        <w:t xml:space="preserve">ompliance with the </w:t>
      </w:r>
      <w:r w:rsidR="009F1A33" w:rsidRPr="00C86691">
        <w:rPr>
          <w:szCs w:val="22"/>
        </w:rPr>
        <w:t>Rural Call Completion</w:t>
      </w:r>
      <w:r w:rsidR="00E02214" w:rsidRPr="00C86691">
        <w:rPr>
          <w:szCs w:val="22"/>
        </w:rPr>
        <w:t xml:space="preserve"> Rules and the Operating Procedures. </w:t>
      </w:r>
      <w:r w:rsidR="00165761" w:rsidRPr="00C86691">
        <w:rPr>
          <w:szCs w:val="22"/>
        </w:rPr>
        <w:t xml:space="preserve"> </w:t>
      </w:r>
      <w:r w:rsidR="00E02214" w:rsidRPr="00C86691">
        <w:rPr>
          <w:szCs w:val="22"/>
        </w:rPr>
        <w:t xml:space="preserve">As part of the Compliance Training Program, Covered Employees shall be advised of </w:t>
      </w:r>
      <w:r w:rsidR="00D95583" w:rsidRPr="00C86691">
        <w:rPr>
          <w:szCs w:val="22"/>
        </w:rPr>
        <w:t>Verizon</w:t>
      </w:r>
      <w:r w:rsidR="00EA12C6" w:rsidRPr="00C86691">
        <w:rPr>
          <w:szCs w:val="22"/>
        </w:rPr>
        <w:t>’</w:t>
      </w:r>
      <w:r w:rsidR="00E02214" w:rsidRPr="00C86691">
        <w:rPr>
          <w:szCs w:val="22"/>
        </w:rPr>
        <w:t>s obligation to report any</w:t>
      </w:r>
      <w:r w:rsidR="00457700" w:rsidRPr="00C86691">
        <w:rPr>
          <w:szCs w:val="22"/>
        </w:rPr>
        <w:t xml:space="preserve"> material</w:t>
      </w:r>
      <w:r w:rsidR="00E02214" w:rsidRPr="00C86691">
        <w:rPr>
          <w:szCs w:val="22"/>
        </w:rPr>
        <w:t xml:space="preserve"> noncomplia</w:t>
      </w:r>
      <w:r w:rsidR="00302C38" w:rsidRPr="00C86691">
        <w:rPr>
          <w:szCs w:val="22"/>
        </w:rPr>
        <w:t xml:space="preserve">nce with the </w:t>
      </w:r>
      <w:r w:rsidR="009F1A33" w:rsidRPr="00C86691">
        <w:rPr>
          <w:szCs w:val="22"/>
        </w:rPr>
        <w:t>Rural Call Completion</w:t>
      </w:r>
      <w:r w:rsidR="00E02214" w:rsidRPr="00C86691">
        <w:rPr>
          <w:szCs w:val="22"/>
        </w:rPr>
        <w:t xml:space="preserve"> Rules under paragraph </w:t>
      </w:r>
      <w:r w:rsidR="00F37D26">
        <w:rPr>
          <w:szCs w:val="22"/>
        </w:rPr>
        <w:t>19</w:t>
      </w:r>
      <w:r w:rsidR="00E02214" w:rsidRPr="00C86691">
        <w:rPr>
          <w:szCs w:val="22"/>
        </w:rPr>
        <w:t xml:space="preserve"> of this Consent Decree and shall be instructed on how to disclose noncompliance to the Compliance Officer.  All Covered Employees shall be trained pursuant to the Compliance Training Program within </w:t>
      </w:r>
      <w:r w:rsidR="00584644" w:rsidRPr="00C86691">
        <w:rPr>
          <w:szCs w:val="22"/>
        </w:rPr>
        <w:t xml:space="preserve">ninety </w:t>
      </w:r>
      <w:r w:rsidR="00E02214" w:rsidRPr="00C86691">
        <w:rPr>
          <w:szCs w:val="22"/>
        </w:rPr>
        <w:t>(</w:t>
      </w:r>
      <w:r w:rsidR="00584644" w:rsidRPr="00C86691">
        <w:rPr>
          <w:szCs w:val="22"/>
        </w:rPr>
        <w:t>9</w:t>
      </w:r>
      <w:r w:rsidR="00E02214" w:rsidRPr="00C86691">
        <w:rPr>
          <w:szCs w:val="22"/>
        </w:rPr>
        <w:t>0) calendar days after the Effe</w:t>
      </w:r>
      <w:r w:rsidR="00302C38" w:rsidRPr="00C86691">
        <w:rPr>
          <w:szCs w:val="22"/>
        </w:rPr>
        <w:t>ctive Date, except</w:t>
      </w:r>
      <w:r w:rsidR="00BD5BEC" w:rsidRPr="00C86691">
        <w:rPr>
          <w:szCs w:val="22"/>
        </w:rPr>
        <w:t xml:space="preserve"> that a</w:t>
      </w:r>
      <w:r w:rsidR="00E02214" w:rsidRPr="00C86691">
        <w:rPr>
          <w:szCs w:val="22"/>
        </w:rPr>
        <w:t xml:space="preserve">ny person who becomes a Covered </w:t>
      </w:r>
      <w:r w:rsidR="00036B37" w:rsidRPr="00C86691">
        <w:rPr>
          <w:szCs w:val="22"/>
        </w:rPr>
        <w:t>Employee at any time after the i</w:t>
      </w:r>
      <w:r w:rsidR="00E02214" w:rsidRPr="00C86691">
        <w:rPr>
          <w:szCs w:val="22"/>
        </w:rPr>
        <w:t xml:space="preserve">nitial </w:t>
      </w:r>
      <w:r w:rsidR="006F7147" w:rsidRPr="00C86691">
        <w:rPr>
          <w:szCs w:val="22"/>
        </w:rPr>
        <w:t xml:space="preserve">Compliance </w:t>
      </w:r>
      <w:r w:rsidR="00E02214" w:rsidRPr="00C86691">
        <w:rPr>
          <w:szCs w:val="22"/>
        </w:rPr>
        <w:t xml:space="preserve">Training Program shall be trained within </w:t>
      </w:r>
      <w:r w:rsidR="003B4158" w:rsidRPr="00C86691">
        <w:rPr>
          <w:szCs w:val="22"/>
        </w:rPr>
        <w:t xml:space="preserve">sixty </w:t>
      </w:r>
      <w:r w:rsidR="00E02214" w:rsidRPr="00C86691">
        <w:rPr>
          <w:szCs w:val="22"/>
        </w:rPr>
        <w:t>(</w:t>
      </w:r>
      <w:r w:rsidR="003B4158" w:rsidRPr="00C86691">
        <w:rPr>
          <w:szCs w:val="22"/>
        </w:rPr>
        <w:t>6</w:t>
      </w:r>
      <w:r w:rsidR="00E02214" w:rsidRPr="00C86691">
        <w:rPr>
          <w:szCs w:val="22"/>
        </w:rPr>
        <w:t xml:space="preserve">0) calendar days after the date such person becomes a Covered Employee.  </w:t>
      </w:r>
      <w:r w:rsidR="00D95583" w:rsidRPr="00C86691">
        <w:rPr>
          <w:szCs w:val="22"/>
        </w:rPr>
        <w:t>Verizon</w:t>
      </w:r>
      <w:r w:rsidR="00EA12C6" w:rsidRPr="00C86691">
        <w:rPr>
          <w:szCs w:val="22"/>
        </w:rPr>
        <w:t xml:space="preserve"> </w:t>
      </w:r>
      <w:r w:rsidR="00036B37" w:rsidRPr="00C86691">
        <w:rPr>
          <w:szCs w:val="22"/>
        </w:rPr>
        <w:t>shall repeat</w:t>
      </w:r>
      <w:r w:rsidR="00E02214" w:rsidRPr="00C86691">
        <w:rPr>
          <w:szCs w:val="22"/>
        </w:rPr>
        <w:t xml:space="preserve"> compliance training on an annual basis, and shall periodically review and revise the Compliance Training Program as necessary to ensure that it remains current and complete and to enhance its effectiveness.</w:t>
      </w:r>
    </w:p>
    <w:p w:rsidR="00C762B6" w:rsidRPr="00C86691" w:rsidRDefault="00C762B6" w:rsidP="00E821FA">
      <w:pPr>
        <w:pStyle w:val="ParaNum"/>
        <w:numPr>
          <w:ilvl w:val="0"/>
          <w:numId w:val="0"/>
        </w:numPr>
        <w:ind w:left="720"/>
        <w:rPr>
          <w:szCs w:val="22"/>
        </w:rPr>
      </w:pPr>
      <w:r w:rsidRPr="00C86691">
        <w:rPr>
          <w:szCs w:val="22"/>
        </w:rPr>
        <w:t>(b)</w:t>
      </w:r>
      <w:r w:rsidRPr="00C86691">
        <w:rPr>
          <w:szCs w:val="22"/>
        </w:rPr>
        <w:tab/>
      </w:r>
      <w:r w:rsidR="00323039" w:rsidRPr="00C86691">
        <w:rPr>
          <w:b/>
          <w:szCs w:val="22"/>
          <w:u w:val="single"/>
        </w:rPr>
        <w:t>Industry Engagement</w:t>
      </w:r>
      <w:r w:rsidR="008B6694">
        <w:rPr>
          <w:szCs w:val="22"/>
        </w:rPr>
        <w:t>.</w:t>
      </w:r>
      <w:r w:rsidR="00323039" w:rsidRPr="00C86691">
        <w:rPr>
          <w:szCs w:val="22"/>
        </w:rPr>
        <w:t xml:space="preserve">  </w:t>
      </w:r>
      <w:r w:rsidRPr="00C86691">
        <w:rPr>
          <w:szCs w:val="22"/>
        </w:rPr>
        <w:t xml:space="preserve">Verizon </w:t>
      </w:r>
      <w:r w:rsidR="00C10327" w:rsidRPr="00C86691">
        <w:rPr>
          <w:szCs w:val="22"/>
        </w:rPr>
        <w:t xml:space="preserve">commits to undertake the following efforts </w:t>
      </w:r>
      <w:r w:rsidR="00E139CA" w:rsidRPr="00C86691">
        <w:rPr>
          <w:szCs w:val="22"/>
        </w:rPr>
        <w:t>to advance</w:t>
      </w:r>
      <w:r w:rsidR="00BE1CA3" w:rsidRPr="00C86691">
        <w:rPr>
          <w:szCs w:val="22"/>
        </w:rPr>
        <w:t xml:space="preserve"> </w:t>
      </w:r>
      <w:r w:rsidR="00C10327" w:rsidRPr="00C86691">
        <w:rPr>
          <w:szCs w:val="22"/>
        </w:rPr>
        <w:t>an industry solution to rural call completion problem</w:t>
      </w:r>
      <w:r w:rsidR="002513FB" w:rsidRPr="00C86691">
        <w:rPr>
          <w:szCs w:val="22"/>
        </w:rPr>
        <w:t>s</w:t>
      </w:r>
      <w:r w:rsidRPr="00C86691">
        <w:rPr>
          <w:szCs w:val="22"/>
        </w:rPr>
        <w:t>:</w:t>
      </w:r>
    </w:p>
    <w:p w:rsidR="00B62A4D" w:rsidRPr="00C86691" w:rsidRDefault="00323039" w:rsidP="00B64774">
      <w:pPr>
        <w:pStyle w:val="ListParagraph"/>
        <w:numPr>
          <w:ilvl w:val="0"/>
          <w:numId w:val="6"/>
        </w:numPr>
        <w:spacing w:after="120"/>
        <w:rPr>
          <w:szCs w:val="22"/>
        </w:rPr>
      </w:pPr>
      <w:r w:rsidRPr="00C86691">
        <w:rPr>
          <w:b/>
          <w:szCs w:val="22"/>
          <w:u w:val="single"/>
        </w:rPr>
        <w:t xml:space="preserve">[1] </w:t>
      </w:r>
      <w:r w:rsidR="000C739A" w:rsidRPr="00C86691">
        <w:rPr>
          <w:b/>
          <w:sz w:val="22"/>
          <w:szCs w:val="22"/>
          <w:u w:val="single"/>
        </w:rPr>
        <w:t>Workshop</w:t>
      </w:r>
      <w:r w:rsidR="00CD033B" w:rsidRPr="00C86691">
        <w:rPr>
          <w:b/>
          <w:sz w:val="22"/>
          <w:szCs w:val="22"/>
          <w:u w:val="single"/>
        </w:rPr>
        <w:t>s</w:t>
      </w:r>
      <w:r w:rsidR="008B6694">
        <w:rPr>
          <w:b/>
          <w:sz w:val="22"/>
          <w:szCs w:val="22"/>
        </w:rPr>
        <w:t>.</w:t>
      </w:r>
      <w:r w:rsidR="000C739A" w:rsidRPr="00C86691">
        <w:rPr>
          <w:sz w:val="22"/>
          <w:szCs w:val="22"/>
        </w:rPr>
        <w:t xml:space="preserve">  </w:t>
      </w:r>
      <w:r w:rsidR="00C762B6" w:rsidRPr="00C86691">
        <w:rPr>
          <w:sz w:val="22"/>
          <w:szCs w:val="22"/>
        </w:rPr>
        <w:t xml:space="preserve">Verizon shall </w:t>
      </w:r>
      <w:r w:rsidR="002513FB" w:rsidRPr="00C86691">
        <w:rPr>
          <w:sz w:val="22"/>
          <w:szCs w:val="22"/>
        </w:rPr>
        <w:t xml:space="preserve">organize, fund and host </w:t>
      </w:r>
      <w:r w:rsidR="00B62A4D" w:rsidRPr="00C86691">
        <w:rPr>
          <w:sz w:val="22"/>
          <w:szCs w:val="22"/>
        </w:rPr>
        <w:t>two</w:t>
      </w:r>
      <w:r w:rsidR="000C739A" w:rsidRPr="00C86691">
        <w:rPr>
          <w:sz w:val="22"/>
          <w:szCs w:val="22"/>
        </w:rPr>
        <w:t xml:space="preserve"> workshop</w:t>
      </w:r>
      <w:r w:rsidR="00B62A4D" w:rsidRPr="00C86691">
        <w:rPr>
          <w:sz w:val="22"/>
          <w:szCs w:val="22"/>
        </w:rPr>
        <w:t>s.</w:t>
      </w:r>
      <w:r w:rsidR="000C739A" w:rsidRPr="00C86691">
        <w:rPr>
          <w:sz w:val="22"/>
          <w:szCs w:val="22"/>
        </w:rPr>
        <w:t xml:space="preserve"> </w:t>
      </w:r>
      <w:r w:rsidR="002E1D57" w:rsidRPr="00C86691">
        <w:rPr>
          <w:sz w:val="22"/>
          <w:szCs w:val="22"/>
        </w:rPr>
        <w:t xml:space="preserve">Workshop 1 </w:t>
      </w:r>
      <w:r w:rsidR="00B62A4D" w:rsidRPr="00C86691">
        <w:rPr>
          <w:sz w:val="22"/>
          <w:szCs w:val="22"/>
        </w:rPr>
        <w:t>will</w:t>
      </w:r>
      <w:r w:rsidR="000C739A" w:rsidRPr="00C86691">
        <w:rPr>
          <w:sz w:val="22"/>
          <w:szCs w:val="22"/>
        </w:rPr>
        <w:t xml:space="preserve"> be held in </w:t>
      </w:r>
      <w:r w:rsidR="00CD033B" w:rsidRPr="00C86691">
        <w:rPr>
          <w:sz w:val="22"/>
          <w:szCs w:val="22"/>
        </w:rPr>
        <w:t xml:space="preserve">in the </w:t>
      </w:r>
      <w:r w:rsidR="008D2180" w:rsidRPr="00C86691">
        <w:rPr>
          <w:sz w:val="22"/>
          <w:szCs w:val="22"/>
        </w:rPr>
        <w:t xml:space="preserve">Washington, </w:t>
      </w:r>
      <w:r w:rsidR="00CD033B" w:rsidRPr="00C86691">
        <w:rPr>
          <w:sz w:val="22"/>
          <w:szCs w:val="22"/>
        </w:rPr>
        <w:t xml:space="preserve">DC metro area within six months of the Effective Date </w:t>
      </w:r>
      <w:r w:rsidR="00671880" w:rsidRPr="00C86691">
        <w:rPr>
          <w:sz w:val="22"/>
          <w:szCs w:val="22"/>
        </w:rPr>
        <w:t xml:space="preserve">to </w:t>
      </w:r>
      <w:r w:rsidR="004A0A96" w:rsidRPr="00C86691">
        <w:rPr>
          <w:sz w:val="22"/>
          <w:szCs w:val="22"/>
        </w:rPr>
        <w:t xml:space="preserve">discuss methods to </w:t>
      </w:r>
      <w:r w:rsidR="00671880" w:rsidRPr="00C86691">
        <w:rPr>
          <w:sz w:val="22"/>
          <w:szCs w:val="22"/>
        </w:rPr>
        <w:t>further identify and isolate the causes of, and</w:t>
      </w:r>
      <w:r w:rsidR="00CD033B" w:rsidRPr="00C86691">
        <w:rPr>
          <w:sz w:val="22"/>
          <w:szCs w:val="22"/>
        </w:rPr>
        <w:t xml:space="preserve"> to</w:t>
      </w:r>
      <w:r w:rsidR="00671880" w:rsidRPr="00C86691">
        <w:rPr>
          <w:sz w:val="22"/>
          <w:szCs w:val="22"/>
        </w:rPr>
        <w:t xml:space="preserve"> develop strategies to avoid, </w:t>
      </w:r>
      <w:r w:rsidR="00FB60AE" w:rsidRPr="00C86691">
        <w:rPr>
          <w:sz w:val="22"/>
          <w:szCs w:val="22"/>
        </w:rPr>
        <w:t xml:space="preserve">detect, </w:t>
      </w:r>
      <w:r w:rsidR="00671880" w:rsidRPr="00C86691">
        <w:rPr>
          <w:sz w:val="22"/>
          <w:szCs w:val="22"/>
        </w:rPr>
        <w:t>and resolve rural call completion</w:t>
      </w:r>
      <w:r w:rsidR="002513FB" w:rsidRPr="00C86691">
        <w:rPr>
          <w:sz w:val="22"/>
          <w:szCs w:val="22"/>
        </w:rPr>
        <w:t xml:space="preserve"> problems</w:t>
      </w:r>
      <w:r w:rsidR="00CD033B" w:rsidRPr="00C86691">
        <w:rPr>
          <w:sz w:val="22"/>
          <w:szCs w:val="22"/>
        </w:rPr>
        <w:t xml:space="preserve">.  </w:t>
      </w:r>
      <w:r w:rsidR="00B62A4D" w:rsidRPr="00C86691">
        <w:rPr>
          <w:sz w:val="22"/>
          <w:szCs w:val="22"/>
        </w:rPr>
        <w:t>Workshop 2</w:t>
      </w:r>
      <w:r w:rsidR="00940D08" w:rsidRPr="00C86691">
        <w:rPr>
          <w:sz w:val="22"/>
          <w:szCs w:val="22"/>
        </w:rPr>
        <w:t xml:space="preserve"> </w:t>
      </w:r>
      <w:r w:rsidR="00B62A4D" w:rsidRPr="00C86691">
        <w:rPr>
          <w:sz w:val="22"/>
          <w:szCs w:val="22"/>
        </w:rPr>
        <w:t xml:space="preserve">will be held in the </w:t>
      </w:r>
      <w:r w:rsidR="008D2180" w:rsidRPr="00C86691">
        <w:rPr>
          <w:sz w:val="22"/>
          <w:szCs w:val="22"/>
        </w:rPr>
        <w:t xml:space="preserve">Washington, </w:t>
      </w:r>
      <w:r w:rsidR="00B62A4D" w:rsidRPr="00C86691">
        <w:rPr>
          <w:sz w:val="22"/>
          <w:szCs w:val="22"/>
        </w:rPr>
        <w:t xml:space="preserve">DC metro area approximately two years after </w:t>
      </w:r>
      <w:r w:rsidR="00940D08" w:rsidRPr="00C86691">
        <w:rPr>
          <w:sz w:val="22"/>
          <w:szCs w:val="22"/>
        </w:rPr>
        <w:t>Workshop 1</w:t>
      </w:r>
      <w:r w:rsidR="00B62A4D" w:rsidRPr="00C86691">
        <w:rPr>
          <w:sz w:val="22"/>
          <w:szCs w:val="22"/>
        </w:rPr>
        <w:t xml:space="preserve"> </w:t>
      </w:r>
      <w:r w:rsidR="00940D08" w:rsidRPr="00C86691">
        <w:rPr>
          <w:sz w:val="22"/>
          <w:szCs w:val="22"/>
        </w:rPr>
        <w:t xml:space="preserve">and will </w:t>
      </w:r>
      <w:r w:rsidR="00B62A4D" w:rsidRPr="00C86691">
        <w:rPr>
          <w:sz w:val="22"/>
          <w:szCs w:val="22"/>
        </w:rPr>
        <w:t>address the current state of rural call completion, notable successes, and continued challenges since the first Workshop.</w:t>
      </w:r>
      <w:r w:rsidR="00B62A4D" w:rsidRPr="00C86691" w:rsidDel="00994197">
        <w:rPr>
          <w:b/>
          <w:sz w:val="22"/>
          <w:szCs w:val="22"/>
        </w:rPr>
        <w:t xml:space="preserve"> </w:t>
      </w:r>
    </w:p>
    <w:p w:rsidR="00B62A4D" w:rsidRPr="00C86691" w:rsidRDefault="00FB60AE" w:rsidP="00B62A4D">
      <w:pPr>
        <w:pStyle w:val="ListParagraph"/>
        <w:numPr>
          <w:ilvl w:val="3"/>
          <w:numId w:val="17"/>
        </w:numPr>
        <w:spacing w:after="120"/>
        <w:rPr>
          <w:sz w:val="22"/>
          <w:szCs w:val="22"/>
        </w:rPr>
      </w:pPr>
      <w:r w:rsidRPr="00C86691">
        <w:rPr>
          <w:sz w:val="22"/>
          <w:szCs w:val="22"/>
        </w:rPr>
        <w:t xml:space="preserve">Verizon </w:t>
      </w:r>
      <w:r w:rsidR="00CD033B" w:rsidRPr="00C86691">
        <w:rPr>
          <w:sz w:val="22"/>
          <w:szCs w:val="22"/>
        </w:rPr>
        <w:t>shall</w:t>
      </w:r>
      <w:r w:rsidR="002513FB" w:rsidRPr="00C86691">
        <w:rPr>
          <w:sz w:val="22"/>
          <w:szCs w:val="22"/>
        </w:rPr>
        <w:t xml:space="preserve"> </w:t>
      </w:r>
      <w:r w:rsidR="00940D08" w:rsidRPr="00C86691">
        <w:rPr>
          <w:sz w:val="22"/>
          <w:szCs w:val="22"/>
        </w:rPr>
        <w:t>coordinate the organization</w:t>
      </w:r>
      <w:r w:rsidR="00556584" w:rsidRPr="00C86691">
        <w:rPr>
          <w:sz w:val="22"/>
          <w:szCs w:val="22"/>
        </w:rPr>
        <w:t>, publicizing,</w:t>
      </w:r>
      <w:r w:rsidR="00940D08" w:rsidRPr="00C86691">
        <w:rPr>
          <w:sz w:val="22"/>
          <w:szCs w:val="22"/>
        </w:rPr>
        <w:t xml:space="preserve"> and planning for the Workshops with </w:t>
      </w:r>
      <w:r w:rsidR="002513FB" w:rsidRPr="00C86691">
        <w:rPr>
          <w:sz w:val="22"/>
          <w:szCs w:val="22"/>
        </w:rPr>
        <w:t>rural representatives, including NTCA and NECA</w:t>
      </w:r>
      <w:r w:rsidR="00940D08" w:rsidRPr="00C86691">
        <w:rPr>
          <w:sz w:val="22"/>
          <w:szCs w:val="22"/>
        </w:rPr>
        <w:t>.  In addition, Verizon will invite</w:t>
      </w:r>
      <w:r w:rsidR="002513FB" w:rsidRPr="00C86691">
        <w:rPr>
          <w:sz w:val="22"/>
          <w:szCs w:val="22"/>
        </w:rPr>
        <w:t xml:space="preserve"> representatives of the relevant industry segments, </w:t>
      </w:r>
      <w:r w:rsidR="00DA1573" w:rsidRPr="00C86691">
        <w:rPr>
          <w:sz w:val="22"/>
          <w:szCs w:val="22"/>
        </w:rPr>
        <w:t>including</w:t>
      </w:r>
      <w:r w:rsidRPr="00C86691">
        <w:rPr>
          <w:sz w:val="22"/>
          <w:szCs w:val="22"/>
        </w:rPr>
        <w:t xml:space="preserve"> </w:t>
      </w:r>
      <w:r w:rsidR="00DA1573" w:rsidRPr="00C86691">
        <w:rPr>
          <w:sz w:val="22"/>
          <w:szCs w:val="22"/>
        </w:rPr>
        <w:t xml:space="preserve">long distance and wireless providers, rural </w:t>
      </w:r>
      <w:r w:rsidRPr="00C86691">
        <w:rPr>
          <w:sz w:val="22"/>
          <w:szCs w:val="22"/>
        </w:rPr>
        <w:t xml:space="preserve">LECs, intermediate providers, </w:t>
      </w:r>
      <w:r w:rsidR="00CD033B" w:rsidRPr="00C86691">
        <w:rPr>
          <w:sz w:val="22"/>
          <w:szCs w:val="22"/>
        </w:rPr>
        <w:t xml:space="preserve">relevant trade associations, </w:t>
      </w:r>
      <w:r w:rsidRPr="00C86691">
        <w:rPr>
          <w:sz w:val="22"/>
          <w:szCs w:val="22"/>
        </w:rPr>
        <w:t>such as USTelecom, CTIA, and COMPTEL</w:t>
      </w:r>
      <w:r w:rsidR="00B62A4D" w:rsidRPr="00C86691">
        <w:rPr>
          <w:sz w:val="22"/>
          <w:szCs w:val="22"/>
        </w:rPr>
        <w:t>, and relevant government agencies, including the FCC</w:t>
      </w:r>
      <w:r w:rsidR="00940D08" w:rsidRPr="00C86691">
        <w:rPr>
          <w:sz w:val="22"/>
          <w:szCs w:val="22"/>
        </w:rPr>
        <w:t xml:space="preserve"> to both Workshops</w:t>
      </w:r>
      <w:r w:rsidRPr="00C86691">
        <w:rPr>
          <w:sz w:val="22"/>
          <w:szCs w:val="22"/>
        </w:rPr>
        <w:t>.</w:t>
      </w:r>
      <w:r w:rsidR="001830F7" w:rsidRPr="00C86691">
        <w:rPr>
          <w:sz w:val="22"/>
          <w:szCs w:val="22"/>
        </w:rPr>
        <w:t xml:space="preserve">  </w:t>
      </w:r>
      <w:r w:rsidR="00B62A4D" w:rsidRPr="00C86691">
        <w:rPr>
          <w:sz w:val="22"/>
          <w:szCs w:val="22"/>
        </w:rPr>
        <w:t xml:space="preserve">Each </w:t>
      </w:r>
      <w:r w:rsidR="00940D08" w:rsidRPr="00C86691">
        <w:rPr>
          <w:sz w:val="22"/>
          <w:szCs w:val="22"/>
        </w:rPr>
        <w:t>W</w:t>
      </w:r>
      <w:r w:rsidR="00B62A4D" w:rsidRPr="00C86691">
        <w:rPr>
          <w:sz w:val="22"/>
          <w:szCs w:val="22"/>
        </w:rPr>
        <w:t>orkshop will include participants with technical expertise relevant to rural call completion issues.</w:t>
      </w:r>
    </w:p>
    <w:p w:rsidR="001830F7" w:rsidRPr="00C86691" w:rsidRDefault="001830F7" w:rsidP="00CD033B">
      <w:pPr>
        <w:pStyle w:val="ListParagraph"/>
        <w:numPr>
          <w:ilvl w:val="3"/>
          <w:numId w:val="17"/>
        </w:numPr>
        <w:spacing w:after="120"/>
        <w:rPr>
          <w:sz w:val="22"/>
          <w:szCs w:val="22"/>
        </w:rPr>
      </w:pPr>
      <w:r w:rsidRPr="00C86691">
        <w:rPr>
          <w:sz w:val="22"/>
          <w:szCs w:val="22"/>
        </w:rPr>
        <w:t xml:space="preserve">Verizon shall bear all costs of </w:t>
      </w:r>
      <w:r w:rsidR="001B7217" w:rsidRPr="00C86691">
        <w:rPr>
          <w:sz w:val="22"/>
          <w:szCs w:val="22"/>
        </w:rPr>
        <w:t xml:space="preserve">the venue and publicizing of </w:t>
      </w:r>
      <w:r w:rsidR="00940D08" w:rsidRPr="00C86691">
        <w:rPr>
          <w:sz w:val="22"/>
          <w:szCs w:val="22"/>
        </w:rPr>
        <w:t>W</w:t>
      </w:r>
      <w:r w:rsidRPr="00C86691">
        <w:rPr>
          <w:sz w:val="22"/>
          <w:szCs w:val="22"/>
        </w:rPr>
        <w:t>orkshops</w:t>
      </w:r>
      <w:r w:rsidR="00940D08" w:rsidRPr="00C86691">
        <w:rPr>
          <w:sz w:val="22"/>
          <w:szCs w:val="22"/>
        </w:rPr>
        <w:t xml:space="preserve"> 1 and 2</w:t>
      </w:r>
      <w:r w:rsidRPr="00C86691">
        <w:rPr>
          <w:sz w:val="22"/>
          <w:szCs w:val="22"/>
        </w:rPr>
        <w:t>.</w:t>
      </w:r>
      <w:r w:rsidR="001B7217" w:rsidRPr="00C86691">
        <w:rPr>
          <w:sz w:val="22"/>
          <w:szCs w:val="22"/>
        </w:rPr>
        <w:t xml:space="preserve">  </w:t>
      </w:r>
    </w:p>
    <w:p w:rsidR="00605E26" w:rsidRPr="00C86691" w:rsidRDefault="00323039" w:rsidP="00B64774">
      <w:pPr>
        <w:pStyle w:val="ListParagraph"/>
        <w:numPr>
          <w:ilvl w:val="0"/>
          <w:numId w:val="6"/>
        </w:numPr>
        <w:spacing w:after="120"/>
        <w:rPr>
          <w:sz w:val="22"/>
          <w:szCs w:val="22"/>
        </w:rPr>
      </w:pPr>
      <w:r w:rsidRPr="00C86691">
        <w:rPr>
          <w:b/>
          <w:sz w:val="22"/>
          <w:szCs w:val="22"/>
          <w:u w:val="single"/>
        </w:rPr>
        <w:t xml:space="preserve">[2] </w:t>
      </w:r>
      <w:r w:rsidR="000C739A" w:rsidRPr="00C86691">
        <w:rPr>
          <w:b/>
          <w:sz w:val="22"/>
          <w:szCs w:val="22"/>
          <w:u w:val="single"/>
        </w:rPr>
        <w:t>Research</w:t>
      </w:r>
      <w:r w:rsidR="008B6694">
        <w:rPr>
          <w:sz w:val="22"/>
          <w:szCs w:val="22"/>
        </w:rPr>
        <w:t>.</w:t>
      </w:r>
      <w:r w:rsidR="000C739A" w:rsidRPr="00C86691">
        <w:rPr>
          <w:sz w:val="22"/>
          <w:szCs w:val="22"/>
        </w:rPr>
        <w:t xml:space="preserve">  Verizon shall </w:t>
      </w:r>
      <w:r w:rsidR="00605E26" w:rsidRPr="00C86691">
        <w:rPr>
          <w:sz w:val="22"/>
          <w:szCs w:val="22"/>
        </w:rPr>
        <w:t>commission a grant in the amount of $30,000-</w:t>
      </w:r>
      <w:r w:rsidR="00897373" w:rsidRPr="00C86691">
        <w:rPr>
          <w:sz w:val="22"/>
          <w:szCs w:val="22"/>
        </w:rPr>
        <w:t>$</w:t>
      </w:r>
      <w:r w:rsidR="00605E26" w:rsidRPr="00C86691">
        <w:rPr>
          <w:sz w:val="22"/>
          <w:szCs w:val="22"/>
        </w:rPr>
        <w:t xml:space="preserve">50,000 for an academic study </w:t>
      </w:r>
      <w:r w:rsidR="00E139CA" w:rsidRPr="00C86691">
        <w:rPr>
          <w:sz w:val="22"/>
          <w:szCs w:val="22"/>
        </w:rPr>
        <w:t xml:space="preserve">on methods to detect and resolve </w:t>
      </w:r>
      <w:r w:rsidR="002E1D57" w:rsidRPr="00C86691">
        <w:rPr>
          <w:sz w:val="22"/>
          <w:szCs w:val="22"/>
        </w:rPr>
        <w:t xml:space="preserve">rural call completion </w:t>
      </w:r>
      <w:r w:rsidR="00E139CA" w:rsidRPr="00C86691">
        <w:rPr>
          <w:sz w:val="22"/>
          <w:szCs w:val="22"/>
        </w:rPr>
        <w:t>problems in real time</w:t>
      </w:r>
      <w:r w:rsidR="00605E26" w:rsidRPr="00C86691">
        <w:rPr>
          <w:sz w:val="22"/>
          <w:szCs w:val="22"/>
        </w:rPr>
        <w:t>.</w:t>
      </w:r>
    </w:p>
    <w:p w:rsidR="002B1C1F" w:rsidRPr="00C86691" w:rsidRDefault="00605E26" w:rsidP="00AA5CAE">
      <w:pPr>
        <w:pStyle w:val="ListParagraph"/>
        <w:numPr>
          <w:ilvl w:val="3"/>
          <w:numId w:val="17"/>
        </w:numPr>
        <w:spacing w:after="120"/>
        <w:rPr>
          <w:sz w:val="22"/>
          <w:szCs w:val="22"/>
        </w:rPr>
      </w:pPr>
      <w:r w:rsidRPr="00C86691">
        <w:rPr>
          <w:sz w:val="22"/>
          <w:szCs w:val="22"/>
        </w:rPr>
        <w:t>Verizon shall publicize the grant within three months of the Effective Date</w:t>
      </w:r>
      <w:r w:rsidR="000C739A" w:rsidRPr="00C86691">
        <w:rPr>
          <w:sz w:val="22"/>
          <w:szCs w:val="22"/>
        </w:rPr>
        <w:t xml:space="preserve"> </w:t>
      </w:r>
      <w:r w:rsidRPr="00C86691">
        <w:rPr>
          <w:sz w:val="22"/>
          <w:szCs w:val="22"/>
        </w:rPr>
        <w:t xml:space="preserve">and will select the winning proposal, following consultation with the Bureau, within </w:t>
      </w:r>
      <w:r w:rsidR="008E3B82">
        <w:rPr>
          <w:sz w:val="22"/>
          <w:szCs w:val="22"/>
        </w:rPr>
        <w:t>45</w:t>
      </w:r>
      <w:r w:rsidRPr="00C86691">
        <w:rPr>
          <w:sz w:val="22"/>
          <w:szCs w:val="22"/>
        </w:rPr>
        <w:t xml:space="preserve"> days </w:t>
      </w:r>
      <w:r w:rsidR="00C72D6B" w:rsidRPr="00C86691">
        <w:rPr>
          <w:sz w:val="22"/>
          <w:szCs w:val="22"/>
        </w:rPr>
        <w:t xml:space="preserve">after </w:t>
      </w:r>
      <w:r w:rsidR="002E1D57" w:rsidRPr="00C86691">
        <w:rPr>
          <w:sz w:val="22"/>
          <w:szCs w:val="22"/>
        </w:rPr>
        <w:t>Workshop 1</w:t>
      </w:r>
      <w:r w:rsidRPr="00C86691">
        <w:rPr>
          <w:sz w:val="22"/>
          <w:szCs w:val="22"/>
        </w:rPr>
        <w:t>.</w:t>
      </w:r>
    </w:p>
    <w:p w:rsidR="009F0B1F" w:rsidRPr="00C86691" w:rsidRDefault="009F0B1F" w:rsidP="00AA5CAE">
      <w:pPr>
        <w:pStyle w:val="ListParagraph"/>
        <w:numPr>
          <w:ilvl w:val="3"/>
          <w:numId w:val="17"/>
        </w:numPr>
        <w:spacing w:after="120"/>
        <w:rPr>
          <w:sz w:val="22"/>
          <w:szCs w:val="22"/>
        </w:rPr>
      </w:pPr>
      <w:r w:rsidRPr="00C86691">
        <w:rPr>
          <w:sz w:val="22"/>
          <w:szCs w:val="22"/>
        </w:rPr>
        <w:t xml:space="preserve">Verizon agrees to </w:t>
      </w:r>
      <w:r w:rsidR="008B1570" w:rsidRPr="00C86691">
        <w:rPr>
          <w:sz w:val="22"/>
          <w:szCs w:val="22"/>
        </w:rPr>
        <w:t>work with the grantee and the Bureau to provide reasonable access</w:t>
      </w:r>
      <w:r w:rsidR="00756428">
        <w:rPr>
          <w:sz w:val="22"/>
          <w:szCs w:val="22"/>
        </w:rPr>
        <w:t>, consistent with all legal obligations,</w:t>
      </w:r>
      <w:r w:rsidR="008B1570" w:rsidRPr="00C86691">
        <w:rPr>
          <w:sz w:val="22"/>
          <w:szCs w:val="22"/>
        </w:rPr>
        <w:t xml:space="preserve"> to traffic data, if necessary, for the academic study.</w:t>
      </w:r>
    </w:p>
    <w:p w:rsidR="000C739A" w:rsidRPr="00C86691" w:rsidRDefault="00605E26" w:rsidP="00605E26">
      <w:pPr>
        <w:pStyle w:val="ListParagraph"/>
        <w:numPr>
          <w:ilvl w:val="3"/>
          <w:numId w:val="17"/>
        </w:numPr>
        <w:spacing w:after="120"/>
        <w:rPr>
          <w:sz w:val="22"/>
          <w:szCs w:val="22"/>
        </w:rPr>
      </w:pPr>
      <w:r w:rsidRPr="00C86691">
        <w:rPr>
          <w:sz w:val="22"/>
          <w:szCs w:val="22"/>
        </w:rPr>
        <w:t xml:space="preserve">The academic study shall </w:t>
      </w:r>
      <w:r w:rsidR="001B7217" w:rsidRPr="00C86691">
        <w:rPr>
          <w:sz w:val="22"/>
          <w:szCs w:val="22"/>
        </w:rPr>
        <w:t xml:space="preserve">be required to </w:t>
      </w:r>
      <w:r w:rsidRPr="00C86691">
        <w:rPr>
          <w:sz w:val="22"/>
          <w:szCs w:val="22"/>
        </w:rPr>
        <w:t xml:space="preserve">be completed within </w:t>
      </w:r>
      <w:r w:rsidR="008B6694">
        <w:rPr>
          <w:sz w:val="22"/>
          <w:szCs w:val="22"/>
        </w:rPr>
        <w:t>18 months</w:t>
      </w:r>
      <w:r w:rsidRPr="00C86691">
        <w:rPr>
          <w:sz w:val="22"/>
          <w:szCs w:val="22"/>
        </w:rPr>
        <w:t xml:space="preserve"> of the selection and the grantee shall </w:t>
      </w:r>
      <w:r w:rsidR="006A1820" w:rsidRPr="00C86691">
        <w:rPr>
          <w:sz w:val="22"/>
          <w:szCs w:val="22"/>
        </w:rPr>
        <w:t xml:space="preserve">be required to </w:t>
      </w:r>
      <w:r w:rsidRPr="00C86691">
        <w:rPr>
          <w:sz w:val="22"/>
          <w:szCs w:val="22"/>
        </w:rPr>
        <w:t xml:space="preserve">present his or her findings to Verizon and the Bureau, as well as at </w:t>
      </w:r>
      <w:r w:rsidR="002E1D57" w:rsidRPr="00C86691">
        <w:rPr>
          <w:sz w:val="22"/>
          <w:szCs w:val="22"/>
        </w:rPr>
        <w:t>Workshop 2</w:t>
      </w:r>
      <w:r w:rsidR="000C739A" w:rsidRPr="00C86691">
        <w:rPr>
          <w:sz w:val="22"/>
          <w:szCs w:val="22"/>
        </w:rPr>
        <w:t>.</w:t>
      </w:r>
    </w:p>
    <w:p w:rsidR="00DF5290" w:rsidRPr="00C86691" w:rsidRDefault="00DE5393" w:rsidP="00B64774">
      <w:pPr>
        <w:pStyle w:val="ListParagraph"/>
        <w:numPr>
          <w:ilvl w:val="0"/>
          <w:numId w:val="6"/>
        </w:numPr>
        <w:spacing w:after="120"/>
        <w:rPr>
          <w:sz w:val="22"/>
          <w:szCs w:val="22"/>
        </w:rPr>
      </w:pPr>
      <w:r w:rsidRPr="00C86691">
        <w:rPr>
          <w:b/>
          <w:sz w:val="22"/>
          <w:szCs w:val="22"/>
          <w:u w:val="single"/>
        </w:rPr>
        <w:lastRenderedPageBreak/>
        <w:t xml:space="preserve">[3] </w:t>
      </w:r>
      <w:r w:rsidR="000C739A" w:rsidRPr="00C86691">
        <w:rPr>
          <w:b/>
          <w:sz w:val="22"/>
          <w:szCs w:val="22"/>
          <w:u w:val="single"/>
        </w:rPr>
        <w:t>Communication</w:t>
      </w:r>
      <w:r w:rsidR="008B6694">
        <w:rPr>
          <w:sz w:val="22"/>
          <w:szCs w:val="22"/>
        </w:rPr>
        <w:t>.</w:t>
      </w:r>
      <w:r w:rsidR="000C739A" w:rsidRPr="00C86691">
        <w:rPr>
          <w:sz w:val="22"/>
          <w:szCs w:val="22"/>
        </w:rPr>
        <w:t xml:space="preserve">  Verizon will </w:t>
      </w:r>
      <w:r w:rsidR="00CB56EC" w:rsidRPr="00C86691">
        <w:rPr>
          <w:sz w:val="22"/>
          <w:szCs w:val="22"/>
        </w:rPr>
        <w:t xml:space="preserve">work with NECA, NTCA, and other rural representatives to </w:t>
      </w:r>
      <w:r w:rsidR="00DF5290" w:rsidRPr="00C86691">
        <w:rPr>
          <w:sz w:val="22"/>
          <w:szCs w:val="22"/>
        </w:rPr>
        <w:t xml:space="preserve">publicize to the </w:t>
      </w:r>
      <w:r w:rsidR="002E1D57" w:rsidRPr="00C86691">
        <w:rPr>
          <w:sz w:val="22"/>
          <w:szCs w:val="22"/>
        </w:rPr>
        <w:t xml:space="preserve">rural LEC </w:t>
      </w:r>
      <w:r w:rsidR="00DF5290" w:rsidRPr="00C86691">
        <w:rPr>
          <w:sz w:val="22"/>
          <w:szCs w:val="22"/>
        </w:rPr>
        <w:t xml:space="preserve">community the Verizon RLEC Hotline, the availability of milliwatt testing, and the importance of maintaining updated contact information in the LERG.  </w:t>
      </w:r>
    </w:p>
    <w:p w:rsidR="00E139CA" w:rsidRPr="00C86691" w:rsidRDefault="00DF5290" w:rsidP="00B64774">
      <w:pPr>
        <w:pStyle w:val="ListParagraph"/>
        <w:numPr>
          <w:ilvl w:val="3"/>
          <w:numId w:val="17"/>
        </w:numPr>
        <w:spacing w:after="120"/>
        <w:rPr>
          <w:sz w:val="22"/>
          <w:szCs w:val="22"/>
        </w:rPr>
      </w:pPr>
      <w:r w:rsidRPr="00C86691">
        <w:rPr>
          <w:sz w:val="22"/>
          <w:szCs w:val="22"/>
        </w:rPr>
        <w:t>In addition, Verizon shall maintain a list of contact information (</w:t>
      </w:r>
      <w:r w:rsidRPr="00C86691">
        <w:rPr>
          <w:i/>
          <w:sz w:val="22"/>
        </w:rPr>
        <w:t>e.g.</w:t>
      </w:r>
      <w:r w:rsidRPr="00C86691">
        <w:rPr>
          <w:sz w:val="22"/>
          <w:szCs w:val="22"/>
        </w:rPr>
        <w:t xml:space="preserve">, phone numbers, e-mail addresses) for each </w:t>
      </w:r>
      <w:r w:rsidR="00671A15" w:rsidRPr="00C86691">
        <w:rPr>
          <w:sz w:val="22"/>
          <w:szCs w:val="22"/>
        </w:rPr>
        <w:t xml:space="preserve">rural </w:t>
      </w:r>
      <w:r w:rsidRPr="00C86691">
        <w:rPr>
          <w:sz w:val="22"/>
          <w:szCs w:val="22"/>
        </w:rPr>
        <w:t xml:space="preserve">LEC that it contacts during its investigations and will share </w:t>
      </w:r>
      <w:r w:rsidR="008D2180" w:rsidRPr="00C86691">
        <w:rPr>
          <w:sz w:val="22"/>
          <w:szCs w:val="22"/>
        </w:rPr>
        <w:t>with the FCC the</w:t>
      </w:r>
      <w:r w:rsidRPr="00C86691">
        <w:rPr>
          <w:sz w:val="22"/>
          <w:szCs w:val="22"/>
        </w:rPr>
        <w:t xml:space="preserve"> </w:t>
      </w:r>
      <w:r w:rsidR="00CB56EC" w:rsidRPr="00C86691">
        <w:rPr>
          <w:sz w:val="22"/>
          <w:szCs w:val="22"/>
        </w:rPr>
        <w:t>contact information</w:t>
      </w:r>
      <w:r w:rsidR="000C739A" w:rsidRPr="00C86691">
        <w:rPr>
          <w:sz w:val="22"/>
          <w:szCs w:val="22"/>
        </w:rPr>
        <w:t xml:space="preserve"> </w:t>
      </w:r>
      <w:r w:rsidR="00CB56EC" w:rsidRPr="00C86691">
        <w:rPr>
          <w:sz w:val="22"/>
          <w:szCs w:val="22"/>
        </w:rPr>
        <w:t xml:space="preserve">for </w:t>
      </w:r>
      <w:r w:rsidR="00671A15" w:rsidRPr="00C86691">
        <w:rPr>
          <w:sz w:val="22"/>
          <w:szCs w:val="22"/>
        </w:rPr>
        <w:t xml:space="preserve">rural </w:t>
      </w:r>
      <w:r w:rsidR="00CB56EC" w:rsidRPr="00C86691">
        <w:rPr>
          <w:sz w:val="22"/>
          <w:szCs w:val="22"/>
        </w:rPr>
        <w:t>LECs and other providers that it obtains through its investigations</w:t>
      </w:r>
      <w:r w:rsidR="008D2180" w:rsidRPr="00C86691">
        <w:rPr>
          <w:sz w:val="22"/>
          <w:szCs w:val="22"/>
        </w:rPr>
        <w:t>.</w:t>
      </w:r>
    </w:p>
    <w:p w:rsidR="00C762B6" w:rsidRPr="00C86691" w:rsidRDefault="00DE5393" w:rsidP="00B64774">
      <w:pPr>
        <w:pStyle w:val="ListParagraph"/>
        <w:numPr>
          <w:ilvl w:val="0"/>
          <w:numId w:val="6"/>
        </w:numPr>
        <w:spacing w:after="120"/>
        <w:rPr>
          <w:sz w:val="22"/>
          <w:szCs w:val="22"/>
        </w:rPr>
      </w:pPr>
      <w:r w:rsidRPr="00C86691">
        <w:rPr>
          <w:b/>
          <w:sz w:val="22"/>
          <w:szCs w:val="22"/>
          <w:u w:val="single"/>
        </w:rPr>
        <w:t xml:space="preserve">[4] </w:t>
      </w:r>
      <w:r w:rsidR="00C47F1D" w:rsidRPr="00C86691">
        <w:rPr>
          <w:b/>
          <w:sz w:val="22"/>
          <w:szCs w:val="22"/>
          <w:u w:val="single"/>
        </w:rPr>
        <w:t>Public Report</w:t>
      </w:r>
      <w:r w:rsidR="008B6694">
        <w:rPr>
          <w:b/>
          <w:sz w:val="22"/>
          <w:szCs w:val="22"/>
        </w:rPr>
        <w:t>.</w:t>
      </w:r>
      <w:r w:rsidR="006C7DEB" w:rsidRPr="00C86691">
        <w:rPr>
          <w:sz w:val="22"/>
          <w:szCs w:val="22"/>
        </w:rPr>
        <w:t xml:space="preserve">  </w:t>
      </w:r>
      <w:r w:rsidR="00C47F1D" w:rsidRPr="00C86691">
        <w:rPr>
          <w:sz w:val="22"/>
          <w:szCs w:val="22"/>
        </w:rPr>
        <w:t>Verizon shall prepare a Public Report summarizing its investigations, lessons learned, and other information regarding avoidance, investigation, and resolution of rural call completion problems</w:t>
      </w:r>
      <w:r w:rsidR="00962225" w:rsidRPr="00C86691">
        <w:rPr>
          <w:sz w:val="22"/>
          <w:szCs w:val="22"/>
        </w:rPr>
        <w:t>,</w:t>
      </w:r>
      <w:r w:rsidR="00AB127B" w:rsidRPr="00C86691">
        <w:rPr>
          <w:sz w:val="22"/>
          <w:szCs w:val="22"/>
        </w:rPr>
        <w:t xml:space="preserve"> </w:t>
      </w:r>
      <w:r w:rsidR="00962225" w:rsidRPr="00C86691">
        <w:rPr>
          <w:sz w:val="22"/>
          <w:szCs w:val="22"/>
        </w:rPr>
        <w:t xml:space="preserve">including information presented in </w:t>
      </w:r>
      <w:r w:rsidR="001607BC" w:rsidRPr="00C86691">
        <w:rPr>
          <w:sz w:val="22"/>
          <w:szCs w:val="22"/>
        </w:rPr>
        <w:t>W</w:t>
      </w:r>
      <w:r w:rsidR="00962225" w:rsidRPr="00C86691">
        <w:rPr>
          <w:sz w:val="22"/>
          <w:szCs w:val="22"/>
        </w:rPr>
        <w:t>orkshop</w:t>
      </w:r>
      <w:r w:rsidR="001607BC" w:rsidRPr="00C86691">
        <w:rPr>
          <w:sz w:val="22"/>
          <w:szCs w:val="22"/>
        </w:rPr>
        <w:t xml:space="preserve"> 2</w:t>
      </w:r>
      <w:r w:rsidR="00C47F1D" w:rsidRPr="00C86691">
        <w:rPr>
          <w:sz w:val="22"/>
          <w:szCs w:val="22"/>
        </w:rPr>
        <w:t xml:space="preserve">.  Verizon will share a draft of the report with the Bureau and work with the Bureau to prepare a final public version to be </w:t>
      </w:r>
      <w:r w:rsidR="00962225" w:rsidRPr="00C86691">
        <w:rPr>
          <w:sz w:val="22"/>
          <w:szCs w:val="22"/>
        </w:rPr>
        <w:t>filed in WCB Docket No. 13-39</w:t>
      </w:r>
      <w:r w:rsidR="009F0B1F" w:rsidRPr="00C86691">
        <w:rPr>
          <w:sz w:val="22"/>
          <w:szCs w:val="22"/>
        </w:rPr>
        <w:t xml:space="preserve"> within 90 days of the Termination Date</w:t>
      </w:r>
      <w:r w:rsidR="00AB127B" w:rsidRPr="00C86691">
        <w:rPr>
          <w:sz w:val="22"/>
          <w:szCs w:val="22"/>
        </w:rPr>
        <w:t>.</w:t>
      </w:r>
    </w:p>
    <w:p w:rsidR="00E02214" w:rsidRPr="00C86691" w:rsidRDefault="00E02214" w:rsidP="00DE5393">
      <w:pPr>
        <w:pStyle w:val="ParaNum"/>
        <w:rPr>
          <w:szCs w:val="22"/>
        </w:rPr>
      </w:pPr>
      <w:bookmarkStart w:id="7" w:name="_Ref321323028"/>
      <w:r w:rsidRPr="00C86691">
        <w:rPr>
          <w:b/>
          <w:szCs w:val="22"/>
          <w:u w:val="single"/>
        </w:rPr>
        <w:t>Reporting Noncompliance</w:t>
      </w:r>
      <w:r w:rsidRPr="00C86691">
        <w:rPr>
          <w:szCs w:val="22"/>
        </w:rPr>
        <w:t xml:space="preserve">.  </w:t>
      </w:r>
      <w:r w:rsidR="00D95583" w:rsidRPr="00C86691">
        <w:rPr>
          <w:szCs w:val="22"/>
        </w:rPr>
        <w:t>Verizon</w:t>
      </w:r>
      <w:r w:rsidR="00EA12C6" w:rsidRPr="00C86691">
        <w:rPr>
          <w:szCs w:val="22"/>
        </w:rPr>
        <w:t xml:space="preserve"> </w:t>
      </w:r>
      <w:r w:rsidRPr="00C86691">
        <w:rPr>
          <w:szCs w:val="22"/>
        </w:rPr>
        <w:t xml:space="preserve">shall report any </w:t>
      </w:r>
      <w:r w:rsidR="001311AF" w:rsidRPr="00C86691">
        <w:rPr>
          <w:szCs w:val="22"/>
        </w:rPr>
        <w:t xml:space="preserve">material </w:t>
      </w:r>
      <w:r w:rsidRPr="00C86691">
        <w:rPr>
          <w:szCs w:val="22"/>
        </w:rPr>
        <w:t xml:space="preserve">noncompliance with the </w:t>
      </w:r>
      <w:r w:rsidR="009F1A33" w:rsidRPr="00C86691">
        <w:rPr>
          <w:szCs w:val="22"/>
        </w:rPr>
        <w:t>Rural Call Completion</w:t>
      </w:r>
      <w:r w:rsidRPr="00C86691">
        <w:rPr>
          <w:szCs w:val="22"/>
        </w:rPr>
        <w:t xml:space="preserve"> Rules and with the terms and conditions of this Consent Decree within fifteen (15) </w:t>
      </w:r>
      <w:r w:rsidR="001311AF" w:rsidRPr="00C86691">
        <w:rPr>
          <w:szCs w:val="22"/>
        </w:rPr>
        <w:t xml:space="preserve">business </w:t>
      </w:r>
      <w:r w:rsidRPr="00C86691">
        <w:rPr>
          <w:szCs w:val="22"/>
        </w:rPr>
        <w:t>days after discovery of such noncompliance.  Such reports shall include a detailed explanation of</w:t>
      </w:r>
      <w:r w:rsidR="008A7975" w:rsidRPr="00C86691">
        <w:rPr>
          <w:szCs w:val="22"/>
        </w:rPr>
        <w:t>:</w:t>
      </w:r>
      <w:r w:rsidRPr="00C86691">
        <w:rPr>
          <w:szCs w:val="22"/>
        </w:rPr>
        <w:t xml:space="preserve"> </w:t>
      </w:r>
      <w:r w:rsidR="008A7975" w:rsidRPr="00C86691">
        <w:rPr>
          <w:szCs w:val="22"/>
        </w:rPr>
        <w:t xml:space="preserve"> </w:t>
      </w:r>
      <w:r w:rsidRPr="00C86691">
        <w:rPr>
          <w:szCs w:val="22"/>
        </w:rPr>
        <w:t xml:space="preserve">(i) each instance of </w:t>
      </w:r>
      <w:r w:rsidR="008647A7" w:rsidRPr="00C86691">
        <w:rPr>
          <w:szCs w:val="22"/>
        </w:rPr>
        <w:t xml:space="preserve">material </w:t>
      </w:r>
      <w:r w:rsidRPr="00C86691">
        <w:rPr>
          <w:szCs w:val="22"/>
        </w:rPr>
        <w:t xml:space="preserve">noncompliance; (ii) the steps that </w:t>
      </w:r>
      <w:r w:rsidR="00D95583" w:rsidRPr="00C86691">
        <w:rPr>
          <w:szCs w:val="22"/>
        </w:rPr>
        <w:t>Verizon</w:t>
      </w:r>
      <w:r w:rsidR="003533DC" w:rsidRPr="00C86691">
        <w:rPr>
          <w:szCs w:val="22"/>
        </w:rPr>
        <w:t xml:space="preserve"> </w:t>
      </w:r>
      <w:r w:rsidRPr="00C86691">
        <w:rPr>
          <w:szCs w:val="22"/>
        </w:rPr>
        <w:t xml:space="preserve">has taken or will take to remedy such noncompliance; (iii) the schedule on which such remedial actions will be taken; and (iv) the steps that </w:t>
      </w:r>
      <w:r w:rsidR="00D95583" w:rsidRPr="00C86691">
        <w:rPr>
          <w:szCs w:val="22"/>
        </w:rPr>
        <w:t>Verizon</w:t>
      </w:r>
      <w:r w:rsidR="00EA12C6" w:rsidRPr="00C86691">
        <w:rPr>
          <w:szCs w:val="22"/>
        </w:rPr>
        <w:t xml:space="preserve"> </w:t>
      </w:r>
      <w:r w:rsidRPr="00C86691">
        <w:rPr>
          <w:szCs w:val="22"/>
        </w:rPr>
        <w:t>has taken or will take to prevent the recurrence of any such noncompliance.  All reports of noncompliance shall be submitted to</w:t>
      </w:r>
      <w:r w:rsidR="00BE103C" w:rsidRPr="00C86691">
        <w:rPr>
          <w:szCs w:val="22"/>
        </w:rPr>
        <w:t xml:space="preserve"> </w:t>
      </w:r>
      <w:r w:rsidR="006510C3" w:rsidRPr="004B71AB">
        <w:t>the Chief, Investigations and Hearings Division, Enforcement Bureau, Federal Communications Commission, 445 12</w:t>
      </w:r>
      <w:r w:rsidR="006510C3" w:rsidRPr="000211F7">
        <w:rPr>
          <w:vertAlign w:val="superscript"/>
        </w:rPr>
        <w:t>th</w:t>
      </w:r>
      <w:r w:rsidR="006510C3">
        <w:t xml:space="preserve"> Street, SW, Room 4-C</w:t>
      </w:r>
      <w:r w:rsidR="006510C3" w:rsidRPr="004B71AB">
        <w:t xml:space="preserve">224, Washington, DC 20554, with a copy submitted electronically to </w:t>
      </w:r>
      <w:r w:rsidR="006510C3">
        <w:t xml:space="preserve">Jeffrey Gee </w:t>
      </w:r>
      <w:r w:rsidR="006510C3" w:rsidRPr="00C3599E">
        <w:t xml:space="preserve">at </w:t>
      </w:r>
      <w:hyperlink r:id="rId15" w:history="1">
        <w:r w:rsidR="006510C3" w:rsidRPr="00D162E2">
          <w:rPr>
            <w:rStyle w:val="Hyperlink"/>
            <w:color w:val="auto"/>
            <w:u w:val="none"/>
          </w:rPr>
          <w:t>Jeffrey.Gee@fcc.gov</w:t>
        </w:r>
      </w:hyperlink>
      <w:r w:rsidR="006510C3" w:rsidRPr="00D162E2">
        <w:t xml:space="preserve"> and </w:t>
      </w:r>
      <w:r w:rsidR="006510C3">
        <w:t>Margaret Dailey at Margaret.Dailey@fcc.gov</w:t>
      </w:r>
      <w:r w:rsidR="006510C3" w:rsidRPr="00D162E2">
        <w:t>.</w:t>
      </w:r>
      <w:r w:rsidR="006510C3">
        <w:t xml:space="preserve"> </w:t>
      </w:r>
      <w:bookmarkEnd w:id="7"/>
    </w:p>
    <w:p w:rsidR="00E02214" w:rsidRPr="00C86691" w:rsidRDefault="00E02214" w:rsidP="00DE5393">
      <w:pPr>
        <w:pStyle w:val="ParaNum"/>
        <w:rPr>
          <w:caps/>
          <w:szCs w:val="22"/>
        </w:rPr>
      </w:pPr>
      <w:bookmarkStart w:id="8" w:name="_Ref379202892"/>
      <w:r w:rsidRPr="00C86691">
        <w:rPr>
          <w:b/>
          <w:szCs w:val="22"/>
          <w:u w:val="single"/>
        </w:rPr>
        <w:t>Compliance Reports</w:t>
      </w:r>
      <w:r w:rsidRPr="00C86691">
        <w:rPr>
          <w:szCs w:val="22"/>
        </w:rPr>
        <w:t xml:space="preserve">.  </w:t>
      </w:r>
      <w:r w:rsidR="00D95583" w:rsidRPr="00C86691">
        <w:rPr>
          <w:szCs w:val="22"/>
        </w:rPr>
        <w:t>Verizon</w:t>
      </w:r>
      <w:r w:rsidR="003533DC" w:rsidRPr="00C86691">
        <w:rPr>
          <w:szCs w:val="22"/>
        </w:rPr>
        <w:t xml:space="preserve"> </w:t>
      </w:r>
      <w:r w:rsidRPr="00C86691">
        <w:rPr>
          <w:szCs w:val="22"/>
        </w:rPr>
        <w:t xml:space="preserve">shall file </w:t>
      </w:r>
      <w:r w:rsidR="00014484" w:rsidRPr="00C86691">
        <w:rPr>
          <w:szCs w:val="22"/>
        </w:rPr>
        <w:t>c</w:t>
      </w:r>
      <w:r w:rsidRPr="00C86691">
        <w:rPr>
          <w:szCs w:val="22"/>
        </w:rPr>
        <w:t xml:space="preserve">ompliance </w:t>
      </w:r>
      <w:r w:rsidR="00014484" w:rsidRPr="00C86691">
        <w:rPr>
          <w:szCs w:val="22"/>
        </w:rPr>
        <w:t>r</w:t>
      </w:r>
      <w:r w:rsidRPr="00C86691">
        <w:rPr>
          <w:szCs w:val="22"/>
        </w:rPr>
        <w:t xml:space="preserve">eports with the Commission </w:t>
      </w:r>
      <w:r w:rsidR="001311AF" w:rsidRPr="00C86691">
        <w:rPr>
          <w:szCs w:val="22"/>
        </w:rPr>
        <w:t>120</w:t>
      </w:r>
      <w:r w:rsidRPr="00C86691">
        <w:rPr>
          <w:szCs w:val="22"/>
        </w:rPr>
        <w:t xml:space="preserve"> calendar days after the Effective Date, twelve (12) months after the Effective Date, twenty-four (24) months after the Effective Date, and thirty-six (36) months after the Effective Date.</w:t>
      </w:r>
      <w:bookmarkEnd w:id="8"/>
      <w:r w:rsidR="003533DC" w:rsidRPr="00C86691">
        <w:rPr>
          <w:szCs w:val="22"/>
        </w:rPr>
        <w:t xml:space="preserve">  </w:t>
      </w:r>
    </w:p>
    <w:p w:rsidR="00E02214" w:rsidRPr="00C86691" w:rsidRDefault="00E02214" w:rsidP="00F60217">
      <w:pPr>
        <w:widowControl/>
        <w:numPr>
          <w:ilvl w:val="0"/>
          <w:numId w:val="7"/>
        </w:numPr>
        <w:tabs>
          <w:tab w:val="clear" w:pos="1782"/>
        </w:tabs>
        <w:spacing w:after="120"/>
        <w:ind w:left="1886"/>
        <w:rPr>
          <w:szCs w:val="22"/>
        </w:rPr>
      </w:pPr>
      <w:r w:rsidRPr="00C86691">
        <w:rPr>
          <w:szCs w:val="22"/>
        </w:rPr>
        <w:t xml:space="preserve">Each Compliance Report shall include a detailed description of </w:t>
      </w:r>
      <w:r w:rsidR="00D95583" w:rsidRPr="00C86691">
        <w:rPr>
          <w:szCs w:val="22"/>
        </w:rPr>
        <w:t>Verizon</w:t>
      </w:r>
      <w:r w:rsidR="00EA12C6" w:rsidRPr="00C86691">
        <w:rPr>
          <w:szCs w:val="22"/>
        </w:rPr>
        <w:t>’</w:t>
      </w:r>
      <w:r w:rsidRPr="00C86691">
        <w:rPr>
          <w:szCs w:val="22"/>
        </w:rPr>
        <w:t xml:space="preserve">s efforts during the relevant period to comply with the terms and conditions of this Consent Decree and the </w:t>
      </w:r>
      <w:r w:rsidR="009F1A33" w:rsidRPr="00C86691">
        <w:rPr>
          <w:szCs w:val="22"/>
        </w:rPr>
        <w:t>Rural Call Completion</w:t>
      </w:r>
      <w:r w:rsidRPr="00C86691">
        <w:rPr>
          <w:szCs w:val="22"/>
        </w:rPr>
        <w:t xml:space="preserve"> Rules.  In addition, each Compliance Report shall include a certification by the Compliance Officer, as an agent of and on behalf of </w:t>
      </w:r>
      <w:r w:rsidR="00D95583" w:rsidRPr="00C86691">
        <w:rPr>
          <w:szCs w:val="22"/>
        </w:rPr>
        <w:t>Verizon</w:t>
      </w:r>
      <w:r w:rsidR="008D2180" w:rsidRPr="00C86691">
        <w:rPr>
          <w:szCs w:val="22"/>
        </w:rPr>
        <w:t>,</w:t>
      </w:r>
      <w:r w:rsidRPr="00C86691">
        <w:rPr>
          <w:szCs w:val="22"/>
        </w:rPr>
        <w:t xml:space="preserve"> stating that the Compliance Officer has personal knowledge that </w:t>
      </w:r>
      <w:r w:rsidR="00D95583" w:rsidRPr="00C86691">
        <w:rPr>
          <w:szCs w:val="22"/>
        </w:rPr>
        <w:t>Verizon</w:t>
      </w:r>
      <w:r w:rsidR="003533DC" w:rsidRPr="00C86691">
        <w:rPr>
          <w:szCs w:val="22"/>
        </w:rPr>
        <w:t>:</w:t>
      </w:r>
      <w:r w:rsidR="00EA12C6" w:rsidRPr="00C86691">
        <w:rPr>
          <w:szCs w:val="22"/>
        </w:rPr>
        <w:t xml:space="preserve"> </w:t>
      </w:r>
      <w:r w:rsidR="003533DC" w:rsidRPr="00C86691">
        <w:rPr>
          <w:szCs w:val="22"/>
        </w:rPr>
        <w:t xml:space="preserve"> </w:t>
      </w:r>
      <w:r w:rsidRPr="00C86691">
        <w:rPr>
          <w:szCs w:val="22"/>
        </w:rPr>
        <w:t xml:space="preserve">(i) has established and implemented the Compliance Plan; (ii) has utilized the Operating Procedures since the implementation of the Compliance Plan; and (iii) is not aware of any instances of </w:t>
      </w:r>
      <w:r w:rsidR="00147622" w:rsidRPr="00C86691">
        <w:rPr>
          <w:szCs w:val="22"/>
        </w:rPr>
        <w:t xml:space="preserve">material </w:t>
      </w:r>
      <w:r w:rsidRPr="00C86691">
        <w:rPr>
          <w:szCs w:val="22"/>
        </w:rPr>
        <w:t xml:space="preserve">noncompliance with the terms and conditions of this Consent Decree, including the reporting obligations set forth in paragraph </w:t>
      </w:r>
      <w:r w:rsidR="00F37D26">
        <w:rPr>
          <w:szCs w:val="22"/>
        </w:rPr>
        <w:t>19</w:t>
      </w:r>
      <w:r w:rsidRPr="00C86691">
        <w:rPr>
          <w:b/>
          <w:szCs w:val="22"/>
        </w:rPr>
        <w:t xml:space="preserve"> </w:t>
      </w:r>
      <w:r w:rsidRPr="00C86691">
        <w:rPr>
          <w:szCs w:val="22"/>
        </w:rPr>
        <w:t>of this Consent Decree.</w:t>
      </w:r>
    </w:p>
    <w:p w:rsidR="00E02214" w:rsidRPr="00C86691" w:rsidRDefault="00E02214" w:rsidP="00F60217">
      <w:pPr>
        <w:widowControl/>
        <w:numPr>
          <w:ilvl w:val="0"/>
          <w:numId w:val="7"/>
        </w:numPr>
        <w:tabs>
          <w:tab w:val="clear" w:pos="1782"/>
        </w:tabs>
        <w:spacing w:after="120"/>
        <w:ind w:left="1886"/>
        <w:rPr>
          <w:szCs w:val="22"/>
        </w:rPr>
      </w:pPr>
      <w:r w:rsidRPr="00C86691">
        <w:rPr>
          <w:szCs w:val="22"/>
        </w:rPr>
        <w:t>The Compliance Officer’s certification shall be accompanied by a statement explaining the basis for such certification and shall comply with Section 1.16 of the Rules and be subscribed to as true under penalty of perjury in substantially the form set forth therein.</w:t>
      </w:r>
      <w:r w:rsidRPr="00C86691">
        <w:rPr>
          <w:rStyle w:val="FootnoteReference"/>
          <w:sz w:val="22"/>
          <w:szCs w:val="22"/>
        </w:rPr>
        <w:footnoteReference w:id="36"/>
      </w:r>
    </w:p>
    <w:p w:rsidR="006510C3" w:rsidRDefault="00E02214" w:rsidP="006510C3">
      <w:pPr>
        <w:widowControl/>
        <w:numPr>
          <w:ilvl w:val="0"/>
          <w:numId w:val="7"/>
        </w:numPr>
        <w:tabs>
          <w:tab w:val="clear" w:pos="1782"/>
        </w:tabs>
        <w:spacing w:after="120"/>
        <w:ind w:left="1886"/>
        <w:rPr>
          <w:szCs w:val="22"/>
        </w:rPr>
      </w:pPr>
      <w:r w:rsidRPr="006510C3">
        <w:rPr>
          <w:szCs w:val="22"/>
        </w:rPr>
        <w:t xml:space="preserve">If the Compliance Officer cannot provide the requisite certification, the Compliance Officer, as an agent of and on behalf of </w:t>
      </w:r>
      <w:r w:rsidR="00D95583" w:rsidRPr="006510C3">
        <w:rPr>
          <w:szCs w:val="22"/>
        </w:rPr>
        <w:t>Verizon</w:t>
      </w:r>
      <w:r w:rsidR="00593AD8" w:rsidRPr="006510C3">
        <w:rPr>
          <w:szCs w:val="22"/>
        </w:rPr>
        <w:t>,</w:t>
      </w:r>
      <w:r w:rsidRPr="006510C3">
        <w:rPr>
          <w:szCs w:val="22"/>
        </w:rPr>
        <w:t xml:space="preserve"> shall provide the Commission with a detailed explanation of the reason(s) why and describe fully</w:t>
      </w:r>
      <w:r w:rsidR="003533DC" w:rsidRPr="006510C3">
        <w:rPr>
          <w:szCs w:val="22"/>
        </w:rPr>
        <w:t>:</w:t>
      </w:r>
      <w:r w:rsidRPr="006510C3">
        <w:rPr>
          <w:szCs w:val="22"/>
        </w:rPr>
        <w:t xml:space="preserve"> </w:t>
      </w:r>
      <w:r w:rsidR="003533DC" w:rsidRPr="006510C3">
        <w:rPr>
          <w:szCs w:val="22"/>
        </w:rPr>
        <w:t xml:space="preserve"> </w:t>
      </w:r>
      <w:r w:rsidRPr="006510C3">
        <w:rPr>
          <w:szCs w:val="22"/>
        </w:rPr>
        <w:t xml:space="preserve">(i) each instance of </w:t>
      </w:r>
      <w:r w:rsidR="00457700" w:rsidRPr="006510C3">
        <w:rPr>
          <w:szCs w:val="22"/>
        </w:rPr>
        <w:t xml:space="preserve">material </w:t>
      </w:r>
      <w:r w:rsidRPr="006510C3">
        <w:rPr>
          <w:szCs w:val="22"/>
        </w:rPr>
        <w:t xml:space="preserve">noncompliance; (ii) the steps that </w:t>
      </w:r>
      <w:r w:rsidR="00D95583" w:rsidRPr="006510C3">
        <w:rPr>
          <w:szCs w:val="22"/>
        </w:rPr>
        <w:t>Verizon</w:t>
      </w:r>
      <w:r w:rsidRPr="006510C3">
        <w:rPr>
          <w:szCs w:val="22"/>
        </w:rPr>
        <w:t xml:space="preserve"> has taken or will take to remedy such noncompliance, including the schedule on which proposed remedial actions will be taken; and (iii) the steps that </w:t>
      </w:r>
      <w:r w:rsidR="00D95583" w:rsidRPr="006510C3">
        <w:rPr>
          <w:szCs w:val="22"/>
        </w:rPr>
        <w:t>Verizon</w:t>
      </w:r>
      <w:r w:rsidRPr="006510C3">
        <w:rPr>
          <w:szCs w:val="22"/>
        </w:rPr>
        <w:t xml:space="preserve"> has taken or will take to prevent the recurrence of any such noncompliance, including the schedule on which such preventive action will be taken.</w:t>
      </w:r>
    </w:p>
    <w:p w:rsidR="006510C3" w:rsidRPr="006510C3" w:rsidRDefault="00E02214" w:rsidP="006510C3">
      <w:pPr>
        <w:widowControl/>
        <w:numPr>
          <w:ilvl w:val="0"/>
          <w:numId w:val="7"/>
        </w:numPr>
        <w:tabs>
          <w:tab w:val="clear" w:pos="1782"/>
        </w:tabs>
        <w:spacing w:after="120"/>
        <w:ind w:left="1886"/>
        <w:rPr>
          <w:szCs w:val="22"/>
        </w:rPr>
      </w:pPr>
      <w:r w:rsidRPr="006510C3">
        <w:rPr>
          <w:szCs w:val="22"/>
        </w:rPr>
        <w:t xml:space="preserve">All Compliance Reports shall be submitted </w:t>
      </w:r>
      <w:r w:rsidR="006510C3" w:rsidRPr="006510C3">
        <w:rPr>
          <w:szCs w:val="22"/>
        </w:rPr>
        <w:t xml:space="preserve"> to </w:t>
      </w:r>
      <w:r w:rsidR="006510C3" w:rsidRPr="004B71AB">
        <w:t>the Chief, Investigations and Hearings Division, Enforcement Bureau, Federal Communications Commission, 445 12</w:t>
      </w:r>
      <w:r w:rsidR="006510C3" w:rsidRPr="006510C3">
        <w:rPr>
          <w:vertAlign w:val="superscript"/>
        </w:rPr>
        <w:t>th</w:t>
      </w:r>
      <w:r w:rsidR="006510C3">
        <w:t xml:space="preserve"> Street, SW, Room 4-C</w:t>
      </w:r>
      <w:r w:rsidR="006510C3" w:rsidRPr="004B71AB">
        <w:t xml:space="preserve">224, Washington, DC 20554, with a copy submitted electronically to </w:t>
      </w:r>
      <w:r w:rsidR="006510C3">
        <w:t xml:space="preserve">Jeffrey Gee </w:t>
      </w:r>
      <w:r w:rsidR="006510C3" w:rsidRPr="00C3599E">
        <w:t xml:space="preserve">at </w:t>
      </w:r>
      <w:hyperlink r:id="rId16" w:history="1">
        <w:r w:rsidR="006510C3" w:rsidRPr="006510C3">
          <w:rPr>
            <w:rStyle w:val="Hyperlink"/>
            <w:color w:val="auto"/>
            <w:u w:val="none"/>
          </w:rPr>
          <w:t>Jeffrey.Gee@fcc.gov</w:t>
        </w:r>
      </w:hyperlink>
      <w:r w:rsidR="006510C3" w:rsidRPr="00D162E2">
        <w:t xml:space="preserve"> and </w:t>
      </w:r>
      <w:r w:rsidR="006510C3">
        <w:t>Margaret Dailey at Margaret.Dailey@fcc.gov</w:t>
      </w:r>
      <w:r w:rsidR="006510C3" w:rsidRPr="00D162E2">
        <w:t>.</w:t>
      </w:r>
      <w:r w:rsidR="006510C3">
        <w:t xml:space="preserve"> </w:t>
      </w:r>
    </w:p>
    <w:p w:rsidR="008A2AD9" w:rsidRPr="00C86691" w:rsidRDefault="00E02214" w:rsidP="00DE5393">
      <w:pPr>
        <w:pStyle w:val="ParaNum"/>
        <w:rPr>
          <w:szCs w:val="22"/>
        </w:rPr>
      </w:pPr>
      <w:r w:rsidRPr="00C86691">
        <w:rPr>
          <w:b/>
          <w:szCs w:val="22"/>
          <w:u w:val="single"/>
        </w:rPr>
        <w:t>Termination Date</w:t>
      </w:r>
      <w:r w:rsidRPr="00C86691">
        <w:rPr>
          <w:szCs w:val="22"/>
        </w:rPr>
        <w:t xml:space="preserve">. </w:t>
      </w:r>
      <w:r w:rsidRPr="00C86691">
        <w:rPr>
          <w:b/>
          <w:szCs w:val="22"/>
        </w:rPr>
        <w:t xml:space="preserve"> </w:t>
      </w:r>
      <w:r w:rsidRPr="00C86691">
        <w:rPr>
          <w:szCs w:val="22"/>
        </w:rPr>
        <w:t xml:space="preserve">Unless stated otherwise, the </w:t>
      </w:r>
      <w:r w:rsidR="00C3652C" w:rsidRPr="00C86691">
        <w:rPr>
          <w:szCs w:val="22"/>
        </w:rPr>
        <w:t>requirement</w:t>
      </w:r>
      <w:r w:rsidRPr="00C86691">
        <w:rPr>
          <w:szCs w:val="22"/>
        </w:rPr>
        <w:t xml:space="preserve">s set forth in paragraphs </w:t>
      </w:r>
      <w:r w:rsidR="00F37D26">
        <w:rPr>
          <w:szCs w:val="22"/>
        </w:rPr>
        <w:t>17</w:t>
      </w:r>
      <w:r w:rsidRPr="00C86691">
        <w:rPr>
          <w:szCs w:val="22"/>
        </w:rPr>
        <w:t xml:space="preserve"> through </w:t>
      </w:r>
      <w:r w:rsidR="00F37D26">
        <w:rPr>
          <w:szCs w:val="22"/>
        </w:rPr>
        <w:t>20</w:t>
      </w:r>
      <w:r w:rsidRPr="00C86691">
        <w:rPr>
          <w:szCs w:val="22"/>
        </w:rPr>
        <w:t xml:space="preserve"> of this Consent Decree shall expire thirty-six (36) months after the Effective Date.</w:t>
      </w:r>
      <w:r w:rsidR="0070112A" w:rsidRPr="00C86691">
        <w:rPr>
          <w:szCs w:val="22"/>
        </w:rPr>
        <w:t xml:space="preserve">  </w:t>
      </w:r>
    </w:p>
    <w:p w:rsidR="00E02214" w:rsidRPr="00C86691" w:rsidRDefault="00E02214" w:rsidP="00AB4EEF">
      <w:pPr>
        <w:pStyle w:val="ParaNum"/>
        <w:rPr>
          <w:i/>
        </w:rPr>
      </w:pPr>
      <w:r w:rsidRPr="00C86691">
        <w:rPr>
          <w:b/>
          <w:u w:val="single"/>
        </w:rPr>
        <w:t>Section 208 Complaints; Subsequent Investigations</w:t>
      </w:r>
      <w:r w:rsidRPr="00C86691">
        <w:t>.  Nothing in this Consent Decree shall prevent the Commission or its delegated authority from adjudicating complaints filed pursuant to Section 208 of the Act</w:t>
      </w:r>
      <w:r w:rsidRPr="00C86691">
        <w:rPr>
          <w:rStyle w:val="FootnoteReference"/>
          <w:sz w:val="22"/>
          <w:szCs w:val="22"/>
        </w:rPr>
        <w:footnoteReference w:id="37"/>
      </w:r>
      <w:r w:rsidRPr="00C86691">
        <w:t xml:space="preserve"> against </w:t>
      </w:r>
      <w:r w:rsidR="00D95583" w:rsidRPr="00C86691">
        <w:t>Verizon</w:t>
      </w:r>
      <w:r w:rsidR="00EA12C6" w:rsidRPr="00C86691">
        <w:t xml:space="preserve"> </w:t>
      </w:r>
      <w:r w:rsidRPr="00C86691">
        <w:t xml:space="preserve">or its affiliates for alleged violations of the Act, or for any other type of alleged misconduct, regardless of when such misconduct took place.  The Commission’s adjudication of any such complaint will be based solely on the record developed in that proceeding.  Except as expressly provided in this Consent Decree, this Consent Decree shall not prevent the Commission from investigating new evidence of noncompliance by </w:t>
      </w:r>
      <w:r w:rsidR="00D95583" w:rsidRPr="00C86691">
        <w:t>Verizon</w:t>
      </w:r>
      <w:r w:rsidR="00EA12C6" w:rsidRPr="00C86691">
        <w:t xml:space="preserve"> </w:t>
      </w:r>
      <w:r w:rsidRPr="00C86691">
        <w:t>with the Communications Laws.</w:t>
      </w:r>
      <w:r w:rsidR="007B0D37" w:rsidRPr="00C86691">
        <w:rPr>
          <w:b/>
        </w:rPr>
        <w:t xml:space="preserve"> </w:t>
      </w:r>
    </w:p>
    <w:p w:rsidR="002B1C1F" w:rsidRPr="00C86691" w:rsidRDefault="002B1C1F" w:rsidP="00DE5393">
      <w:pPr>
        <w:pStyle w:val="ParaNum"/>
        <w:rPr>
          <w:i/>
          <w:szCs w:val="22"/>
        </w:rPr>
      </w:pPr>
      <w:r w:rsidRPr="00C86691">
        <w:rPr>
          <w:b/>
          <w:szCs w:val="22"/>
          <w:u w:val="single"/>
        </w:rPr>
        <w:t xml:space="preserve">Compliance with the </w:t>
      </w:r>
      <w:r w:rsidRPr="00C86691">
        <w:rPr>
          <w:b/>
          <w:i/>
          <w:szCs w:val="22"/>
          <w:u w:val="single"/>
        </w:rPr>
        <w:t>Rural Call Completion Order</w:t>
      </w:r>
      <w:r w:rsidRPr="00C86691">
        <w:rPr>
          <w:b/>
          <w:szCs w:val="22"/>
          <w:u w:val="single"/>
        </w:rPr>
        <w:t xml:space="preserve"> and FCC Rules</w:t>
      </w:r>
      <w:r w:rsidRPr="00C86691">
        <w:rPr>
          <w:szCs w:val="22"/>
        </w:rPr>
        <w:t xml:space="preserve">.  Nothing in this Consent Decree shall alter Verizon’s obligation to comply with the </w:t>
      </w:r>
      <w:r w:rsidRPr="00C86691">
        <w:rPr>
          <w:i/>
          <w:szCs w:val="22"/>
        </w:rPr>
        <w:t>Rural Call Completion Order</w:t>
      </w:r>
      <w:r w:rsidRPr="00C86691">
        <w:rPr>
          <w:szCs w:val="22"/>
        </w:rPr>
        <w:t xml:space="preserve"> or any other FCC Rules</w:t>
      </w:r>
      <w:r w:rsidR="00B027AC" w:rsidRPr="00C86691">
        <w:rPr>
          <w:szCs w:val="22"/>
        </w:rPr>
        <w:t xml:space="preserve"> or orders</w:t>
      </w:r>
      <w:r w:rsidRPr="00C86691">
        <w:rPr>
          <w:szCs w:val="22"/>
        </w:rPr>
        <w:t>.</w:t>
      </w:r>
    </w:p>
    <w:p w:rsidR="00E02214" w:rsidRPr="00C86691" w:rsidRDefault="008B1570" w:rsidP="00E821FA">
      <w:pPr>
        <w:pStyle w:val="ParaNum"/>
        <w:rPr>
          <w:i/>
          <w:szCs w:val="22"/>
        </w:rPr>
      </w:pPr>
      <w:bookmarkStart w:id="9" w:name="_Ref357521957"/>
      <w:r w:rsidRPr="00C86691">
        <w:rPr>
          <w:b/>
          <w:szCs w:val="22"/>
          <w:u w:val="single"/>
        </w:rPr>
        <w:t>Fine</w:t>
      </w:r>
      <w:r w:rsidR="00E02214" w:rsidRPr="00C86691">
        <w:rPr>
          <w:szCs w:val="22"/>
        </w:rPr>
        <w:t xml:space="preserve">.  </w:t>
      </w:r>
      <w:r w:rsidR="000418B0" w:rsidRPr="00C86691">
        <w:rPr>
          <w:szCs w:val="22"/>
        </w:rPr>
        <w:t>Verizon will pay</w:t>
      </w:r>
      <w:r w:rsidR="00593AD8" w:rsidRPr="00C86691">
        <w:rPr>
          <w:szCs w:val="22"/>
        </w:rPr>
        <w:t xml:space="preserve"> a</w:t>
      </w:r>
      <w:r w:rsidR="000418B0" w:rsidRPr="00C86691">
        <w:rPr>
          <w:szCs w:val="22"/>
        </w:rPr>
        <w:t xml:space="preserve"> </w:t>
      </w:r>
      <w:r w:rsidRPr="00C86691">
        <w:rPr>
          <w:szCs w:val="22"/>
        </w:rPr>
        <w:t>fine</w:t>
      </w:r>
      <w:r w:rsidR="000418B0" w:rsidRPr="00C86691">
        <w:rPr>
          <w:szCs w:val="22"/>
        </w:rPr>
        <w:t xml:space="preserve"> to the United States Treasury in the amount of Two Million Dollars ($2,000,000) within thirty (30) calendar days of the Effective Date.</w:t>
      </w:r>
      <w:r w:rsidR="000418B0" w:rsidRPr="00C86691">
        <w:rPr>
          <w:i/>
          <w:szCs w:val="22"/>
        </w:rPr>
        <w:t xml:space="preserve">  </w:t>
      </w:r>
      <w:r w:rsidR="00D95583" w:rsidRPr="00C86691">
        <w:rPr>
          <w:szCs w:val="22"/>
        </w:rPr>
        <w:t>Verizon</w:t>
      </w:r>
      <w:r w:rsidR="00806024" w:rsidRPr="00C86691">
        <w:rPr>
          <w:szCs w:val="22"/>
        </w:rPr>
        <w:t xml:space="preserve"> </w:t>
      </w:r>
      <w:r w:rsidR="00E02214" w:rsidRPr="00C86691">
        <w:rPr>
          <w:szCs w:val="22"/>
        </w:rPr>
        <w:t xml:space="preserve">shall send electronic notification of payment to </w:t>
      </w:r>
      <w:r w:rsidR="0004420C">
        <w:t xml:space="preserve">Jeffrey Gee </w:t>
      </w:r>
      <w:r w:rsidR="0004420C" w:rsidRPr="00C3599E">
        <w:t xml:space="preserve">at </w:t>
      </w:r>
      <w:hyperlink r:id="rId17" w:history="1">
        <w:r w:rsidR="0004420C" w:rsidRPr="006510C3">
          <w:rPr>
            <w:rStyle w:val="Hyperlink"/>
            <w:color w:val="auto"/>
            <w:u w:val="none"/>
          </w:rPr>
          <w:t>Jeffrey.Gee@fcc.gov</w:t>
        </w:r>
      </w:hyperlink>
      <w:r w:rsidR="0004420C" w:rsidRPr="00D162E2">
        <w:t xml:space="preserve"> and </w:t>
      </w:r>
      <w:r w:rsidR="0004420C">
        <w:t>Margaret Dailey at Margaret.Dailey@fcc.gov</w:t>
      </w:r>
      <w:r w:rsidR="003533DC" w:rsidRPr="00C86691">
        <w:rPr>
          <w:szCs w:val="22"/>
        </w:rPr>
        <w:t xml:space="preserve"> </w:t>
      </w:r>
      <w:r w:rsidR="006C3459" w:rsidRPr="00C86691">
        <w:rPr>
          <w:szCs w:val="22"/>
        </w:rPr>
        <w:t xml:space="preserve">on the date said payment </w:t>
      </w:r>
      <w:r w:rsidR="00806024" w:rsidRPr="00C86691">
        <w:rPr>
          <w:szCs w:val="22"/>
        </w:rPr>
        <w:t>is made</w:t>
      </w:r>
      <w:r w:rsidR="00302AC4" w:rsidRPr="00C86691">
        <w:rPr>
          <w:szCs w:val="22"/>
        </w:rPr>
        <w:t>.</w:t>
      </w:r>
      <w:bookmarkEnd w:id="9"/>
      <w:r w:rsidR="003533DC" w:rsidRPr="00C86691">
        <w:rPr>
          <w:szCs w:val="22"/>
        </w:rPr>
        <w:t xml:space="preserve">  </w:t>
      </w:r>
      <w:r w:rsidR="00806024" w:rsidRPr="00C86691">
        <w:rPr>
          <w:szCs w:val="22"/>
        </w:rPr>
        <w:t xml:space="preserve">The </w:t>
      </w:r>
      <w:r w:rsidR="00562DFF" w:rsidRPr="00C86691">
        <w:rPr>
          <w:szCs w:val="22"/>
        </w:rPr>
        <w:t xml:space="preserve">payment </w:t>
      </w:r>
      <w:r w:rsidR="00E02214" w:rsidRPr="00C86691">
        <w:rPr>
          <w:szCs w:val="22"/>
        </w:rPr>
        <w:t xml:space="preserve">must be made by check or similar instrument, wire transfer, or credit card, and must include the </w:t>
      </w:r>
      <w:r w:rsidR="008A2AD9" w:rsidRPr="00C86691">
        <w:rPr>
          <w:szCs w:val="22"/>
        </w:rPr>
        <w:t xml:space="preserve">Account Number </w:t>
      </w:r>
      <w:r w:rsidR="003533DC" w:rsidRPr="00C86691">
        <w:rPr>
          <w:szCs w:val="22"/>
        </w:rPr>
        <w:t xml:space="preserve">and FRN referenced </w:t>
      </w:r>
      <w:r w:rsidR="00E02214" w:rsidRPr="00C86691">
        <w:rPr>
          <w:szCs w:val="22"/>
        </w:rPr>
        <w:t>above</w:t>
      </w:r>
      <w:r w:rsidR="00850299" w:rsidRPr="00C86691">
        <w:rPr>
          <w:b/>
          <w:szCs w:val="22"/>
        </w:rPr>
        <w:t>.</w:t>
      </w:r>
      <w:r w:rsidR="00E02214" w:rsidRPr="00C86691">
        <w:rPr>
          <w:szCs w:val="22"/>
        </w:rPr>
        <w:t xml:space="preserve"> </w:t>
      </w:r>
      <w:r w:rsidR="003533DC" w:rsidRPr="00C86691">
        <w:rPr>
          <w:szCs w:val="22"/>
        </w:rPr>
        <w:t xml:space="preserve"> </w:t>
      </w:r>
      <w:r w:rsidR="00E02214" w:rsidRPr="00C86691">
        <w:rPr>
          <w:szCs w:val="22"/>
        </w:rPr>
        <w:t>Regardless of the form of payment, a completed FCC Form 159 (Remittance Advice) must be submitted.</w:t>
      </w:r>
      <w:r w:rsidR="00E02214" w:rsidRPr="00C86691">
        <w:rPr>
          <w:rStyle w:val="FootnoteReference"/>
          <w:sz w:val="22"/>
          <w:szCs w:val="22"/>
        </w:rPr>
        <w:footnoteReference w:id="38"/>
      </w:r>
      <w:r w:rsidR="00E02214" w:rsidRPr="00C86691">
        <w:rPr>
          <w:szCs w:val="22"/>
        </w:rPr>
        <w:t xml:space="preserve">  When completing the FCC Form 159, enter the Account Number in block number 23A (call sign/other ID) and enter the letters “FORF” in block number 24A (payment type code).  Below are additional instructions </w:t>
      </w:r>
      <w:r w:rsidR="0004267E" w:rsidRPr="00C86691">
        <w:rPr>
          <w:szCs w:val="22"/>
        </w:rPr>
        <w:t>that should be followed based on the form of payment selected</w:t>
      </w:r>
      <w:r w:rsidR="00E02214" w:rsidRPr="00C86691">
        <w:rPr>
          <w:szCs w:val="22"/>
        </w:rPr>
        <w:t>:</w:t>
      </w:r>
    </w:p>
    <w:p w:rsidR="00E02214" w:rsidRPr="00C86691" w:rsidRDefault="00E02214" w:rsidP="002B1765">
      <w:pPr>
        <w:pStyle w:val="ParaNum"/>
        <w:numPr>
          <w:ilvl w:val="0"/>
          <w:numId w:val="9"/>
        </w:numPr>
        <w:rPr>
          <w:rFonts w:eastAsia="MS Mincho"/>
          <w:szCs w:val="22"/>
        </w:rPr>
      </w:pPr>
      <w:r w:rsidRPr="00C86691">
        <w:rPr>
          <w:rFonts w:eastAsia="MS Mincho"/>
          <w:szCs w:val="22"/>
        </w:rPr>
        <w:t xml:space="preserve">Payment by check or money order must be made payable to the order of the Federal Communications Commission.  Such payments (along with the completed Form 159) must be mailed to Federal Communications </w:t>
      </w:r>
      <w:r w:rsidR="001278CC" w:rsidRPr="00C86691">
        <w:rPr>
          <w:rFonts w:eastAsia="MS Mincho"/>
          <w:szCs w:val="22"/>
        </w:rPr>
        <w:t>Commission, P.O. Box 979088, St.</w:t>
      </w:r>
      <w:r w:rsidRPr="00C86691">
        <w:rPr>
          <w:rFonts w:eastAsia="MS Mincho"/>
          <w:szCs w:val="22"/>
        </w:rPr>
        <w:t> Louis, MO 63197-9000, or sent via overnight mail to U.S. Bank – Government Lockbox #979088, SL</w:t>
      </w:r>
      <w:r w:rsidRPr="00C86691">
        <w:rPr>
          <w:rFonts w:eastAsia="MS Mincho"/>
          <w:szCs w:val="22"/>
        </w:rPr>
        <w:noBreakHyphen/>
        <w:t>MO</w:t>
      </w:r>
      <w:r w:rsidRPr="00C86691">
        <w:rPr>
          <w:rFonts w:eastAsia="MS Mincho"/>
          <w:szCs w:val="22"/>
        </w:rPr>
        <w:noBreakHyphen/>
        <w:t>C2</w:t>
      </w:r>
      <w:r w:rsidRPr="00C86691">
        <w:rPr>
          <w:rFonts w:eastAsia="MS Mincho"/>
          <w:szCs w:val="22"/>
        </w:rPr>
        <w:noBreakHyphen/>
        <w:t>GL, 1005 Convention Plaza, St. Louis, MO 63101.</w:t>
      </w:r>
    </w:p>
    <w:p w:rsidR="00E02214" w:rsidRPr="00C86691" w:rsidRDefault="00E02214" w:rsidP="002B1765">
      <w:pPr>
        <w:pStyle w:val="ParaNum"/>
        <w:numPr>
          <w:ilvl w:val="0"/>
          <w:numId w:val="9"/>
        </w:numPr>
        <w:rPr>
          <w:rFonts w:eastAsia="MS Mincho"/>
          <w:szCs w:val="22"/>
        </w:rPr>
      </w:pPr>
      <w:r w:rsidRPr="00C86691">
        <w:rPr>
          <w:rFonts w:eastAsia="MS Mincho"/>
          <w:szCs w:val="22"/>
        </w:rPr>
        <w:t>Payment by wire transfer must be made to ABA Number 021030004, receiving bank TREAS/NYC, and Account Number 27000001.  To complete the wire transfer and ensure appropriate crediting of the wired funds, a completed Form 159 must be faxed to U.S. Bank at (314) 418-4232 on the same business day the wire transfer is initiated.</w:t>
      </w:r>
    </w:p>
    <w:p w:rsidR="00E02214" w:rsidRPr="00C86691" w:rsidRDefault="00E02214" w:rsidP="002B1765">
      <w:pPr>
        <w:pStyle w:val="ParaNum"/>
        <w:widowControl/>
        <w:numPr>
          <w:ilvl w:val="0"/>
          <w:numId w:val="9"/>
        </w:numPr>
        <w:rPr>
          <w:rFonts w:eastAsia="MS Mincho"/>
          <w:szCs w:val="22"/>
        </w:rPr>
      </w:pPr>
      <w:r w:rsidRPr="00C86691">
        <w:rPr>
          <w:rFonts w:eastAsia="MS Mincho"/>
          <w:szCs w:val="22"/>
        </w:rPr>
        <w:t>Payment by credit card must be made by providing the required credit card information on FCC Form 159 and signing and dating the Form 159 to authorize the credit card payment.  The completed Form 159 must then be mailed to Federal Communications Commission, P.O. Box 979088, St. Louis, MO 63197-9000, or sent via overnight mail to U.S. Bank – Government Lockbox #979088, SL-MO-C2-GL, 1005 Convention Plaza, St. Louis, MO 63101.</w:t>
      </w:r>
    </w:p>
    <w:p w:rsidR="009279FD" w:rsidRPr="00C86691" w:rsidRDefault="00E02214" w:rsidP="008A2AD9">
      <w:pPr>
        <w:spacing w:after="120"/>
        <w:rPr>
          <w:rFonts w:eastAsia="MS Mincho"/>
          <w:szCs w:val="22"/>
        </w:rPr>
      </w:pPr>
      <w:r w:rsidRPr="00C86691">
        <w:rPr>
          <w:rFonts w:eastAsia="MS Mincho"/>
          <w:szCs w:val="22"/>
        </w:rPr>
        <w:t>Questions regarding payment procedure</w:t>
      </w:r>
      <w:r w:rsidR="001278CC" w:rsidRPr="00C86691">
        <w:rPr>
          <w:rFonts w:eastAsia="MS Mincho"/>
          <w:szCs w:val="22"/>
        </w:rPr>
        <w:t>s</w:t>
      </w:r>
      <w:r w:rsidRPr="00C86691">
        <w:rPr>
          <w:rFonts w:eastAsia="MS Mincho"/>
          <w:szCs w:val="22"/>
        </w:rPr>
        <w:t xml:space="preserve"> should be addressed to the Financial Operations Group Help Desk by phone, 1-877-480-3201, or by e-mail, </w:t>
      </w:r>
      <w:r w:rsidR="00F8748A" w:rsidRPr="00C86691">
        <w:rPr>
          <w:rFonts w:eastAsia="MS Mincho"/>
          <w:szCs w:val="22"/>
        </w:rPr>
        <w:t>ARINQUIRIES@fcc.gov</w:t>
      </w:r>
      <w:r w:rsidRPr="00C86691">
        <w:rPr>
          <w:rFonts w:eastAsia="MS Mincho"/>
          <w:szCs w:val="22"/>
        </w:rPr>
        <w:t>.</w:t>
      </w:r>
    </w:p>
    <w:p w:rsidR="00313B11" w:rsidRPr="00C86691" w:rsidRDefault="002B1C1F" w:rsidP="00E821FA">
      <w:pPr>
        <w:pStyle w:val="ParaNum"/>
        <w:rPr>
          <w:i/>
          <w:szCs w:val="22"/>
        </w:rPr>
      </w:pPr>
      <w:r w:rsidRPr="00C86691">
        <w:rPr>
          <w:b/>
          <w:szCs w:val="22"/>
          <w:u w:val="single"/>
        </w:rPr>
        <w:t>Additional Financ</w:t>
      </w:r>
      <w:r w:rsidR="00633B93" w:rsidRPr="00C86691">
        <w:rPr>
          <w:b/>
          <w:szCs w:val="22"/>
          <w:u w:val="single"/>
        </w:rPr>
        <w:t>i</w:t>
      </w:r>
      <w:r w:rsidRPr="00C86691">
        <w:rPr>
          <w:b/>
          <w:szCs w:val="22"/>
          <w:u w:val="single"/>
        </w:rPr>
        <w:t xml:space="preserve">al Commitment.  </w:t>
      </w:r>
      <w:r w:rsidR="00E84034" w:rsidRPr="00C86691">
        <w:t xml:space="preserve">In </w:t>
      </w:r>
      <w:r w:rsidR="00E84034" w:rsidRPr="003E575A">
        <w:rPr>
          <w:szCs w:val="22"/>
        </w:rPr>
        <w:t>furtherance of this comprehensive settlement, and i</w:t>
      </w:r>
      <w:r w:rsidR="00320826" w:rsidRPr="00C86691">
        <w:rPr>
          <w:szCs w:val="22"/>
        </w:rPr>
        <w:t xml:space="preserve">n addition to </w:t>
      </w:r>
      <w:r w:rsidR="00313B11" w:rsidRPr="00C86691">
        <w:rPr>
          <w:szCs w:val="22"/>
        </w:rPr>
        <w:t xml:space="preserve">the </w:t>
      </w:r>
      <w:r w:rsidR="008B1570" w:rsidRPr="00C86691">
        <w:rPr>
          <w:szCs w:val="22"/>
        </w:rPr>
        <w:t>fine</w:t>
      </w:r>
      <w:r w:rsidR="00313B11" w:rsidRPr="00C86691">
        <w:rPr>
          <w:szCs w:val="22"/>
        </w:rPr>
        <w:t xml:space="preserve"> specified in paragraph </w:t>
      </w:r>
      <w:r w:rsidR="00F37D26">
        <w:rPr>
          <w:szCs w:val="22"/>
        </w:rPr>
        <w:t>24</w:t>
      </w:r>
      <w:r w:rsidR="00313B11" w:rsidRPr="00C86691">
        <w:rPr>
          <w:szCs w:val="22"/>
        </w:rPr>
        <w:t xml:space="preserve"> above, Verizon commits to </w:t>
      </w:r>
      <w:r w:rsidR="00756428">
        <w:rPr>
          <w:szCs w:val="22"/>
        </w:rPr>
        <w:t xml:space="preserve">have </w:t>
      </w:r>
      <w:r w:rsidR="00313B11" w:rsidRPr="00C86691">
        <w:rPr>
          <w:szCs w:val="22"/>
        </w:rPr>
        <w:t>spen</w:t>
      </w:r>
      <w:r w:rsidR="00756428">
        <w:rPr>
          <w:szCs w:val="22"/>
        </w:rPr>
        <w:t>t</w:t>
      </w:r>
      <w:r w:rsidR="00481FB5" w:rsidRPr="00C86691">
        <w:rPr>
          <w:szCs w:val="22"/>
        </w:rPr>
        <w:t xml:space="preserve"> prior to </w:t>
      </w:r>
      <w:r w:rsidR="00320826" w:rsidRPr="00C86691">
        <w:rPr>
          <w:szCs w:val="22"/>
        </w:rPr>
        <w:t>the Termination Date of this Consent Decree,</w:t>
      </w:r>
      <w:r w:rsidR="00F704BA" w:rsidRPr="00C86691">
        <w:rPr>
          <w:szCs w:val="22"/>
        </w:rPr>
        <w:t xml:space="preserve"> at least</w:t>
      </w:r>
      <w:r w:rsidR="00313B11" w:rsidRPr="00C86691">
        <w:rPr>
          <w:szCs w:val="22"/>
        </w:rPr>
        <w:t xml:space="preserve"> Three Million Dollars ($3,000,000) on measures to </w:t>
      </w:r>
      <w:r w:rsidR="00320826" w:rsidRPr="00C86691">
        <w:rPr>
          <w:szCs w:val="22"/>
        </w:rPr>
        <w:t xml:space="preserve">advance and achieve Company and </w:t>
      </w:r>
      <w:r w:rsidR="00313B11" w:rsidRPr="00C86691">
        <w:rPr>
          <w:szCs w:val="22"/>
        </w:rPr>
        <w:t>industry solution</w:t>
      </w:r>
      <w:r w:rsidR="006C2F8E" w:rsidRPr="00C86691">
        <w:rPr>
          <w:szCs w:val="22"/>
        </w:rPr>
        <w:t>s</w:t>
      </w:r>
      <w:r w:rsidR="00313B11" w:rsidRPr="00C86691">
        <w:rPr>
          <w:szCs w:val="22"/>
        </w:rPr>
        <w:t xml:space="preserve"> to rural call completion problem</w:t>
      </w:r>
      <w:r w:rsidR="00477410" w:rsidRPr="00C86691">
        <w:rPr>
          <w:szCs w:val="22"/>
        </w:rPr>
        <w:t>s</w:t>
      </w:r>
      <w:r w:rsidR="00320826" w:rsidRPr="00C86691">
        <w:rPr>
          <w:szCs w:val="22"/>
        </w:rPr>
        <w:t>,</w:t>
      </w:r>
      <w:r w:rsidR="00313B11" w:rsidRPr="00C86691">
        <w:rPr>
          <w:szCs w:val="22"/>
        </w:rPr>
        <w:t xml:space="preserve"> </w:t>
      </w:r>
      <w:r w:rsidR="00320826" w:rsidRPr="00C86691">
        <w:rPr>
          <w:szCs w:val="22"/>
        </w:rPr>
        <w:t xml:space="preserve">including through the measures </w:t>
      </w:r>
      <w:r w:rsidR="00313B11" w:rsidRPr="00C86691">
        <w:rPr>
          <w:szCs w:val="22"/>
        </w:rPr>
        <w:t xml:space="preserve">specified in </w:t>
      </w:r>
      <w:r w:rsidR="00320826" w:rsidRPr="00C86691">
        <w:rPr>
          <w:szCs w:val="22"/>
        </w:rPr>
        <w:t xml:space="preserve">paragraph </w:t>
      </w:r>
      <w:r w:rsidR="00F37D26">
        <w:rPr>
          <w:szCs w:val="22"/>
        </w:rPr>
        <w:t>18</w:t>
      </w:r>
      <w:r w:rsidR="00320826" w:rsidRPr="00C86691">
        <w:rPr>
          <w:szCs w:val="22"/>
        </w:rPr>
        <w:t xml:space="preserve"> above.  </w:t>
      </w:r>
      <w:r w:rsidR="006C2F8E" w:rsidRPr="00C86691">
        <w:rPr>
          <w:szCs w:val="22"/>
        </w:rPr>
        <w:t xml:space="preserve">This Three Million Dollar rural call completion </w:t>
      </w:r>
      <w:r w:rsidR="00320826" w:rsidRPr="00C86691">
        <w:rPr>
          <w:szCs w:val="22"/>
        </w:rPr>
        <w:t xml:space="preserve">commitment </w:t>
      </w:r>
      <w:r w:rsidR="001607BC" w:rsidRPr="00C86691">
        <w:rPr>
          <w:szCs w:val="22"/>
        </w:rPr>
        <w:t xml:space="preserve">is separate from and in addition to any expenditures </w:t>
      </w:r>
      <w:r w:rsidR="00320826" w:rsidRPr="00C86691">
        <w:rPr>
          <w:szCs w:val="22"/>
        </w:rPr>
        <w:t xml:space="preserve">Verizon </w:t>
      </w:r>
      <w:r w:rsidR="001607BC" w:rsidRPr="00C86691">
        <w:rPr>
          <w:szCs w:val="22"/>
        </w:rPr>
        <w:t>otherwise would have made</w:t>
      </w:r>
      <w:r w:rsidR="00320826" w:rsidRPr="00C86691">
        <w:rPr>
          <w:szCs w:val="22"/>
        </w:rPr>
        <w:t xml:space="preserve"> to comply with the </w:t>
      </w:r>
      <w:r w:rsidR="00320826" w:rsidRPr="00C86691">
        <w:rPr>
          <w:i/>
          <w:szCs w:val="22"/>
        </w:rPr>
        <w:t>Rural Call Completion Order</w:t>
      </w:r>
      <w:r w:rsidR="00481FB5" w:rsidRPr="00C86691">
        <w:rPr>
          <w:i/>
          <w:szCs w:val="22"/>
        </w:rPr>
        <w:t xml:space="preserve"> </w:t>
      </w:r>
      <w:r w:rsidR="00481FB5" w:rsidRPr="00C86691">
        <w:rPr>
          <w:szCs w:val="22"/>
        </w:rPr>
        <w:t>and does not include expenses incurred responding to the LOI</w:t>
      </w:r>
      <w:r w:rsidR="009560A6" w:rsidRPr="00C86691">
        <w:rPr>
          <w:i/>
          <w:szCs w:val="22"/>
        </w:rPr>
        <w:t>.</w:t>
      </w:r>
      <w:r w:rsidR="00320826" w:rsidRPr="00C86691">
        <w:rPr>
          <w:szCs w:val="22"/>
        </w:rPr>
        <w:t xml:space="preserve"> </w:t>
      </w:r>
      <w:r w:rsidR="006C2F8E" w:rsidRPr="00C86691">
        <w:rPr>
          <w:szCs w:val="22"/>
        </w:rPr>
        <w:t xml:space="preserve"> Verizon will provide </w:t>
      </w:r>
      <w:r w:rsidR="001311AF" w:rsidRPr="00C86691">
        <w:rPr>
          <w:szCs w:val="22"/>
        </w:rPr>
        <w:t>a</w:t>
      </w:r>
      <w:r w:rsidR="00F62649" w:rsidRPr="00C86691">
        <w:rPr>
          <w:szCs w:val="22"/>
        </w:rPr>
        <w:t>n</w:t>
      </w:r>
      <w:r w:rsidR="001311AF" w:rsidRPr="00C86691">
        <w:rPr>
          <w:szCs w:val="22"/>
        </w:rPr>
        <w:t xml:space="preserve"> </w:t>
      </w:r>
      <w:r w:rsidR="00A65876" w:rsidRPr="00C86691">
        <w:rPr>
          <w:szCs w:val="22"/>
        </w:rPr>
        <w:t xml:space="preserve">overview </w:t>
      </w:r>
      <w:r w:rsidR="006C2F8E" w:rsidRPr="00C86691">
        <w:rPr>
          <w:szCs w:val="22"/>
        </w:rPr>
        <w:t>of amounts spent for these purposes in its</w:t>
      </w:r>
      <w:r w:rsidR="001311AF" w:rsidRPr="00C86691">
        <w:rPr>
          <w:szCs w:val="22"/>
        </w:rPr>
        <w:t xml:space="preserve"> annual compliance </w:t>
      </w:r>
      <w:r w:rsidR="006C2F8E" w:rsidRPr="00C86691">
        <w:rPr>
          <w:szCs w:val="22"/>
        </w:rPr>
        <w:t>reports to the Bureau.</w:t>
      </w:r>
      <w:r w:rsidR="00631CDF" w:rsidRPr="00C86691">
        <w:rPr>
          <w:szCs w:val="22"/>
        </w:rPr>
        <w:t xml:space="preserve"> </w:t>
      </w:r>
    </w:p>
    <w:p w:rsidR="00E02214" w:rsidRPr="00C86691" w:rsidRDefault="00E02214" w:rsidP="00621C39">
      <w:pPr>
        <w:pStyle w:val="ParaNum"/>
        <w:rPr>
          <w:szCs w:val="22"/>
        </w:rPr>
      </w:pPr>
      <w:r w:rsidRPr="00C86691">
        <w:rPr>
          <w:b/>
          <w:szCs w:val="22"/>
          <w:u w:val="single"/>
        </w:rPr>
        <w:t>Waivers</w:t>
      </w:r>
      <w:r w:rsidRPr="00C86691">
        <w:rPr>
          <w:szCs w:val="22"/>
        </w:rPr>
        <w:t xml:space="preserve">.  </w:t>
      </w:r>
      <w:r w:rsidR="00CE68FE" w:rsidRPr="00C86691">
        <w:rPr>
          <w:szCs w:val="22"/>
        </w:rPr>
        <w:t xml:space="preserve">As of the Effective Date, </w:t>
      </w:r>
      <w:r w:rsidR="00D95583" w:rsidRPr="00C86691">
        <w:rPr>
          <w:szCs w:val="22"/>
        </w:rPr>
        <w:t>Verizon</w:t>
      </w:r>
      <w:r w:rsidRPr="00C86691">
        <w:rPr>
          <w:szCs w:val="22"/>
        </w:rPr>
        <w:t xml:space="preserve"> waives any and all rights it may have to seek administrative or judicial reconsideration, review, appeal or stay, or to otherwise challenge or contest the validity of this Consent Decree and the Adoptin</w:t>
      </w:r>
      <w:r w:rsidR="00CE68FE" w:rsidRPr="00C86691">
        <w:rPr>
          <w:szCs w:val="22"/>
        </w:rPr>
        <w:t>g Order</w:t>
      </w:r>
      <w:r w:rsidRPr="00C86691">
        <w:rPr>
          <w:szCs w:val="22"/>
        </w:rPr>
        <w:t xml:space="preserve">.  </w:t>
      </w:r>
      <w:r w:rsidR="00D95583" w:rsidRPr="00C86691">
        <w:rPr>
          <w:szCs w:val="22"/>
        </w:rPr>
        <w:t>Verizon</w:t>
      </w:r>
      <w:r w:rsidR="00F26C20" w:rsidRPr="00C86691">
        <w:rPr>
          <w:szCs w:val="22"/>
        </w:rPr>
        <w:t xml:space="preserve"> </w:t>
      </w:r>
      <w:r w:rsidRPr="00C86691">
        <w:rPr>
          <w:szCs w:val="22"/>
        </w:rPr>
        <w:t xml:space="preserve">shall retain the right to challenge Commission interpretation of the Consent Decree or any terms contained herein.  If either Party (or the United States on behalf of the Commission) brings a judicial action to enforce the terms of the </w:t>
      </w:r>
      <w:r w:rsidR="00CE68FE" w:rsidRPr="00C86691">
        <w:rPr>
          <w:szCs w:val="22"/>
        </w:rPr>
        <w:t xml:space="preserve">Consent Decree or </w:t>
      </w:r>
      <w:r w:rsidR="00582BA0" w:rsidRPr="00C86691">
        <w:rPr>
          <w:szCs w:val="22"/>
        </w:rPr>
        <w:t xml:space="preserve">the </w:t>
      </w:r>
      <w:r w:rsidRPr="00C86691">
        <w:rPr>
          <w:szCs w:val="22"/>
        </w:rPr>
        <w:t xml:space="preserve">Adopting Order, neither </w:t>
      </w:r>
      <w:r w:rsidR="00D95583" w:rsidRPr="00C86691">
        <w:rPr>
          <w:szCs w:val="22"/>
        </w:rPr>
        <w:t>Verizon</w:t>
      </w:r>
      <w:r w:rsidR="00E03587" w:rsidRPr="00C86691">
        <w:rPr>
          <w:szCs w:val="22"/>
        </w:rPr>
        <w:t xml:space="preserve"> </w:t>
      </w:r>
      <w:r w:rsidRPr="00C86691">
        <w:rPr>
          <w:szCs w:val="22"/>
        </w:rPr>
        <w:t xml:space="preserve">nor the Commission shall contest the validity of the Consent Decree or the Adopting Order, and </w:t>
      </w:r>
      <w:r w:rsidR="00D95583" w:rsidRPr="00C86691">
        <w:rPr>
          <w:szCs w:val="22"/>
        </w:rPr>
        <w:t>Verizon</w:t>
      </w:r>
      <w:r w:rsidR="00E03587" w:rsidRPr="00C86691">
        <w:rPr>
          <w:szCs w:val="22"/>
        </w:rPr>
        <w:t xml:space="preserve"> </w:t>
      </w:r>
      <w:r w:rsidRPr="00C86691">
        <w:rPr>
          <w:szCs w:val="22"/>
        </w:rPr>
        <w:t xml:space="preserve">shall waive any statutory right to a trial </w:t>
      </w:r>
      <w:r w:rsidRPr="00C86691">
        <w:rPr>
          <w:i/>
          <w:szCs w:val="22"/>
        </w:rPr>
        <w:t>de novo</w:t>
      </w:r>
      <w:r w:rsidRPr="00C86691">
        <w:rPr>
          <w:szCs w:val="22"/>
        </w:rPr>
        <w:t xml:space="preserve">.  </w:t>
      </w:r>
      <w:r w:rsidR="00D95583" w:rsidRPr="00C86691">
        <w:rPr>
          <w:szCs w:val="22"/>
        </w:rPr>
        <w:t>Verizon</w:t>
      </w:r>
      <w:r w:rsidR="00E03587" w:rsidRPr="00C86691">
        <w:rPr>
          <w:szCs w:val="22"/>
        </w:rPr>
        <w:t xml:space="preserve"> </w:t>
      </w:r>
      <w:r w:rsidRPr="00C86691">
        <w:rPr>
          <w:szCs w:val="22"/>
        </w:rPr>
        <w:t>hereby agrees to waive any claims it may otherwise have under the Equal Access to Justice Act</w:t>
      </w:r>
      <w:r w:rsidRPr="00C86691">
        <w:rPr>
          <w:rStyle w:val="FootnoteReference"/>
          <w:sz w:val="22"/>
          <w:szCs w:val="22"/>
        </w:rPr>
        <w:footnoteReference w:id="39"/>
      </w:r>
      <w:r w:rsidRPr="00C86691">
        <w:rPr>
          <w:szCs w:val="22"/>
        </w:rPr>
        <w:t xml:space="preserve"> relating to the matters addressed in this Consent Decree.</w:t>
      </w:r>
    </w:p>
    <w:p w:rsidR="003F5CF7" w:rsidRPr="00C86691" w:rsidRDefault="003F5CF7" w:rsidP="00621C39">
      <w:pPr>
        <w:pStyle w:val="ParaNum"/>
        <w:rPr>
          <w:szCs w:val="22"/>
        </w:rPr>
      </w:pPr>
      <w:r w:rsidRPr="00C86691">
        <w:rPr>
          <w:b/>
          <w:szCs w:val="22"/>
          <w:u w:val="single"/>
        </w:rPr>
        <w:t>Severability</w:t>
      </w:r>
      <w:r w:rsidRPr="00C86691">
        <w:rPr>
          <w:szCs w:val="22"/>
        </w:rPr>
        <w:t>.  The Parties agree that if any of the provisio</w:t>
      </w:r>
      <w:r w:rsidR="00E3009C" w:rsidRPr="00C86691">
        <w:rPr>
          <w:szCs w:val="22"/>
        </w:rPr>
        <w:t xml:space="preserve">ns of the </w:t>
      </w:r>
      <w:r w:rsidRPr="00C86691">
        <w:rPr>
          <w:szCs w:val="22"/>
        </w:rPr>
        <w:t xml:space="preserve">Consent Decree shall be </w:t>
      </w:r>
      <w:r w:rsidR="00926FC4" w:rsidRPr="00C86691">
        <w:rPr>
          <w:szCs w:val="22"/>
        </w:rPr>
        <w:t xml:space="preserve">held </w:t>
      </w:r>
      <w:r w:rsidRPr="00C86691">
        <w:rPr>
          <w:szCs w:val="22"/>
        </w:rPr>
        <w:t>unenforceable</w:t>
      </w:r>
      <w:r w:rsidR="00926FC4" w:rsidRPr="00C86691">
        <w:rPr>
          <w:szCs w:val="22"/>
        </w:rPr>
        <w:t xml:space="preserve"> by any court of competent jurisdiction</w:t>
      </w:r>
      <w:r w:rsidRPr="00C86691">
        <w:rPr>
          <w:szCs w:val="22"/>
        </w:rPr>
        <w:t>, such unenforceability shall not render unenforceab</w:t>
      </w:r>
      <w:r w:rsidR="00E3009C" w:rsidRPr="00C86691">
        <w:rPr>
          <w:szCs w:val="22"/>
        </w:rPr>
        <w:t xml:space="preserve">le the entire </w:t>
      </w:r>
      <w:r w:rsidRPr="00C86691">
        <w:rPr>
          <w:szCs w:val="22"/>
        </w:rPr>
        <w:t>Consent Decree, but rath</w:t>
      </w:r>
      <w:r w:rsidR="00E3009C" w:rsidRPr="00C86691">
        <w:rPr>
          <w:szCs w:val="22"/>
        </w:rPr>
        <w:t xml:space="preserve">er the entire </w:t>
      </w:r>
      <w:r w:rsidRPr="00C86691">
        <w:rPr>
          <w:szCs w:val="22"/>
        </w:rPr>
        <w:t>Consent Decree shall be construed as if not containing the particular unenforceable provision or provisions, and the rights and obligations of the Parties shall be construed and enforced accordingly.</w:t>
      </w:r>
    </w:p>
    <w:p w:rsidR="00E02214" w:rsidRPr="00C86691" w:rsidRDefault="00E02214" w:rsidP="00621C39">
      <w:pPr>
        <w:pStyle w:val="ParaNum"/>
        <w:rPr>
          <w:szCs w:val="22"/>
        </w:rPr>
      </w:pPr>
      <w:r w:rsidRPr="00C86691">
        <w:rPr>
          <w:b/>
          <w:szCs w:val="22"/>
          <w:u w:val="single"/>
        </w:rPr>
        <w:t>Invalidity</w:t>
      </w:r>
      <w:r w:rsidRPr="00C86691">
        <w:rPr>
          <w:szCs w:val="22"/>
        </w:rPr>
        <w:t>.  In the event that this Consent Decree in its entirety is rendered invalid by any court of competent jurisdiction, it shall become null and void and may not be used in any manner in any legal proceeding.</w:t>
      </w:r>
    </w:p>
    <w:p w:rsidR="00E02214" w:rsidRPr="00C86691" w:rsidRDefault="00E02214" w:rsidP="00621C39">
      <w:pPr>
        <w:pStyle w:val="ParaNum"/>
        <w:rPr>
          <w:szCs w:val="22"/>
        </w:rPr>
      </w:pPr>
      <w:r w:rsidRPr="00C86691">
        <w:rPr>
          <w:b/>
          <w:szCs w:val="22"/>
          <w:u w:val="single"/>
        </w:rPr>
        <w:t>Subsequent Rule or Order</w:t>
      </w:r>
      <w:r w:rsidRPr="00C86691">
        <w:rPr>
          <w:szCs w:val="22"/>
        </w:rPr>
        <w:t>.  The Parties agree that if any provision of the Consent Decree</w:t>
      </w:r>
      <w:r w:rsidR="00F26C20" w:rsidRPr="00C86691">
        <w:rPr>
          <w:szCs w:val="22"/>
        </w:rPr>
        <w:t xml:space="preserve"> conflicts with any subsequent Rule or O</w:t>
      </w:r>
      <w:r w:rsidRPr="00C86691">
        <w:rPr>
          <w:szCs w:val="22"/>
        </w:rPr>
        <w:t>rder adopted by the Commission (e</w:t>
      </w:r>
      <w:r w:rsidR="00F26C20" w:rsidRPr="00C86691">
        <w:rPr>
          <w:szCs w:val="22"/>
        </w:rPr>
        <w:t>xcept an O</w:t>
      </w:r>
      <w:r w:rsidRPr="00C86691">
        <w:rPr>
          <w:szCs w:val="22"/>
        </w:rPr>
        <w:t xml:space="preserve">rder specifically intended to revise the terms of this Consent Decree to which </w:t>
      </w:r>
      <w:r w:rsidR="00D95583" w:rsidRPr="00C86691">
        <w:rPr>
          <w:szCs w:val="22"/>
        </w:rPr>
        <w:t>Verizon</w:t>
      </w:r>
      <w:r w:rsidR="00E03587" w:rsidRPr="00C86691">
        <w:rPr>
          <w:szCs w:val="22"/>
        </w:rPr>
        <w:t xml:space="preserve"> </w:t>
      </w:r>
      <w:r w:rsidRPr="00C86691">
        <w:rPr>
          <w:szCs w:val="22"/>
        </w:rPr>
        <w:t xml:space="preserve">does not expressly consent) that provision will be superseded by such </w:t>
      </w:r>
      <w:r w:rsidR="00F26C20" w:rsidRPr="00C86691">
        <w:rPr>
          <w:szCs w:val="22"/>
        </w:rPr>
        <w:t>R</w:t>
      </w:r>
      <w:r w:rsidR="0096758E" w:rsidRPr="00C86691">
        <w:rPr>
          <w:szCs w:val="22"/>
        </w:rPr>
        <w:t xml:space="preserve">ule or </w:t>
      </w:r>
      <w:r w:rsidR="00F26C20" w:rsidRPr="00C86691">
        <w:rPr>
          <w:szCs w:val="22"/>
        </w:rPr>
        <w:t>O</w:t>
      </w:r>
      <w:r w:rsidRPr="00C86691">
        <w:rPr>
          <w:szCs w:val="22"/>
        </w:rPr>
        <w:t>rder.</w:t>
      </w:r>
    </w:p>
    <w:p w:rsidR="00E02214" w:rsidRPr="00C86691" w:rsidRDefault="00E02214" w:rsidP="00621C39">
      <w:pPr>
        <w:pStyle w:val="ParaNum"/>
        <w:rPr>
          <w:szCs w:val="22"/>
        </w:rPr>
      </w:pPr>
      <w:r w:rsidRPr="00C86691">
        <w:rPr>
          <w:b/>
          <w:szCs w:val="22"/>
          <w:u w:val="single"/>
        </w:rPr>
        <w:t>Successors and Assigns</w:t>
      </w:r>
      <w:r w:rsidRPr="00C86691">
        <w:rPr>
          <w:szCs w:val="22"/>
        </w:rPr>
        <w:t xml:space="preserve">.  </w:t>
      </w:r>
      <w:r w:rsidR="00D95583" w:rsidRPr="00C86691">
        <w:rPr>
          <w:szCs w:val="22"/>
        </w:rPr>
        <w:t>Verizon</w:t>
      </w:r>
      <w:r w:rsidR="00E03587" w:rsidRPr="00C86691">
        <w:rPr>
          <w:szCs w:val="22"/>
        </w:rPr>
        <w:t xml:space="preserve"> </w:t>
      </w:r>
      <w:r w:rsidRPr="00C86691">
        <w:rPr>
          <w:szCs w:val="22"/>
        </w:rPr>
        <w:t>agrees that the provisions of this Consent Decree shall be binding on its successors, assigns, and transferees.</w:t>
      </w:r>
    </w:p>
    <w:p w:rsidR="00E02214" w:rsidRPr="00C86691" w:rsidRDefault="00E02214" w:rsidP="00621C39">
      <w:pPr>
        <w:pStyle w:val="ParaNum"/>
        <w:rPr>
          <w:szCs w:val="22"/>
        </w:rPr>
      </w:pPr>
      <w:r w:rsidRPr="00C86691">
        <w:rPr>
          <w:b/>
          <w:szCs w:val="22"/>
          <w:u w:val="single"/>
        </w:rPr>
        <w:t>Final Settlement</w:t>
      </w:r>
      <w:r w:rsidRPr="00C86691">
        <w:rPr>
          <w:szCs w:val="22"/>
        </w:rPr>
        <w:t xml:space="preserve">.  The Parties agree and acknowledge that this Consent Decree shall constitute a final settlement between the Parties with respect to the Investigation.  </w:t>
      </w:r>
      <w:r w:rsidR="004620CB" w:rsidRPr="00C86691">
        <w:rPr>
          <w:szCs w:val="22"/>
        </w:rPr>
        <w:t> </w:t>
      </w:r>
    </w:p>
    <w:p w:rsidR="00E02214" w:rsidRPr="00C86691" w:rsidRDefault="00E02214" w:rsidP="00621C39">
      <w:pPr>
        <w:pStyle w:val="ParaNum"/>
        <w:widowControl/>
        <w:rPr>
          <w:szCs w:val="22"/>
        </w:rPr>
      </w:pPr>
      <w:r w:rsidRPr="00C86691">
        <w:rPr>
          <w:b/>
          <w:szCs w:val="22"/>
          <w:u w:val="single"/>
        </w:rPr>
        <w:t>Modifications</w:t>
      </w:r>
      <w:r w:rsidRPr="00C86691">
        <w:rPr>
          <w:szCs w:val="22"/>
        </w:rPr>
        <w:t>.  This Consent Decree cannot be modified without the advance written consent of both Parties.</w:t>
      </w:r>
    </w:p>
    <w:p w:rsidR="00E02214" w:rsidRPr="00C86691" w:rsidRDefault="00E02214" w:rsidP="00621C39">
      <w:pPr>
        <w:pStyle w:val="ParaNum"/>
        <w:widowControl/>
        <w:rPr>
          <w:szCs w:val="22"/>
        </w:rPr>
      </w:pPr>
      <w:r w:rsidRPr="00C86691">
        <w:rPr>
          <w:b/>
          <w:szCs w:val="22"/>
          <w:u w:val="single"/>
        </w:rPr>
        <w:t>Paragraph Headings</w:t>
      </w:r>
      <w:r w:rsidRPr="00C86691">
        <w:rPr>
          <w:szCs w:val="22"/>
        </w:rPr>
        <w:t>.  The headings of the paragraphs in this Consent Decree are inserted for convenience only and are not intended to affect the meaning or interpretation of this Consent Decree.</w:t>
      </w:r>
    </w:p>
    <w:p w:rsidR="003329C5" w:rsidRPr="00C86691" w:rsidRDefault="00E02214" w:rsidP="00621C39">
      <w:pPr>
        <w:pStyle w:val="ParaNum"/>
        <w:widowControl/>
        <w:rPr>
          <w:szCs w:val="22"/>
        </w:rPr>
      </w:pPr>
      <w:r w:rsidRPr="00C86691">
        <w:rPr>
          <w:b/>
          <w:szCs w:val="22"/>
          <w:u w:val="single"/>
        </w:rPr>
        <w:t>Authorized Representative</w:t>
      </w:r>
      <w:r w:rsidRPr="00C86691">
        <w:rPr>
          <w:szCs w:val="22"/>
        </w:rPr>
        <w:t xml:space="preserve">. </w:t>
      </w:r>
      <w:r w:rsidR="00B73A30" w:rsidRPr="00C86691">
        <w:rPr>
          <w:szCs w:val="22"/>
        </w:rPr>
        <w:t xml:space="preserve"> </w:t>
      </w:r>
      <w:r w:rsidR="005D5341" w:rsidRPr="00C86691">
        <w:rPr>
          <w:szCs w:val="22"/>
        </w:rPr>
        <w:t>Each Party represents and warrants to the other that it has full power and authority to enter into this Consent Decree.  Each person signing this Consent Decree on behalf of a Party hereby represents that he or she is fully authorized by the Party to execute this Consent Decree and to bind the Party to its terms and conditions.</w:t>
      </w:r>
    </w:p>
    <w:p w:rsidR="00E02214" w:rsidRPr="00C86691" w:rsidRDefault="00E02214" w:rsidP="00173D38">
      <w:pPr>
        <w:pStyle w:val="ParaNum"/>
        <w:rPr>
          <w:szCs w:val="22"/>
        </w:rPr>
      </w:pPr>
      <w:r w:rsidRPr="00C86691">
        <w:rPr>
          <w:b/>
          <w:szCs w:val="22"/>
          <w:u w:val="single"/>
        </w:rPr>
        <w:t>Counterparts</w:t>
      </w:r>
      <w:r w:rsidRPr="00C86691">
        <w:rPr>
          <w:szCs w:val="22"/>
        </w:rPr>
        <w:t xml:space="preserve">.  </w:t>
      </w:r>
      <w:r w:rsidR="00BB440F" w:rsidRPr="00C86691">
        <w:rPr>
          <w:szCs w:val="22"/>
        </w:rPr>
        <w:t xml:space="preserve">This Consent Decree may be signed in counterpart (including </w:t>
      </w:r>
      <w:r w:rsidR="008A2AD9" w:rsidRPr="00C86691">
        <w:rPr>
          <w:szCs w:val="22"/>
        </w:rPr>
        <w:t xml:space="preserve">electronically or </w:t>
      </w:r>
      <w:r w:rsidR="00BB440F" w:rsidRPr="00C86691">
        <w:rPr>
          <w:szCs w:val="22"/>
        </w:rPr>
        <w:t>by facsimile).  Each counterpart, when executed and delivered, shall be an original, and all of the counterparts together shall constitute one and the same fully executed instrument.</w:t>
      </w:r>
    </w:p>
    <w:p w:rsidR="00E24E9F" w:rsidRPr="00C86691" w:rsidRDefault="00E24E9F" w:rsidP="009A17A5">
      <w:pPr>
        <w:keepNext/>
        <w:keepLines/>
        <w:rPr>
          <w:szCs w:val="22"/>
        </w:rPr>
      </w:pPr>
    </w:p>
    <w:p w:rsidR="00E24E9F" w:rsidRPr="00C86691" w:rsidRDefault="00E24E9F" w:rsidP="009A17A5">
      <w:pPr>
        <w:keepNext/>
        <w:keepLines/>
        <w:rPr>
          <w:szCs w:val="22"/>
        </w:rPr>
      </w:pPr>
    </w:p>
    <w:p w:rsidR="00E24E9F" w:rsidRPr="00C86691" w:rsidRDefault="00E24E9F" w:rsidP="009A17A5">
      <w:pPr>
        <w:keepNext/>
        <w:keepLines/>
        <w:rPr>
          <w:szCs w:val="22"/>
        </w:rPr>
      </w:pPr>
      <w:r w:rsidRPr="00C86691">
        <w:rPr>
          <w:szCs w:val="22"/>
        </w:rPr>
        <w:t>________________________________</w:t>
      </w:r>
    </w:p>
    <w:p w:rsidR="00EE1291" w:rsidRPr="00C86691" w:rsidRDefault="0091483A" w:rsidP="009A17A5">
      <w:pPr>
        <w:keepNext/>
        <w:keepLines/>
        <w:rPr>
          <w:szCs w:val="22"/>
        </w:rPr>
      </w:pPr>
      <w:r w:rsidRPr="00C86691">
        <w:rPr>
          <w:szCs w:val="22"/>
        </w:rPr>
        <w:t>Travis LeBlanc</w:t>
      </w:r>
    </w:p>
    <w:p w:rsidR="00E24E9F" w:rsidRPr="00C86691" w:rsidRDefault="0091483A" w:rsidP="009A17A5">
      <w:pPr>
        <w:keepNext/>
        <w:keepLines/>
        <w:rPr>
          <w:szCs w:val="22"/>
        </w:rPr>
      </w:pPr>
      <w:r w:rsidRPr="00C86691">
        <w:rPr>
          <w:szCs w:val="22"/>
        </w:rPr>
        <w:t>Chief</w:t>
      </w:r>
    </w:p>
    <w:p w:rsidR="00E24E9F" w:rsidRPr="00C86691" w:rsidRDefault="00E24E9F" w:rsidP="009A17A5">
      <w:pPr>
        <w:keepNext/>
        <w:keepLines/>
        <w:rPr>
          <w:szCs w:val="22"/>
        </w:rPr>
      </w:pPr>
      <w:r w:rsidRPr="00C86691">
        <w:rPr>
          <w:szCs w:val="22"/>
        </w:rPr>
        <w:t>Enforcement Bureau</w:t>
      </w:r>
    </w:p>
    <w:p w:rsidR="00E24E9F" w:rsidRPr="00C86691" w:rsidRDefault="00E24E9F" w:rsidP="009A17A5">
      <w:pPr>
        <w:keepNext/>
        <w:keepLines/>
        <w:rPr>
          <w:szCs w:val="22"/>
        </w:rPr>
      </w:pPr>
    </w:p>
    <w:p w:rsidR="00E24E9F" w:rsidRPr="00C86691" w:rsidRDefault="00E24E9F" w:rsidP="009A17A5">
      <w:pPr>
        <w:keepNext/>
        <w:keepLines/>
        <w:rPr>
          <w:szCs w:val="22"/>
        </w:rPr>
      </w:pPr>
    </w:p>
    <w:p w:rsidR="00E24E9F" w:rsidRPr="00C86691" w:rsidRDefault="00E24E9F" w:rsidP="009A17A5">
      <w:pPr>
        <w:keepNext/>
        <w:keepLines/>
        <w:rPr>
          <w:szCs w:val="22"/>
        </w:rPr>
      </w:pPr>
      <w:r w:rsidRPr="00C86691">
        <w:rPr>
          <w:szCs w:val="22"/>
        </w:rPr>
        <w:t>________________________________</w:t>
      </w:r>
    </w:p>
    <w:p w:rsidR="00E24E9F" w:rsidRPr="00C86691" w:rsidRDefault="00E24E9F" w:rsidP="009A17A5">
      <w:pPr>
        <w:keepNext/>
        <w:keepLines/>
        <w:rPr>
          <w:szCs w:val="22"/>
        </w:rPr>
      </w:pPr>
      <w:r w:rsidRPr="00C86691">
        <w:rPr>
          <w:szCs w:val="22"/>
        </w:rPr>
        <w:t>Date</w:t>
      </w:r>
    </w:p>
    <w:p w:rsidR="00E24E9F" w:rsidRPr="00C86691" w:rsidRDefault="00E24E9F" w:rsidP="009A17A5">
      <w:pPr>
        <w:keepNext/>
        <w:keepLines/>
        <w:rPr>
          <w:szCs w:val="22"/>
        </w:rPr>
      </w:pPr>
    </w:p>
    <w:p w:rsidR="00E24E9F" w:rsidRPr="00C86691" w:rsidRDefault="00E24E9F" w:rsidP="00710CC1">
      <w:pPr>
        <w:keepLines/>
        <w:rPr>
          <w:szCs w:val="22"/>
        </w:rPr>
      </w:pPr>
    </w:p>
    <w:p w:rsidR="00E24E9F" w:rsidRPr="00C86691" w:rsidRDefault="00E24E9F" w:rsidP="00710CC1">
      <w:pPr>
        <w:keepLines/>
        <w:rPr>
          <w:szCs w:val="22"/>
        </w:rPr>
      </w:pPr>
    </w:p>
    <w:p w:rsidR="00E24E9F" w:rsidRPr="00C86691" w:rsidRDefault="00E24E9F" w:rsidP="00710CC1">
      <w:pPr>
        <w:keepLines/>
        <w:rPr>
          <w:szCs w:val="22"/>
        </w:rPr>
      </w:pPr>
      <w:r w:rsidRPr="00C86691">
        <w:rPr>
          <w:szCs w:val="22"/>
        </w:rPr>
        <w:t>________________________________</w:t>
      </w:r>
    </w:p>
    <w:p w:rsidR="00EE1291" w:rsidRPr="00C86691" w:rsidRDefault="00850299" w:rsidP="00710CC1">
      <w:pPr>
        <w:keepLines/>
        <w:rPr>
          <w:szCs w:val="22"/>
        </w:rPr>
      </w:pPr>
      <w:r w:rsidRPr="00C86691">
        <w:rPr>
          <w:szCs w:val="22"/>
        </w:rPr>
        <w:t>Chris Miller</w:t>
      </w:r>
    </w:p>
    <w:p w:rsidR="00EE1291" w:rsidRPr="00C86691" w:rsidRDefault="00850299" w:rsidP="00710CC1">
      <w:pPr>
        <w:keepLines/>
        <w:rPr>
          <w:szCs w:val="22"/>
        </w:rPr>
      </w:pPr>
      <w:r w:rsidRPr="00C86691">
        <w:rPr>
          <w:szCs w:val="22"/>
        </w:rPr>
        <w:t>Vice President &amp; Associate General Counsel</w:t>
      </w:r>
    </w:p>
    <w:p w:rsidR="00E24E9F" w:rsidRPr="00C86691" w:rsidRDefault="00D95583" w:rsidP="00710CC1">
      <w:pPr>
        <w:keepLines/>
        <w:rPr>
          <w:szCs w:val="22"/>
        </w:rPr>
      </w:pPr>
      <w:r w:rsidRPr="00C86691">
        <w:rPr>
          <w:szCs w:val="22"/>
        </w:rPr>
        <w:t>Verizon</w:t>
      </w:r>
    </w:p>
    <w:p w:rsidR="00E24E9F" w:rsidRPr="00C86691" w:rsidRDefault="00E24E9F" w:rsidP="00710CC1">
      <w:pPr>
        <w:keepLines/>
        <w:rPr>
          <w:szCs w:val="22"/>
        </w:rPr>
      </w:pPr>
    </w:p>
    <w:p w:rsidR="00E24E9F" w:rsidRPr="00C86691" w:rsidRDefault="00E24E9F" w:rsidP="00710CC1">
      <w:pPr>
        <w:keepLines/>
        <w:rPr>
          <w:szCs w:val="22"/>
        </w:rPr>
      </w:pPr>
      <w:r w:rsidRPr="00C86691">
        <w:rPr>
          <w:szCs w:val="22"/>
        </w:rPr>
        <w:t>________________________________</w:t>
      </w:r>
    </w:p>
    <w:p w:rsidR="00E24E9F" w:rsidRPr="002E1D57" w:rsidRDefault="00E24E9F" w:rsidP="002755D1">
      <w:pPr>
        <w:keepLines/>
        <w:rPr>
          <w:szCs w:val="22"/>
        </w:rPr>
      </w:pPr>
      <w:r w:rsidRPr="00C86691">
        <w:rPr>
          <w:szCs w:val="22"/>
        </w:rPr>
        <w:t>Date</w:t>
      </w:r>
    </w:p>
    <w:sectPr w:rsidR="00E24E9F" w:rsidRPr="002E1D57" w:rsidSect="00302835">
      <w:footnotePr>
        <w:numRestart w:val="eachSect"/>
      </w:footnotePr>
      <w:endnotePr>
        <w:numFmt w:val="decimal"/>
      </w:endnotePr>
      <w:pgSz w:w="12240" w:h="15840"/>
      <w:pgMar w:top="1260" w:right="1440" w:bottom="72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A9" w:rsidRDefault="00F827A9">
      <w:pPr>
        <w:spacing w:line="20" w:lineRule="exact"/>
      </w:pPr>
    </w:p>
  </w:endnote>
  <w:endnote w:type="continuationSeparator" w:id="0">
    <w:p w:rsidR="00F827A9" w:rsidRDefault="00F827A9">
      <w:r>
        <w:t xml:space="preserve"> </w:t>
      </w:r>
    </w:p>
  </w:endnote>
  <w:endnote w:type="continuationNotice" w:id="1">
    <w:p w:rsidR="00F827A9" w:rsidRDefault="00F827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8B" w:rsidRDefault="009E5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164795"/>
      <w:docPartObj>
        <w:docPartGallery w:val="Page Numbers (Bottom of Page)"/>
        <w:docPartUnique/>
      </w:docPartObj>
    </w:sdtPr>
    <w:sdtEndPr>
      <w:rPr>
        <w:noProof/>
      </w:rPr>
    </w:sdtEndPr>
    <w:sdtContent>
      <w:p w:rsidR="009728A4" w:rsidRDefault="009B474D" w:rsidP="00453A9E">
        <w:pPr>
          <w:pStyle w:val="Footer"/>
          <w:jc w:val="center"/>
        </w:pPr>
        <w:r>
          <w:fldChar w:fldCharType="begin"/>
        </w:r>
        <w:r w:rsidR="009728A4">
          <w:instrText xml:space="preserve"> PAGE   \* MERGEFORMAT </w:instrText>
        </w:r>
        <w:r>
          <w:fldChar w:fldCharType="separate"/>
        </w:r>
        <w:r w:rsidR="006C7C95">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A4" w:rsidRDefault="009728A4">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A9" w:rsidRDefault="00F827A9">
      <w:r>
        <w:separator/>
      </w:r>
    </w:p>
  </w:footnote>
  <w:footnote w:type="continuationSeparator" w:id="0">
    <w:p w:rsidR="00F827A9" w:rsidRDefault="00F827A9" w:rsidP="00C721AC">
      <w:pPr>
        <w:spacing w:before="120"/>
        <w:rPr>
          <w:sz w:val="20"/>
        </w:rPr>
      </w:pPr>
      <w:r>
        <w:rPr>
          <w:sz w:val="20"/>
        </w:rPr>
        <w:t xml:space="preserve">(Continued from previous page)  </w:t>
      </w:r>
      <w:r>
        <w:rPr>
          <w:sz w:val="20"/>
        </w:rPr>
        <w:separator/>
      </w:r>
    </w:p>
  </w:footnote>
  <w:footnote w:type="continuationNotice" w:id="1">
    <w:p w:rsidR="00F827A9" w:rsidRDefault="00F827A9" w:rsidP="00C721AC">
      <w:pPr>
        <w:jc w:val="right"/>
        <w:rPr>
          <w:sz w:val="20"/>
        </w:rPr>
      </w:pPr>
      <w:r>
        <w:rPr>
          <w:sz w:val="20"/>
        </w:rPr>
        <w:t>(continued….)</w:t>
      </w:r>
    </w:p>
  </w:footnote>
  <w:footnote w:id="2">
    <w:p w:rsidR="00235BBD" w:rsidRDefault="00235BBD">
      <w:pPr>
        <w:pStyle w:val="FootnoteText"/>
      </w:pPr>
      <w:r>
        <w:rPr>
          <w:rStyle w:val="FootnoteReference"/>
        </w:rPr>
        <w:footnoteRef/>
      </w:r>
      <w:r>
        <w:t xml:space="preserve"> This investigation was initiated under File No. EB-IHD-13-00011647 and subsequently assigned File No. EB-IHD-14-00014821.</w:t>
      </w:r>
    </w:p>
  </w:footnote>
  <w:footnote w:id="3">
    <w:p w:rsidR="00B70490" w:rsidRPr="00D84548" w:rsidRDefault="00B70490" w:rsidP="00B70490">
      <w:pPr>
        <w:pStyle w:val="FootnoteText"/>
        <w:tabs>
          <w:tab w:val="left" w:pos="2207"/>
        </w:tabs>
      </w:pPr>
      <w:r w:rsidRPr="00ED5746">
        <w:rPr>
          <w:rStyle w:val="FootnoteReference"/>
        </w:rPr>
        <w:footnoteRef/>
      </w:r>
      <w:r w:rsidRPr="00D84548">
        <w:t xml:space="preserve"> </w:t>
      </w:r>
      <w:r w:rsidRPr="00D84548">
        <w:rPr>
          <w:szCs w:val="22"/>
        </w:rPr>
        <w:t>47 U.S.C. §</w:t>
      </w:r>
      <w:r>
        <w:rPr>
          <w:szCs w:val="22"/>
        </w:rPr>
        <w:t xml:space="preserve">§ 201(b), 202(a); </w:t>
      </w:r>
      <w:r w:rsidRPr="00A130B6">
        <w:rPr>
          <w:i/>
          <w:szCs w:val="22"/>
        </w:rPr>
        <w:t>see also</w:t>
      </w:r>
      <w:r>
        <w:rPr>
          <w:szCs w:val="22"/>
        </w:rPr>
        <w:t xml:space="preserve"> </w:t>
      </w:r>
      <w:r w:rsidRPr="00A130B6">
        <w:rPr>
          <w:i/>
          <w:szCs w:val="22"/>
        </w:rPr>
        <w:t>Developing an Unified Intercarrier Compensation Regime</w:t>
      </w:r>
      <w:r>
        <w:rPr>
          <w:szCs w:val="22"/>
        </w:rPr>
        <w:t>, Declaratory Ruling, 27 FCC Rcd 1351 (Wireline Comp. Bur. 2012)</w:t>
      </w:r>
      <w:r w:rsidRPr="00D84548">
        <w:rPr>
          <w:szCs w:val="22"/>
        </w:rPr>
        <w:t>.</w:t>
      </w:r>
    </w:p>
  </w:footnote>
  <w:footnote w:id="4">
    <w:p w:rsidR="00B70490" w:rsidRPr="00D84548" w:rsidRDefault="00B70490" w:rsidP="00B70490">
      <w:pPr>
        <w:pStyle w:val="FootnoteText"/>
      </w:pPr>
      <w:r w:rsidRPr="00D84548">
        <w:rPr>
          <w:rStyle w:val="FootnoteReference"/>
        </w:rPr>
        <w:footnoteRef/>
      </w:r>
      <w:r w:rsidRPr="00D84548">
        <w:t xml:space="preserve"> </w:t>
      </w:r>
      <w:r w:rsidRPr="00D84548">
        <w:rPr>
          <w:szCs w:val="22"/>
        </w:rPr>
        <w:t>47 U.S.C. § 154(i).</w:t>
      </w:r>
    </w:p>
  </w:footnote>
  <w:footnote w:id="5">
    <w:p w:rsidR="00B70490" w:rsidRDefault="00B70490" w:rsidP="00B70490">
      <w:pPr>
        <w:pStyle w:val="FootnoteText"/>
      </w:pPr>
      <w:r w:rsidRPr="00D84548">
        <w:rPr>
          <w:rStyle w:val="FootnoteReference"/>
        </w:rPr>
        <w:footnoteRef/>
      </w:r>
      <w:r w:rsidRPr="00D84548">
        <w:t xml:space="preserve"> </w:t>
      </w:r>
      <w:r w:rsidRPr="00D84548">
        <w:rPr>
          <w:szCs w:val="22"/>
        </w:rPr>
        <w:t>47 C.F.R §§ 0.111, 0.311.</w:t>
      </w:r>
    </w:p>
  </w:footnote>
  <w:footnote w:id="6">
    <w:p w:rsidR="009728A4" w:rsidRDefault="009728A4">
      <w:pPr>
        <w:pStyle w:val="FootnoteText"/>
      </w:pPr>
      <w:r>
        <w:rPr>
          <w:rStyle w:val="FootnoteReference"/>
        </w:rPr>
        <w:footnoteRef/>
      </w:r>
      <w:r>
        <w:t xml:space="preserve"> This investigation was initiated under File No. EB-IHD-13-00011647 and subsequently assigned File No. EB-IHD-14-00014821.</w:t>
      </w:r>
    </w:p>
  </w:footnote>
  <w:footnote w:id="7">
    <w:p w:rsidR="009728A4" w:rsidRPr="00E457F3" w:rsidRDefault="009728A4">
      <w:pPr>
        <w:pStyle w:val="FootnoteText"/>
      </w:pPr>
      <w:r>
        <w:rPr>
          <w:rStyle w:val="FootnoteReference"/>
        </w:rPr>
        <w:footnoteRef/>
      </w:r>
      <w:r>
        <w:t xml:space="preserve"> </w:t>
      </w:r>
      <w:r w:rsidRPr="00D95583">
        <w:rPr>
          <w:i/>
        </w:rPr>
        <w:t>See</w:t>
      </w:r>
      <w:r>
        <w:t xml:space="preserve"> 47 U.S.C. </w:t>
      </w:r>
      <w:r w:rsidRPr="001B63BB">
        <w:rPr>
          <w:szCs w:val="22"/>
        </w:rPr>
        <w:t>§§</w:t>
      </w:r>
      <w:r>
        <w:rPr>
          <w:szCs w:val="22"/>
        </w:rPr>
        <w:t xml:space="preserve"> 201(b), 202(a); </w:t>
      </w:r>
      <w:r w:rsidRPr="007C5FAB">
        <w:rPr>
          <w:i/>
        </w:rPr>
        <w:t>see also</w:t>
      </w:r>
      <w:r>
        <w:rPr>
          <w:szCs w:val="22"/>
        </w:rPr>
        <w:t xml:space="preserve"> </w:t>
      </w:r>
      <w:r w:rsidRPr="00E457F3">
        <w:rPr>
          <w:i/>
          <w:szCs w:val="22"/>
        </w:rPr>
        <w:t>Developing an Unified Intercarrier Compensation Regime</w:t>
      </w:r>
      <w:r>
        <w:rPr>
          <w:szCs w:val="22"/>
        </w:rPr>
        <w:t>, Declaratory Ruling, 27 FCC Rcd 1351 (Wireline Comp. Bur. 2012) (</w:t>
      </w:r>
      <w:r w:rsidRPr="00E457F3">
        <w:rPr>
          <w:i/>
          <w:szCs w:val="22"/>
        </w:rPr>
        <w:t>Rural Call Completion Declaratory Ruling</w:t>
      </w:r>
      <w:r>
        <w:rPr>
          <w:szCs w:val="22"/>
        </w:rPr>
        <w:t>).</w:t>
      </w:r>
    </w:p>
  </w:footnote>
  <w:footnote w:id="8">
    <w:p w:rsidR="009728A4" w:rsidRDefault="009728A4">
      <w:pPr>
        <w:pStyle w:val="FootnoteText"/>
      </w:pPr>
      <w:r>
        <w:rPr>
          <w:rStyle w:val="FootnoteReference"/>
        </w:rPr>
        <w:footnoteRef/>
      </w:r>
      <w:r>
        <w:t xml:space="preserve"> </w:t>
      </w:r>
      <w:r w:rsidRPr="00DC051F">
        <w:t xml:space="preserve">The definitions herein are only for purposes of this Consent Decree and do not affect any definitions in any other Commission order or proceeding, including other matters dealing with rural call completion.  As an example, the definition of “answered call” in this Consent Decree has no </w:t>
      </w:r>
      <w:r w:rsidR="009F7FB6">
        <w:t>e</w:t>
      </w:r>
      <w:r w:rsidRPr="00DC051F">
        <w:t xml:space="preserve">ffect </w:t>
      </w:r>
      <w:r w:rsidR="009F7FB6">
        <w:t xml:space="preserve">on </w:t>
      </w:r>
      <w:r w:rsidRPr="00DC051F">
        <w:t xml:space="preserve">and does not alter the definition of “answered call” in the </w:t>
      </w:r>
      <w:r w:rsidRPr="008A0C4A">
        <w:rPr>
          <w:i/>
        </w:rPr>
        <w:t>Rural Call Completion Order</w:t>
      </w:r>
      <w:r w:rsidRPr="00DC051F">
        <w:t>.</w:t>
      </w:r>
    </w:p>
  </w:footnote>
  <w:footnote w:id="9">
    <w:p w:rsidR="009728A4" w:rsidRDefault="009728A4">
      <w:pPr>
        <w:pStyle w:val="FootnoteText"/>
      </w:pPr>
      <w:r>
        <w:rPr>
          <w:rStyle w:val="FootnoteReference"/>
        </w:rPr>
        <w:footnoteRef/>
      </w:r>
      <w:r>
        <w:t xml:space="preserve"> </w:t>
      </w:r>
      <w:r w:rsidRPr="001B63BB">
        <w:rPr>
          <w:szCs w:val="22"/>
        </w:rPr>
        <w:t xml:space="preserve">47 U.S.C. § 151 </w:t>
      </w:r>
      <w:r w:rsidRPr="001B63BB">
        <w:rPr>
          <w:i/>
          <w:szCs w:val="22"/>
        </w:rPr>
        <w:t>et seq.</w:t>
      </w:r>
    </w:p>
  </w:footnote>
  <w:footnote w:id="10">
    <w:p w:rsidR="009728A4" w:rsidRDefault="009728A4">
      <w:pPr>
        <w:pStyle w:val="FootnoteText"/>
      </w:pPr>
      <w:r>
        <w:rPr>
          <w:rStyle w:val="FootnoteReference"/>
        </w:rPr>
        <w:footnoteRef/>
      </w:r>
      <w:r>
        <w:t xml:space="preserve"> 47 C.F.R. </w:t>
      </w:r>
      <w:r w:rsidRPr="001B63BB">
        <w:rPr>
          <w:szCs w:val="22"/>
        </w:rPr>
        <w:t>§</w:t>
      </w:r>
      <w:r>
        <w:rPr>
          <w:szCs w:val="22"/>
        </w:rPr>
        <w:t xml:space="preserve"> 64.1600(f).</w:t>
      </w:r>
    </w:p>
  </w:footnote>
  <w:footnote w:id="11">
    <w:p w:rsidR="009728A4" w:rsidRDefault="009728A4">
      <w:pPr>
        <w:pStyle w:val="FootnoteText"/>
      </w:pPr>
      <w:r>
        <w:rPr>
          <w:rStyle w:val="FootnoteReference"/>
        </w:rPr>
        <w:footnoteRef/>
      </w:r>
      <w:r>
        <w:t xml:space="preserve"> </w:t>
      </w:r>
      <w:r w:rsidRPr="003B5426">
        <w:rPr>
          <w:i/>
          <w:szCs w:val="22"/>
        </w:rPr>
        <w:t xml:space="preserve">See </w:t>
      </w:r>
      <w:r w:rsidRPr="003B5426">
        <w:rPr>
          <w:szCs w:val="22"/>
        </w:rPr>
        <w:t>Alliance for Telecommunications Industry Solutions,</w:t>
      </w:r>
      <w:r w:rsidRPr="003B5426">
        <w:rPr>
          <w:i/>
          <w:szCs w:val="22"/>
        </w:rPr>
        <w:t xml:space="preserve"> ATIS Telecom Glossary</w:t>
      </w:r>
      <w:r w:rsidRPr="003B5426">
        <w:rPr>
          <w:szCs w:val="22"/>
        </w:rPr>
        <w:t xml:space="preserve">, </w:t>
      </w:r>
      <w:r w:rsidRPr="003B5426">
        <w:rPr>
          <w:i/>
          <w:szCs w:val="22"/>
        </w:rPr>
        <w:t>available at</w:t>
      </w:r>
      <w:r w:rsidRPr="003B5426">
        <w:rPr>
          <w:szCs w:val="22"/>
        </w:rPr>
        <w:t xml:space="preserve"> http://www.atis.org/glossary/definition.aspx?id=844</w:t>
      </w:r>
      <w:r>
        <w:rPr>
          <w:szCs w:val="22"/>
        </w:rPr>
        <w:t xml:space="preserve">8 (last accessed </w:t>
      </w:r>
      <w:r w:rsidR="009F7FB6">
        <w:rPr>
          <w:szCs w:val="22"/>
        </w:rPr>
        <w:t>Dec</w:t>
      </w:r>
      <w:r>
        <w:rPr>
          <w:szCs w:val="22"/>
        </w:rPr>
        <w:t xml:space="preserve">. </w:t>
      </w:r>
      <w:r w:rsidR="009F7FB6">
        <w:rPr>
          <w:szCs w:val="22"/>
        </w:rPr>
        <w:t>22</w:t>
      </w:r>
      <w:r>
        <w:rPr>
          <w:szCs w:val="22"/>
        </w:rPr>
        <w:t>, 2014)</w:t>
      </w:r>
      <w:r w:rsidRPr="002E1D57">
        <w:rPr>
          <w:szCs w:val="22"/>
        </w:rPr>
        <w:t>.</w:t>
      </w:r>
    </w:p>
  </w:footnote>
  <w:footnote w:id="12">
    <w:p w:rsidR="009728A4" w:rsidRPr="00CE6631" w:rsidRDefault="009728A4" w:rsidP="007760CA">
      <w:pPr>
        <w:pStyle w:val="FootnoteText"/>
      </w:pPr>
      <w:r>
        <w:rPr>
          <w:rStyle w:val="FootnoteReference"/>
        </w:rPr>
        <w:footnoteRef/>
      </w:r>
      <w:r>
        <w:t xml:space="preserve"> 47 U.S.C. </w:t>
      </w:r>
      <w:r w:rsidRPr="001F6EE7">
        <w:t>§ 20</w:t>
      </w:r>
      <w:r>
        <w:t>1</w:t>
      </w:r>
      <w:r w:rsidRPr="001F6EE7">
        <w:t>(</w:t>
      </w:r>
      <w:r>
        <w:t>b</w:t>
      </w:r>
      <w:r w:rsidRPr="001F6EE7">
        <w:t>).</w:t>
      </w:r>
      <w:r>
        <w:t xml:space="preserve">  </w:t>
      </w:r>
    </w:p>
  </w:footnote>
  <w:footnote w:id="13">
    <w:p w:rsidR="009728A4" w:rsidRPr="00B75651" w:rsidRDefault="009728A4" w:rsidP="007760CA">
      <w:pPr>
        <w:pStyle w:val="FootnoteText"/>
      </w:pPr>
      <w:r>
        <w:rPr>
          <w:rStyle w:val="FootnoteReference"/>
        </w:rPr>
        <w:footnoteRef/>
      </w:r>
      <w:r>
        <w:t xml:space="preserve"> </w:t>
      </w:r>
      <w:r>
        <w:rPr>
          <w:i/>
        </w:rPr>
        <w:t>Id.</w:t>
      </w:r>
      <w:r>
        <w:t xml:space="preserve"> § 202(a).</w:t>
      </w:r>
    </w:p>
  </w:footnote>
  <w:footnote w:id="14">
    <w:p w:rsidR="009728A4" w:rsidRPr="00C629F0" w:rsidRDefault="009728A4" w:rsidP="007760CA">
      <w:pPr>
        <w:pStyle w:val="FootnoteText"/>
      </w:pPr>
      <w:r>
        <w:rPr>
          <w:rStyle w:val="FootnoteReference"/>
        </w:rPr>
        <w:footnoteRef/>
      </w:r>
      <w:r>
        <w:t xml:space="preserve"> </w:t>
      </w:r>
      <w:r>
        <w:rPr>
          <w:i/>
        </w:rPr>
        <w:t>Reliability and Continuity of Communications Networks</w:t>
      </w:r>
      <w:r>
        <w:t xml:space="preserve">, </w:t>
      </w:r>
      <w:r>
        <w:rPr>
          <w:i/>
        </w:rPr>
        <w:t>Including Broadband Technologies</w:t>
      </w:r>
      <w:r>
        <w:t xml:space="preserve">, Notice of Inquiry, 26 FCC Rcd 5614, 5616, para. 5 (2011); </w:t>
      </w:r>
      <w:r>
        <w:rPr>
          <w:i/>
        </w:rPr>
        <w:t>see also</w:t>
      </w:r>
      <w:r w:rsidRPr="00183BC9">
        <w:rPr>
          <w:i/>
        </w:rPr>
        <w:t xml:space="preserve"> </w:t>
      </w:r>
      <w:r>
        <w:rPr>
          <w:i/>
        </w:rPr>
        <w:t>Establishing Just and Reasonable Rates for Local Exchange Carriers</w:t>
      </w:r>
      <w:r>
        <w:t>, Declaratory Ruling and Order, 22 FCC Rcd 11629, para. 1 (Wireline Comp. Bur. 2007) (explaining that “the ubiquity and reliability of the nation’s telecommunications network is of paramount importance to the explicit goals of the Communications Act”)</w:t>
      </w:r>
      <w:r w:rsidRPr="00301F5E">
        <w:t xml:space="preserve"> </w:t>
      </w:r>
      <w:r>
        <w:t>(</w:t>
      </w:r>
      <w:r>
        <w:rPr>
          <w:i/>
        </w:rPr>
        <w:t>Call Blocking Declaratory Ruling</w:t>
      </w:r>
      <w:r>
        <w:t xml:space="preserve">).  </w:t>
      </w:r>
    </w:p>
  </w:footnote>
  <w:footnote w:id="15">
    <w:p w:rsidR="009728A4" w:rsidRPr="00A817C9" w:rsidRDefault="009728A4" w:rsidP="007760CA">
      <w:pPr>
        <w:pStyle w:val="FootnoteText"/>
      </w:pPr>
      <w:r>
        <w:rPr>
          <w:rStyle w:val="FootnoteReference"/>
        </w:rPr>
        <w:footnoteRef/>
      </w:r>
      <w:r>
        <w:t xml:space="preserve"> </w:t>
      </w:r>
      <w:r>
        <w:rPr>
          <w:i/>
        </w:rPr>
        <w:t>Connect America Fund</w:t>
      </w:r>
      <w:r>
        <w:t xml:space="preserve">, Report and Order and Further Notice of Proposed Rulemaking, 26 FCC Rcd 17663, 18029, para. 973 (2011), </w:t>
      </w:r>
      <w:r w:rsidR="000C27BB">
        <w:rPr>
          <w:i/>
        </w:rPr>
        <w:t xml:space="preserve">aff’d </w:t>
      </w:r>
      <w:r>
        <w:rPr>
          <w:i/>
        </w:rPr>
        <w:t>sub nom. In re: FCC 11-161</w:t>
      </w:r>
      <w:r w:rsidR="000C27BB">
        <w:rPr>
          <w:i/>
        </w:rPr>
        <w:t xml:space="preserve">, </w:t>
      </w:r>
      <w:r w:rsidR="000C27BB">
        <w:t>753 F.3d 1015</w:t>
      </w:r>
      <w:r w:rsidR="000C27BB">
        <w:rPr>
          <w:i/>
        </w:rPr>
        <w:t xml:space="preserve"> </w:t>
      </w:r>
      <w:r>
        <w:t xml:space="preserve">(10th Cir. </w:t>
      </w:r>
      <w:r w:rsidR="000C27BB">
        <w:t>2014</w:t>
      </w:r>
      <w:r>
        <w:t xml:space="preserve">) (quoting </w:t>
      </w:r>
      <w:r>
        <w:rPr>
          <w:i/>
        </w:rPr>
        <w:t>Access Charge Reform</w:t>
      </w:r>
      <w:r>
        <w:t>,</w:t>
      </w:r>
      <w:r>
        <w:rPr>
          <w:i/>
        </w:rPr>
        <w:t xml:space="preserve"> </w:t>
      </w:r>
      <w:r w:rsidRPr="00A817C9">
        <w:t>Seventh</w:t>
      </w:r>
      <w:r>
        <w:rPr>
          <w:i/>
        </w:rPr>
        <w:t xml:space="preserve"> </w:t>
      </w:r>
      <w:r>
        <w:t xml:space="preserve">Report and Order and Further Notice of Proposed Rulemaking, 16 FCC Rcd 9923, 9933, para. 24 (2001)) (footnotes omitted).  </w:t>
      </w:r>
    </w:p>
  </w:footnote>
  <w:footnote w:id="16">
    <w:p w:rsidR="009728A4" w:rsidRPr="00663E7B" w:rsidRDefault="009728A4" w:rsidP="007760CA">
      <w:pPr>
        <w:pStyle w:val="FootnoteText"/>
        <w:rPr>
          <w:i/>
        </w:rPr>
      </w:pPr>
      <w:r>
        <w:rPr>
          <w:rStyle w:val="FootnoteReference"/>
        </w:rPr>
        <w:footnoteRef/>
      </w:r>
      <w:r>
        <w:t xml:space="preserve"> </w:t>
      </w:r>
      <w:r>
        <w:rPr>
          <w:i/>
        </w:rPr>
        <w:t>Id.</w:t>
      </w:r>
      <w:r>
        <w:t xml:space="preserve"> at 17903, para. 734 (quoting </w:t>
      </w:r>
      <w:r>
        <w:rPr>
          <w:i/>
        </w:rPr>
        <w:t>Call Blocking Declaratory Ruling</w:t>
      </w:r>
      <w:r>
        <w:t xml:space="preserve">, 22 FCC Rcd at 11631, para. 6).  The Commission has permitted call blocking “only under rare and limited circumstances.”  </w:t>
      </w:r>
      <w:r>
        <w:rPr>
          <w:i/>
        </w:rPr>
        <w:t>See Call Blocking Declaratory Ruling</w:t>
      </w:r>
      <w:r>
        <w:t xml:space="preserve">, 22 FCC Rcd at 11631, para. 6 n.20.  </w:t>
      </w:r>
    </w:p>
  </w:footnote>
  <w:footnote w:id="17">
    <w:p w:rsidR="009728A4" w:rsidRPr="001F6EE7" w:rsidRDefault="009728A4" w:rsidP="007760CA">
      <w:pPr>
        <w:pStyle w:val="FootnoteText"/>
      </w:pPr>
      <w:r w:rsidRPr="001F6EE7">
        <w:rPr>
          <w:rStyle w:val="FootnoteReference"/>
        </w:rPr>
        <w:footnoteRef/>
      </w:r>
      <w:r w:rsidRPr="001F6EE7">
        <w:t xml:space="preserve"> Letter from Michael Romano, National Telecommunications Cooperative Association, </w:t>
      </w:r>
      <w:r w:rsidRPr="001F6EE7">
        <w:rPr>
          <w:i/>
        </w:rPr>
        <w:t>et al.</w:t>
      </w:r>
      <w:r w:rsidRPr="001F6EE7">
        <w:t>, to Theresa Z. Cavanaugh, Acting Chief</w:t>
      </w:r>
      <w:r>
        <w:t>, Investigations &amp; Hearings Division, FCC Enforcement Bureau,</w:t>
      </w:r>
      <w:r w:rsidRPr="001F6EE7">
        <w:t xml:space="preserve"> and Margaret Dailey, Attorney Advisor, Investigations &amp;</w:t>
      </w:r>
      <w:r>
        <w:t xml:space="preserve"> </w:t>
      </w:r>
      <w:r w:rsidRPr="001F6EE7">
        <w:t>Hearings Division, FCC Enforcement Bureau at 3 (June 13, 2011</w:t>
      </w:r>
      <w:r>
        <w:t>)</w:t>
      </w:r>
      <w:r w:rsidRPr="001F6EE7">
        <w:t xml:space="preserve">.  </w:t>
      </w:r>
    </w:p>
  </w:footnote>
  <w:footnote w:id="18">
    <w:p w:rsidR="009728A4" w:rsidRPr="001F6EE7" w:rsidRDefault="009728A4" w:rsidP="007760CA">
      <w:pPr>
        <w:pStyle w:val="FootnoteText"/>
      </w:pPr>
      <w:r w:rsidRPr="001F6EE7">
        <w:rPr>
          <w:rStyle w:val="FootnoteReference"/>
        </w:rPr>
        <w:footnoteRef/>
      </w:r>
      <w:r w:rsidRPr="001F6EE7">
        <w:t xml:space="preserve"> </w:t>
      </w:r>
      <w:r w:rsidRPr="001F6EE7">
        <w:rPr>
          <w:i/>
        </w:rPr>
        <w:t>FCC Launches Rural Call Completion Task Force to Address Call Routing and Termination Problems in Rural America</w:t>
      </w:r>
      <w:r w:rsidRPr="001F6EE7">
        <w:t xml:space="preserve">, News Release, 2011 WL 4454097 (Sept. 26, 2011), </w:t>
      </w:r>
      <w:r>
        <w:rPr>
          <w:i/>
        </w:rPr>
        <w:t xml:space="preserve">available at </w:t>
      </w:r>
      <w:r w:rsidRPr="001F6EE7">
        <w:t xml:space="preserve">http://www.fcc.gov/document/fcc-launches-rural-call-completion-task-force-sets-oct-18-workshop.  The Task Force conducted a workshop on rural call completion issues on October 18, 2011.  </w:t>
      </w:r>
      <w:r w:rsidRPr="001F6EE7">
        <w:rPr>
          <w:i/>
        </w:rPr>
        <w:t>See</w:t>
      </w:r>
      <w:r w:rsidRPr="001F6EE7">
        <w:t xml:space="preserve"> http://www.fcc.gov/events/rural-call-completion-workshop.  </w:t>
      </w:r>
    </w:p>
  </w:footnote>
  <w:footnote w:id="19">
    <w:p w:rsidR="009728A4" w:rsidRDefault="009728A4">
      <w:pPr>
        <w:pStyle w:val="FootnoteText"/>
      </w:pPr>
      <w:r>
        <w:rPr>
          <w:rStyle w:val="FootnoteReference"/>
        </w:rPr>
        <w:footnoteRef/>
      </w:r>
      <w:r>
        <w:t xml:space="preserve"> </w:t>
      </w:r>
      <w:r>
        <w:rPr>
          <w:i/>
        </w:rPr>
        <w:t>Rural Call Completion Declaratory Ruling</w:t>
      </w:r>
      <w:r>
        <w:t>,</w:t>
      </w:r>
      <w:r>
        <w:rPr>
          <w:i/>
        </w:rPr>
        <w:t xml:space="preserve"> </w:t>
      </w:r>
      <w:r w:rsidRPr="001F6EE7">
        <w:t xml:space="preserve">27 FCC Rcd </w:t>
      </w:r>
      <w:r>
        <w:t>at 1355, para. 11.</w:t>
      </w:r>
    </w:p>
  </w:footnote>
  <w:footnote w:id="20">
    <w:p w:rsidR="009728A4" w:rsidRPr="001F6EE7" w:rsidRDefault="009728A4" w:rsidP="007760CA">
      <w:pPr>
        <w:pStyle w:val="FootnoteText"/>
      </w:pPr>
      <w:r w:rsidRPr="001F6EE7">
        <w:rPr>
          <w:rStyle w:val="FootnoteReference"/>
        </w:rPr>
        <w:footnoteRef/>
      </w:r>
      <w:r w:rsidRPr="001F6EE7">
        <w:t xml:space="preserve"> </w:t>
      </w:r>
      <w:r w:rsidRPr="00346637">
        <w:rPr>
          <w:i/>
        </w:rPr>
        <w:t>Id</w:t>
      </w:r>
      <w:r>
        <w:t>. at</w:t>
      </w:r>
      <w:r w:rsidRPr="001F6EE7">
        <w:t xml:space="preserve"> 1355–56, para. 12 (footnote omitted).  </w:t>
      </w:r>
    </w:p>
  </w:footnote>
  <w:footnote w:id="21">
    <w:p w:rsidR="009728A4" w:rsidRPr="00B75651" w:rsidRDefault="009728A4" w:rsidP="007760CA">
      <w:pPr>
        <w:pStyle w:val="FootnoteText"/>
      </w:pPr>
      <w:r>
        <w:rPr>
          <w:rStyle w:val="FootnoteReference"/>
        </w:rPr>
        <w:footnoteRef/>
      </w:r>
      <w:r>
        <w:t xml:space="preserve"> </w:t>
      </w:r>
      <w:r>
        <w:rPr>
          <w:i/>
        </w:rPr>
        <w:t>Id.</w:t>
      </w:r>
      <w:r>
        <w:t xml:space="preserve"> at 1357–58, para. 14. </w:t>
      </w:r>
    </w:p>
  </w:footnote>
  <w:footnote w:id="22">
    <w:p w:rsidR="009728A4" w:rsidRPr="00807483" w:rsidRDefault="009728A4" w:rsidP="00323039">
      <w:pPr>
        <w:pStyle w:val="FootnoteText"/>
      </w:pPr>
      <w:r>
        <w:rPr>
          <w:rStyle w:val="FootnoteReference"/>
        </w:rPr>
        <w:footnoteRef/>
      </w:r>
      <w:r>
        <w:t xml:space="preserve"> </w:t>
      </w:r>
      <w:r w:rsidRPr="006E286C">
        <w:rPr>
          <w:i/>
        </w:rPr>
        <w:t>See</w:t>
      </w:r>
      <w:r>
        <w:t xml:space="preserve"> </w:t>
      </w:r>
      <w:r>
        <w:rPr>
          <w:i/>
        </w:rPr>
        <w:t>Rural Call Completion Order</w:t>
      </w:r>
      <w:r>
        <w:t>,</w:t>
      </w:r>
      <w:r>
        <w:rPr>
          <w:i/>
        </w:rPr>
        <w:t xml:space="preserve"> </w:t>
      </w:r>
      <w:r>
        <w:t xml:space="preserve">28 FCC Rcd at 16211–14, Appendix A.  </w:t>
      </w:r>
    </w:p>
  </w:footnote>
  <w:footnote w:id="23">
    <w:p w:rsidR="009728A4" w:rsidRPr="00E73A73" w:rsidRDefault="009728A4" w:rsidP="00323039">
      <w:pPr>
        <w:pStyle w:val="FootnoteText"/>
      </w:pPr>
      <w:r>
        <w:rPr>
          <w:rStyle w:val="FootnoteReference"/>
        </w:rPr>
        <w:footnoteRef/>
      </w:r>
      <w:r>
        <w:t xml:space="preserve"> </w:t>
      </w:r>
      <w:r>
        <w:rPr>
          <w:i/>
        </w:rPr>
        <w:t>Id.</w:t>
      </w:r>
      <w:r>
        <w:t xml:space="preserve"> at 16161, para. 14.  </w:t>
      </w:r>
    </w:p>
  </w:footnote>
  <w:footnote w:id="24">
    <w:p w:rsidR="009728A4" w:rsidRPr="00E73A73" w:rsidRDefault="009728A4" w:rsidP="00323039">
      <w:pPr>
        <w:pStyle w:val="FootnoteText"/>
      </w:pPr>
      <w:r>
        <w:rPr>
          <w:rStyle w:val="FootnoteReference"/>
        </w:rPr>
        <w:footnoteRef/>
      </w:r>
      <w:r>
        <w:t xml:space="preserve"> </w:t>
      </w:r>
      <w:r>
        <w:rPr>
          <w:i/>
        </w:rPr>
        <w:t>Id.</w:t>
      </w:r>
      <w:r>
        <w:t xml:space="preserve"> at 16155, para. 1.  </w:t>
      </w:r>
    </w:p>
  </w:footnote>
  <w:footnote w:id="25">
    <w:p w:rsidR="009728A4" w:rsidRPr="00A13A82" w:rsidRDefault="009728A4" w:rsidP="00323039">
      <w:pPr>
        <w:pStyle w:val="FootnoteText"/>
      </w:pPr>
      <w:r>
        <w:rPr>
          <w:rStyle w:val="FootnoteReference"/>
        </w:rPr>
        <w:footnoteRef/>
      </w:r>
      <w:r>
        <w:t xml:space="preserve"> “Covered provider” means </w:t>
      </w:r>
      <w:r w:rsidR="000C27BB">
        <w:t>“</w:t>
      </w:r>
      <w:r>
        <w:t>a</w:t>
      </w:r>
      <w:r w:rsidR="000C27BB">
        <w:t xml:space="preserve"> </w:t>
      </w:r>
      <w:r>
        <w:t xml:space="preserve">provider of long-distance voice service that makes the initial long-distance call path choice for more than 100,000 domestic retail subscriber lines.”  </w:t>
      </w:r>
      <w:r w:rsidR="000C27BB" w:rsidRPr="00BE34F5">
        <w:rPr>
          <w:i/>
        </w:rPr>
        <w:t>See i</w:t>
      </w:r>
      <w:r>
        <w:rPr>
          <w:i/>
        </w:rPr>
        <w:t>d.</w:t>
      </w:r>
      <w:r>
        <w:t xml:space="preserve"> at 16165, 16211, para. 20, Appendix A § 64.2101(c).  </w:t>
      </w:r>
    </w:p>
  </w:footnote>
  <w:footnote w:id="26">
    <w:p w:rsidR="009728A4" w:rsidRDefault="009728A4" w:rsidP="00323039">
      <w:pPr>
        <w:pStyle w:val="FootnoteText"/>
      </w:pPr>
      <w:r>
        <w:rPr>
          <w:rStyle w:val="FootnoteReference"/>
        </w:rPr>
        <w:footnoteRef/>
      </w:r>
      <w:r>
        <w:t xml:space="preserve"> </w:t>
      </w:r>
      <w:r>
        <w:rPr>
          <w:szCs w:val="22"/>
        </w:rPr>
        <w:t xml:space="preserve">The Commission concluded that “the only call attempts that need to be retained are those to incumbent LECs that are rural telephone companies” because “rural call completion problems are largely confined to such carriers.”  </w:t>
      </w:r>
      <w:r>
        <w:rPr>
          <w:i/>
        </w:rPr>
        <w:t>Id.</w:t>
      </w:r>
      <w:r>
        <w:t xml:space="preserve"> at 16177–78, para. 49; </w:t>
      </w:r>
      <w:r>
        <w:rPr>
          <w:i/>
        </w:rPr>
        <w:t>see also</w:t>
      </w:r>
      <w:r>
        <w:t xml:space="preserve"> 47 U.S.C. § 153(44).  </w:t>
      </w:r>
    </w:p>
  </w:footnote>
  <w:footnote w:id="27">
    <w:p w:rsidR="009728A4" w:rsidRDefault="009728A4" w:rsidP="00323039">
      <w:pPr>
        <w:pStyle w:val="FootnoteText"/>
      </w:pPr>
      <w:r>
        <w:rPr>
          <w:rStyle w:val="FootnoteReference"/>
        </w:rPr>
        <w:footnoteRef/>
      </w:r>
      <w:r>
        <w:t xml:space="preserve"> </w:t>
      </w:r>
      <w:r>
        <w:rPr>
          <w:i/>
        </w:rPr>
        <w:t>Rural Call Completion Order</w:t>
      </w:r>
      <w:r>
        <w:t xml:space="preserve">, 28 FCC Rcd at 16184, para. 65.  </w:t>
      </w:r>
    </w:p>
  </w:footnote>
  <w:footnote w:id="28">
    <w:p w:rsidR="009728A4" w:rsidRPr="00417DFB" w:rsidRDefault="009728A4" w:rsidP="00323039">
      <w:pPr>
        <w:pStyle w:val="FootnoteText"/>
      </w:pPr>
      <w:r>
        <w:rPr>
          <w:rStyle w:val="FootnoteReference"/>
        </w:rPr>
        <w:footnoteRef/>
      </w:r>
      <w:r>
        <w:t xml:space="preserve"> </w:t>
      </w:r>
      <w:r>
        <w:rPr>
          <w:i/>
        </w:rPr>
        <w:t>Id.</w:t>
      </w:r>
      <w:r>
        <w:t xml:space="preserve"> at 16207, para. 131.  </w:t>
      </w:r>
    </w:p>
  </w:footnote>
  <w:footnote w:id="29">
    <w:p w:rsidR="009728A4" w:rsidRPr="006164BA" w:rsidRDefault="009728A4" w:rsidP="00323039">
      <w:pPr>
        <w:pStyle w:val="FootnoteText"/>
      </w:pPr>
      <w:r>
        <w:rPr>
          <w:rStyle w:val="FootnoteReference"/>
        </w:rPr>
        <w:footnoteRef/>
      </w:r>
      <w:r>
        <w:t xml:space="preserve"> </w:t>
      </w:r>
      <w:r w:rsidRPr="00046876">
        <w:rPr>
          <w:i/>
        </w:rPr>
        <w:t>Rural Call Completion Reconsideration Order</w:t>
      </w:r>
      <w:r>
        <w:t xml:space="preserve">, 2014 WL 6070709, at *11, para. 38 (citing </w:t>
      </w:r>
      <w:r w:rsidRPr="00046876">
        <w:rPr>
          <w:i/>
        </w:rPr>
        <w:t>2012 Declaratory Ruling</w:t>
      </w:r>
      <w:r>
        <w:t>, 27 FCC Rcd at 1355-56, 1358-59, paras. 12, 16).</w:t>
      </w:r>
    </w:p>
  </w:footnote>
  <w:footnote w:id="30">
    <w:p w:rsidR="009728A4" w:rsidRDefault="009728A4" w:rsidP="00EA53AE">
      <w:pPr>
        <w:pStyle w:val="FootnoteText"/>
      </w:pPr>
      <w:r>
        <w:rPr>
          <w:rStyle w:val="FootnoteReference"/>
        </w:rPr>
        <w:footnoteRef/>
      </w:r>
      <w:r>
        <w:t xml:space="preserve"> The rural OCNs identified in Verizon’s reports were originally based on a list created by Verizon using a methodology devised by the Commission.  Subsequently, NECA published a list of rural OCNs, </w:t>
      </w:r>
      <w:r w:rsidRPr="00442972">
        <w:rPr>
          <w:i/>
        </w:rPr>
        <w:t>see</w:t>
      </w:r>
      <w:r>
        <w:t xml:space="preserve"> </w:t>
      </w:r>
      <w:r w:rsidR="0083430D" w:rsidRPr="00BE34F5">
        <w:rPr>
          <w:i/>
        </w:rPr>
        <w:t>Wireline Competition Bureau Announces Deadline for Comments on Rural Call Completion Notice of Proposed Rulemaking, Invites Comment on List of Rural Operating Carrier Numbers</w:t>
      </w:r>
      <w:r w:rsidR="0083430D">
        <w:t xml:space="preserve">, </w:t>
      </w:r>
      <w:r w:rsidRPr="00BE34F5">
        <w:t>Public Notice</w:t>
      </w:r>
      <w:r>
        <w:t xml:space="preserve">, 28 FCC Rcd </w:t>
      </w:r>
      <w:r w:rsidRPr="00D25C4A">
        <w:t>5</w:t>
      </w:r>
      <w:r w:rsidRPr="00BD5B81">
        <w:t>190</w:t>
      </w:r>
      <w:r w:rsidR="0083430D">
        <w:t xml:space="preserve"> (Wireline Comp. Bur. 2013)</w:t>
      </w:r>
      <w:r>
        <w:t xml:space="preserve">, and, as of July 1, 2014, Verizon began using the NECA OCN list for its weekly reports.  </w:t>
      </w:r>
      <w:r w:rsidRPr="00CD089E">
        <w:rPr>
          <w:i/>
        </w:rPr>
        <w:t>See</w:t>
      </w:r>
      <w:r>
        <w:t xml:space="preserve"> Letter from Tamara Preiss, Vice President, Federal Regulatory Affairs, Verizon, to Christopher Killion, Associate Chief, FCC Enforcement Bureau at 1 (Aug. 19, 2013) (on file in EB-IHD-14-</w:t>
      </w:r>
      <w:r w:rsidRPr="001262EB">
        <w:rPr>
          <w:spacing w:val="-2"/>
        </w:rPr>
        <w:t>0001</w:t>
      </w:r>
      <w:r>
        <w:rPr>
          <w:spacing w:val="-2"/>
        </w:rPr>
        <w:t>4821</w:t>
      </w:r>
      <w:r>
        <w:t xml:space="preserve">) (Verizon Aug. 19 Letter).  The 26 rural OCNs addressed here appear on both lists.  </w:t>
      </w:r>
    </w:p>
  </w:footnote>
  <w:footnote w:id="31">
    <w:p w:rsidR="009728A4" w:rsidRDefault="009728A4" w:rsidP="00EA53AE">
      <w:pPr>
        <w:pStyle w:val="FootnoteText"/>
      </w:pPr>
      <w:r>
        <w:rPr>
          <w:rStyle w:val="FootnoteReference"/>
        </w:rPr>
        <w:footnoteRef/>
      </w:r>
      <w:r>
        <w:t xml:space="preserve"> </w:t>
      </w:r>
      <w:r w:rsidRPr="00C05484">
        <w:rPr>
          <w:i/>
        </w:rPr>
        <w:t>S</w:t>
      </w:r>
      <w:r>
        <w:rPr>
          <w:i/>
        </w:rPr>
        <w:t xml:space="preserve">ee </w:t>
      </w:r>
      <w:r>
        <w:t xml:space="preserve">Verizon Aug. 19 Letter; </w:t>
      </w:r>
      <w:r>
        <w:rPr>
          <w:i/>
        </w:rPr>
        <w:t>se</w:t>
      </w:r>
      <w:r w:rsidRPr="00C05484">
        <w:rPr>
          <w:i/>
        </w:rPr>
        <w:t>e</w:t>
      </w:r>
      <w:r>
        <w:rPr>
          <w:i/>
        </w:rPr>
        <w:t xml:space="preserve"> also </w:t>
      </w:r>
      <w:r>
        <w:t>E-mail from Tamara Preiss, Verizon, to</w:t>
      </w:r>
      <w:r w:rsidRPr="00635BFA">
        <w:t xml:space="preserve"> </w:t>
      </w:r>
      <w:r>
        <w:t>Margaret Dailey, Investigations &amp; Hearings Division, FCC Enforcement Bureau (June 6, 2013)</w:t>
      </w:r>
      <w:r w:rsidRPr="003D1B49">
        <w:t xml:space="preserve"> </w:t>
      </w:r>
      <w:r>
        <w:t>(on file in EB-IHD-14-</w:t>
      </w:r>
      <w:r w:rsidRPr="001262EB">
        <w:rPr>
          <w:spacing w:val="-2"/>
        </w:rPr>
        <w:t>0001</w:t>
      </w:r>
      <w:r>
        <w:rPr>
          <w:spacing w:val="-2"/>
        </w:rPr>
        <w:t>4821</w:t>
      </w:r>
      <w:r>
        <w:t xml:space="preserve">).  </w:t>
      </w:r>
    </w:p>
  </w:footnote>
  <w:footnote w:id="32">
    <w:p w:rsidR="009728A4" w:rsidRDefault="009728A4" w:rsidP="00EA53AE">
      <w:pPr>
        <w:pStyle w:val="FootnoteText"/>
      </w:pPr>
      <w:r>
        <w:rPr>
          <w:rStyle w:val="FootnoteReference"/>
        </w:rPr>
        <w:footnoteRef/>
      </w:r>
      <w:r>
        <w:t xml:space="preserve"> </w:t>
      </w:r>
      <w:r w:rsidRPr="00C05484">
        <w:rPr>
          <w:i/>
        </w:rPr>
        <w:t>See</w:t>
      </w:r>
      <w:r>
        <w:rPr>
          <w:i/>
        </w:rPr>
        <w:t xml:space="preserve"> </w:t>
      </w:r>
      <w:r>
        <w:t>E-mail from Tamara Preiss, Verizon, to</w:t>
      </w:r>
      <w:r w:rsidRPr="00635BFA">
        <w:t xml:space="preserve"> </w:t>
      </w:r>
      <w:r>
        <w:t>Christopher Killion, FCC Enforcement Bureau (Jan. 17, 2014)</w:t>
      </w:r>
      <w:r w:rsidRPr="003D1B49">
        <w:t xml:space="preserve"> </w:t>
      </w:r>
      <w:r>
        <w:t>(on file in EB-IHD-14-</w:t>
      </w:r>
      <w:r w:rsidRPr="001262EB">
        <w:rPr>
          <w:spacing w:val="-2"/>
        </w:rPr>
        <w:t>0001</w:t>
      </w:r>
      <w:r>
        <w:rPr>
          <w:spacing w:val="-2"/>
        </w:rPr>
        <w:t>4821</w:t>
      </w:r>
      <w:r>
        <w:t>) (enclosing reports for October – December 2013); Letter from Tamara Preiss, Verizon, to Christopher Killion, FCC Enforcement Bureau (Nov. 8, 2013) (on file in EB-IHD-14-</w:t>
      </w:r>
      <w:r w:rsidRPr="001262EB">
        <w:rPr>
          <w:spacing w:val="-2"/>
        </w:rPr>
        <w:t>0001</w:t>
      </w:r>
      <w:r>
        <w:rPr>
          <w:spacing w:val="-2"/>
        </w:rPr>
        <w:t>4821</w:t>
      </w:r>
      <w:r>
        <w:t>) (enclosing reports for April 24, May 1, 8, 15, and 22, and September 2013); Letter from Tamara Preiss, Verizon, to Christopher Killion, FCC Enforcement Bureau (Sept. 30, 2013) (on file in EB-IHD-14-</w:t>
      </w:r>
      <w:r w:rsidRPr="001262EB">
        <w:rPr>
          <w:spacing w:val="-2"/>
        </w:rPr>
        <w:t>0001</w:t>
      </w:r>
      <w:r>
        <w:rPr>
          <w:spacing w:val="-2"/>
        </w:rPr>
        <w:t>4821</w:t>
      </w:r>
      <w:r>
        <w:t>) (enclosing reports for August 2013); Verizon August 19 Letter (enclosing reports for July 2013); Letter from Tamara Preiss, Verizon, to Margaret Dailey, Enforcement Bureau (July 19, 2013) (on file in EB-IHD-14-</w:t>
      </w:r>
      <w:r w:rsidRPr="001262EB">
        <w:rPr>
          <w:spacing w:val="-2"/>
        </w:rPr>
        <w:t>0001</w:t>
      </w:r>
      <w:r>
        <w:rPr>
          <w:spacing w:val="-2"/>
        </w:rPr>
        <w:t>4821</w:t>
      </w:r>
      <w:r>
        <w:t xml:space="preserve">) (enclosing reports for June 2013).  Verizon did not provide the FCC with its records for May 29, 2013.  </w:t>
      </w:r>
    </w:p>
  </w:footnote>
  <w:footnote w:id="33">
    <w:p w:rsidR="009728A4" w:rsidRDefault="009728A4" w:rsidP="00EA53AE">
      <w:pPr>
        <w:pStyle w:val="FootnoteText"/>
      </w:pPr>
      <w:r>
        <w:rPr>
          <w:rStyle w:val="FootnoteReference"/>
        </w:rPr>
        <w:footnoteRef/>
      </w:r>
      <w:r>
        <w:t xml:space="preserve"> Letter from Theresa Cavanaugh, Chief, Investigations &amp; Hearings Division, FCC Enforcement Bureau, to Christopher M. Miller, Assistant General Counsel, Verizon Communications Inc. (Feb. 3, 2014) (on file in EB-IHD-14-</w:t>
      </w:r>
      <w:r w:rsidRPr="001262EB">
        <w:rPr>
          <w:spacing w:val="-2"/>
        </w:rPr>
        <w:t>0001</w:t>
      </w:r>
      <w:r>
        <w:rPr>
          <w:spacing w:val="-2"/>
        </w:rPr>
        <w:t>4821)</w:t>
      </w:r>
      <w:r>
        <w:t xml:space="preserve"> (LOI).</w:t>
      </w:r>
    </w:p>
  </w:footnote>
  <w:footnote w:id="34">
    <w:p w:rsidR="009728A4" w:rsidRDefault="009728A4" w:rsidP="00EA53AE">
      <w:pPr>
        <w:pStyle w:val="FootnoteText"/>
      </w:pPr>
      <w:r>
        <w:rPr>
          <w:rStyle w:val="FootnoteReference"/>
        </w:rPr>
        <w:footnoteRef/>
      </w:r>
      <w:r>
        <w:t xml:space="preserve"> </w:t>
      </w:r>
      <w:r w:rsidRPr="00F73927">
        <w:rPr>
          <w:i/>
        </w:rPr>
        <w:t>See generally</w:t>
      </w:r>
      <w:r>
        <w:t xml:space="preserve"> </w:t>
      </w:r>
      <w:r w:rsidR="00C055F7">
        <w:t xml:space="preserve">Letter from Mark Montano, Assistant General Counsel, </w:t>
      </w:r>
      <w:r w:rsidR="000418B0">
        <w:t>Verizon</w:t>
      </w:r>
      <w:r w:rsidR="00C055F7">
        <w:t>, to Marlene Dortch, Secretary, FCC (April 4, 2014) (on file in EB-IHD-14-00014821).</w:t>
      </w:r>
    </w:p>
  </w:footnote>
  <w:footnote w:id="35">
    <w:p w:rsidR="00BC54A6" w:rsidRDefault="00BC54A6">
      <w:pPr>
        <w:pStyle w:val="FootnoteText"/>
      </w:pPr>
      <w:r>
        <w:rPr>
          <w:rStyle w:val="FootnoteReference"/>
        </w:rPr>
        <w:footnoteRef/>
      </w:r>
      <w:r>
        <w:t xml:space="preserve"> </w:t>
      </w:r>
      <w:r w:rsidRPr="00BE34F5">
        <w:rPr>
          <w:i/>
        </w:rPr>
        <w:t>See</w:t>
      </w:r>
      <w:r w:rsidRPr="00EE4702">
        <w:rPr>
          <w:szCs w:val="22"/>
        </w:rPr>
        <w:t xml:space="preserve"> </w:t>
      </w:r>
      <w:r w:rsidRPr="00BE34F5">
        <w:rPr>
          <w:i/>
          <w:szCs w:val="22"/>
        </w:rPr>
        <w:t>Rural Call Completion Order</w:t>
      </w:r>
      <w:r>
        <w:rPr>
          <w:szCs w:val="22"/>
        </w:rPr>
        <w:t xml:space="preserve">, </w:t>
      </w:r>
      <w:r w:rsidRPr="00EE4702">
        <w:rPr>
          <w:szCs w:val="22"/>
        </w:rPr>
        <w:t xml:space="preserve">28 FCC Rcd </w:t>
      </w:r>
      <w:r>
        <w:rPr>
          <w:szCs w:val="22"/>
        </w:rPr>
        <w:t>at 16</w:t>
      </w:r>
      <w:r w:rsidR="000C0495">
        <w:rPr>
          <w:szCs w:val="22"/>
        </w:rPr>
        <w:t>191-</w:t>
      </w:r>
      <w:r w:rsidR="00143D5E">
        <w:rPr>
          <w:szCs w:val="22"/>
        </w:rPr>
        <w:t>94, 16213, paras. 86-94, Appendix A §64.2107.</w:t>
      </w:r>
    </w:p>
  </w:footnote>
  <w:footnote w:id="36">
    <w:p w:rsidR="009728A4" w:rsidRDefault="009728A4" w:rsidP="00E02214">
      <w:pPr>
        <w:pStyle w:val="FootnoteText"/>
      </w:pPr>
      <w:r w:rsidRPr="00A07FCB">
        <w:rPr>
          <w:rStyle w:val="FootnoteReference"/>
        </w:rPr>
        <w:footnoteRef/>
      </w:r>
      <w:r w:rsidRPr="00A07FCB">
        <w:t xml:space="preserve"> 47 C.F.R. § 1.16.</w:t>
      </w:r>
    </w:p>
  </w:footnote>
  <w:footnote w:id="37">
    <w:p w:rsidR="009728A4" w:rsidRDefault="009728A4" w:rsidP="00E02214">
      <w:pPr>
        <w:pStyle w:val="FootnoteText"/>
        <w:tabs>
          <w:tab w:val="left" w:pos="810"/>
        </w:tabs>
      </w:pPr>
      <w:r w:rsidRPr="00A07FCB">
        <w:rPr>
          <w:rStyle w:val="FootnoteReference"/>
        </w:rPr>
        <w:footnoteRef/>
      </w:r>
      <w:r w:rsidRPr="003F6349">
        <w:t xml:space="preserve"> </w:t>
      </w:r>
      <w:r w:rsidRPr="00A07FCB">
        <w:t>47 U.S.C. § 208.</w:t>
      </w:r>
    </w:p>
  </w:footnote>
  <w:footnote w:id="38">
    <w:p w:rsidR="009728A4" w:rsidRPr="00042447" w:rsidRDefault="009728A4" w:rsidP="00E02214">
      <w:pPr>
        <w:pStyle w:val="FootnoteText"/>
      </w:pPr>
      <w:r w:rsidRPr="00A07FCB">
        <w:rPr>
          <w:rStyle w:val="FootnoteReference"/>
        </w:rPr>
        <w:footnoteRef/>
      </w:r>
      <w:r w:rsidRPr="003F6349">
        <w:t xml:space="preserve"> </w:t>
      </w:r>
      <w:r w:rsidRPr="00A07FCB">
        <w:rPr>
          <w:rFonts w:eastAsia="MS Mincho" w:cs="Arial"/>
        </w:rPr>
        <w:t>An FCC Form 159 and detailed instructions for completing the form may be obtained at http://www.fcc.gov/</w:t>
      </w:r>
      <w:r w:rsidR="00F704BA">
        <w:rPr>
          <w:rFonts w:eastAsia="MS Mincho" w:cs="Arial"/>
        </w:rPr>
        <w:t>f</w:t>
      </w:r>
      <w:r w:rsidRPr="00A07FCB">
        <w:rPr>
          <w:rFonts w:eastAsia="MS Mincho" w:cs="Arial"/>
        </w:rPr>
        <w:t>orm</w:t>
      </w:r>
      <w:r w:rsidR="00F704BA">
        <w:rPr>
          <w:rFonts w:eastAsia="MS Mincho" w:cs="Arial"/>
        </w:rPr>
        <w:t>s#</w:t>
      </w:r>
      <w:r w:rsidRPr="00A07FCB">
        <w:rPr>
          <w:rFonts w:eastAsia="MS Mincho" w:cs="Arial"/>
        </w:rPr>
        <w:t>159.pdf.</w:t>
      </w:r>
    </w:p>
  </w:footnote>
  <w:footnote w:id="39">
    <w:p w:rsidR="009728A4" w:rsidRDefault="009728A4" w:rsidP="00E02214">
      <w:pPr>
        <w:pStyle w:val="FootnoteText"/>
        <w:tabs>
          <w:tab w:val="left" w:pos="810"/>
        </w:tabs>
      </w:pPr>
      <w:r w:rsidRPr="003F6349">
        <w:rPr>
          <w:rStyle w:val="FootnoteReference"/>
        </w:rPr>
        <w:footnoteRef/>
      </w:r>
      <w:r w:rsidRPr="003F6349">
        <w:t xml:space="preserve"> </w:t>
      </w:r>
      <w:r>
        <w:rPr>
          <w:i/>
        </w:rPr>
        <w:t xml:space="preserve">See </w:t>
      </w:r>
      <w:r w:rsidRPr="003F6349">
        <w:t>5 U.S.C. § 504; 47 C.F.R.</w:t>
      </w:r>
      <w:r>
        <w:t xml:space="preserve"> §§ 1.1501–1.1530</w:t>
      </w:r>
      <w:r w:rsidRPr="003F634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8B" w:rsidRDefault="009E5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A4" w:rsidRDefault="00D03F3A" w:rsidP="00153AAA">
    <w:pPr>
      <w:pStyle w:val="Header"/>
      <w:rPr>
        <w:b w:val="0"/>
      </w:rPr>
    </w:pPr>
    <w:r>
      <w:rPr>
        <w:noProof/>
        <w:snapToGrid/>
      </w:rPr>
      <mc:AlternateContent>
        <mc:Choice Requires="wps">
          <w:drawing>
            <wp:anchor distT="0" distB="0" distL="114300" distR="114300" simplePos="0" relativeHeight="251661312" behindDoc="1" locked="0" layoutInCell="0" allowOverlap="1" wp14:anchorId="05F5F7FF" wp14:editId="48379A2C">
              <wp:simplePos x="0" y="0"/>
              <wp:positionH relativeFrom="margin">
                <wp:posOffset>7620</wp:posOffset>
              </wp:positionH>
              <wp:positionV relativeFrom="paragraph">
                <wp:posOffset>160655</wp:posOffset>
              </wp:positionV>
              <wp:extent cx="5943600" cy="120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438F" id="Rectangle 3"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ym/55ugCAAAyBgAADgAAAAAAAAAA&#10;AAAAAAAuAgAAZHJzL2Uyb0RvYy54bWxQSwECLQAUAAYACAAAACEA82O5GNkAAAAHAQAADwAAAAAA&#10;AAAAAAAAAABCBQAAZHJzL2Rvd25yZXYueG1sUEsFBgAAAAAEAAQA8wAAAEgGAAAAAA==&#10;" o:allowincell="f" fillcolor="black" stroked="f" strokeweight=".05pt">
              <w10:wrap anchorx="margin"/>
            </v:rect>
          </w:pict>
        </mc:Fallback>
      </mc:AlternateContent>
    </w:r>
    <w:r w:rsidR="009728A4" w:rsidRPr="00843A5F">
      <w:tab/>
      <w:t>Federal Communications Commission</w:t>
    </w:r>
    <w:r w:rsidR="009728A4" w:rsidRPr="00843A5F">
      <w:tab/>
    </w:r>
    <w:r w:rsidR="009728A4" w:rsidRPr="002755D1">
      <w:rPr>
        <w:spacing w:val="-2"/>
      </w:rPr>
      <w:t xml:space="preserve">DA </w:t>
    </w:r>
    <w:r w:rsidR="00AB764B">
      <w:rPr>
        <w:spacing w:val="-2"/>
      </w:rPr>
      <w:t>15</w:t>
    </w:r>
    <w:r w:rsidR="009728A4" w:rsidRPr="002755D1">
      <w:rPr>
        <w:spacing w:val="-2"/>
      </w:rPr>
      <w:t>-</w:t>
    </w:r>
    <w:r w:rsidR="000C1133">
      <w:rPr>
        <w:spacing w:val="-2"/>
      </w:rPr>
      <w:t>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A4" w:rsidRDefault="00D03F3A" w:rsidP="00153AAA">
    <w:pPr>
      <w:pStyle w:val="Header"/>
      <w:rPr>
        <w:b w:val="0"/>
      </w:rPr>
    </w:pPr>
    <w:r>
      <w:rPr>
        <w:noProof/>
        <w:snapToGrid/>
      </w:rPr>
      <mc:AlternateContent>
        <mc:Choice Requires="wps">
          <w:drawing>
            <wp:anchor distT="0" distB="0" distL="114300" distR="114300" simplePos="0" relativeHeight="251659264" behindDoc="1" locked="0" layoutInCell="0" allowOverlap="1" wp14:anchorId="18226E17" wp14:editId="7BE6359A">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FDF8"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9728A4" w:rsidRPr="00843A5F">
      <w:tab/>
      <w:t>Federal Communications Commission</w:t>
    </w:r>
    <w:r w:rsidR="009728A4" w:rsidRPr="00843A5F">
      <w:tab/>
    </w:r>
    <w:r w:rsidR="009728A4" w:rsidRPr="002755D1">
      <w:rPr>
        <w:spacing w:val="-2"/>
      </w:rPr>
      <w:t xml:space="preserve">DA </w:t>
    </w:r>
    <w:r w:rsidR="00AB764B">
      <w:rPr>
        <w:spacing w:val="-2"/>
      </w:rPr>
      <w:t>15</w:t>
    </w:r>
    <w:r w:rsidR="009728A4" w:rsidRPr="002755D1">
      <w:rPr>
        <w:spacing w:val="-2"/>
      </w:rPr>
      <w:t>-</w:t>
    </w:r>
    <w:r w:rsidR="000C1133">
      <w:rPr>
        <w:spacing w:val="-2"/>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D7B67E0"/>
    <w:multiLevelType w:val="hybridMultilevel"/>
    <w:tmpl w:val="3F0E4976"/>
    <w:lvl w:ilvl="0" w:tplc="B6DC9088">
      <w:start w:val="1"/>
      <w:numFmt w:val="lowerLetter"/>
      <w:lvlText w:val="(%1)"/>
      <w:lvlJc w:val="left"/>
      <w:pPr>
        <w:tabs>
          <w:tab w:val="num" w:pos="1782"/>
        </w:tabs>
        <w:ind w:left="1782" w:hanging="432"/>
      </w:pPr>
      <w:rPr>
        <w:rFonts w:cs="Times New Roman" w:hint="default"/>
        <w:b w:val="0"/>
        <w:i w:val="0"/>
        <w:sz w:val="22"/>
        <w:szCs w:val="22"/>
      </w:rPr>
    </w:lvl>
    <w:lvl w:ilvl="1" w:tplc="04090019" w:tentative="1">
      <w:start w:val="1"/>
      <w:numFmt w:val="lowerLetter"/>
      <w:lvlText w:val="%2."/>
      <w:lvlJc w:val="left"/>
      <w:pPr>
        <w:tabs>
          <w:tab w:val="num" w:pos="288"/>
        </w:tabs>
        <w:ind w:left="288" w:hanging="360"/>
      </w:pPr>
      <w:rPr>
        <w:rFonts w:cs="Times New Roman"/>
      </w:rPr>
    </w:lvl>
    <w:lvl w:ilvl="2" w:tplc="0409001B" w:tentative="1">
      <w:start w:val="1"/>
      <w:numFmt w:val="lowerRoman"/>
      <w:lvlText w:val="%3."/>
      <w:lvlJc w:val="right"/>
      <w:pPr>
        <w:tabs>
          <w:tab w:val="num" w:pos="1008"/>
        </w:tabs>
        <w:ind w:left="1008" w:hanging="180"/>
      </w:pPr>
      <w:rPr>
        <w:rFonts w:cs="Times New Roman"/>
      </w:rPr>
    </w:lvl>
    <w:lvl w:ilvl="3" w:tplc="0409000F" w:tentative="1">
      <w:start w:val="1"/>
      <w:numFmt w:val="decimal"/>
      <w:lvlText w:val="%4."/>
      <w:lvlJc w:val="left"/>
      <w:pPr>
        <w:tabs>
          <w:tab w:val="num" w:pos="1728"/>
        </w:tabs>
        <w:ind w:left="1728" w:hanging="360"/>
      </w:pPr>
      <w:rPr>
        <w:rFonts w:cs="Times New Roman"/>
      </w:rPr>
    </w:lvl>
    <w:lvl w:ilvl="4" w:tplc="04090019" w:tentative="1">
      <w:start w:val="1"/>
      <w:numFmt w:val="lowerLetter"/>
      <w:lvlText w:val="%5."/>
      <w:lvlJc w:val="left"/>
      <w:pPr>
        <w:tabs>
          <w:tab w:val="num" w:pos="2448"/>
        </w:tabs>
        <w:ind w:left="2448" w:hanging="360"/>
      </w:pPr>
      <w:rPr>
        <w:rFonts w:cs="Times New Roman"/>
      </w:rPr>
    </w:lvl>
    <w:lvl w:ilvl="5" w:tplc="0409001B" w:tentative="1">
      <w:start w:val="1"/>
      <w:numFmt w:val="lowerRoman"/>
      <w:lvlText w:val="%6."/>
      <w:lvlJc w:val="right"/>
      <w:pPr>
        <w:tabs>
          <w:tab w:val="num" w:pos="3168"/>
        </w:tabs>
        <w:ind w:left="3168" w:hanging="180"/>
      </w:pPr>
      <w:rPr>
        <w:rFonts w:cs="Times New Roman"/>
      </w:rPr>
    </w:lvl>
    <w:lvl w:ilvl="6" w:tplc="0409000F" w:tentative="1">
      <w:start w:val="1"/>
      <w:numFmt w:val="decimal"/>
      <w:lvlText w:val="%7."/>
      <w:lvlJc w:val="left"/>
      <w:pPr>
        <w:tabs>
          <w:tab w:val="num" w:pos="3888"/>
        </w:tabs>
        <w:ind w:left="3888" w:hanging="360"/>
      </w:pPr>
      <w:rPr>
        <w:rFonts w:cs="Times New Roman"/>
      </w:rPr>
    </w:lvl>
    <w:lvl w:ilvl="7" w:tplc="04090019" w:tentative="1">
      <w:start w:val="1"/>
      <w:numFmt w:val="lowerLetter"/>
      <w:lvlText w:val="%8."/>
      <w:lvlJc w:val="left"/>
      <w:pPr>
        <w:tabs>
          <w:tab w:val="num" w:pos="4608"/>
        </w:tabs>
        <w:ind w:left="4608" w:hanging="360"/>
      </w:pPr>
      <w:rPr>
        <w:rFonts w:cs="Times New Roman"/>
      </w:rPr>
    </w:lvl>
    <w:lvl w:ilvl="8" w:tplc="0409001B" w:tentative="1">
      <w:start w:val="1"/>
      <w:numFmt w:val="lowerRoman"/>
      <w:lvlText w:val="%9."/>
      <w:lvlJc w:val="right"/>
      <w:pPr>
        <w:tabs>
          <w:tab w:val="num" w:pos="5328"/>
        </w:tabs>
        <w:ind w:left="5328" w:hanging="180"/>
      </w:pPr>
      <w:rPr>
        <w:rFonts w:cs="Times New Roman"/>
      </w:rPr>
    </w:lvl>
  </w:abstractNum>
  <w:abstractNum w:abstractNumId="2">
    <w:nsid w:val="0E480176"/>
    <w:multiLevelType w:val="hybridMultilevel"/>
    <w:tmpl w:val="AB6486A8"/>
    <w:lvl w:ilvl="0" w:tplc="B518079C">
      <w:start w:val="1"/>
      <w:numFmt w:val="lowerLetter"/>
      <w:lvlText w:val="(%1)"/>
      <w:lvlJc w:val="left"/>
      <w:pPr>
        <w:tabs>
          <w:tab w:val="num" w:pos="1224"/>
        </w:tabs>
        <w:ind w:left="1224" w:hanging="432"/>
      </w:pPr>
      <w:rPr>
        <w:rFonts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66E4CE7A">
      <w:start w:val="3"/>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907F2C"/>
    <w:multiLevelType w:val="hybridMultilevel"/>
    <w:tmpl w:val="6C7E850A"/>
    <w:lvl w:ilvl="0" w:tplc="CC4AE244">
      <w:start w:val="1"/>
      <w:numFmt w:val="lowerLetter"/>
      <w:lvlText w:val="(%1)"/>
      <w:lvlJc w:val="left"/>
      <w:pPr>
        <w:tabs>
          <w:tab w:val="num" w:pos="1224"/>
        </w:tabs>
        <w:ind w:left="1224" w:hanging="432"/>
      </w:pPr>
      <w:rPr>
        <w:rFonts w:hint="default"/>
        <w:b w:val="0"/>
        <w:i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7F93963"/>
    <w:multiLevelType w:val="hybridMultilevel"/>
    <w:tmpl w:val="398AF3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876BA"/>
    <w:multiLevelType w:val="hybridMultilevel"/>
    <w:tmpl w:val="40100EC4"/>
    <w:lvl w:ilvl="0" w:tplc="04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442F45"/>
    <w:multiLevelType w:val="hybridMultilevel"/>
    <w:tmpl w:val="43B85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0F1B3D"/>
    <w:multiLevelType w:val="singleLevel"/>
    <w:tmpl w:val="BDDC2AEA"/>
    <w:lvl w:ilvl="0">
      <w:start w:val="1"/>
      <w:numFmt w:val="decimal"/>
      <w:lvlText w:val="%1."/>
      <w:lvlJc w:val="left"/>
      <w:pPr>
        <w:tabs>
          <w:tab w:val="num" w:pos="1080"/>
        </w:tabs>
        <w:ind w:firstLine="720"/>
      </w:pPr>
      <w:rPr>
        <w:rFonts w:ascii="Times New Roman" w:eastAsia="Times New Roman" w:hAnsi="Times New Roman" w:cs="Times New Roman"/>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nsid w:val="628E1E95"/>
    <w:multiLevelType w:val="singleLevel"/>
    <w:tmpl w:val="39C25A6A"/>
    <w:lvl w:ilvl="0">
      <w:start w:val="20"/>
      <w:numFmt w:val="decimal"/>
      <w:pStyle w:val="par1"/>
      <w:lvlText w:val="%1."/>
      <w:lvlJc w:val="left"/>
      <w:pPr>
        <w:tabs>
          <w:tab w:val="num" w:pos="1080"/>
        </w:tabs>
        <w:ind w:left="0"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abstractNum>
  <w:abstractNum w:abstractNumId="14">
    <w:nsid w:val="672E2BBE"/>
    <w:multiLevelType w:val="hybridMultilevel"/>
    <w:tmpl w:val="3E8C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AAC2625"/>
    <w:multiLevelType w:val="hybridMultilevel"/>
    <w:tmpl w:val="7CC29DDA"/>
    <w:lvl w:ilvl="0" w:tplc="04090001">
      <w:start w:val="1"/>
      <w:numFmt w:val="bullet"/>
      <w:lvlText w:val=""/>
      <w:lvlJc w:val="left"/>
      <w:pPr>
        <w:tabs>
          <w:tab w:val="num" w:pos="1872"/>
        </w:tabs>
        <w:ind w:left="1872" w:hanging="432"/>
      </w:pPr>
      <w:rPr>
        <w:rFonts w:ascii="Symbol" w:hAnsi="Symbol" w:hint="default"/>
        <w:b w:val="0"/>
        <w:i w:val="0"/>
        <w:sz w:val="22"/>
        <w:szCs w:val="22"/>
      </w:rPr>
    </w:lvl>
    <w:lvl w:ilvl="1" w:tplc="04090001">
      <w:start w:val="1"/>
      <w:numFmt w:val="bullet"/>
      <w:lvlText w:val=""/>
      <w:lvlJc w:val="left"/>
      <w:pPr>
        <w:tabs>
          <w:tab w:val="num" w:pos="2088"/>
        </w:tabs>
        <w:ind w:left="2088" w:hanging="360"/>
      </w:pPr>
      <w:rPr>
        <w:rFonts w:ascii="Symbol" w:hAnsi="Symbol" w:hint="default"/>
      </w:rPr>
    </w:lvl>
    <w:lvl w:ilvl="2" w:tplc="04090015">
      <w:start w:val="1"/>
      <w:numFmt w:val="upperLetter"/>
      <w:lvlText w:val="%3."/>
      <w:lvlJc w:val="left"/>
      <w:pPr>
        <w:tabs>
          <w:tab w:val="num" w:pos="2808"/>
        </w:tabs>
        <w:ind w:left="2808" w:hanging="180"/>
      </w:pPr>
      <w:rPr>
        <w:rFonts w:hint="default"/>
      </w:rPr>
    </w:lvl>
    <w:lvl w:ilvl="3" w:tplc="04090001">
      <w:start w:val="1"/>
      <w:numFmt w:val="bullet"/>
      <w:lvlText w:val=""/>
      <w:lvlJc w:val="left"/>
      <w:pPr>
        <w:tabs>
          <w:tab w:val="num" w:pos="3528"/>
        </w:tabs>
        <w:ind w:left="3528" w:hanging="360"/>
      </w:pPr>
      <w:rPr>
        <w:rFonts w:ascii="Symbol" w:hAnsi="Symbol" w:hint="default"/>
      </w:rPr>
    </w:lvl>
    <w:lvl w:ilvl="4" w:tplc="04090019" w:tentative="1">
      <w:start w:val="1"/>
      <w:numFmt w:val="lowerLetter"/>
      <w:lvlText w:val="%5."/>
      <w:lvlJc w:val="left"/>
      <w:pPr>
        <w:tabs>
          <w:tab w:val="num" w:pos="4248"/>
        </w:tabs>
        <w:ind w:left="4248" w:hanging="360"/>
      </w:pPr>
      <w:rPr>
        <w:rFonts w:cs="Times New Roman"/>
      </w:rPr>
    </w:lvl>
    <w:lvl w:ilvl="5" w:tplc="0409001B" w:tentative="1">
      <w:start w:val="1"/>
      <w:numFmt w:val="lowerRoman"/>
      <w:lvlText w:val="%6."/>
      <w:lvlJc w:val="right"/>
      <w:pPr>
        <w:tabs>
          <w:tab w:val="num" w:pos="4968"/>
        </w:tabs>
        <w:ind w:left="4968" w:hanging="180"/>
      </w:pPr>
      <w:rPr>
        <w:rFonts w:cs="Times New Roman"/>
      </w:rPr>
    </w:lvl>
    <w:lvl w:ilvl="6" w:tplc="0409000F" w:tentative="1">
      <w:start w:val="1"/>
      <w:numFmt w:val="decimal"/>
      <w:lvlText w:val="%7."/>
      <w:lvlJc w:val="left"/>
      <w:pPr>
        <w:tabs>
          <w:tab w:val="num" w:pos="5688"/>
        </w:tabs>
        <w:ind w:left="5688" w:hanging="360"/>
      </w:pPr>
      <w:rPr>
        <w:rFonts w:cs="Times New Roman"/>
      </w:rPr>
    </w:lvl>
    <w:lvl w:ilvl="7" w:tplc="04090019" w:tentative="1">
      <w:start w:val="1"/>
      <w:numFmt w:val="lowerLetter"/>
      <w:lvlText w:val="%8."/>
      <w:lvlJc w:val="left"/>
      <w:pPr>
        <w:tabs>
          <w:tab w:val="num" w:pos="6408"/>
        </w:tabs>
        <w:ind w:left="6408" w:hanging="360"/>
      </w:pPr>
      <w:rPr>
        <w:rFonts w:cs="Times New Roman"/>
      </w:rPr>
    </w:lvl>
    <w:lvl w:ilvl="8" w:tplc="0409001B" w:tentative="1">
      <w:start w:val="1"/>
      <w:numFmt w:val="lowerRoman"/>
      <w:lvlText w:val="%9."/>
      <w:lvlJc w:val="right"/>
      <w:pPr>
        <w:tabs>
          <w:tab w:val="num" w:pos="7128"/>
        </w:tabs>
        <w:ind w:left="7128" w:hanging="180"/>
      </w:pPr>
      <w:rPr>
        <w:rFonts w:cs="Times New Roman"/>
      </w:rPr>
    </w:lvl>
  </w:abstractNum>
  <w:abstractNum w:abstractNumId="16">
    <w:nsid w:val="6D2B48D2"/>
    <w:multiLevelType w:val="singleLevel"/>
    <w:tmpl w:val="462A4EC8"/>
    <w:lvl w:ilvl="0">
      <w:start w:val="1"/>
      <w:numFmt w:val="decimal"/>
      <w:pStyle w:val="Paranum0"/>
      <w:lvlText w:val="%1."/>
      <w:lvlJc w:val="left"/>
      <w:pPr>
        <w:tabs>
          <w:tab w:val="num" w:pos="1080"/>
        </w:tabs>
        <w:ind w:firstLine="720"/>
      </w:pPr>
      <w:rPr>
        <w:rFonts w:cs="Times New Roman"/>
        <w:b w:val="0"/>
        <w:color w:val="auto"/>
      </w:rPr>
    </w:lvl>
  </w:abstractNum>
  <w:abstractNum w:abstractNumId="17">
    <w:nsid w:val="76253019"/>
    <w:multiLevelType w:val="hybridMultilevel"/>
    <w:tmpl w:val="7FB4A90A"/>
    <w:lvl w:ilvl="0" w:tplc="04090001">
      <w:start w:val="1"/>
      <w:numFmt w:val="bullet"/>
      <w:lvlText w:val=""/>
      <w:lvlJc w:val="left"/>
      <w:pPr>
        <w:tabs>
          <w:tab w:val="num" w:pos="1872"/>
        </w:tabs>
        <w:ind w:left="1872" w:hanging="432"/>
      </w:pPr>
      <w:rPr>
        <w:rFonts w:ascii="Symbol" w:hAnsi="Symbol" w:hint="default"/>
        <w:b w:val="0"/>
        <w:i w:val="0"/>
        <w:sz w:val="22"/>
        <w:szCs w:val="22"/>
      </w:rPr>
    </w:lvl>
    <w:lvl w:ilvl="1" w:tplc="04090001">
      <w:start w:val="1"/>
      <w:numFmt w:val="bullet"/>
      <w:lvlText w:val=""/>
      <w:lvlJc w:val="left"/>
      <w:pPr>
        <w:tabs>
          <w:tab w:val="num" w:pos="2088"/>
        </w:tabs>
        <w:ind w:left="2088" w:hanging="360"/>
      </w:pPr>
      <w:rPr>
        <w:rFonts w:ascii="Symbol" w:hAnsi="Symbol" w:hint="default"/>
      </w:rPr>
    </w:lvl>
    <w:lvl w:ilvl="2" w:tplc="04090015">
      <w:start w:val="1"/>
      <w:numFmt w:val="upperLetter"/>
      <w:lvlText w:val="%3."/>
      <w:lvlJc w:val="left"/>
      <w:pPr>
        <w:tabs>
          <w:tab w:val="num" w:pos="2808"/>
        </w:tabs>
        <w:ind w:left="2808" w:hanging="180"/>
      </w:pPr>
      <w:rPr>
        <w:rFonts w:hint="default"/>
      </w:rPr>
    </w:lvl>
    <w:lvl w:ilvl="3" w:tplc="04090001">
      <w:start w:val="1"/>
      <w:numFmt w:val="bullet"/>
      <w:lvlText w:val=""/>
      <w:lvlJc w:val="left"/>
      <w:pPr>
        <w:tabs>
          <w:tab w:val="num" w:pos="3528"/>
        </w:tabs>
        <w:ind w:left="3528" w:hanging="360"/>
      </w:pPr>
      <w:rPr>
        <w:rFonts w:ascii="Symbol" w:hAnsi="Symbol" w:hint="default"/>
      </w:rPr>
    </w:lvl>
    <w:lvl w:ilvl="4" w:tplc="04090019" w:tentative="1">
      <w:start w:val="1"/>
      <w:numFmt w:val="lowerLetter"/>
      <w:lvlText w:val="%5."/>
      <w:lvlJc w:val="left"/>
      <w:pPr>
        <w:tabs>
          <w:tab w:val="num" w:pos="4248"/>
        </w:tabs>
        <w:ind w:left="4248" w:hanging="360"/>
      </w:pPr>
      <w:rPr>
        <w:rFonts w:cs="Times New Roman"/>
      </w:rPr>
    </w:lvl>
    <w:lvl w:ilvl="5" w:tplc="0409001B" w:tentative="1">
      <w:start w:val="1"/>
      <w:numFmt w:val="lowerRoman"/>
      <w:lvlText w:val="%6."/>
      <w:lvlJc w:val="right"/>
      <w:pPr>
        <w:tabs>
          <w:tab w:val="num" w:pos="4968"/>
        </w:tabs>
        <w:ind w:left="4968" w:hanging="180"/>
      </w:pPr>
      <w:rPr>
        <w:rFonts w:cs="Times New Roman"/>
      </w:rPr>
    </w:lvl>
    <w:lvl w:ilvl="6" w:tplc="0409000F" w:tentative="1">
      <w:start w:val="1"/>
      <w:numFmt w:val="decimal"/>
      <w:lvlText w:val="%7."/>
      <w:lvlJc w:val="left"/>
      <w:pPr>
        <w:tabs>
          <w:tab w:val="num" w:pos="5688"/>
        </w:tabs>
        <w:ind w:left="5688" w:hanging="360"/>
      </w:pPr>
      <w:rPr>
        <w:rFonts w:cs="Times New Roman"/>
      </w:rPr>
    </w:lvl>
    <w:lvl w:ilvl="7" w:tplc="04090019" w:tentative="1">
      <w:start w:val="1"/>
      <w:numFmt w:val="lowerLetter"/>
      <w:lvlText w:val="%8."/>
      <w:lvlJc w:val="left"/>
      <w:pPr>
        <w:tabs>
          <w:tab w:val="num" w:pos="6408"/>
        </w:tabs>
        <w:ind w:left="6408" w:hanging="360"/>
      </w:pPr>
      <w:rPr>
        <w:rFonts w:cs="Times New Roman"/>
      </w:rPr>
    </w:lvl>
    <w:lvl w:ilvl="8" w:tplc="0409001B" w:tentative="1">
      <w:start w:val="1"/>
      <w:numFmt w:val="lowerRoman"/>
      <w:lvlText w:val="%9."/>
      <w:lvlJc w:val="right"/>
      <w:pPr>
        <w:tabs>
          <w:tab w:val="num" w:pos="7128"/>
        </w:tabs>
        <w:ind w:left="7128" w:hanging="180"/>
      </w:pPr>
      <w:rPr>
        <w:rFonts w:cs="Times New Roman"/>
      </w:rPr>
    </w:lvl>
  </w:abstractNum>
  <w:abstractNum w:abstractNumId="18">
    <w:nsid w:val="767D5950"/>
    <w:multiLevelType w:val="hybridMultilevel"/>
    <w:tmpl w:val="7820DC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13"/>
  </w:num>
  <w:num w:numId="5">
    <w:abstractNumId w:val="2"/>
  </w:num>
  <w:num w:numId="6">
    <w:abstractNumId w:val="17"/>
  </w:num>
  <w:num w:numId="7">
    <w:abstractNumId w:val="1"/>
  </w:num>
  <w:num w:numId="8">
    <w:abstractNumId w:val="12"/>
    <w:lvlOverride w:ilvl="0">
      <w:startOverride w:val="1"/>
    </w:lvlOverride>
  </w:num>
  <w:num w:numId="9">
    <w:abstractNumId w:val="8"/>
  </w:num>
  <w:num w:numId="10">
    <w:abstractNumId w:val="4"/>
  </w:num>
  <w:num w:numId="11">
    <w:abstractNumId w:val="11"/>
  </w:num>
  <w:num w:numId="12">
    <w:abstractNumId w:val="5"/>
  </w:num>
  <w:num w:numId="13">
    <w:abstractNumId w:val="0"/>
  </w:num>
  <w:num w:numId="14">
    <w:abstractNumId w:val="3"/>
  </w:num>
  <w:num w:numId="15">
    <w:abstractNumId w:val="12"/>
    <w:lvlOverride w:ilvl="0">
      <w:startOverride w:val="4"/>
    </w:lvlOverride>
  </w:num>
  <w:num w:numId="16">
    <w:abstractNumId w:val="12"/>
    <w:lvlOverride w:ilvl="0">
      <w:startOverride w:val="22"/>
    </w:lvlOverride>
  </w:num>
  <w:num w:numId="17">
    <w:abstractNumId w:val="18"/>
  </w:num>
  <w:num w:numId="18">
    <w:abstractNumId w:val="9"/>
  </w:num>
  <w:num w:numId="19">
    <w:abstractNumId w:val="15"/>
  </w:num>
  <w:num w:numId="20">
    <w:abstractNumId w:val="14"/>
  </w:num>
  <w:num w:numId="21">
    <w:abstractNumId w:val="7"/>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40"/>
    <w:rsid w:val="00001CB4"/>
    <w:rsid w:val="00002931"/>
    <w:rsid w:val="00014484"/>
    <w:rsid w:val="0001478C"/>
    <w:rsid w:val="00016941"/>
    <w:rsid w:val="00020C87"/>
    <w:rsid w:val="00021FF1"/>
    <w:rsid w:val="0002271C"/>
    <w:rsid w:val="00023DBF"/>
    <w:rsid w:val="00024902"/>
    <w:rsid w:val="000251D3"/>
    <w:rsid w:val="0002520D"/>
    <w:rsid w:val="00025225"/>
    <w:rsid w:val="000262C0"/>
    <w:rsid w:val="00026D97"/>
    <w:rsid w:val="00036039"/>
    <w:rsid w:val="00036B37"/>
    <w:rsid w:val="00037F90"/>
    <w:rsid w:val="00040BB5"/>
    <w:rsid w:val="0004154A"/>
    <w:rsid w:val="000418B0"/>
    <w:rsid w:val="0004267E"/>
    <w:rsid w:val="0004420C"/>
    <w:rsid w:val="00047C0D"/>
    <w:rsid w:val="000514F1"/>
    <w:rsid w:val="00051558"/>
    <w:rsid w:val="00052391"/>
    <w:rsid w:val="0005396F"/>
    <w:rsid w:val="00053BCF"/>
    <w:rsid w:val="000541F3"/>
    <w:rsid w:val="00056788"/>
    <w:rsid w:val="000610FE"/>
    <w:rsid w:val="00061A57"/>
    <w:rsid w:val="00063A24"/>
    <w:rsid w:val="00064ADC"/>
    <w:rsid w:val="000661D0"/>
    <w:rsid w:val="000668DA"/>
    <w:rsid w:val="0007059D"/>
    <w:rsid w:val="000728FF"/>
    <w:rsid w:val="00073450"/>
    <w:rsid w:val="00073561"/>
    <w:rsid w:val="00074B44"/>
    <w:rsid w:val="00075906"/>
    <w:rsid w:val="000762EF"/>
    <w:rsid w:val="00076C13"/>
    <w:rsid w:val="00077CF1"/>
    <w:rsid w:val="00077F73"/>
    <w:rsid w:val="00082CA0"/>
    <w:rsid w:val="00084C6F"/>
    <w:rsid w:val="0008718F"/>
    <w:rsid w:val="000875BF"/>
    <w:rsid w:val="00090E63"/>
    <w:rsid w:val="00094385"/>
    <w:rsid w:val="00096D8C"/>
    <w:rsid w:val="000971AC"/>
    <w:rsid w:val="000A0B25"/>
    <w:rsid w:val="000A5F07"/>
    <w:rsid w:val="000B00E8"/>
    <w:rsid w:val="000B17A6"/>
    <w:rsid w:val="000B2188"/>
    <w:rsid w:val="000B622D"/>
    <w:rsid w:val="000C0495"/>
    <w:rsid w:val="000C0B65"/>
    <w:rsid w:val="000C1133"/>
    <w:rsid w:val="000C27BB"/>
    <w:rsid w:val="000C739A"/>
    <w:rsid w:val="000D053A"/>
    <w:rsid w:val="000D104F"/>
    <w:rsid w:val="000D2787"/>
    <w:rsid w:val="000D32DF"/>
    <w:rsid w:val="000D5798"/>
    <w:rsid w:val="000D5CC3"/>
    <w:rsid w:val="000E05FE"/>
    <w:rsid w:val="000E34BD"/>
    <w:rsid w:val="000E3D42"/>
    <w:rsid w:val="000E4983"/>
    <w:rsid w:val="000E655A"/>
    <w:rsid w:val="000E6874"/>
    <w:rsid w:val="000F5194"/>
    <w:rsid w:val="001007D7"/>
    <w:rsid w:val="001011FD"/>
    <w:rsid w:val="0011427B"/>
    <w:rsid w:val="0012109C"/>
    <w:rsid w:val="00122296"/>
    <w:rsid w:val="0012234C"/>
    <w:rsid w:val="00122BD5"/>
    <w:rsid w:val="0012356D"/>
    <w:rsid w:val="00126CA2"/>
    <w:rsid w:val="0012724E"/>
    <w:rsid w:val="001278CC"/>
    <w:rsid w:val="001311AF"/>
    <w:rsid w:val="001314FC"/>
    <w:rsid w:val="0013249B"/>
    <w:rsid w:val="00133F79"/>
    <w:rsid w:val="00135FC0"/>
    <w:rsid w:val="00141C84"/>
    <w:rsid w:val="001438DA"/>
    <w:rsid w:val="00143D5E"/>
    <w:rsid w:val="00146154"/>
    <w:rsid w:val="00147622"/>
    <w:rsid w:val="0015122B"/>
    <w:rsid w:val="0015224A"/>
    <w:rsid w:val="00152EBE"/>
    <w:rsid w:val="00153AAA"/>
    <w:rsid w:val="00154477"/>
    <w:rsid w:val="0015587A"/>
    <w:rsid w:val="00155C0B"/>
    <w:rsid w:val="001607BC"/>
    <w:rsid w:val="00161D7D"/>
    <w:rsid w:val="00161D89"/>
    <w:rsid w:val="001643A2"/>
    <w:rsid w:val="00165761"/>
    <w:rsid w:val="00166BCC"/>
    <w:rsid w:val="00171C94"/>
    <w:rsid w:val="00172073"/>
    <w:rsid w:val="00173D38"/>
    <w:rsid w:val="00176594"/>
    <w:rsid w:val="001815BC"/>
    <w:rsid w:val="00182304"/>
    <w:rsid w:val="001830F7"/>
    <w:rsid w:val="001843FA"/>
    <w:rsid w:val="00186182"/>
    <w:rsid w:val="001905B9"/>
    <w:rsid w:val="00190C82"/>
    <w:rsid w:val="00190ED7"/>
    <w:rsid w:val="0019214A"/>
    <w:rsid w:val="001933D7"/>
    <w:rsid w:val="001938E8"/>
    <w:rsid w:val="00194A66"/>
    <w:rsid w:val="00195E39"/>
    <w:rsid w:val="001A0C19"/>
    <w:rsid w:val="001A5288"/>
    <w:rsid w:val="001A7134"/>
    <w:rsid w:val="001B2424"/>
    <w:rsid w:val="001B7217"/>
    <w:rsid w:val="001B74D4"/>
    <w:rsid w:val="001C1346"/>
    <w:rsid w:val="001C4926"/>
    <w:rsid w:val="001C71E0"/>
    <w:rsid w:val="001D37A4"/>
    <w:rsid w:val="001D41E6"/>
    <w:rsid w:val="001D45AE"/>
    <w:rsid w:val="001D4CD4"/>
    <w:rsid w:val="001D4FDC"/>
    <w:rsid w:val="001D6BCF"/>
    <w:rsid w:val="001D70DC"/>
    <w:rsid w:val="001E01CA"/>
    <w:rsid w:val="001E590E"/>
    <w:rsid w:val="001E7427"/>
    <w:rsid w:val="001F700A"/>
    <w:rsid w:val="00202C85"/>
    <w:rsid w:val="002032AF"/>
    <w:rsid w:val="00205FD4"/>
    <w:rsid w:val="00207E47"/>
    <w:rsid w:val="002110DD"/>
    <w:rsid w:val="002128EE"/>
    <w:rsid w:val="00212F9A"/>
    <w:rsid w:val="00217EEC"/>
    <w:rsid w:val="00217F43"/>
    <w:rsid w:val="00220A10"/>
    <w:rsid w:val="0022166D"/>
    <w:rsid w:val="00235BBD"/>
    <w:rsid w:val="00237EC2"/>
    <w:rsid w:val="002436B5"/>
    <w:rsid w:val="00243CAC"/>
    <w:rsid w:val="00246786"/>
    <w:rsid w:val="00247A6C"/>
    <w:rsid w:val="002513FB"/>
    <w:rsid w:val="002557F6"/>
    <w:rsid w:val="00262C95"/>
    <w:rsid w:val="00263706"/>
    <w:rsid w:val="00265011"/>
    <w:rsid w:val="002755D1"/>
    <w:rsid w:val="00275CF5"/>
    <w:rsid w:val="00276774"/>
    <w:rsid w:val="00276A71"/>
    <w:rsid w:val="002803B1"/>
    <w:rsid w:val="002809BD"/>
    <w:rsid w:val="0028301F"/>
    <w:rsid w:val="00285017"/>
    <w:rsid w:val="00286347"/>
    <w:rsid w:val="00291C83"/>
    <w:rsid w:val="00291D68"/>
    <w:rsid w:val="00293E2B"/>
    <w:rsid w:val="00295954"/>
    <w:rsid w:val="002A2D2E"/>
    <w:rsid w:val="002B1765"/>
    <w:rsid w:val="002B19D2"/>
    <w:rsid w:val="002B1AD4"/>
    <w:rsid w:val="002B1C1F"/>
    <w:rsid w:val="002B32C7"/>
    <w:rsid w:val="002B5AA5"/>
    <w:rsid w:val="002C00E8"/>
    <w:rsid w:val="002C14B4"/>
    <w:rsid w:val="002C1AC5"/>
    <w:rsid w:val="002C1DDB"/>
    <w:rsid w:val="002C4E2A"/>
    <w:rsid w:val="002D3A88"/>
    <w:rsid w:val="002E1D57"/>
    <w:rsid w:val="002E25B2"/>
    <w:rsid w:val="002E34A1"/>
    <w:rsid w:val="002E46B8"/>
    <w:rsid w:val="002E4E09"/>
    <w:rsid w:val="002E7E71"/>
    <w:rsid w:val="002F0A22"/>
    <w:rsid w:val="002F1E83"/>
    <w:rsid w:val="002F7012"/>
    <w:rsid w:val="003010FA"/>
    <w:rsid w:val="00301368"/>
    <w:rsid w:val="00301AC9"/>
    <w:rsid w:val="003027C5"/>
    <w:rsid w:val="00302835"/>
    <w:rsid w:val="00302AC4"/>
    <w:rsid w:val="00302C38"/>
    <w:rsid w:val="00304E9A"/>
    <w:rsid w:val="003058A7"/>
    <w:rsid w:val="0030632B"/>
    <w:rsid w:val="003068AB"/>
    <w:rsid w:val="003128F5"/>
    <w:rsid w:val="00313B11"/>
    <w:rsid w:val="00313EB2"/>
    <w:rsid w:val="00315822"/>
    <w:rsid w:val="0032073D"/>
    <w:rsid w:val="00320826"/>
    <w:rsid w:val="00323039"/>
    <w:rsid w:val="003256E8"/>
    <w:rsid w:val="00327FAD"/>
    <w:rsid w:val="003329C5"/>
    <w:rsid w:val="00334405"/>
    <w:rsid w:val="003350CD"/>
    <w:rsid w:val="00335481"/>
    <w:rsid w:val="00340066"/>
    <w:rsid w:val="00343749"/>
    <w:rsid w:val="003445EC"/>
    <w:rsid w:val="00344C16"/>
    <w:rsid w:val="0034569C"/>
    <w:rsid w:val="00346637"/>
    <w:rsid w:val="003533DC"/>
    <w:rsid w:val="003568EA"/>
    <w:rsid w:val="00360540"/>
    <w:rsid w:val="00361ECF"/>
    <w:rsid w:val="0036382D"/>
    <w:rsid w:val="003649A3"/>
    <w:rsid w:val="003660ED"/>
    <w:rsid w:val="00375E8E"/>
    <w:rsid w:val="00377418"/>
    <w:rsid w:val="00393CA4"/>
    <w:rsid w:val="00394828"/>
    <w:rsid w:val="003A171D"/>
    <w:rsid w:val="003A2EBE"/>
    <w:rsid w:val="003A6503"/>
    <w:rsid w:val="003B0550"/>
    <w:rsid w:val="003B36E3"/>
    <w:rsid w:val="003B4047"/>
    <w:rsid w:val="003B4158"/>
    <w:rsid w:val="003B5426"/>
    <w:rsid w:val="003B59AC"/>
    <w:rsid w:val="003B694F"/>
    <w:rsid w:val="003C1414"/>
    <w:rsid w:val="003C4A20"/>
    <w:rsid w:val="003C4BCC"/>
    <w:rsid w:val="003D1E81"/>
    <w:rsid w:val="003D2D04"/>
    <w:rsid w:val="003D7A7D"/>
    <w:rsid w:val="003E0060"/>
    <w:rsid w:val="003E26CC"/>
    <w:rsid w:val="003E3777"/>
    <w:rsid w:val="003E575A"/>
    <w:rsid w:val="003E7B77"/>
    <w:rsid w:val="003F171C"/>
    <w:rsid w:val="003F20BF"/>
    <w:rsid w:val="003F5CF7"/>
    <w:rsid w:val="003F7213"/>
    <w:rsid w:val="0040231B"/>
    <w:rsid w:val="00403E5B"/>
    <w:rsid w:val="0040570B"/>
    <w:rsid w:val="00412FC5"/>
    <w:rsid w:val="004142B0"/>
    <w:rsid w:val="00416232"/>
    <w:rsid w:val="00422276"/>
    <w:rsid w:val="00424121"/>
    <w:rsid w:val="004242F1"/>
    <w:rsid w:val="00426242"/>
    <w:rsid w:val="00426D94"/>
    <w:rsid w:val="00427EC7"/>
    <w:rsid w:val="004305E9"/>
    <w:rsid w:val="00440A39"/>
    <w:rsid w:val="0044203A"/>
    <w:rsid w:val="0044480C"/>
    <w:rsid w:val="00445A00"/>
    <w:rsid w:val="00447A1A"/>
    <w:rsid w:val="00450FBB"/>
    <w:rsid w:val="00451B0F"/>
    <w:rsid w:val="00453A9E"/>
    <w:rsid w:val="00457700"/>
    <w:rsid w:val="004620CB"/>
    <w:rsid w:val="0046549C"/>
    <w:rsid w:val="00467340"/>
    <w:rsid w:val="004676BE"/>
    <w:rsid w:val="004722F2"/>
    <w:rsid w:val="0047286C"/>
    <w:rsid w:val="00472C90"/>
    <w:rsid w:val="00474905"/>
    <w:rsid w:val="00477410"/>
    <w:rsid w:val="00481FB5"/>
    <w:rsid w:val="0048570B"/>
    <w:rsid w:val="00485C9F"/>
    <w:rsid w:val="00486029"/>
    <w:rsid w:val="00486AAF"/>
    <w:rsid w:val="0048737C"/>
    <w:rsid w:val="00487DA4"/>
    <w:rsid w:val="004A0A96"/>
    <w:rsid w:val="004A5FBA"/>
    <w:rsid w:val="004A6D1C"/>
    <w:rsid w:val="004A7F18"/>
    <w:rsid w:val="004C10C0"/>
    <w:rsid w:val="004C1E9A"/>
    <w:rsid w:val="004C284F"/>
    <w:rsid w:val="004C2EE3"/>
    <w:rsid w:val="004C303F"/>
    <w:rsid w:val="004E0FDF"/>
    <w:rsid w:val="004E39BC"/>
    <w:rsid w:val="004E3C27"/>
    <w:rsid w:val="004E4A22"/>
    <w:rsid w:val="004E4F32"/>
    <w:rsid w:val="004E5ED4"/>
    <w:rsid w:val="004F399B"/>
    <w:rsid w:val="004F69A6"/>
    <w:rsid w:val="00501B19"/>
    <w:rsid w:val="00510DA1"/>
    <w:rsid w:val="00511968"/>
    <w:rsid w:val="00516CB4"/>
    <w:rsid w:val="0051761D"/>
    <w:rsid w:val="005176CF"/>
    <w:rsid w:val="00520385"/>
    <w:rsid w:val="00520961"/>
    <w:rsid w:val="0052112B"/>
    <w:rsid w:val="005311E3"/>
    <w:rsid w:val="00536B76"/>
    <w:rsid w:val="00543E51"/>
    <w:rsid w:val="00544C9E"/>
    <w:rsid w:val="0055035F"/>
    <w:rsid w:val="00550AC3"/>
    <w:rsid w:val="00552E46"/>
    <w:rsid w:val="00554498"/>
    <w:rsid w:val="00555C8A"/>
    <w:rsid w:val="0055614C"/>
    <w:rsid w:val="005561EA"/>
    <w:rsid w:val="00556584"/>
    <w:rsid w:val="00560DA5"/>
    <w:rsid w:val="0056203E"/>
    <w:rsid w:val="00562DFF"/>
    <w:rsid w:val="0056472A"/>
    <w:rsid w:val="00565042"/>
    <w:rsid w:val="00566E45"/>
    <w:rsid w:val="00566E9B"/>
    <w:rsid w:val="005675C2"/>
    <w:rsid w:val="00572F28"/>
    <w:rsid w:val="00582BA0"/>
    <w:rsid w:val="00584644"/>
    <w:rsid w:val="0058683E"/>
    <w:rsid w:val="005902EF"/>
    <w:rsid w:val="00592417"/>
    <w:rsid w:val="00593AD8"/>
    <w:rsid w:val="00593EAD"/>
    <w:rsid w:val="005959BC"/>
    <w:rsid w:val="005A26B3"/>
    <w:rsid w:val="005A5FC7"/>
    <w:rsid w:val="005B4F0E"/>
    <w:rsid w:val="005C0023"/>
    <w:rsid w:val="005C2461"/>
    <w:rsid w:val="005D0ACB"/>
    <w:rsid w:val="005D21D7"/>
    <w:rsid w:val="005D2C62"/>
    <w:rsid w:val="005D5341"/>
    <w:rsid w:val="005E10F1"/>
    <w:rsid w:val="005E14C2"/>
    <w:rsid w:val="005E2CBE"/>
    <w:rsid w:val="005E3681"/>
    <w:rsid w:val="005E6193"/>
    <w:rsid w:val="005F429D"/>
    <w:rsid w:val="005F56D4"/>
    <w:rsid w:val="00600282"/>
    <w:rsid w:val="00601818"/>
    <w:rsid w:val="00605E26"/>
    <w:rsid w:val="00605F22"/>
    <w:rsid w:val="0060622A"/>
    <w:rsid w:val="00607BA5"/>
    <w:rsid w:val="00610208"/>
    <w:rsid w:val="0061180A"/>
    <w:rsid w:val="00621C39"/>
    <w:rsid w:val="00623967"/>
    <w:rsid w:val="0062460D"/>
    <w:rsid w:val="00626EB6"/>
    <w:rsid w:val="0063092C"/>
    <w:rsid w:val="00631CDF"/>
    <w:rsid w:val="00633B93"/>
    <w:rsid w:val="00637703"/>
    <w:rsid w:val="006459B1"/>
    <w:rsid w:val="00646C36"/>
    <w:rsid w:val="00647ACB"/>
    <w:rsid w:val="006510C3"/>
    <w:rsid w:val="00652072"/>
    <w:rsid w:val="00652649"/>
    <w:rsid w:val="0065270B"/>
    <w:rsid w:val="006534CA"/>
    <w:rsid w:val="00655D03"/>
    <w:rsid w:val="0066152F"/>
    <w:rsid w:val="00665373"/>
    <w:rsid w:val="00665547"/>
    <w:rsid w:val="00671880"/>
    <w:rsid w:val="00671A15"/>
    <w:rsid w:val="00683388"/>
    <w:rsid w:val="00683B2D"/>
    <w:rsid w:val="00683F1F"/>
    <w:rsid w:val="00683F84"/>
    <w:rsid w:val="00685AD9"/>
    <w:rsid w:val="006918C5"/>
    <w:rsid w:val="00692F67"/>
    <w:rsid w:val="0069341E"/>
    <w:rsid w:val="006A0CCD"/>
    <w:rsid w:val="006A16B3"/>
    <w:rsid w:val="006A1820"/>
    <w:rsid w:val="006A551D"/>
    <w:rsid w:val="006A6A81"/>
    <w:rsid w:val="006B4071"/>
    <w:rsid w:val="006C2F8E"/>
    <w:rsid w:val="006C3459"/>
    <w:rsid w:val="006C7C95"/>
    <w:rsid w:val="006C7DEB"/>
    <w:rsid w:val="006D133D"/>
    <w:rsid w:val="006D45ED"/>
    <w:rsid w:val="006E0700"/>
    <w:rsid w:val="006E207C"/>
    <w:rsid w:val="006E2695"/>
    <w:rsid w:val="006E4E12"/>
    <w:rsid w:val="006E542C"/>
    <w:rsid w:val="006E6475"/>
    <w:rsid w:val="006E6C21"/>
    <w:rsid w:val="006F0C64"/>
    <w:rsid w:val="006F1EA7"/>
    <w:rsid w:val="006F2AC9"/>
    <w:rsid w:val="006F7147"/>
    <w:rsid w:val="006F7393"/>
    <w:rsid w:val="0070112A"/>
    <w:rsid w:val="0070224F"/>
    <w:rsid w:val="0070395F"/>
    <w:rsid w:val="00703BD1"/>
    <w:rsid w:val="007066DB"/>
    <w:rsid w:val="007068E3"/>
    <w:rsid w:val="00707D0F"/>
    <w:rsid w:val="00710CC1"/>
    <w:rsid w:val="007115F7"/>
    <w:rsid w:val="00712B39"/>
    <w:rsid w:val="00713625"/>
    <w:rsid w:val="00717408"/>
    <w:rsid w:val="00717B38"/>
    <w:rsid w:val="00721210"/>
    <w:rsid w:val="007237D8"/>
    <w:rsid w:val="007405DB"/>
    <w:rsid w:val="00741A73"/>
    <w:rsid w:val="00746EEE"/>
    <w:rsid w:val="00752151"/>
    <w:rsid w:val="00753E68"/>
    <w:rsid w:val="007563C6"/>
    <w:rsid w:val="00756428"/>
    <w:rsid w:val="007567C9"/>
    <w:rsid w:val="0076646D"/>
    <w:rsid w:val="00770B53"/>
    <w:rsid w:val="007729F5"/>
    <w:rsid w:val="007758BB"/>
    <w:rsid w:val="007760CA"/>
    <w:rsid w:val="0078084A"/>
    <w:rsid w:val="00782F47"/>
    <w:rsid w:val="00785689"/>
    <w:rsid w:val="0078789C"/>
    <w:rsid w:val="00791B47"/>
    <w:rsid w:val="0079754B"/>
    <w:rsid w:val="007A1E6D"/>
    <w:rsid w:val="007A3F50"/>
    <w:rsid w:val="007A541A"/>
    <w:rsid w:val="007A5D6A"/>
    <w:rsid w:val="007B0A7B"/>
    <w:rsid w:val="007B0D37"/>
    <w:rsid w:val="007B0EB2"/>
    <w:rsid w:val="007B2545"/>
    <w:rsid w:val="007B5620"/>
    <w:rsid w:val="007C0B2B"/>
    <w:rsid w:val="007C0B39"/>
    <w:rsid w:val="007C3808"/>
    <w:rsid w:val="007C473D"/>
    <w:rsid w:val="007C5FAB"/>
    <w:rsid w:val="007D19A5"/>
    <w:rsid w:val="007D2615"/>
    <w:rsid w:val="007D7327"/>
    <w:rsid w:val="007D7BED"/>
    <w:rsid w:val="007D7F87"/>
    <w:rsid w:val="007E2EBD"/>
    <w:rsid w:val="007E3C24"/>
    <w:rsid w:val="007E4EEB"/>
    <w:rsid w:val="007E52E7"/>
    <w:rsid w:val="007E6B8D"/>
    <w:rsid w:val="007F1BAD"/>
    <w:rsid w:val="007F2132"/>
    <w:rsid w:val="007F766D"/>
    <w:rsid w:val="00802F95"/>
    <w:rsid w:val="00805BF5"/>
    <w:rsid w:val="00806024"/>
    <w:rsid w:val="008062B4"/>
    <w:rsid w:val="0080633E"/>
    <w:rsid w:val="0080718C"/>
    <w:rsid w:val="008107B7"/>
    <w:rsid w:val="00810B6F"/>
    <w:rsid w:val="008128EC"/>
    <w:rsid w:val="0081558D"/>
    <w:rsid w:val="008155A1"/>
    <w:rsid w:val="00815E33"/>
    <w:rsid w:val="00822CE0"/>
    <w:rsid w:val="0082510C"/>
    <w:rsid w:val="008257A7"/>
    <w:rsid w:val="008278CA"/>
    <w:rsid w:val="00830A41"/>
    <w:rsid w:val="00831F33"/>
    <w:rsid w:val="00832DE8"/>
    <w:rsid w:val="008335CC"/>
    <w:rsid w:val="0083430D"/>
    <w:rsid w:val="00834600"/>
    <w:rsid w:val="00834885"/>
    <w:rsid w:val="0083587E"/>
    <w:rsid w:val="008419FA"/>
    <w:rsid w:val="00841AB1"/>
    <w:rsid w:val="00842EF2"/>
    <w:rsid w:val="00843A5F"/>
    <w:rsid w:val="00850299"/>
    <w:rsid w:val="0085146D"/>
    <w:rsid w:val="00851799"/>
    <w:rsid w:val="00852593"/>
    <w:rsid w:val="0085265F"/>
    <w:rsid w:val="00855AC2"/>
    <w:rsid w:val="008647A7"/>
    <w:rsid w:val="00875260"/>
    <w:rsid w:val="00883524"/>
    <w:rsid w:val="00884899"/>
    <w:rsid w:val="008951F2"/>
    <w:rsid w:val="00897373"/>
    <w:rsid w:val="008A0C4A"/>
    <w:rsid w:val="008A1C76"/>
    <w:rsid w:val="008A2AD9"/>
    <w:rsid w:val="008A3BFE"/>
    <w:rsid w:val="008A7975"/>
    <w:rsid w:val="008A7AD7"/>
    <w:rsid w:val="008B1570"/>
    <w:rsid w:val="008B20A1"/>
    <w:rsid w:val="008B44A9"/>
    <w:rsid w:val="008B628C"/>
    <w:rsid w:val="008B6694"/>
    <w:rsid w:val="008C68F1"/>
    <w:rsid w:val="008C7262"/>
    <w:rsid w:val="008D06AD"/>
    <w:rsid w:val="008D2180"/>
    <w:rsid w:val="008D3C3F"/>
    <w:rsid w:val="008D6611"/>
    <w:rsid w:val="008D79FA"/>
    <w:rsid w:val="008E3790"/>
    <w:rsid w:val="008E3B82"/>
    <w:rsid w:val="008E5A04"/>
    <w:rsid w:val="008F2DBF"/>
    <w:rsid w:val="009002DD"/>
    <w:rsid w:val="00900EBE"/>
    <w:rsid w:val="00901E3F"/>
    <w:rsid w:val="009068C2"/>
    <w:rsid w:val="00913231"/>
    <w:rsid w:val="0091483A"/>
    <w:rsid w:val="009150AB"/>
    <w:rsid w:val="00916209"/>
    <w:rsid w:val="0091651D"/>
    <w:rsid w:val="00921803"/>
    <w:rsid w:val="00926503"/>
    <w:rsid w:val="00926FC4"/>
    <w:rsid w:val="009279FD"/>
    <w:rsid w:val="00927B1B"/>
    <w:rsid w:val="0093006C"/>
    <w:rsid w:val="00930784"/>
    <w:rsid w:val="009341CC"/>
    <w:rsid w:val="009345DA"/>
    <w:rsid w:val="00934BE2"/>
    <w:rsid w:val="00936B23"/>
    <w:rsid w:val="00940D08"/>
    <w:rsid w:val="009442B9"/>
    <w:rsid w:val="00944F1A"/>
    <w:rsid w:val="009461FF"/>
    <w:rsid w:val="009476B1"/>
    <w:rsid w:val="00955201"/>
    <w:rsid w:val="009560A6"/>
    <w:rsid w:val="00960299"/>
    <w:rsid w:val="00960334"/>
    <w:rsid w:val="00962225"/>
    <w:rsid w:val="00963098"/>
    <w:rsid w:val="0096758E"/>
    <w:rsid w:val="00971733"/>
    <w:rsid w:val="0097201E"/>
    <w:rsid w:val="009726D8"/>
    <w:rsid w:val="009728A4"/>
    <w:rsid w:val="0097453F"/>
    <w:rsid w:val="00976541"/>
    <w:rsid w:val="00980648"/>
    <w:rsid w:val="00982541"/>
    <w:rsid w:val="009850EA"/>
    <w:rsid w:val="009868CE"/>
    <w:rsid w:val="00993743"/>
    <w:rsid w:val="00994197"/>
    <w:rsid w:val="009A17A5"/>
    <w:rsid w:val="009A1B45"/>
    <w:rsid w:val="009A4A1D"/>
    <w:rsid w:val="009B0177"/>
    <w:rsid w:val="009B31C8"/>
    <w:rsid w:val="009B474D"/>
    <w:rsid w:val="009B48D0"/>
    <w:rsid w:val="009C46DE"/>
    <w:rsid w:val="009C6343"/>
    <w:rsid w:val="009C67B4"/>
    <w:rsid w:val="009D7FB5"/>
    <w:rsid w:val="009E0654"/>
    <w:rsid w:val="009E1DE8"/>
    <w:rsid w:val="009E2673"/>
    <w:rsid w:val="009E26B2"/>
    <w:rsid w:val="009E508B"/>
    <w:rsid w:val="009E51C5"/>
    <w:rsid w:val="009F0B1F"/>
    <w:rsid w:val="009F12E3"/>
    <w:rsid w:val="009F1457"/>
    <w:rsid w:val="009F1A33"/>
    <w:rsid w:val="009F1F16"/>
    <w:rsid w:val="009F76DB"/>
    <w:rsid w:val="009F7E5F"/>
    <w:rsid w:val="009F7FB6"/>
    <w:rsid w:val="00A0444F"/>
    <w:rsid w:val="00A13790"/>
    <w:rsid w:val="00A13EEC"/>
    <w:rsid w:val="00A1560F"/>
    <w:rsid w:val="00A17DF1"/>
    <w:rsid w:val="00A22ACC"/>
    <w:rsid w:val="00A22F06"/>
    <w:rsid w:val="00A2396F"/>
    <w:rsid w:val="00A23F91"/>
    <w:rsid w:val="00A26C03"/>
    <w:rsid w:val="00A27B90"/>
    <w:rsid w:val="00A32C3B"/>
    <w:rsid w:val="00A34BAD"/>
    <w:rsid w:val="00A4026B"/>
    <w:rsid w:val="00A442A7"/>
    <w:rsid w:val="00A45B71"/>
    <w:rsid w:val="00A45F4F"/>
    <w:rsid w:val="00A46A99"/>
    <w:rsid w:val="00A475EF"/>
    <w:rsid w:val="00A50EA6"/>
    <w:rsid w:val="00A51F7B"/>
    <w:rsid w:val="00A52DF5"/>
    <w:rsid w:val="00A547F8"/>
    <w:rsid w:val="00A54A18"/>
    <w:rsid w:val="00A5613E"/>
    <w:rsid w:val="00A57726"/>
    <w:rsid w:val="00A57748"/>
    <w:rsid w:val="00A600A9"/>
    <w:rsid w:val="00A65876"/>
    <w:rsid w:val="00A66B78"/>
    <w:rsid w:val="00A74664"/>
    <w:rsid w:val="00A75547"/>
    <w:rsid w:val="00A76576"/>
    <w:rsid w:val="00A8149F"/>
    <w:rsid w:val="00A83C48"/>
    <w:rsid w:val="00AA1A67"/>
    <w:rsid w:val="00AA55B7"/>
    <w:rsid w:val="00AA5B9E"/>
    <w:rsid w:val="00AA5CAE"/>
    <w:rsid w:val="00AB127B"/>
    <w:rsid w:val="00AB2244"/>
    <w:rsid w:val="00AB2407"/>
    <w:rsid w:val="00AB43B3"/>
    <w:rsid w:val="00AB4EEF"/>
    <w:rsid w:val="00AB53DF"/>
    <w:rsid w:val="00AB6ADC"/>
    <w:rsid w:val="00AB764B"/>
    <w:rsid w:val="00AB7997"/>
    <w:rsid w:val="00AC2B38"/>
    <w:rsid w:val="00AC45E1"/>
    <w:rsid w:val="00AC565F"/>
    <w:rsid w:val="00AC67DE"/>
    <w:rsid w:val="00AC7DEE"/>
    <w:rsid w:val="00AC7EDA"/>
    <w:rsid w:val="00AD0401"/>
    <w:rsid w:val="00AD0D6A"/>
    <w:rsid w:val="00AD2814"/>
    <w:rsid w:val="00AD552D"/>
    <w:rsid w:val="00AD6D76"/>
    <w:rsid w:val="00AD7A7C"/>
    <w:rsid w:val="00AE01BA"/>
    <w:rsid w:val="00AE01C2"/>
    <w:rsid w:val="00AE24D5"/>
    <w:rsid w:val="00B0010E"/>
    <w:rsid w:val="00B0044E"/>
    <w:rsid w:val="00B027AC"/>
    <w:rsid w:val="00B067FE"/>
    <w:rsid w:val="00B07974"/>
    <w:rsid w:val="00B07E5C"/>
    <w:rsid w:val="00B1444F"/>
    <w:rsid w:val="00B145D3"/>
    <w:rsid w:val="00B213CA"/>
    <w:rsid w:val="00B22973"/>
    <w:rsid w:val="00B24DFA"/>
    <w:rsid w:val="00B2646D"/>
    <w:rsid w:val="00B26748"/>
    <w:rsid w:val="00B31BC1"/>
    <w:rsid w:val="00B31EC4"/>
    <w:rsid w:val="00B37AA9"/>
    <w:rsid w:val="00B43FC1"/>
    <w:rsid w:val="00B4634E"/>
    <w:rsid w:val="00B51B28"/>
    <w:rsid w:val="00B52932"/>
    <w:rsid w:val="00B538C2"/>
    <w:rsid w:val="00B62A4D"/>
    <w:rsid w:val="00B62B28"/>
    <w:rsid w:val="00B63F92"/>
    <w:rsid w:val="00B64774"/>
    <w:rsid w:val="00B70490"/>
    <w:rsid w:val="00B709FD"/>
    <w:rsid w:val="00B711BF"/>
    <w:rsid w:val="00B7146B"/>
    <w:rsid w:val="00B71B1F"/>
    <w:rsid w:val="00B71B2E"/>
    <w:rsid w:val="00B73A30"/>
    <w:rsid w:val="00B750BB"/>
    <w:rsid w:val="00B75A45"/>
    <w:rsid w:val="00B76F47"/>
    <w:rsid w:val="00B77913"/>
    <w:rsid w:val="00B810D1"/>
    <w:rsid w:val="00B811F7"/>
    <w:rsid w:val="00B8325B"/>
    <w:rsid w:val="00B8387C"/>
    <w:rsid w:val="00B905A7"/>
    <w:rsid w:val="00B9088A"/>
    <w:rsid w:val="00B94251"/>
    <w:rsid w:val="00B94566"/>
    <w:rsid w:val="00BA4365"/>
    <w:rsid w:val="00BA5596"/>
    <w:rsid w:val="00BA5BAA"/>
    <w:rsid w:val="00BA5DC6"/>
    <w:rsid w:val="00BA6196"/>
    <w:rsid w:val="00BA6E59"/>
    <w:rsid w:val="00BB28AA"/>
    <w:rsid w:val="00BB440F"/>
    <w:rsid w:val="00BB5AF3"/>
    <w:rsid w:val="00BC513A"/>
    <w:rsid w:val="00BC54A6"/>
    <w:rsid w:val="00BC5D53"/>
    <w:rsid w:val="00BC67CB"/>
    <w:rsid w:val="00BC6D8C"/>
    <w:rsid w:val="00BC7821"/>
    <w:rsid w:val="00BD08D2"/>
    <w:rsid w:val="00BD4EBC"/>
    <w:rsid w:val="00BD5B81"/>
    <w:rsid w:val="00BD5BEC"/>
    <w:rsid w:val="00BD5FF8"/>
    <w:rsid w:val="00BE014B"/>
    <w:rsid w:val="00BE096C"/>
    <w:rsid w:val="00BE103C"/>
    <w:rsid w:val="00BE1CA3"/>
    <w:rsid w:val="00BE34F5"/>
    <w:rsid w:val="00BE473C"/>
    <w:rsid w:val="00BE7E75"/>
    <w:rsid w:val="00BF5002"/>
    <w:rsid w:val="00BF684A"/>
    <w:rsid w:val="00BF7A5B"/>
    <w:rsid w:val="00C014DA"/>
    <w:rsid w:val="00C01E1F"/>
    <w:rsid w:val="00C04651"/>
    <w:rsid w:val="00C049D7"/>
    <w:rsid w:val="00C055F7"/>
    <w:rsid w:val="00C06B1A"/>
    <w:rsid w:val="00C10327"/>
    <w:rsid w:val="00C13F9D"/>
    <w:rsid w:val="00C165B9"/>
    <w:rsid w:val="00C236AC"/>
    <w:rsid w:val="00C26D8B"/>
    <w:rsid w:val="00C277CC"/>
    <w:rsid w:val="00C27BF9"/>
    <w:rsid w:val="00C34006"/>
    <w:rsid w:val="00C353B8"/>
    <w:rsid w:val="00C35595"/>
    <w:rsid w:val="00C3652C"/>
    <w:rsid w:val="00C422B7"/>
    <w:rsid w:val="00C426B1"/>
    <w:rsid w:val="00C43E4A"/>
    <w:rsid w:val="00C44D67"/>
    <w:rsid w:val="00C454BF"/>
    <w:rsid w:val="00C47F1D"/>
    <w:rsid w:val="00C50F3D"/>
    <w:rsid w:val="00C575BD"/>
    <w:rsid w:val="00C61062"/>
    <w:rsid w:val="00C6383F"/>
    <w:rsid w:val="00C64F48"/>
    <w:rsid w:val="00C66160"/>
    <w:rsid w:val="00C6757B"/>
    <w:rsid w:val="00C7140C"/>
    <w:rsid w:val="00C721AC"/>
    <w:rsid w:val="00C72D6B"/>
    <w:rsid w:val="00C7493E"/>
    <w:rsid w:val="00C762B6"/>
    <w:rsid w:val="00C841D5"/>
    <w:rsid w:val="00C86691"/>
    <w:rsid w:val="00C866BE"/>
    <w:rsid w:val="00C907ED"/>
    <w:rsid w:val="00C90D6A"/>
    <w:rsid w:val="00C92032"/>
    <w:rsid w:val="00C93C9A"/>
    <w:rsid w:val="00C94BA7"/>
    <w:rsid w:val="00C976FE"/>
    <w:rsid w:val="00CA247E"/>
    <w:rsid w:val="00CA5D7E"/>
    <w:rsid w:val="00CB2296"/>
    <w:rsid w:val="00CB22C4"/>
    <w:rsid w:val="00CB56EC"/>
    <w:rsid w:val="00CC0230"/>
    <w:rsid w:val="00CC6563"/>
    <w:rsid w:val="00CC72B6"/>
    <w:rsid w:val="00CD033B"/>
    <w:rsid w:val="00CD3870"/>
    <w:rsid w:val="00CD3F7E"/>
    <w:rsid w:val="00CE3966"/>
    <w:rsid w:val="00CE417A"/>
    <w:rsid w:val="00CE68FE"/>
    <w:rsid w:val="00CE79A0"/>
    <w:rsid w:val="00CE7D37"/>
    <w:rsid w:val="00CF1B2D"/>
    <w:rsid w:val="00CF742D"/>
    <w:rsid w:val="00D0218D"/>
    <w:rsid w:val="00D03F3A"/>
    <w:rsid w:val="00D042A8"/>
    <w:rsid w:val="00D04D9E"/>
    <w:rsid w:val="00D051A3"/>
    <w:rsid w:val="00D064B2"/>
    <w:rsid w:val="00D06C62"/>
    <w:rsid w:val="00D101F8"/>
    <w:rsid w:val="00D11702"/>
    <w:rsid w:val="00D160D1"/>
    <w:rsid w:val="00D23E93"/>
    <w:rsid w:val="00D24CB0"/>
    <w:rsid w:val="00D25C4A"/>
    <w:rsid w:val="00D25F3B"/>
    <w:rsid w:val="00D25FB5"/>
    <w:rsid w:val="00D3314E"/>
    <w:rsid w:val="00D341FE"/>
    <w:rsid w:val="00D36109"/>
    <w:rsid w:val="00D44223"/>
    <w:rsid w:val="00D4452F"/>
    <w:rsid w:val="00D44674"/>
    <w:rsid w:val="00D45A54"/>
    <w:rsid w:val="00D45ED3"/>
    <w:rsid w:val="00D503BA"/>
    <w:rsid w:val="00D560CD"/>
    <w:rsid w:val="00D56A4B"/>
    <w:rsid w:val="00D5735B"/>
    <w:rsid w:val="00D60524"/>
    <w:rsid w:val="00D612FE"/>
    <w:rsid w:val="00D627A6"/>
    <w:rsid w:val="00D65117"/>
    <w:rsid w:val="00D66953"/>
    <w:rsid w:val="00D7778C"/>
    <w:rsid w:val="00D80103"/>
    <w:rsid w:val="00D82052"/>
    <w:rsid w:val="00D82A58"/>
    <w:rsid w:val="00D83696"/>
    <w:rsid w:val="00D84F78"/>
    <w:rsid w:val="00D9021A"/>
    <w:rsid w:val="00D95583"/>
    <w:rsid w:val="00D957E9"/>
    <w:rsid w:val="00D97B77"/>
    <w:rsid w:val="00D97F84"/>
    <w:rsid w:val="00DA07C2"/>
    <w:rsid w:val="00DA1426"/>
    <w:rsid w:val="00DA1573"/>
    <w:rsid w:val="00DA176A"/>
    <w:rsid w:val="00DA2529"/>
    <w:rsid w:val="00DB0955"/>
    <w:rsid w:val="00DB0C03"/>
    <w:rsid w:val="00DB130A"/>
    <w:rsid w:val="00DB178E"/>
    <w:rsid w:val="00DB2EBB"/>
    <w:rsid w:val="00DB3D7F"/>
    <w:rsid w:val="00DB6113"/>
    <w:rsid w:val="00DC051F"/>
    <w:rsid w:val="00DC10A1"/>
    <w:rsid w:val="00DC2111"/>
    <w:rsid w:val="00DC3EA5"/>
    <w:rsid w:val="00DC42D6"/>
    <w:rsid w:val="00DC4AE5"/>
    <w:rsid w:val="00DC5BE4"/>
    <w:rsid w:val="00DC655F"/>
    <w:rsid w:val="00DD0B59"/>
    <w:rsid w:val="00DD4456"/>
    <w:rsid w:val="00DD7EBD"/>
    <w:rsid w:val="00DE1125"/>
    <w:rsid w:val="00DE5393"/>
    <w:rsid w:val="00DE6ECC"/>
    <w:rsid w:val="00DF0462"/>
    <w:rsid w:val="00DF2595"/>
    <w:rsid w:val="00DF5290"/>
    <w:rsid w:val="00DF62B6"/>
    <w:rsid w:val="00DF6A0D"/>
    <w:rsid w:val="00DF747E"/>
    <w:rsid w:val="00E00F4B"/>
    <w:rsid w:val="00E0195B"/>
    <w:rsid w:val="00E01E06"/>
    <w:rsid w:val="00E02214"/>
    <w:rsid w:val="00E02D1D"/>
    <w:rsid w:val="00E03587"/>
    <w:rsid w:val="00E067E9"/>
    <w:rsid w:val="00E07225"/>
    <w:rsid w:val="00E1090A"/>
    <w:rsid w:val="00E139CA"/>
    <w:rsid w:val="00E13B91"/>
    <w:rsid w:val="00E1401A"/>
    <w:rsid w:val="00E22653"/>
    <w:rsid w:val="00E2347F"/>
    <w:rsid w:val="00E24A08"/>
    <w:rsid w:val="00E24E9F"/>
    <w:rsid w:val="00E2573E"/>
    <w:rsid w:val="00E274B9"/>
    <w:rsid w:val="00E3009C"/>
    <w:rsid w:val="00E30111"/>
    <w:rsid w:val="00E327CC"/>
    <w:rsid w:val="00E32B72"/>
    <w:rsid w:val="00E40F40"/>
    <w:rsid w:val="00E41C1F"/>
    <w:rsid w:val="00E43B20"/>
    <w:rsid w:val="00E43C74"/>
    <w:rsid w:val="00E4501C"/>
    <w:rsid w:val="00E457F3"/>
    <w:rsid w:val="00E45917"/>
    <w:rsid w:val="00E5409F"/>
    <w:rsid w:val="00E544AA"/>
    <w:rsid w:val="00E55D00"/>
    <w:rsid w:val="00E5745E"/>
    <w:rsid w:val="00E61CC2"/>
    <w:rsid w:val="00E66F37"/>
    <w:rsid w:val="00E71A5B"/>
    <w:rsid w:val="00E8027E"/>
    <w:rsid w:val="00E81AE0"/>
    <w:rsid w:val="00E81BD4"/>
    <w:rsid w:val="00E821FA"/>
    <w:rsid w:val="00E84034"/>
    <w:rsid w:val="00E85BE7"/>
    <w:rsid w:val="00E861B3"/>
    <w:rsid w:val="00E8630A"/>
    <w:rsid w:val="00E8776B"/>
    <w:rsid w:val="00EA12C6"/>
    <w:rsid w:val="00EA53AE"/>
    <w:rsid w:val="00EA6C04"/>
    <w:rsid w:val="00EA78C6"/>
    <w:rsid w:val="00EB1423"/>
    <w:rsid w:val="00EB20A8"/>
    <w:rsid w:val="00EB24D2"/>
    <w:rsid w:val="00EB2F49"/>
    <w:rsid w:val="00ED14C9"/>
    <w:rsid w:val="00ED436B"/>
    <w:rsid w:val="00EE1291"/>
    <w:rsid w:val="00EE4702"/>
    <w:rsid w:val="00EE6488"/>
    <w:rsid w:val="00EF1B1B"/>
    <w:rsid w:val="00EF2395"/>
    <w:rsid w:val="00EF30D3"/>
    <w:rsid w:val="00EF5FE2"/>
    <w:rsid w:val="00EF6303"/>
    <w:rsid w:val="00F00914"/>
    <w:rsid w:val="00F021FA"/>
    <w:rsid w:val="00F02B8E"/>
    <w:rsid w:val="00F04CA5"/>
    <w:rsid w:val="00F071DB"/>
    <w:rsid w:val="00F07F14"/>
    <w:rsid w:val="00F14CA6"/>
    <w:rsid w:val="00F16CFE"/>
    <w:rsid w:val="00F21F87"/>
    <w:rsid w:val="00F22FBF"/>
    <w:rsid w:val="00F23B6A"/>
    <w:rsid w:val="00F26C20"/>
    <w:rsid w:val="00F3220F"/>
    <w:rsid w:val="00F32845"/>
    <w:rsid w:val="00F37D26"/>
    <w:rsid w:val="00F44F26"/>
    <w:rsid w:val="00F56A65"/>
    <w:rsid w:val="00F6000A"/>
    <w:rsid w:val="00F60217"/>
    <w:rsid w:val="00F62649"/>
    <w:rsid w:val="00F62695"/>
    <w:rsid w:val="00F629DB"/>
    <w:rsid w:val="00F62C8D"/>
    <w:rsid w:val="00F62E97"/>
    <w:rsid w:val="00F64209"/>
    <w:rsid w:val="00F660CB"/>
    <w:rsid w:val="00F671EA"/>
    <w:rsid w:val="00F704BA"/>
    <w:rsid w:val="00F7063C"/>
    <w:rsid w:val="00F764C3"/>
    <w:rsid w:val="00F76E10"/>
    <w:rsid w:val="00F77AF9"/>
    <w:rsid w:val="00F806C9"/>
    <w:rsid w:val="00F8143D"/>
    <w:rsid w:val="00F827A9"/>
    <w:rsid w:val="00F8503B"/>
    <w:rsid w:val="00F85896"/>
    <w:rsid w:val="00F873F7"/>
    <w:rsid w:val="00F8748A"/>
    <w:rsid w:val="00F9292F"/>
    <w:rsid w:val="00F93BF5"/>
    <w:rsid w:val="00F96497"/>
    <w:rsid w:val="00F970B2"/>
    <w:rsid w:val="00FA1531"/>
    <w:rsid w:val="00FA1C36"/>
    <w:rsid w:val="00FA2AE9"/>
    <w:rsid w:val="00FA5B59"/>
    <w:rsid w:val="00FA69E4"/>
    <w:rsid w:val="00FB3458"/>
    <w:rsid w:val="00FB39CB"/>
    <w:rsid w:val="00FB4615"/>
    <w:rsid w:val="00FB60AE"/>
    <w:rsid w:val="00FC0654"/>
    <w:rsid w:val="00FC1A9C"/>
    <w:rsid w:val="00FC1F3D"/>
    <w:rsid w:val="00FC741C"/>
    <w:rsid w:val="00FD0E89"/>
    <w:rsid w:val="00FD0F9C"/>
    <w:rsid w:val="00FD48A6"/>
    <w:rsid w:val="00FE27A9"/>
    <w:rsid w:val="00FE5B2B"/>
    <w:rsid w:val="00FF3C37"/>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E9A"/>
    <w:pPr>
      <w:widowControl w:val="0"/>
    </w:pPr>
    <w:rPr>
      <w:snapToGrid w:val="0"/>
      <w:kern w:val="28"/>
      <w:sz w:val="22"/>
    </w:rPr>
  </w:style>
  <w:style w:type="paragraph" w:styleId="Heading1">
    <w:name w:val="heading 1"/>
    <w:basedOn w:val="Normal"/>
    <w:next w:val="ParaNum"/>
    <w:link w:val="Heading1Char"/>
    <w:qFormat/>
    <w:rsid w:val="00304E9A"/>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304E9A"/>
    <w:pPr>
      <w:keepNext/>
      <w:numPr>
        <w:ilvl w:val="1"/>
        <w:numId w:val="2"/>
      </w:numPr>
      <w:spacing w:after="120"/>
      <w:outlineLvl w:val="1"/>
    </w:pPr>
    <w:rPr>
      <w:b/>
    </w:rPr>
  </w:style>
  <w:style w:type="paragraph" w:styleId="Heading3">
    <w:name w:val="heading 3"/>
    <w:basedOn w:val="Normal"/>
    <w:next w:val="ParaNum"/>
    <w:qFormat/>
    <w:rsid w:val="00304E9A"/>
    <w:pPr>
      <w:keepNext/>
      <w:numPr>
        <w:ilvl w:val="2"/>
        <w:numId w:val="2"/>
      </w:numPr>
      <w:tabs>
        <w:tab w:val="left" w:pos="2160"/>
      </w:tabs>
      <w:spacing w:after="120"/>
      <w:outlineLvl w:val="2"/>
    </w:pPr>
    <w:rPr>
      <w:b/>
    </w:rPr>
  </w:style>
  <w:style w:type="paragraph" w:styleId="Heading4">
    <w:name w:val="heading 4"/>
    <w:basedOn w:val="Normal"/>
    <w:next w:val="ParaNum"/>
    <w:qFormat/>
    <w:rsid w:val="00304E9A"/>
    <w:pPr>
      <w:keepNext/>
      <w:numPr>
        <w:ilvl w:val="3"/>
        <w:numId w:val="2"/>
      </w:numPr>
      <w:tabs>
        <w:tab w:val="left" w:pos="2880"/>
      </w:tabs>
      <w:spacing w:after="120"/>
      <w:outlineLvl w:val="3"/>
    </w:pPr>
    <w:rPr>
      <w:b/>
    </w:rPr>
  </w:style>
  <w:style w:type="paragraph" w:styleId="Heading5">
    <w:name w:val="heading 5"/>
    <w:basedOn w:val="Normal"/>
    <w:next w:val="ParaNum"/>
    <w:qFormat/>
    <w:rsid w:val="00304E9A"/>
    <w:pPr>
      <w:keepNext/>
      <w:numPr>
        <w:ilvl w:val="4"/>
        <w:numId w:val="2"/>
      </w:numPr>
      <w:tabs>
        <w:tab w:val="left" w:pos="3600"/>
      </w:tabs>
      <w:suppressAutoHyphens/>
      <w:spacing w:after="120"/>
      <w:outlineLvl w:val="4"/>
    </w:pPr>
    <w:rPr>
      <w:b/>
    </w:rPr>
  </w:style>
  <w:style w:type="paragraph" w:styleId="Heading6">
    <w:name w:val="heading 6"/>
    <w:basedOn w:val="Normal"/>
    <w:next w:val="ParaNum"/>
    <w:qFormat/>
    <w:rsid w:val="00304E9A"/>
    <w:pPr>
      <w:numPr>
        <w:ilvl w:val="5"/>
        <w:numId w:val="2"/>
      </w:numPr>
      <w:tabs>
        <w:tab w:val="left" w:pos="4320"/>
      </w:tabs>
      <w:spacing w:after="120"/>
      <w:outlineLvl w:val="5"/>
    </w:pPr>
    <w:rPr>
      <w:b/>
    </w:rPr>
  </w:style>
  <w:style w:type="paragraph" w:styleId="Heading7">
    <w:name w:val="heading 7"/>
    <w:basedOn w:val="Normal"/>
    <w:next w:val="ParaNum"/>
    <w:qFormat/>
    <w:rsid w:val="00304E9A"/>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304E9A"/>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qFormat/>
    <w:rsid w:val="00304E9A"/>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304E9A"/>
    <w:pPr>
      <w:numPr>
        <w:numId w:val="1"/>
      </w:numPr>
      <w:tabs>
        <w:tab w:val="clear" w:pos="1080"/>
        <w:tab w:val="num" w:pos="1440"/>
      </w:tabs>
      <w:spacing w:after="120"/>
    </w:pPr>
  </w:style>
  <w:style w:type="paragraph" w:styleId="EndnoteText">
    <w:name w:val="endnote text"/>
    <w:basedOn w:val="Normal"/>
    <w:semiHidden/>
    <w:rsid w:val="00304E9A"/>
    <w:rPr>
      <w:sz w:val="20"/>
    </w:rPr>
  </w:style>
  <w:style w:type="character" w:styleId="EndnoteReference">
    <w:name w:val="endnote reference"/>
    <w:semiHidden/>
    <w:rsid w:val="00304E9A"/>
    <w:rPr>
      <w:vertAlign w:val="superscript"/>
    </w:rPr>
  </w:style>
  <w:style w:type="paragraph" w:styleId="FootnoteText">
    <w:name w:val="footnote text"/>
    <w:aliases w:val="Footnote Text Char,Footnote Text Char1 Char,rrfootnote Char Char,Style 5 Char Char,Footnote Text Char Char Char,Footnote Text Char1 Char Char Char,Footnote Text Char Char Char Char Char,Footnote Text Char1 Char Char Char Char Char,fn,Styl"/>
    <w:link w:val="FootnoteTextChar1"/>
    <w:rsid w:val="00304E9A"/>
    <w:pPr>
      <w:spacing w:after="120"/>
    </w:pPr>
  </w:style>
  <w:style w:type="character" w:styleId="FootnoteReference">
    <w:name w:val="footnote reference"/>
    <w:aliases w:val="Style 4,Style 12,(NECG) Footnote Reference,Appel note de bas de p,Style 124,Style 13,o,fr,Style 3,FR,Style 17,Footnote Reference/,Style 6,Footnote Reference1"/>
    <w:rsid w:val="00304E9A"/>
    <w:rPr>
      <w:rFonts w:ascii="Times New Roman" w:hAnsi="Times New Roman"/>
      <w:dstrike w:val="0"/>
      <w:color w:val="auto"/>
      <w:sz w:val="20"/>
      <w:vertAlign w:val="superscript"/>
    </w:rPr>
  </w:style>
  <w:style w:type="paragraph" w:styleId="TOC1">
    <w:name w:val="toc 1"/>
    <w:basedOn w:val="Normal"/>
    <w:next w:val="Normal"/>
    <w:semiHidden/>
    <w:rsid w:val="00304E9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04E9A"/>
    <w:pPr>
      <w:tabs>
        <w:tab w:val="left" w:pos="720"/>
        <w:tab w:val="right" w:leader="dot" w:pos="9360"/>
      </w:tabs>
      <w:suppressAutoHyphens/>
      <w:ind w:left="720" w:right="720" w:hanging="360"/>
    </w:pPr>
    <w:rPr>
      <w:noProof/>
    </w:rPr>
  </w:style>
  <w:style w:type="paragraph" w:styleId="TOC3">
    <w:name w:val="toc 3"/>
    <w:basedOn w:val="Normal"/>
    <w:next w:val="Normal"/>
    <w:semiHidden/>
    <w:rsid w:val="00304E9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04E9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04E9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04E9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04E9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04E9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04E9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04E9A"/>
    <w:pPr>
      <w:tabs>
        <w:tab w:val="right" w:pos="9360"/>
      </w:tabs>
      <w:suppressAutoHyphens/>
    </w:pPr>
  </w:style>
  <w:style w:type="character" w:customStyle="1" w:styleId="EquationCaption">
    <w:name w:val="_Equation Caption"/>
    <w:rsid w:val="00304E9A"/>
  </w:style>
  <w:style w:type="paragraph" w:styleId="Header">
    <w:name w:val="header"/>
    <w:basedOn w:val="Normal"/>
    <w:link w:val="HeaderChar"/>
    <w:autoRedefine/>
    <w:rsid w:val="00304E9A"/>
    <w:pPr>
      <w:tabs>
        <w:tab w:val="center" w:pos="4680"/>
        <w:tab w:val="right" w:pos="9360"/>
      </w:tabs>
    </w:pPr>
    <w:rPr>
      <w:b/>
    </w:rPr>
  </w:style>
  <w:style w:type="paragraph" w:styleId="Footer">
    <w:name w:val="footer"/>
    <w:basedOn w:val="Normal"/>
    <w:link w:val="FooterChar"/>
    <w:rsid w:val="00304E9A"/>
    <w:pPr>
      <w:tabs>
        <w:tab w:val="center" w:pos="4320"/>
        <w:tab w:val="right" w:pos="8640"/>
      </w:tabs>
    </w:pPr>
  </w:style>
  <w:style w:type="character" w:styleId="PageNumber">
    <w:name w:val="page number"/>
    <w:basedOn w:val="DefaultParagraphFont"/>
    <w:rsid w:val="00304E9A"/>
  </w:style>
  <w:style w:type="paragraph" w:styleId="BlockText">
    <w:name w:val="Block Text"/>
    <w:basedOn w:val="Normal"/>
    <w:rsid w:val="00304E9A"/>
    <w:pPr>
      <w:spacing w:after="240"/>
      <w:ind w:left="1440" w:right="1440"/>
    </w:pPr>
  </w:style>
  <w:style w:type="paragraph" w:customStyle="1" w:styleId="Paratitle">
    <w:name w:val="Para title"/>
    <w:basedOn w:val="Normal"/>
    <w:rsid w:val="00304E9A"/>
    <w:pPr>
      <w:tabs>
        <w:tab w:val="center" w:pos="9270"/>
      </w:tabs>
      <w:spacing w:after="240"/>
    </w:pPr>
    <w:rPr>
      <w:spacing w:val="-2"/>
    </w:rPr>
  </w:style>
  <w:style w:type="paragraph" w:customStyle="1" w:styleId="Bullet">
    <w:name w:val="Bullet"/>
    <w:basedOn w:val="Normal"/>
    <w:rsid w:val="00304E9A"/>
    <w:pPr>
      <w:tabs>
        <w:tab w:val="left" w:pos="2160"/>
      </w:tabs>
      <w:spacing w:after="220"/>
      <w:ind w:left="2160" w:hanging="720"/>
    </w:pPr>
  </w:style>
  <w:style w:type="paragraph" w:customStyle="1" w:styleId="TableFormat">
    <w:name w:val="TableFormat"/>
    <w:basedOn w:val="Bullet"/>
    <w:rsid w:val="00304E9A"/>
    <w:pPr>
      <w:tabs>
        <w:tab w:val="clear" w:pos="2160"/>
        <w:tab w:val="left" w:pos="5040"/>
      </w:tabs>
      <w:ind w:left="5040" w:hanging="3600"/>
    </w:pPr>
  </w:style>
  <w:style w:type="paragraph" w:customStyle="1" w:styleId="TOCTitle">
    <w:name w:val="TOC Title"/>
    <w:basedOn w:val="Normal"/>
    <w:rsid w:val="00304E9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04E9A"/>
    <w:pPr>
      <w:jc w:val="center"/>
    </w:pPr>
    <w:rPr>
      <w:rFonts w:ascii="Times New Roman Bold" w:hAnsi="Times New Roman Bold"/>
      <w:b/>
      <w:bCs/>
      <w:caps/>
      <w:szCs w:val="22"/>
    </w:rPr>
  </w:style>
  <w:style w:type="character" w:styleId="Hyperlink">
    <w:name w:val="Hyperlink"/>
    <w:rsid w:val="00304E9A"/>
    <w:rPr>
      <w:color w:val="0000FF"/>
      <w:u w:val="single"/>
    </w:rPr>
  </w:style>
  <w:style w:type="character" w:customStyle="1" w:styleId="FootnoteTextChar1">
    <w:name w:val="Footnote Text Char1"/>
    <w:aliases w:val="Footnote Text Char Char,Footnote Text Char1 Char Char,rrfootnote Char Char Char,Style 5 Char Char Char,Footnote Text Char Char Char Char,Footnote Text Char1 Char Char Char Char,Footnote Text Char Char Char Char Char Char,fn Char"/>
    <w:link w:val="FootnoteText"/>
    <w:locked/>
    <w:rsid w:val="007F2132"/>
  </w:style>
  <w:style w:type="paragraph" w:customStyle="1" w:styleId="Paranum0">
    <w:name w:val="Paranum"/>
    <w:uiPriority w:val="99"/>
    <w:rsid w:val="00605F22"/>
    <w:pPr>
      <w:numPr>
        <w:numId w:val="3"/>
      </w:numPr>
      <w:tabs>
        <w:tab w:val="left" w:pos="1440"/>
      </w:tabs>
      <w:spacing w:after="240"/>
      <w:jc w:val="both"/>
    </w:pPr>
    <w:rPr>
      <w:sz w:val="22"/>
    </w:rPr>
  </w:style>
  <w:style w:type="paragraph" w:customStyle="1" w:styleId="par1">
    <w:name w:val="par1"/>
    <w:basedOn w:val="Normal"/>
    <w:link w:val="par1Char"/>
    <w:rsid w:val="00BD08D2"/>
    <w:pPr>
      <w:widowControl/>
      <w:numPr>
        <w:numId w:val="4"/>
      </w:numPr>
    </w:pPr>
    <w:rPr>
      <w:snapToGrid/>
      <w:kern w:val="0"/>
    </w:rPr>
  </w:style>
  <w:style w:type="character" w:customStyle="1" w:styleId="ParanumChar0">
    <w:name w:val="Paranum Char"/>
    <w:uiPriority w:val="99"/>
    <w:rsid w:val="00BD08D2"/>
    <w:rPr>
      <w:sz w:val="22"/>
      <w:lang w:val="en-US" w:eastAsia="en-US"/>
    </w:rPr>
  </w:style>
  <w:style w:type="paragraph" w:styleId="ListParagraph">
    <w:name w:val="List Paragraph"/>
    <w:basedOn w:val="Normal"/>
    <w:uiPriority w:val="34"/>
    <w:qFormat/>
    <w:rsid w:val="00BD08D2"/>
    <w:pPr>
      <w:widowControl/>
      <w:ind w:left="720"/>
    </w:pPr>
    <w:rPr>
      <w:snapToGrid/>
      <w:kern w:val="0"/>
      <w:sz w:val="24"/>
      <w:szCs w:val="24"/>
    </w:rPr>
  </w:style>
  <w:style w:type="character" w:customStyle="1" w:styleId="par1Char">
    <w:name w:val="par1 Char"/>
    <w:link w:val="par1"/>
    <w:locked/>
    <w:rsid w:val="00BD08D2"/>
    <w:rPr>
      <w:sz w:val="22"/>
    </w:rPr>
  </w:style>
  <w:style w:type="paragraph" w:styleId="BodyText">
    <w:name w:val="Body Text"/>
    <w:basedOn w:val="Normal"/>
    <w:link w:val="BodyTextChar"/>
    <w:uiPriority w:val="99"/>
    <w:rsid w:val="00E02214"/>
    <w:pPr>
      <w:widowControl/>
    </w:pPr>
    <w:rPr>
      <w:b/>
      <w:snapToGrid/>
      <w:kern w:val="0"/>
      <w:sz w:val="24"/>
      <w:u w:val="single"/>
    </w:rPr>
  </w:style>
  <w:style w:type="character" w:customStyle="1" w:styleId="BodyTextChar">
    <w:name w:val="Body Text Char"/>
    <w:basedOn w:val="DefaultParagraphFont"/>
    <w:link w:val="BodyText"/>
    <w:uiPriority w:val="99"/>
    <w:rsid w:val="00E02214"/>
    <w:rPr>
      <w:b/>
      <w:sz w:val="24"/>
      <w:u w:val="single"/>
    </w:rPr>
  </w:style>
  <w:style w:type="paragraph" w:customStyle="1" w:styleId="Heading1A">
    <w:name w:val="Heading 1 A"/>
    <w:next w:val="Normal"/>
    <w:uiPriority w:val="99"/>
    <w:rsid w:val="00E02214"/>
    <w:pPr>
      <w:keepNext/>
      <w:suppressAutoHyphens/>
      <w:spacing w:after="120"/>
      <w:outlineLvl w:val="0"/>
    </w:pPr>
    <w:rPr>
      <w:rFonts w:ascii="Times New Roman Bold" w:hAnsi="Times New Roman Bold"/>
      <w:caps/>
      <w:color w:val="000000"/>
      <w:sz w:val="24"/>
    </w:rPr>
  </w:style>
  <w:style w:type="character" w:customStyle="1" w:styleId="ParaNumChar">
    <w:name w:val="ParaNum Char"/>
    <w:link w:val="ParaNum"/>
    <w:locked/>
    <w:rsid w:val="00E02214"/>
    <w:rPr>
      <w:snapToGrid w:val="0"/>
      <w:kern w:val="28"/>
      <w:sz w:val="22"/>
    </w:rPr>
  </w:style>
  <w:style w:type="character" w:customStyle="1" w:styleId="Heading1Char">
    <w:name w:val="Heading 1 Char"/>
    <w:basedOn w:val="DefaultParagraphFont"/>
    <w:link w:val="Heading1"/>
    <w:locked/>
    <w:rsid w:val="009068C2"/>
    <w:rPr>
      <w:rFonts w:ascii="Times New Roman Bold" w:hAnsi="Times New Roman Bold"/>
      <w:b/>
      <w:caps/>
      <w:snapToGrid w:val="0"/>
      <w:kern w:val="28"/>
      <w:sz w:val="22"/>
    </w:rPr>
  </w:style>
  <w:style w:type="character" w:styleId="CommentReference">
    <w:name w:val="annotation reference"/>
    <w:basedOn w:val="DefaultParagraphFont"/>
    <w:rsid w:val="007D2615"/>
    <w:rPr>
      <w:sz w:val="16"/>
      <w:szCs w:val="16"/>
    </w:rPr>
  </w:style>
  <w:style w:type="paragraph" w:styleId="CommentText">
    <w:name w:val="annotation text"/>
    <w:basedOn w:val="Normal"/>
    <w:link w:val="CommentTextChar"/>
    <w:rsid w:val="007D2615"/>
    <w:rPr>
      <w:sz w:val="20"/>
    </w:rPr>
  </w:style>
  <w:style w:type="character" w:customStyle="1" w:styleId="CommentTextChar">
    <w:name w:val="Comment Text Char"/>
    <w:basedOn w:val="DefaultParagraphFont"/>
    <w:link w:val="CommentText"/>
    <w:rsid w:val="007D2615"/>
    <w:rPr>
      <w:snapToGrid w:val="0"/>
      <w:kern w:val="28"/>
    </w:rPr>
  </w:style>
  <w:style w:type="paragraph" w:styleId="CommentSubject">
    <w:name w:val="annotation subject"/>
    <w:basedOn w:val="CommentText"/>
    <w:next w:val="CommentText"/>
    <w:link w:val="CommentSubjectChar"/>
    <w:rsid w:val="007D2615"/>
    <w:rPr>
      <w:b/>
      <w:bCs/>
    </w:rPr>
  </w:style>
  <w:style w:type="character" w:customStyle="1" w:styleId="CommentSubjectChar">
    <w:name w:val="Comment Subject Char"/>
    <w:basedOn w:val="CommentTextChar"/>
    <w:link w:val="CommentSubject"/>
    <w:rsid w:val="007D2615"/>
    <w:rPr>
      <w:b/>
      <w:bCs/>
      <w:snapToGrid w:val="0"/>
      <w:kern w:val="28"/>
    </w:rPr>
  </w:style>
  <w:style w:type="paragraph" w:styleId="BalloonText">
    <w:name w:val="Balloon Text"/>
    <w:basedOn w:val="Normal"/>
    <w:link w:val="BalloonTextChar"/>
    <w:rsid w:val="007D2615"/>
    <w:rPr>
      <w:rFonts w:ascii="Tahoma" w:hAnsi="Tahoma" w:cs="Tahoma"/>
      <w:sz w:val="16"/>
      <w:szCs w:val="16"/>
    </w:rPr>
  </w:style>
  <w:style w:type="character" w:customStyle="1" w:styleId="BalloonTextChar">
    <w:name w:val="Balloon Text Char"/>
    <w:basedOn w:val="DefaultParagraphFont"/>
    <w:link w:val="BalloonText"/>
    <w:rsid w:val="007D2615"/>
    <w:rPr>
      <w:rFonts w:ascii="Tahoma" w:hAnsi="Tahoma" w:cs="Tahoma"/>
      <w:snapToGrid w:val="0"/>
      <w:kern w:val="28"/>
      <w:sz w:val="16"/>
      <w:szCs w:val="16"/>
    </w:rPr>
  </w:style>
  <w:style w:type="character" w:customStyle="1" w:styleId="FooterChar">
    <w:name w:val="Footer Char"/>
    <w:basedOn w:val="DefaultParagraphFont"/>
    <w:link w:val="Footer"/>
    <w:rsid w:val="00D56A4B"/>
    <w:rPr>
      <w:snapToGrid w:val="0"/>
      <w:kern w:val="28"/>
      <w:sz w:val="22"/>
    </w:rPr>
  </w:style>
  <w:style w:type="paragraph" w:styleId="Revision">
    <w:name w:val="Revision"/>
    <w:hidden/>
    <w:uiPriority w:val="99"/>
    <w:semiHidden/>
    <w:rsid w:val="0007059D"/>
    <w:rPr>
      <w:snapToGrid w:val="0"/>
      <w:kern w:val="28"/>
      <w:sz w:val="22"/>
    </w:rPr>
  </w:style>
  <w:style w:type="character" w:customStyle="1" w:styleId="FootnoteTextChar2CharCharChar">
    <w:name w:val="Footnote Text Char2 Char Char Char"/>
    <w:aliases w:val="Footnote Text Char1 Char2 Char Char Char,Footnote Text Char Char Char Char Char Char2,Footnote Text Char1 Char Char Char Char Char Char1"/>
    <w:rsid w:val="00B8387C"/>
    <w:rPr>
      <w:noProof w:val="0"/>
      <w:lang w:val="en-US" w:eastAsia="en-US" w:bidi="ar-SA"/>
    </w:rPr>
  </w:style>
  <w:style w:type="character" w:customStyle="1" w:styleId="HeaderChar">
    <w:name w:val="Header Char"/>
    <w:basedOn w:val="DefaultParagraphFont"/>
    <w:link w:val="Header"/>
    <w:rsid w:val="00153AAA"/>
    <w:rPr>
      <w:b/>
      <w:snapToGrid w:val="0"/>
      <w:kern w:val="28"/>
      <w:sz w:val="22"/>
    </w:rPr>
  </w:style>
  <w:style w:type="character" w:customStyle="1" w:styleId="FootnoteTextChar2">
    <w:name w:val="Footnote Text Char2"/>
    <w:aliases w:val="Footnote Text Char Char1,Footnote Text Char1 Char Char1,rrfootnote Char Char Char1,Style 5 Char Char Char1,Footnote Text Char Char Char Char1,Footnote Text Char1 Char Char Char Char1,Footnote Text Char Char Char Char Char Char1"/>
    <w:locked/>
    <w:rsid w:val="00F8748A"/>
    <w:rPr>
      <w:sz w:val="24"/>
      <w:lang w:val="en-US" w:eastAsia="en-US"/>
    </w:rPr>
  </w:style>
  <w:style w:type="character" w:customStyle="1" w:styleId="Normal2">
    <w:name w:val="Normal2"/>
    <w:rsid w:val="0034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4354">
      <w:bodyDiv w:val="1"/>
      <w:marLeft w:val="0"/>
      <w:marRight w:val="0"/>
      <w:marTop w:val="0"/>
      <w:marBottom w:val="0"/>
      <w:divBdr>
        <w:top w:val="none" w:sz="0" w:space="0" w:color="auto"/>
        <w:left w:val="none" w:sz="0" w:space="0" w:color="auto"/>
        <w:bottom w:val="none" w:sz="0" w:space="0" w:color="auto"/>
        <w:right w:val="none" w:sz="0" w:space="0" w:color="auto"/>
      </w:divBdr>
    </w:div>
    <w:div w:id="410470593">
      <w:bodyDiv w:val="1"/>
      <w:marLeft w:val="0"/>
      <w:marRight w:val="0"/>
      <w:marTop w:val="0"/>
      <w:marBottom w:val="0"/>
      <w:divBdr>
        <w:top w:val="none" w:sz="0" w:space="0" w:color="auto"/>
        <w:left w:val="none" w:sz="0" w:space="0" w:color="auto"/>
        <w:bottom w:val="none" w:sz="0" w:space="0" w:color="auto"/>
        <w:right w:val="none" w:sz="0" w:space="0" w:color="auto"/>
      </w:divBdr>
    </w:div>
    <w:div w:id="759447711">
      <w:bodyDiv w:val="1"/>
      <w:marLeft w:val="0"/>
      <w:marRight w:val="0"/>
      <w:marTop w:val="0"/>
      <w:marBottom w:val="0"/>
      <w:divBdr>
        <w:top w:val="none" w:sz="0" w:space="0" w:color="auto"/>
        <w:left w:val="none" w:sz="0" w:space="0" w:color="auto"/>
        <w:bottom w:val="none" w:sz="0" w:space="0" w:color="auto"/>
        <w:right w:val="none" w:sz="0" w:space="0" w:color="auto"/>
      </w:divBdr>
    </w:div>
    <w:div w:id="888155070">
      <w:bodyDiv w:val="1"/>
      <w:marLeft w:val="0"/>
      <w:marRight w:val="0"/>
      <w:marTop w:val="0"/>
      <w:marBottom w:val="0"/>
      <w:divBdr>
        <w:top w:val="none" w:sz="0" w:space="0" w:color="auto"/>
        <w:left w:val="none" w:sz="0" w:space="0" w:color="auto"/>
        <w:bottom w:val="none" w:sz="0" w:space="0" w:color="auto"/>
        <w:right w:val="none" w:sz="0" w:space="0" w:color="auto"/>
      </w:divBdr>
    </w:div>
    <w:div w:id="1465002553">
      <w:bodyDiv w:val="1"/>
      <w:marLeft w:val="0"/>
      <w:marRight w:val="0"/>
      <w:marTop w:val="0"/>
      <w:marBottom w:val="0"/>
      <w:divBdr>
        <w:top w:val="none" w:sz="0" w:space="0" w:color="auto"/>
        <w:left w:val="none" w:sz="0" w:space="0" w:color="auto"/>
        <w:bottom w:val="none" w:sz="0" w:space="0" w:color="auto"/>
        <w:right w:val="none" w:sz="0" w:space="0" w:color="auto"/>
      </w:divBdr>
    </w:div>
    <w:div w:id="1510680458">
      <w:bodyDiv w:val="1"/>
      <w:marLeft w:val="0"/>
      <w:marRight w:val="0"/>
      <w:marTop w:val="0"/>
      <w:marBottom w:val="0"/>
      <w:divBdr>
        <w:top w:val="none" w:sz="0" w:space="0" w:color="auto"/>
        <w:left w:val="none" w:sz="0" w:space="0" w:color="auto"/>
        <w:bottom w:val="none" w:sz="0" w:space="0" w:color="auto"/>
        <w:right w:val="none" w:sz="0" w:space="0" w:color="auto"/>
      </w:divBdr>
    </w:div>
    <w:div w:id="2145922963">
      <w:bodyDiv w:val="1"/>
      <w:marLeft w:val="30"/>
      <w:marRight w:val="30"/>
      <w:marTop w:val="30"/>
      <w:marBottom w:val="30"/>
      <w:divBdr>
        <w:top w:val="none" w:sz="0" w:space="0" w:color="auto"/>
        <w:left w:val="none" w:sz="0" w:space="0" w:color="auto"/>
        <w:bottom w:val="none" w:sz="0" w:space="0" w:color="auto"/>
        <w:right w:val="none" w:sz="0" w:space="0" w:color="auto"/>
      </w:divBdr>
      <w:divsChild>
        <w:div w:id="2040427518">
          <w:marLeft w:val="0"/>
          <w:marRight w:val="0"/>
          <w:marTop w:val="0"/>
          <w:marBottom w:val="0"/>
          <w:divBdr>
            <w:top w:val="none" w:sz="0" w:space="0" w:color="auto"/>
            <w:left w:val="none" w:sz="0" w:space="0" w:color="auto"/>
            <w:bottom w:val="none" w:sz="0" w:space="0" w:color="auto"/>
            <w:right w:val="none" w:sz="0" w:space="0" w:color="auto"/>
          </w:divBdr>
          <w:divsChild>
            <w:div w:id="55474634">
              <w:marLeft w:val="45"/>
              <w:marRight w:val="45"/>
              <w:marTop w:val="45"/>
              <w:marBottom w:val="45"/>
              <w:divBdr>
                <w:top w:val="none" w:sz="0" w:space="0" w:color="auto"/>
                <w:left w:val="none" w:sz="0" w:space="0" w:color="auto"/>
                <w:bottom w:val="none" w:sz="0" w:space="0" w:color="auto"/>
                <w:right w:val="none" w:sz="0" w:space="0" w:color="auto"/>
              </w:divBdr>
              <w:divsChild>
                <w:div w:id="224225814">
                  <w:marLeft w:val="0"/>
                  <w:marRight w:val="0"/>
                  <w:marTop w:val="0"/>
                  <w:marBottom w:val="0"/>
                  <w:divBdr>
                    <w:top w:val="none" w:sz="0" w:space="0" w:color="auto"/>
                    <w:left w:val="none" w:sz="0" w:space="0" w:color="auto"/>
                    <w:bottom w:val="none" w:sz="0" w:space="0" w:color="auto"/>
                    <w:right w:val="none" w:sz="0" w:space="0" w:color="auto"/>
                  </w:divBdr>
                  <w:divsChild>
                    <w:div w:id="986978634">
                      <w:marLeft w:val="0"/>
                      <w:marRight w:val="0"/>
                      <w:marTop w:val="0"/>
                      <w:marBottom w:val="0"/>
                      <w:divBdr>
                        <w:top w:val="none" w:sz="0" w:space="0" w:color="auto"/>
                        <w:left w:val="none" w:sz="0" w:space="0" w:color="auto"/>
                        <w:bottom w:val="none" w:sz="0" w:space="0" w:color="auto"/>
                        <w:right w:val="none" w:sz="0" w:space="0" w:color="auto"/>
                      </w:divBdr>
                    </w:div>
                    <w:div w:id="11541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apps.fcc.gov/coresWeb/searchDetail.do?frn=0004335592" TargetMode="External"/><Relationship Id="rId12" Type="http://schemas.openxmlformats.org/officeDocument/2006/relationships/header" Target="header3.xml"/><Relationship Id="rId17" Type="http://schemas.openxmlformats.org/officeDocument/2006/relationships/hyperlink" Target="mailto:Jeffrey.Gee@fcc.gov" TargetMode="External"/><Relationship Id="rId2" Type="http://schemas.openxmlformats.org/officeDocument/2006/relationships/styles" Target="styles.xml"/><Relationship Id="rId16" Type="http://schemas.openxmlformats.org/officeDocument/2006/relationships/hyperlink" Target="mailto:Jeffrey.Gee@fcc.gov"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Jeffrey.Gee@fcc.gov"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pps.fcc.gov/coresWeb/searchDetail.do?frn=0004335592"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2013-09-25T07:00:00+00:00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2FCE17806B6B4292A32343C5B96937" ma:contentTypeVersion="135" ma:contentTypeDescription="" ma:contentTypeScope="" ma:versionID="8653e63ac30fee37c2425fdc81b925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DE5FD-1ED5-443A-B164-5C4F67205C25}"/>
</file>

<file path=customXml/itemProps2.xml><?xml version="1.0" encoding="utf-8"?>
<ds:datastoreItem xmlns:ds="http://schemas.openxmlformats.org/officeDocument/2006/customXml" ds:itemID="{FCC22B96-A7CC-4D80-B386-94F008D048F5}"/>
</file>

<file path=customXml/itemProps3.xml><?xml version="1.0" encoding="utf-8"?>
<ds:datastoreItem xmlns:ds="http://schemas.openxmlformats.org/officeDocument/2006/customXml" ds:itemID="{3C2A01EB-BBBC-471F-9992-6383CB0F248D}"/>
</file>

<file path=customXml/itemProps4.xml><?xml version="1.0" encoding="utf-8"?>
<ds:datastoreItem xmlns:ds="http://schemas.openxmlformats.org/officeDocument/2006/customXml" ds:itemID="{416D2ECE-F3E3-481C-9A15-F244FF4232D7}"/>
</file>

<file path=docProps/app.xml><?xml version="1.0" encoding="utf-8"?>
<Properties xmlns="http://schemas.openxmlformats.org/officeDocument/2006/extended-properties" xmlns:vt="http://schemas.openxmlformats.org/officeDocument/2006/docPropsVTypes">
  <Template>Orders TOC by Paragraph</Template>
  <TotalTime>0</TotalTime>
  <Pages>13</Pages>
  <Words>6495</Words>
  <Characters>37022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43431</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2015-04-15T21:51:00Z</dcterms:created>
  <dcterms:modified xsi:type="dcterms:W3CDTF">2015-04-15T21:51:00Z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0x0101006E56B4D1795A2E4DB2F0B01679ED314A00DC2FCE17806B6B4292A32343C5B96937</vt:lpwstr>
  </property>
  <property fmtid="{D5CDD505-2E9C-101B-9397-08002B2CF9AE}" pid="3" name="_docset_NoMedatataSyncRequired">
    <vt:lpwstr>False</vt:lpwstr>
  </property>
</Properties>
</file>