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09" w:rsidRPr="009C3586" w:rsidRDefault="00655F09" w:rsidP="00655F09">
      <w:pPr>
        <w:rPr>
          <w:b/>
          <w:sz w:val="36"/>
        </w:rPr>
      </w:pPr>
      <w:bookmarkStart w:id="0" w:name="_GoBack"/>
      <w:bookmarkEnd w:id="0"/>
    </w:p>
    <w:p w:rsidR="00655F09" w:rsidRPr="009C3586" w:rsidRDefault="00655F09" w:rsidP="00655F09">
      <w:pPr>
        <w:rPr>
          <w:b/>
          <w:sz w:val="36"/>
        </w:rPr>
      </w:pPr>
    </w:p>
    <w:p w:rsidR="00655F09" w:rsidRPr="009C3586" w:rsidRDefault="00655F09" w:rsidP="00655F09">
      <w:pPr>
        <w:rPr>
          <w:b/>
          <w:sz w:val="28"/>
        </w:rPr>
      </w:pPr>
      <w:r w:rsidRPr="009C3586">
        <w:rPr>
          <w:b/>
          <w:sz w:val="28"/>
        </w:rPr>
        <w:t>_____________________________________________________________</w:t>
      </w:r>
    </w:p>
    <w:p w:rsidR="00655F09" w:rsidRPr="009C3586" w:rsidRDefault="00655F09" w:rsidP="00655F09">
      <w:pPr>
        <w:rPr>
          <w:sz w:val="32"/>
        </w:rPr>
      </w:pPr>
    </w:p>
    <w:p w:rsidR="00655F09" w:rsidRPr="009C3586" w:rsidRDefault="00655F09" w:rsidP="00655F09">
      <w:pPr>
        <w:jc w:val="center"/>
        <w:rPr>
          <w:b/>
          <w:sz w:val="32"/>
          <w:szCs w:val="24"/>
        </w:rPr>
      </w:pPr>
      <w:r w:rsidRPr="009C3586">
        <w:rPr>
          <w:b/>
          <w:sz w:val="32"/>
          <w:szCs w:val="24"/>
        </w:rPr>
        <w:t>PacifiCorp</w:t>
      </w:r>
    </w:p>
    <w:p w:rsidR="00655F09" w:rsidRPr="009C3586" w:rsidRDefault="00655F09" w:rsidP="00655F09">
      <w:pPr>
        <w:jc w:val="center"/>
        <w:rPr>
          <w:b/>
          <w:sz w:val="32"/>
          <w:szCs w:val="24"/>
        </w:rPr>
      </w:pPr>
    </w:p>
    <w:p w:rsidR="00655F09" w:rsidRPr="009C3586" w:rsidRDefault="00655F09" w:rsidP="00655F09">
      <w:pPr>
        <w:jc w:val="center"/>
        <w:rPr>
          <w:b/>
          <w:sz w:val="32"/>
          <w:szCs w:val="24"/>
        </w:rPr>
      </w:pPr>
      <w:r w:rsidRPr="009C3586">
        <w:rPr>
          <w:b/>
          <w:sz w:val="32"/>
          <w:szCs w:val="24"/>
        </w:rPr>
        <w:t>Request for Proposal</w:t>
      </w:r>
      <w:r w:rsidR="00AA1B4D">
        <w:rPr>
          <w:b/>
          <w:sz w:val="32"/>
          <w:szCs w:val="24"/>
        </w:rPr>
        <w:t>s</w:t>
      </w:r>
    </w:p>
    <w:p w:rsidR="00655F09" w:rsidRPr="009C3586" w:rsidRDefault="00655F09" w:rsidP="00655F09">
      <w:pPr>
        <w:jc w:val="center"/>
        <w:rPr>
          <w:b/>
          <w:sz w:val="32"/>
          <w:szCs w:val="24"/>
        </w:rPr>
      </w:pPr>
    </w:p>
    <w:p w:rsidR="00655F09" w:rsidRPr="009C3586" w:rsidRDefault="00655F09" w:rsidP="00655F09">
      <w:pPr>
        <w:jc w:val="center"/>
        <w:rPr>
          <w:b/>
          <w:sz w:val="32"/>
          <w:szCs w:val="24"/>
        </w:rPr>
      </w:pPr>
      <w:r w:rsidRPr="009C3586">
        <w:rPr>
          <w:b/>
          <w:sz w:val="32"/>
          <w:szCs w:val="24"/>
        </w:rPr>
        <w:t>Market Resources</w:t>
      </w:r>
    </w:p>
    <w:p w:rsidR="003966D2" w:rsidRDefault="00E85E14" w:rsidP="003966D2">
      <w:pPr>
        <w:tabs>
          <w:tab w:val="left" w:pos="7756"/>
        </w:tabs>
        <w:jc w:val="left"/>
        <w:rPr>
          <w:b/>
          <w:sz w:val="32"/>
          <w:szCs w:val="24"/>
        </w:rPr>
      </w:pPr>
      <w:r>
        <w:rPr>
          <w:b/>
          <w:sz w:val="32"/>
          <w:szCs w:val="24"/>
        </w:rPr>
        <w:tab/>
      </w:r>
    </w:p>
    <w:p w:rsidR="00655F09" w:rsidRPr="009C3586" w:rsidRDefault="00CA16D8" w:rsidP="00655F09">
      <w:pPr>
        <w:jc w:val="center"/>
        <w:rPr>
          <w:sz w:val="32"/>
          <w:szCs w:val="24"/>
        </w:rPr>
      </w:pPr>
      <w:r>
        <w:rPr>
          <w:b/>
          <w:sz w:val="32"/>
          <w:szCs w:val="24"/>
        </w:rPr>
        <w:t>(</w:t>
      </w:r>
      <w:r w:rsidR="00655F09" w:rsidRPr="009C3586">
        <w:rPr>
          <w:b/>
          <w:sz w:val="32"/>
          <w:szCs w:val="24"/>
        </w:rPr>
        <w:t>201</w:t>
      </w:r>
      <w:r w:rsidR="0059095E">
        <w:rPr>
          <w:b/>
          <w:sz w:val="32"/>
          <w:szCs w:val="24"/>
        </w:rPr>
        <w:t>3</w:t>
      </w:r>
      <w:r w:rsidR="00655F09" w:rsidRPr="009C3586">
        <w:rPr>
          <w:b/>
          <w:sz w:val="32"/>
          <w:szCs w:val="24"/>
        </w:rPr>
        <w:t xml:space="preserve"> Market</w:t>
      </w:r>
      <w:r>
        <w:rPr>
          <w:b/>
          <w:sz w:val="32"/>
          <w:szCs w:val="24"/>
        </w:rPr>
        <w:t xml:space="preserve"> RFP</w:t>
      </w:r>
      <w:r w:rsidR="00655F09" w:rsidRPr="009C3586">
        <w:rPr>
          <w:b/>
          <w:sz w:val="32"/>
          <w:szCs w:val="24"/>
        </w:rPr>
        <w:t>)</w:t>
      </w:r>
    </w:p>
    <w:p w:rsidR="00655F09" w:rsidRPr="009C3586" w:rsidRDefault="00655F09" w:rsidP="00655F09">
      <w:pPr>
        <w:jc w:val="center"/>
        <w:rPr>
          <w:sz w:val="32"/>
          <w:szCs w:val="24"/>
        </w:rPr>
      </w:pPr>
    </w:p>
    <w:p w:rsidR="00FE33AB" w:rsidRDefault="00655F09" w:rsidP="00FE33AB">
      <w:pPr>
        <w:ind w:left="3330" w:hanging="1890"/>
        <w:jc w:val="left"/>
        <w:rPr>
          <w:b/>
          <w:sz w:val="32"/>
          <w:szCs w:val="24"/>
        </w:rPr>
      </w:pPr>
      <w:r w:rsidRPr="009C3586">
        <w:rPr>
          <w:b/>
          <w:sz w:val="32"/>
          <w:szCs w:val="24"/>
        </w:rPr>
        <w:t xml:space="preserve">ISSUED: </w:t>
      </w:r>
      <w:r w:rsidR="00E45830">
        <w:rPr>
          <w:b/>
          <w:sz w:val="32"/>
          <w:szCs w:val="24"/>
        </w:rPr>
        <w:tab/>
        <w:t xml:space="preserve">Commission’s </w:t>
      </w:r>
      <w:r w:rsidR="00031F83">
        <w:rPr>
          <w:b/>
          <w:sz w:val="32"/>
          <w:szCs w:val="24"/>
        </w:rPr>
        <w:t xml:space="preserve">Approval </w:t>
      </w:r>
      <w:r w:rsidR="00E45830">
        <w:rPr>
          <w:b/>
          <w:sz w:val="32"/>
          <w:szCs w:val="24"/>
        </w:rPr>
        <w:t>Waiver (“Issue Date”)</w:t>
      </w:r>
      <w:r w:rsidR="00031F83">
        <w:rPr>
          <w:b/>
          <w:sz w:val="32"/>
          <w:szCs w:val="24"/>
        </w:rPr>
        <w:t xml:space="preserve"> + 5 Business Days </w:t>
      </w:r>
    </w:p>
    <w:p w:rsidR="00655F09" w:rsidRPr="009C3586" w:rsidRDefault="00655F09" w:rsidP="00FE33AB">
      <w:pPr>
        <w:ind w:left="3330" w:hanging="1890"/>
        <w:jc w:val="left"/>
        <w:rPr>
          <w:sz w:val="32"/>
          <w:szCs w:val="24"/>
        </w:rPr>
      </w:pPr>
      <w:r w:rsidRPr="009C3586">
        <w:rPr>
          <w:b/>
          <w:sz w:val="32"/>
          <w:szCs w:val="24"/>
        </w:rPr>
        <w:t xml:space="preserve">DUE DATE: </w:t>
      </w:r>
      <w:r w:rsidR="00E45830">
        <w:rPr>
          <w:b/>
          <w:sz w:val="32"/>
          <w:szCs w:val="24"/>
        </w:rPr>
        <w:tab/>
      </w:r>
      <w:r w:rsidR="00031F83">
        <w:rPr>
          <w:b/>
          <w:sz w:val="32"/>
          <w:szCs w:val="24"/>
        </w:rPr>
        <w:t xml:space="preserve">Issue Date + 10 Business Days </w:t>
      </w:r>
    </w:p>
    <w:p w:rsidR="00655F09" w:rsidRPr="009C3586" w:rsidRDefault="00655F09" w:rsidP="00655F09">
      <w:pPr>
        <w:rPr>
          <w:b/>
          <w:sz w:val="28"/>
        </w:rPr>
      </w:pPr>
      <w:r w:rsidRPr="009C3586">
        <w:rPr>
          <w:b/>
          <w:sz w:val="28"/>
        </w:rPr>
        <w:t>_____________________________________________________________</w:t>
      </w:r>
    </w:p>
    <w:p w:rsidR="00655F09" w:rsidRPr="009C3586" w:rsidRDefault="00655F09" w:rsidP="00655F09">
      <w:pPr>
        <w:jc w:val="center"/>
        <w:rPr>
          <w:sz w:val="32"/>
        </w:rPr>
      </w:pPr>
    </w:p>
    <w:p w:rsidR="00655F09" w:rsidRPr="009C3586" w:rsidRDefault="00655F09" w:rsidP="00655F09">
      <w:pPr>
        <w:pStyle w:val="Header"/>
        <w:tabs>
          <w:tab w:val="clear" w:pos="4320"/>
          <w:tab w:val="clear" w:pos="8640"/>
        </w:tabs>
        <w:rPr>
          <w:b/>
          <w:sz w:val="32"/>
        </w:rPr>
      </w:pPr>
    </w:p>
    <w:p w:rsidR="00655F09" w:rsidRDefault="00655F09" w:rsidP="00655F09">
      <w:pPr>
        <w:pStyle w:val="Header"/>
        <w:tabs>
          <w:tab w:val="clear" w:pos="4320"/>
          <w:tab w:val="clear" w:pos="8640"/>
        </w:tabs>
        <w:rPr>
          <w:b/>
        </w:rPr>
      </w:pPr>
      <w:r>
        <w:rPr>
          <w:b/>
        </w:rPr>
        <w:br w:type="page"/>
      </w:r>
    </w:p>
    <w:p w:rsidR="00655F09" w:rsidRDefault="00655F09" w:rsidP="00655F09">
      <w:pPr>
        <w:pStyle w:val="Header"/>
        <w:tabs>
          <w:tab w:val="clear" w:pos="4320"/>
          <w:tab w:val="clear" w:pos="8640"/>
        </w:tabs>
        <w:rPr>
          <w:b/>
        </w:rPr>
      </w:pPr>
    </w:p>
    <w:p w:rsidR="00655F09" w:rsidRDefault="00655F09" w:rsidP="00655F09"/>
    <w:p w:rsidR="00655F09" w:rsidRPr="00301CD1" w:rsidRDefault="00655F09" w:rsidP="00655F09">
      <w:pPr>
        <w:pStyle w:val="Title"/>
        <w:rPr>
          <w:rFonts w:ascii="Times New Roman" w:hAnsi="Times New Roman"/>
          <w:bCs/>
          <w:color w:val="auto"/>
          <w:sz w:val="28"/>
        </w:rPr>
      </w:pPr>
      <w:bookmarkStart w:id="1" w:name="_Toc304795874"/>
      <w:bookmarkStart w:id="2" w:name="_Toc205008760"/>
      <w:bookmarkStart w:id="3" w:name="_Toc205009216"/>
      <w:bookmarkStart w:id="4" w:name="_Toc205025392"/>
      <w:r w:rsidRPr="00301CD1">
        <w:rPr>
          <w:color w:val="auto"/>
        </w:rPr>
        <w:t>I. Introduction and Process</w:t>
      </w:r>
      <w:bookmarkEnd w:id="1"/>
    </w:p>
    <w:bookmarkEnd w:id="2"/>
    <w:bookmarkEnd w:id="3"/>
    <w:bookmarkEnd w:id="4"/>
    <w:p w:rsidR="004E160D" w:rsidRDefault="00655F09" w:rsidP="00655F09">
      <w:r w:rsidRPr="00796BC2">
        <w:t>This document constitutes a Request for Proposals ("RFP") from qualified third parties ("</w:t>
      </w:r>
      <w:r w:rsidR="009A5D17">
        <w:t>Bidders</w:t>
      </w:r>
      <w:r w:rsidRPr="00796BC2">
        <w:t xml:space="preserve">") to supply electric resources to PacifiCorp ("Company"). It is an “All Market Sources” RFP in that any electric generation source will be considered, consistent with the requirements described herein. The RFP may be found at </w:t>
      </w:r>
      <w:hyperlink r:id="rId8" w:history="1">
        <w:r w:rsidR="004E160D" w:rsidRPr="006F1A66">
          <w:rPr>
            <w:rStyle w:val="Hyperlink"/>
          </w:rPr>
          <w:t>http://www.pacificorp.com/es/irp.html</w:t>
        </w:r>
      </w:hyperlink>
      <w:r w:rsidR="004E160D">
        <w:t xml:space="preserve">.  </w:t>
      </w:r>
    </w:p>
    <w:p w:rsidR="004E160D" w:rsidRDefault="004E160D" w:rsidP="00655F09"/>
    <w:p w:rsidR="00655F09" w:rsidRPr="00796BC2" w:rsidRDefault="00655F09" w:rsidP="00655F09">
      <w:r>
        <w:t>The Company</w:t>
      </w:r>
      <w:r w:rsidRPr="00796BC2">
        <w:t xml:space="preserve"> is seeking the following resources with this RFP in </w:t>
      </w:r>
      <w:r>
        <w:t xml:space="preserve">the </w:t>
      </w:r>
      <w:r w:rsidRPr="00796BC2">
        <w:t xml:space="preserve">PacifiCorp western balancing </w:t>
      </w:r>
      <w:r>
        <w:t>authority</w:t>
      </w:r>
      <w:r w:rsidRPr="00796BC2">
        <w:t xml:space="preserve"> area:</w:t>
      </w:r>
    </w:p>
    <w:p w:rsidR="00655F09" w:rsidRPr="00796BC2" w:rsidRDefault="00655F09" w:rsidP="00655F09">
      <w:pPr>
        <w:pStyle w:val="ListParagraph"/>
        <w:numPr>
          <w:ilvl w:val="0"/>
          <w:numId w:val="2"/>
        </w:numPr>
      </w:pPr>
      <w:r w:rsidRPr="00796BC2">
        <w:t>Energy and Capacity resources</w:t>
      </w:r>
    </w:p>
    <w:p w:rsidR="00655F09" w:rsidRPr="00796BC2" w:rsidRDefault="00655F09" w:rsidP="00655F09">
      <w:pPr>
        <w:pStyle w:val="ListParagraph"/>
        <w:numPr>
          <w:ilvl w:val="0"/>
          <w:numId w:val="2"/>
        </w:numPr>
      </w:pPr>
      <w:r w:rsidRPr="00796BC2">
        <w:t>Capacity</w:t>
      </w:r>
    </w:p>
    <w:p w:rsidR="00655F09" w:rsidRPr="00796BC2" w:rsidRDefault="00655F09" w:rsidP="00655F09"/>
    <w:p w:rsidR="00655F09" w:rsidRPr="00FF30D3" w:rsidRDefault="00655F09" w:rsidP="00655F09">
      <w:r w:rsidRPr="00FF30D3">
        <w:t xml:space="preserve">The Company will consider generation from existing and yet-to-be constructed generation resources with commercial operation dates between </w:t>
      </w:r>
      <w:r w:rsidR="00394E41" w:rsidRPr="00FF30D3">
        <w:t>201</w:t>
      </w:r>
      <w:r w:rsidR="00394E41">
        <w:t xml:space="preserve">4 </w:t>
      </w:r>
      <w:r w:rsidR="00031F83">
        <w:t xml:space="preserve">through </w:t>
      </w:r>
      <w:r w:rsidR="00394E41" w:rsidRPr="00FF30D3">
        <w:t>201</w:t>
      </w:r>
      <w:r w:rsidR="00394E41">
        <w:t xml:space="preserve">7 </w:t>
      </w:r>
      <w:r w:rsidR="00031F83">
        <w:t>(the Term)</w:t>
      </w:r>
      <w:r w:rsidRPr="00FF30D3">
        <w:t xml:space="preserve">.   </w:t>
      </w:r>
    </w:p>
    <w:p w:rsidR="00655F09" w:rsidRPr="00FF30D3" w:rsidRDefault="00655F09" w:rsidP="00655F09"/>
    <w:p w:rsidR="00655F09" w:rsidRPr="00FF30D3" w:rsidRDefault="00655F09" w:rsidP="00655F09">
      <w:r w:rsidRPr="00FF30D3">
        <w:t xml:space="preserve">This RFP solicitation seeks power purchase agreements of varying contract lengths </w:t>
      </w:r>
      <w:r w:rsidR="00031F83">
        <w:t xml:space="preserve">for </w:t>
      </w:r>
      <w:r w:rsidR="00394E41">
        <w:t xml:space="preserve">four </w:t>
      </w:r>
      <w:r w:rsidR="00031F83">
        <w:t>years within the Term</w:t>
      </w:r>
      <w:r w:rsidR="00A40B3E">
        <w:t>.</w:t>
      </w:r>
      <w:r w:rsidR="00031F83">
        <w:rPr>
          <w:rStyle w:val="FootnoteReference"/>
        </w:rPr>
        <w:footnoteReference w:id="1"/>
      </w:r>
      <w:r w:rsidR="00031F83">
        <w:t xml:space="preserve"> </w:t>
      </w:r>
      <w:r w:rsidRPr="00FF30D3">
        <w:t xml:space="preserve">PacifiCorp seeks resources with the ability to deliver firm power to PacifiCorp’s western balancing authority area for the duration of the proposal. In keeping with the company’s desire to continue to build a diversified portfolio of resources, PacifiCorp encourages qualified </w:t>
      </w:r>
      <w:r w:rsidR="009A5D17" w:rsidRPr="00FF30D3">
        <w:t xml:space="preserve">Bidders </w:t>
      </w:r>
      <w:r w:rsidRPr="00FF30D3">
        <w:t xml:space="preserve">representing small or large-scale projects from all fuel types and technologies to participate in this RFP.  </w:t>
      </w:r>
    </w:p>
    <w:p w:rsidR="00655F09" w:rsidRPr="00FF30D3" w:rsidRDefault="00655F09" w:rsidP="00655F09"/>
    <w:p w:rsidR="00655F09" w:rsidRPr="00796BC2" w:rsidRDefault="00655F09" w:rsidP="00655F09">
      <w:r w:rsidRPr="00FF30D3">
        <w:t>The Company evaluates unsolicited proposals outside of the RFP on an ongoing basis. Given the Company's demonstrated resource need and its obligation to provide the lowest</w:t>
      </w:r>
      <w:r w:rsidRPr="00796BC2">
        <w:t xml:space="preserve"> reasonable cost to its customers, the Company actively seeks and evaluates external proposals as well as in-house development projects which may provide the greatest benefit to customers at the lowest reasonable cost</w:t>
      </w:r>
      <w:r>
        <w:t>, adjusted for risk</w:t>
      </w:r>
      <w:r w:rsidRPr="00796BC2">
        <w:t xml:space="preserve">. </w:t>
      </w:r>
      <w:r w:rsidRPr="003B1313">
        <w:t xml:space="preserve">The Company’s estimated avoided cost </w:t>
      </w:r>
      <w:r w:rsidR="00E85E14" w:rsidRPr="003B1313">
        <w:t xml:space="preserve">for qualifying facilities in the state of Washington </w:t>
      </w:r>
      <w:r w:rsidRPr="003B1313">
        <w:t xml:space="preserve">is provided in </w:t>
      </w:r>
      <w:r w:rsidR="003B1313" w:rsidRPr="003B1313">
        <w:t>Schedule 37 (attached)</w:t>
      </w:r>
      <w:r w:rsidRPr="003B1313">
        <w:t>.</w:t>
      </w:r>
      <w:r>
        <w:t xml:space="preserve"> </w:t>
      </w:r>
    </w:p>
    <w:p w:rsidR="004D23FB" w:rsidRPr="00796BC2" w:rsidRDefault="004D23FB" w:rsidP="004D23FB">
      <w:pPr>
        <w:pStyle w:val="OutlineL1"/>
        <w:rPr>
          <w:rFonts w:ascii="Times New Roman" w:hAnsi="Times New Roman"/>
          <w:bCs/>
        </w:rPr>
      </w:pPr>
      <w:bookmarkStart w:id="5" w:name="_Toc304795875"/>
      <w:r w:rsidRPr="00796BC2">
        <w:rPr>
          <w:rFonts w:ascii="Times New Roman" w:hAnsi="Times New Roman"/>
          <w:bCs/>
        </w:rPr>
        <w:t xml:space="preserve">SECTION </w:t>
      </w:r>
      <w:r>
        <w:rPr>
          <w:rFonts w:ascii="Times New Roman" w:hAnsi="Times New Roman"/>
          <w:bCs/>
        </w:rPr>
        <w:t>1</w:t>
      </w:r>
      <w:r w:rsidRPr="00796BC2">
        <w:rPr>
          <w:rFonts w:ascii="Times New Roman" w:hAnsi="Times New Roman"/>
          <w:bCs/>
        </w:rPr>
        <w:t xml:space="preserve">.  Resource </w:t>
      </w:r>
      <w:r>
        <w:rPr>
          <w:rFonts w:ascii="Times New Roman" w:hAnsi="Times New Roman"/>
          <w:bCs/>
        </w:rPr>
        <w:t>STRATEGY</w:t>
      </w:r>
    </w:p>
    <w:bookmarkEnd w:id="5"/>
    <w:p w:rsidR="00655F09" w:rsidRPr="00796BC2" w:rsidRDefault="00655F09" w:rsidP="00655F09">
      <w:r w:rsidRPr="00796BC2">
        <w:t xml:space="preserve">This RFP is consistent with guidance provided by </w:t>
      </w:r>
      <w:r>
        <w:t>the Company</w:t>
      </w:r>
      <w:r w:rsidRPr="00796BC2">
        <w:t xml:space="preserve">’s most recent Integrated Resource Plan ("IRP"), as filed with the Washington Utilities and Transportation Commission ("WUTC") on </w:t>
      </w:r>
      <w:r w:rsidR="00774BC1">
        <w:t>April 30, 2013</w:t>
      </w:r>
      <w:r w:rsidRPr="00796BC2">
        <w:t>.</w:t>
      </w:r>
      <w:r>
        <w:rPr>
          <w:rStyle w:val="FootnoteReference"/>
        </w:rPr>
        <w:footnoteReference w:id="2"/>
      </w:r>
      <w:r w:rsidRPr="00796BC2">
        <w:t xml:space="preserve"> </w:t>
      </w:r>
      <w:r w:rsidR="00836FE9">
        <w:t xml:space="preserve"> </w:t>
      </w:r>
      <w:r w:rsidRPr="00796BC2">
        <w:t xml:space="preserve">A downloadable copy of the IRP is available to all interested parties on PacifiCorp’s Web site at </w:t>
      </w:r>
      <w:hyperlink r:id="rId9" w:history="1">
        <w:r w:rsidRPr="00796BC2">
          <w:rPr>
            <w:rStyle w:val="Hyperlink"/>
            <w:color w:val="auto"/>
          </w:rPr>
          <w:t>http://www.pacificorp.com/es/irp.html</w:t>
        </w:r>
      </w:hyperlink>
      <w:r w:rsidRPr="00796BC2">
        <w:t xml:space="preserve">.  </w:t>
      </w:r>
    </w:p>
    <w:p w:rsidR="00655F09" w:rsidRPr="00796BC2" w:rsidRDefault="00655F09" w:rsidP="00655F09"/>
    <w:p w:rsidR="00655F09" w:rsidRPr="00796BC2" w:rsidRDefault="00655F09" w:rsidP="00655F09">
      <w:r w:rsidRPr="00796BC2">
        <w:lastRenderedPageBreak/>
        <w:t xml:space="preserve">PacifiCorp’s overall strategy for integrated resource planning is described below. </w:t>
      </w:r>
    </w:p>
    <w:p w:rsidR="00655F09" w:rsidRPr="00796BC2" w:rsidRDefault="00655F09" w:rsidP="00655F09">
      <w:pPr>
        <w:pStyle w:val="ListParagraph"/>
        <w:numPr>
          <w:ilvl w:val="0"/>
          <w:numId w:val="3"/>
        </w:numPr>
        <w:ind w:left="720" w:hanging="360"/>
      </w:pPr>
      <w:r w:rsidRPr="00796BC2">
        <w:t xml:space="preserve">Examine </w:t>
      </w:r>
      <w:r>
        <w:t>the Company</w:t>
      </w:r>
      <w:r w:rsidRPr="00796BC2">
        <w:t xml:space="preserve">’s electric resource needs over the next twenty years, and analyze the mix of conservation programs and supply resources that might best meet those needs.  </w:t>
      </w:r>
    </w:p>
    <w:p w:rsidR="00655F09" w:rsidRPr="00796BC2" w:rsidRDefault="00655F09" w:rsidP="00655F09">
      <w:pPr>
        <w:pStyle w:val="ListParagraph"/>
        <w:numPr>
          <w:ilvl w:val="0"/>
          <w:numId w:val="3"/>
        </w:numPr>
        <w:ind w:left="720" w:hanging="360"/>
      </w:pPr>
      <w:r w:rsidRPr="00796BC2">
        <w:t xml:space="preserve">Provide the strategic direction to acquire a diversified, balanced electric resource portfolio that meets customer needs, results in reasonable energy supply costs and mitigates market risks. </w:t>
      </w:r>
    </w:p>
    <w:p w:rsidR="00655F09" w:rsidRPr="00796BC2" w:rsidRDefault="00655F09" w:rsidP="00655F09">
      <w:pPr>
        <w:pStyle w:val="ListParagraph"/>
        <w:numPr>
          <w:ilvl w:val="0"/>
          <w:numId w:val="3"/>
        </w:numPr>
        <w:ind w:left="720" w:hanging="360"/>
      </w:pPr>
      <w:r w:rsidRPr="00796BC2">
        <w:t xml:space="preserve">Identify key factors related to various resource decisions and provide a method for evaluating a resource acquisition in terms of cost, risk, and other factors at the time a decision needs to be made. The IRP does not commit to or preclude the acquisition of a specific resource type, project or facility.   </w:t>
      </w:r>
    </w:p>
    <w:p w:rsidR="00655F09" w:rsidRPr="00796BC2" w:rsidRDefault="00655F09" w:rsidP="00655F09"/>
    <w:p w:rsidR="00655F09" w:rsidRPr="00796BC2" w:rsidRDefault="00655F09" w:rsidP="004D23FB">
      <w:pPr>
        <w:pStyle w:val="OutlineL1"/>
        <w:rPr>
          <w:rFonts w:ascii="Times New Roman" w:hAnsi="Times New Roman"/>
          <w:bCs/>
        </w:rPr>
      </w:pPr>
      <w:bookmarkStart w:id="6" w:name="_Toc304795876"/>
      <w:r w:rsidRPr="00796BC2">
        <w:rPr>
          <w:rFonts w:ascii="Times New Roman" w:hAnsi="Times New Roman"/>
          <w:bCs/>
        </w:rPr>
        <w:t xml:space="preserve">SECTION </w:t>
      </w:r>
      <w:r>
        <w:rPr>
          <w:rFonts w:ascii="Times New Roman" w:hAnsi="Times New Roman"/>
          <w:bCs/>
        </w:rPr>
        <w:t>2</w:t>
      </w:r>
      <w:r w:rsidRPr="00796BC2">
        <w:rPr>
          <w:rFonts w:ascii="Times New Roman" w:hAnsi="Times New Roman"/>
          <w:bCs/>
        </w:rPr>
        <w:t>.  Resource Need</w:t>
      </w:r>
      <w:bookmarkEnd w:id="6"/>
    </w:p>
    <w:p w:rsidR="00655F09" w:rsidRPr="00796BC2" w:rsidRDefault="00655F09" w:rsidP="00655F09">
      <w:r>
        <w:t>The Company</w:t>
      </w:r>
      <w:r w:rsidRPr="00796BC2">
        <w:t xml:space="preserve"> is expected to need new resources to offset load growth and the expiration of long-term purchase power contracts occurring over the next several years in the western balancing authority</w:t>
      </w:r>
      <w:r>
        <w:t xml:space="preserve"> area</w:t>
      </w:r>
      <w:r w:rsidRPr="00796BC2">
        <w:t xml:space="preserve">. Resource need is determined by developing a capacity load and resource balance that considers the coincident system peak load hour capacity contribution of existing resources, forecasted loads and sales, and reserve requirements. Table 1 shows the Company’s annual West capacity position for </w:t>
      </w:r>
      <w:r w:rsidR="00031F83">
        <w:t>the Term</w:t>
      </w:r>
      <w:r w:rsidR="0005261E">
        <w:t>. Table 2 shows the Company’s 2013 IRP Preferred Portfolio</w:t>
      </w:r>
      <w:r w:rsidR="00031F83">
        <w:t xml:space="preserve"> for the Term</w:t>
      </w:r>
      <w:r w:rsidR="0005261E">
        <w:t xml:space="preserve"> (from 2013 IRP, Table 8.7).  F</w:t>
      </w:r>
      <w:r w:rsidRPr="00796BC2">
        <w:t xml:space="preserve">igure 1 graphically highlights the capacity resource gap and contribution of currently owned and contracted west-side resources. Without new resources, the west experiences a capacity deficit </w:t>
      </w:r>
      <w:r w:rsidR="00D13950">
        <w:t xml:space="preserve">in all years </w:t>
      </w:r>
      <w:r w:rsidR="00031F83">
        <w:t>in the Term</w:t>
      </w:r>
      <w:r w:rsidR="00A40B3E">
        <w:t>.</w:t>
      </w:r>
      <w:r w:rsidR="00031F83">
        <w:t xml:space="preserve"> </w:t>
      </w:r>
      <w:r w:rsidRPr="00796BC2">
        <w:t xml:space="preserve"> The average deficit for the west position </w:t>
      </w:r>
      <w:r w:rsidR="00031F83">
        <w:t xml:space="preserve">in the Term is </w:t>
      </w:r>
      <w:r w:rsidR="003D78CF">
        <w:t>1,097</w:t>
      </w:r>
      <w:r>
        <w:t xml:space="preserve"> </w:t>
      </w:r>
      <w:r w:rsidRPr="00796BC2">
        <w:t xml:space="preserve">MW. </w:t>
      </w:r>
      <w:r w:rsidRPr="00C01DA8">
        <w:t xml:space="preserve">Underlying the capacity position is west </w:t>
      </w:r>
      <w:r w:rsidR="006F5945" w:rsidRPr="00C01DA8">
        <w:t>side contribution to system coincident peak load growth of 1.21 percent</w:t>
      </w:r>
      <w:r w:rsidR="00CE7010" w:rsidRPr="00C01DA8">
        <w:t xml:space="preserve"> for period 2013 to 2022.  </w:t>
      </w:r>
      <w:r w:rsidRPr="00796BC2">
        <w:t xml:space="preserve"> </w:t>
      </w:r>
    </w:p>
    <w:p w:rsidR="00655F09" w:rsidRPr="00796BC2" w:rsidRDefault="00655F09" w:rsidP="00655F09">
      <w:pPr>
        <w:jc w:val="left"/>
      </w:pPr>
    </w:p>
    <w:p w:rsidR="00655F09" w:rsidRDefault="00655F09" w:rsidP="00655F09">
      <w:pPr>
        <w:pStyle w:val="TableHeading"/>
      </w:pPr>
      <w:bookmarkStart w:id="7" w:name="_Toc304795304"/>
      <w:r w:rsidRPr="00796BC2">
        <w:t xml:space="preserve">Table 1 – PacifiCorp </w:t>
      </w:r>
      <w:r w:rsidR="00D13950">
        <w:t xml:space="preserve">IRP </w:t>
      </w:r>
      <w:r w:rsidRPr="00796BC2">
        <w:t>West Capacity Position Forecast (Megawatts)</w:t>
      </w:r>
      <w:bookmarkEnd w:id="7"/>
    </w:p>
    <w:p w:rsidR="000D511A" w:rsidRDefault="000D511A" w:rsidP="00655F09">
      <w:pPr>
        <w:pStyle w:val="TableHeading"/>
      </w:pPr>
    </w:p>
    <w:p w:rsidR="00D13950" w:rsidRDefault="003D78CF" w:rsidP="00655F09">
      <w:pPr>
        <w:pStyle w:val="TableHeading"/>
      </w:pPr>
      <w:r w:rsidRPr="003D78CF">
        <w:rPr>
          <w:noProof/>
        </w:rPr>
        <w:drawing>
          <wp:inline distT="0" distB="0" distL="0" distR="0">
            <wp:extent cx="4619625" cy="1809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9625" cy="1809750"/>
                    </a:xfrm>
                    <a:prstGeom prst="rect">
                      <a:avLst/>
                    </a:prstGeom>
                    <a:noFill/>
                    <a:ln>
                      <a:noFill/>
                    </a:ln>
                  </pic:spPr>
                </pic:pic>
              </a:graphicData>
            </a:graphic>
          </wp:inline>
        </w:drawing>
      </w:r>
      <w:r w:rsidR="000D511A" w:rsidRPr="000D511A" w:rsidDel="000D511A">
        <w:t xml:space="preserve"> </w:t>
      </w:r>
    </w:p>
    <w:p w:rsidR="00D13950" w:rsidRPr="00796BC2" w:rsidRDefault="00D13950" w:rsidP="00655F09">
      <w:pPr>
        <w:pStyle w:val="TableHeading"/>
      </w:pPr>
    </w:p>
    <w:p w:rsidR="00655F09" w:rsidRDefault="00655F09" w:rsidP="00655F09">
      <w:pPr>
        <w:jc w:val="left"/>
      </w:pPr>
      <w:bookmarkStart w:id="8" w:name="_Toc231127098"/>
      <w:bookmarkStart w:id="9" w:name="_Toc285205476"/>
      <w:bookmarkStart w:id="10" w:name="_Toc289083367"/>
      <w:bookmarkStart w:id="11" w:name="_Toc304796027"/>
    </w:p>
    <w:p w:rsidR="00655F09" w:rsidRDefault="00655F09" w:rsidP="00655F09">
      <w:pPr>
        <w:jc w:val="left"/>
      </w:pPr>
    </w:p>
    <w:p w:rsidR="00655F09" w:rsidRDefault="0005261E" w:rsidP="00655F09">
      <w:pPr>
        <w:pStyle w:val="FigureHeading"/>
      </w:pPr>
      <w:r>
        <w:t>Table 2 – PacifiCorp IRP Preferred Portfolio, for 201</w:t>
      </w:r>
      <w:r w:rsidR="003D78CF">
        <w:t>4</w:t>
      </w:r>
      <w:r>
        <w:t xml:space="preserve"> – 201</w:t>
      </w:r>
      <w:r w:rsidR="003D78CF">
        <w:t>7</w:t>
      </w:r>
    </w:p>
    <w:p w:rsidR="00EC6A6E" w:rsidRDefault="003D78CF" w:rsidP="00655F09">
      <w:pPr>
        <w:pStyle w:val="FigureHeading"/>
      </w:pPr>
      <w:r w:rsidRPr="003D78CF">
        <w:rPr>
          <w:noProof/>
        </w:rPr>
        <w:drawing>
          <wp:inline distT="0" distB="0" distL="0" distR="0">
            <wp:extent cx="5486400" cy="441316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4413161"/>
                    </a:xfrm>
                    <a:prstGeom prst="rect">
                      <a:avLst/>
                    </a:prstGeom>
                    <a:noFill/>
                    <a:ln>
                      <a:noFill/>
                    </a:ln>
                  </pic:spPr>
                </pic:pic>
              </a:graphicData>
            </a:graphic>
          </wp:inline>
        </w:drawing>
      </w:r>
    </w:p>
    <w:p w:rsidR="003D78CF" w:rsidRDefault="003D78CF" w:rsidP="00655F09">
      <w:pPr>
        <w:pStyle w:val="FigureHeading"/>
      </w:pPr>
    </w:p>
    <w:p w:rsidR="003D78CF" w:rsidRDefault="003D78CF" w:rsidP="00655F09">
      <w:pPr>
        <w:pStyle w:val="FigureHeading"/>
      </w:pPr>
    </w:p>
    <w:p w:rsidR="00EC6A6E" w:rsidRDefault="00EC6A6E" w:rsidP="00655F09">
      <w:pPr>
        <w:pStyle w:val="FigureHeading"/>
      </w:pPr>
    </w:p>
    <w:p w:rsidR="00EC6A6E" w:rsidRDefault="00EC6A6E" w:rsidP="00655F09">
      <w:pPr>
        <w:pStyle w:val="FigureHeading"/>
      </w:pPr>
    </w:p>
    <w:p w:rsidR="00EC6A6E" w:rsidRDefault="00EC6A6E" w:rsidP="00655F09">
      <w:pPr>
        <w:pStyle w:val="FigureHeading"/>
      </w:pPr>
    </w:p>
    <w:p w:rsidR="00EC6A6E" w:rsidRDefault="00EC6A6E" w:rsidP="00655F09">
      <w:pPr>
        <w:pStyle w:val="FigureHeading"/>
      </w:pPr>
    </w:p>
    <w:p w:rsidR="0005261E" w:rsidRDefault="0005261E" w:rsidP="00655F09">
      <w:pPr>
        <w:pStyle w:val="FigureHeading"/>
      </w:pPr>
    </w:p>
    <w:p w:rsidR="0005261E" w:rsidRDefault="0005261E" w:rsidP="00655F09">
      <w:pPr>
        <w:pStyle w:val="FigureHeading"/>
      </w:pPr>
    </w:p>
    <w:p w:rsidR="0005261E" w:rsidRDefault="0005261E" w:rsidP="00655F09">
      <w:pPr>
        <w:pStyle w:val="FigureHeading"/>
      </w:pPr>
    </w:p>
    <w:p w:rsidR="0005261E" w:rsidRDefault="0005261E" w:rsidP="00655F09">
      <w:pPr>
        <w:pStyle w:val="FigureHeading"/>
      </w:pPr>
    </w:p>
    <w:p w:rsidR="0005261E" w:rsidRDefault="0005261E" w:rsidP="00655F09">
      <w:pPr>
        <w:pStyle w:val="FigureHeading"/>
      </w:pPr>
    </w:p>
    <w:p w:rsidR="00EC6A6E" w:rsidRDefault="00EC6A6E" w:rsidP="006C5B8B">
      <w:pPr>
        <w:keepNext/>
        <w:spacing w:after="60"/>
        <w:rPr>
          <w:rFonts w:eastAsiaTheme="minorHAnsi"/>
          <w:b/>
          <w:szCs w:val="24"/>
        </w:rPr>
      </w:pPr>
      <w:bookmarkStart w:id="12" w:name="_Toc354496802"/>
    </w:p>
    <w:p w:rsidR="00EC6A6E" w:rsidRDefault="00EC6A6E" w:rsidP="006C5B8B">
      <w:pPr>
        <w:keepNext/>
        <w:spacing w:after="60"/>
        <w:rPr>
          <w:rFonts w:eastAsiaTheme="minorHAnsi"/>
          <w:b/>
          <w:szCs w:val="24"/>
        </w:rPr>
      </w:pPr>
    </w:p>
    <w:p w:rsidR="00EC6A6E" w:rsidRDefault="00EC6A6E" w:rsidP="006C5B8B">
      <w:pPr>
        <w:keepNext/>
        <w:spacing w:after="60"/>
        <w:rPr>
          <w:rFonts w:eastAsiaTheme="minorHAnsi"/>
          <w:b/>
          <w:szCs w:val="24"/>
        </w:rPr>
      </w:pPr>
    </w:p>
    <w:p w:rsidR="00EC6A6E" w:rsidRDefault="00EC6A6E" w:rsidP="006C5B8B">
      <w:pPr>
        <w:keepNext/>
        <w:spacing w:after="60"/>
        <w:rPr>
          <w:rFonts w:eastAsiaTheme="minorHAnsi"/>
          <w:b/>
          <w:szCs w:val="24"/>
        </w:rPr>
      </w:pPr>
    </w:p>
    <w:p w:rsidR="00EC6A6E" w:rsidRDefault="00EC6A6E" w:rsidP="006C5B8B">
      <w:pPr>
        <w:keepNext/>
        <w:spacing w:after="60"/>
        <w:rPr>
          <w:rFonts w:eastAsiaTheme="minorHAnsi"/>
          <w:b/>
          <w:szCs w:val="24"/>
        </w:rPr>
      </w:pPr>
    </w:p>
    <w:p w:rsidR="00EC6A6E" w:rsidRDefault="00EC6A6E" w:rsidP="006C5B8B">
      <w:pPr>
        <w:keepNext/>
        <w:spacing w:after="60"/>
        <w:rPr>
          <w:rFonts w:eastAsiaTheme="minorHAnsi"/>
          <w:b/>
          <w:szCs w:val="24"/>
        </w:rPr>
      </w:pPr>
    </w:p>
    <w:p w:rsidR="00EC6A6E" w:rsidRDefault="00EC6A6E" w:rsidP="006C5B8B">
      <w:pPr>
        <w:keepNext/>
        <w:spacing w:after="60"/>
        <w:rPr>
          <w:rFonts w:eastAsiaTheme="minorHAnsi"/>
          <w:b/>
          <w:szCs w:val="24"/>
        </w:rPr>
      </w:pPr>
    </w:p>
    <w:p w:rsidR="006C5B8B" w:rsidRPr="006C5B8B" w:rsidRDefault="006C5B8B" w:rsidP="006C5B8B">
      <w:pPr>
        <w:keepNext/>
        <w:spacing w:after="60"/>
        <w:rPr>
          <w:rFonts w:eastAsiaTheme="minorHAnsi"/>
          <w:b/>
          <w:szCs w:val="24"/>
        </w:rPr>
      </w:pPr>
      <w:r w:rsidRPr="006C5B8B">
        <w:rPr>
          <w:rFonts w:eastAsiaTheme="minorHAnsi"/>
          <w:b/>
          <w:szCs w:val="24"/>
        </w:rPr>
        <w:t xml:space="preserve">Figure </w:t>
      </w:r>
      <w:r>
        <w:rPr>
          <w:rFonts w:eastAsiaTheme="minorHAnsi"/>
          <w:b/>
          <w:szCs w:val="24"/>
        </w:rPr>
        <w:t>1</w:t>
      </w:r>
      <w:r w:rsidRPr="006C5B8B">
        <w:rPr>
          <w:rFonts w:eastAsiaTheme="minorHAnsi"/>
          <w:b/>
          <w:szCs w:val="24"/>
        </w:rPr>
        <w:t xml:space="preserve"> – West Capacity Position Trend</w:t>
      </w:r>
      <w:bookmarkEnd w:id="12"/>
    </w:p>
    <w:p w:rsidR="006C5B8B" w:rsidRPr="006C5B8B" w:rsidRDefault="006C5B8B" w:rsidP="006C5B8B">
      <w:pPr>
        <w:rPr>
          <w:rFonts w:eastAsiaTheme="minorHAnsi"/>
          <w:szCs w:val="24"/>
        </w:rPr>
      </w:pPr>
      <w:r w:rsidRPr="00C01DA8">
        <w:rPr>
          <w:rFonts w:eastAsiaTheme="minorHAnsi"/>
          <w:noProof/>
          <w:szCs w:val="24"/>
        </w:rPr>
        <w:drawing>
          <wp:inline distT="0" distB="0" distL="0" distR="0">
            <wp:extent cx="5295900" cy="384257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4800" cy="3849036"/>
                    </a:xfrm>
                    <a:prstGeom prst="rect">
                      <a:avLst/>
                    </a:prstGeom>
                    <a:noFill/>
                    <a:ln>
                      <a:noFill/>
                    </a:ln>
                  </pic:spPr>
                </pic:pic>
              </a:graphicData>
            </a:graphic>
          </wp:inline>
        </w:drawing>
      </w:r>
    </w:p>
    <w:p w:rsidR="006C5B8B" w:rsidRDefault="006C5B8B" w:rsidP="00655F09">
      <w:pPr>
        <w:pStyle w:val="FigureHeading"/>
      </w:pPr>
    </w:p>
    <w:bookmarkEnd w:id="8"/>
    <w:bookmarkEnd w:id="9"/>
    <w:bookmarkEnd w:id="10"/>
    <w:bookmarkEnd w:id="11"/>
    <w:p w:rsidR="00655F09" w:rsidRPr="00796BC2" w:rsidRDefault="00655F09" w:rsidP="00655F09">
      <w:r w:rsidRPr="00796BC2">
        <w:t xml:space="preserve">For capacity expansion planning, the Company uses a 13-percent planning reserve margin applied to </w:t>
      </w:r>
      <w:r>
        <w:t>the Company</w:t>
      </w:r>
      <w:r w:rsidRPr="00796BC2">
        <w:t xml:space="preserve">’s obligation (load plus sales obligations) less firm purchases and </w:t>
      </w:r>
      <w:proofErr w:type="spellStart"/>
      <w:r w:rsidRPr="00796BC2">
        <w:t>dispatchable</w:t>
      </w:r>
      <w:proofErr w:type="spellEnd"/>
      <w:r w:rsidRPr="00796BC2">
        <w:t xml:space="preserve"> load control capacity. The 13-percent planning reserve margin is supported by a stochastic loss of load probability study conducted in late 201</w:t>
      </w:r>
      <w:r w:rsidR="00562A55">
        <w:t>3</w:t>
      </w:r>
      <w:r w:rsidRPr="00796BC2">
        <w:t>.</w:t>
      </w:r>
    </w:p>
    <w:p w:rsidR="00655F09" w:rsidRPr="00796BC2" w:rsidRDefault="00655F09" w:rsidP="00655F09"/>
    <w:p w:rsidR="00655F09" w:rsidRPr="00796BC2" w:rsidRDefault="00655F09" w:rsidP="00655F09">
      <w:pPr>
        <w:pStyle w:val="OutlineL1"/>
        <w:rPr>
          <w:rFonts w:ascii="Times New Roman" w:hAnsi="Times New Roman"/>
          <w:bCs/>
        </w:rPr>
      </w:pPr>
      <w:bookmarkStart w:id="13" w:name="_Toc304795877"/>
      <w:r w:rsidRPr="00796BC2">
        <w:rPr>
          <w:rFonts w:ascii="Times New Roman" w:hAnsi="Times New Roman"/>
          <w:bCs/>
        </w:rPr>
        <w:t xml:space="preserve">SECTION </w:t>
      </w:r>
      <w:r>
        <w:rPr>
          <w:rFonts w:ascii="Times New Roman" w:hAnsi="Times New Roman"/>
          <w:bCs/>
        </w:rPr>
        <w:t>3</w:t>
      </w:r>
      <w:r w:rsidRPr="00796BC2">
        <w:rPr>
          <w:rFonts w:ascii="Times New Roman" w:hAnsi="Times New Roman"/>
          <w:bCs/>
        </w:rPr>
        <w:t xml:space="preserve">.  </w:t>
      </w:r>
      <w:r>
        <w:rPr>
          <w:rFonts w:ascii="Times New Roman" w:hAnsi="Times New Roman"/>
          <w:bCs/>
        </w:rPr>
        <w:t>Market Purchase</w:t>
      </w:r>
      <w:r w:rsidRPr="00796BC2">
        <w:rPr>
          <w:rFonts w:ascii="Times New Roman" w:hAnsi="Times New Roman"/>
          <w:bCs/>
        </w:rPr>
        <w:t xml:space="preserve"> Additions</w:t>
      </w:r>
      <w:bookmarkEnd w:id="13"/>
      <w:r>
        <w:rPr>
          <w:rFonts w:ascii="Times New Roman" w:hAnsi="Times New Roman"/>
          <w:bCs/>
        </w:rPr>
        <w:t xml:space="preserve"> IN THE 201</w:t>
      </w:r>
      <w:r w:rsidR="0005261E">
        <w:rPr>
          <w:rFonts w:ascii="Times New Roman" w:hAnsi="Times New Roman"/>
          <w:bCs/>
        </w:rPr>
        <w:t>3</w:t>
      </w:r>
      <w:r>
        <w:rPr>
          <w:rFonts w:ascii="Times New Roman" w:hAnsi="Times New Roman"/>
          <w:bCs/>
        </w:rPr>
        <w:t xml:space="preserve"> IRP</w:t>
      </w:r>
    </w:p>
    <w:p w:rsidR="00655F09" w:rsidRDefault="00655F09" w:rsidP="00655F09">
      <w:r w:rsidRPr="00796BC2">
        <w:t xml:space="preserve">PacifiCorp’s </w:t>
      </w:r>
      <w:r>
        <w:t>201</w:t>
      </w:r>
      <w:r w:rsidR="00FA490D">
        <w:t>3</w:t>
      </w:r>
      <w:r>
        <w:t xml:space="preserve"> IRP </w:t>
      </w:r>
      <w:r w:rsidRPr="00796BC2">
        <w:t xml:space="preserve">preferred portfolio </w:t>
      </w:r>
      <w:r>
        <w:t xml:space="preserve">includes a resource type called “front office transactions” (FOT), which serves as a proxy for a variety of firm market purchase products. For portfolio modeling, the Company included two FOT types: a heavy load hour third-quarter product, and an annual flat product.  The preferred portfolio includes FOT capacity quantities acquired in the PacifiCorp western balancing authority area (PACW) that serve system capacity and energy needs. Total PACW FOT additions in the preferred portfolio for </w:t>
      </w:r>
      <w:r w:rsidR="00031F83">
        <w:t xml:space="preserve">the Term </w:t>
      </w:r>
      <w:r>
        <w:t xml:space="preserve">are as follows: </w:t>
      </w:r>
      <w:r w:rsidR="00510EEF">
        <w:t>800</w:t>
      </w:r>
      <w:r>
        <w:t xml:space="preserve"> MW – 201</w:t>
      </w:r>
      <w:r w:rsidR="00510EEF">
        <w:t>4</w:t>
      </w:r>
      <w:r>
        <w:t xml:space="preserve">, </w:t>
      </w:r>
      <w:r w:rsidR="00510EEF">
        <w:t>954</w:t>
      </w:r>
      <w:r>
        <w:t xml:space="preserve"> MW – 201</w:t>
      </w:r>
      <w:r w:rsidR="00510EEF">
        <w:t>5</w:t>
      </w:r>
      <w:r>
        <w:t xml:space="preserve">, </w:t>
      </w:r>
      <w:r w:rsidR="00510EEF">
        <w:t>1,110</w:t>
      </w:r>
      <w:r>
        <w:t xml:space="preserve"> MW – 201</w:t>
      </w:r>
      <w:r w:rsidR="00510EEF">
        <w:t>6</w:t>
      </w:r>
      <w:r w:rsidR="00394E41">
        <w:t xml:space="preserve">, and </w:t>
      </w:r>
      <w:r w:rsidR="003D78CF">
        <w:t>1,246</w:t>
      </w:r>
      <w:r w:rsidR="00394E41">
        <w:t xml:space="preserve"> MW – 2017 </w:t>
      </w:r>
      <w:r>
        <w:t>.</w:t>
      </w:r>
      <w:r w:rsidRPr="00796BC2">
        <w:rPr>
          <w:rStyle w:val="FootnoteReference"/>
        </w:rPr>
        <w:footnoteReference w:id="3"/>
      </w:r>
      <w:r>
        <w:t xml:space="preserve">  These market purchase quantities should be considered only as indicative of what the Company plans to acquire. Resources evaluated as part of this RFP may vary from the proxy FOT resources identified in the IRP with respect to resource type timing, size, cost and location.</w:t>
      </w:r>
    </w:p>
    <w:p w:rsidR="00655F09" w:rsidRPr="00796BC2" w:rsidRDefault="00655F09" w:rsidP="00655F09">
      <w:pPr>
        <w:rPr>
          <w:szCs w:val="24"/>
        </w:rPr>
      </w:pPr>
    </w:p>
    <w:p w:rsidR="00655F09" w:rsidRPr="00796BC2" w:rsidRDefault="00655F09" w:rsidP="00655F09">
      <w:pPr>
        <w:pStyle w:val="OutlineL1"/>
        <w:rPr>
          <w:rFonts w:ascii="Times New Roman" w:hAnsi="Times New Roman"/>
          <w:bCs/>
        </w:rPr>
      </w:pPr>
      <w:bookmarkStart w:id="14" w:name="_Toc304795878"/>
      <w:r w:rsidRPr="00796BC2">
        <w:rPr>
          <w:rFonts w:ascii="Times New Roman" w:hAnsi="Times New Roman"/>
          <w:bCs/>
        </w:rPr>
        <w:t xml:space="preserve">SECTION </w:t>
      </w:r>
      <w:r>
        <w:rPr>
          <w:rFonts w:ascii="Times New Roman" w:hAnsi="Times New Roman"/>
          <w:bCs/>
        </w:rPr>
        <w:t>4</w:t>
      </w:r>
      <w:r w:rsidRPr="00796BC2">
        <w:rPr>
          <w:rFonts w:ascii="Times New Roman" w:hAnsi="Times New Roman"/>
          <w:bCs/>
        </w:rPr>
        <w:t>.  Schedule</w:t>
      </w:r>
      <w:bookmarkEnd w:id="14"/>
    </w:p>
    <w:p w:rsidR="00655F09" w:rsidRPr="00796BC2" w:rsidRDefault="00655F09" w:rsidP="00655F09">
      <w:r>
        <w:t>Table 3 identifies a</w:t>
      </w:r>
      <w:r w:rsidRPr="00796BC2">
        <w:t xml:space="preserve"> schedule </w:t>
      </w:r>
      <w:r>
        <w:t xml:space="preserve">for this RFP, which </w:t>
      </w:r>
      <w:r w:rsidRPr="00796BC2">
        <w:t xml:space="preserve">is subject to adjustment based on WUTC review and the actual pace of PacifiCorp's evaluation process. </w:t>
      </w:r>
      <w:r>
        <w:t xml:space="preserve">The Company accepts no liability to the extent the actual schedule is different from the anticipated schedule. </w:t>
      </w:r>
      <w:r w:rsidRPr="00796BC2">
        <w:t xml:space="preserve">Any updates to the schedule will be posted online at </w:t>
      </w:r>
      <w:hyperlink r:id="rId13" w:history="1">
        <w:r w:rsidRPr="00796BC2">
          <w:rPr>
            <w:rStyle w:val="Hyperlink"/>
            <w:color w:val="auto"/>
          </w:rPr>
          <w:t>http://www.pacificorp.com/sup/rfps.html</w:t>
        </w:r>
      </w:hyperlink>
      <w:r w:rsidRPr="00796BC2">
        <w:t xml:space="preserve"> (Menu: Suppliers &gt; RFP’s). </w:t>
      </w:r>
    </w:p>
    <w:p w:rsidR="00655F09" w:rsidRPr="00796BC2" w:rsidRDefault="00655F09" w:rsidP="00655F09"/>
    <w:p w:rsidR="00655F09" w:rsidRPr="00796BC2" w:rsidRDefault="00655F09" w:rsidP="00655F09">
      <w:pPr>
        <w:pStyle w:val="Header"/>
        <w:tabs>
          <w:tab w:val="clear" w:pos="4320"/>
          <w:tab w:val="clear" w:pos="8640"/>
        </w:tabs>
      </w:pPr>
    </w:p>
    <w:p w:rsidR="00655F09" w:rsidRPr="00796BC2" w:rsidRDefault="00655F09" w:rsidP="00655F09">
      <w:pPr>
        <w:pStyle w:val="TableHeading"/>
      </w:pPr>
      <w:bookmarkStart w:id="15" w:name="_Toc304795306"/>
      <w:r w:rsidRPr="00796BC2">
        <w:t>Table 3 – RFP Schedule</w:t>
      </w:r>
      <w:bookmarkEnd w:id="15"/>
    </w:p>
    <w:p w:rsidR="00655F09" w:rsidRPr="00796BC2" w:rsidRDefault="00655F09" w:rsidP="00655F09">
      <w:pPr>
        <w:pStyle w:val="Header"/>
        <w:tabs>
          <w:tab w:val="clear" w:pos="4320"/>
          <w:tab w:val="clear" w:pos="8640"/>
          <w:tab w:val="left" w:pos="630"/>
        </w:tabs>
        <w:jc w:val="cente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9"/>
        <w:gridCol w:w="3066"/>
      </w:tblGrid>
      <w:tr w:rsidR="00655F09" w:rsidRPr="00796BC2" w:rsidTr="00BB5BDE">
        <w:trPr>
          <w:tblHeader/>
        </w:trPr>
        <w:tc>
          <w:tcPr>
            <w:tcW w:w="0" w:type="auto"/>
            <w:shd w:val="clear" w:color="auto" w:fill="8DB3E2" w:themeFill="text2" w:themeFillTint="66"/>
          </w:tcPr>
          <w:p w:rsidR="00655F09" w:rsidRPr="00796BC2" w:rsidRDefault="00655F09" w:rsidP="00BB5BDE">
            <w:pPr>
              <w:jc w:val="center"/>
              <w:rPr>
                <w:b/>
                <w:bCs/>
              </w:rPr>
            </w:pPr>
            <w:r w:rsidRPr="00796BC2">
              <w:rPr>
                <w:b/>
                <w:bCs/>
              </w:rPr>
              <w:t>Event</w:t>
            </w:r>
          </w:p>
        </w:tc>
        <w:tc>
          <w:tcPr>
            <w:tcW w:w="3066" w:type="dxa"/>
            <w:shd w:val="clear" w:color="auto" w:fill="8DB3E2" w:themeFill="text2" w:themeFillTint="66"/>
          </w:tcPr>
          <w:p w:rsidR="00655F09" w:rsidRPr="00796BC2" w:rsidRDefault="00FA749A" w:rsidP="00BB5BDE">
            <w:pPr>
              <w:jc w:val="center"/>
              <w:rPr>
                <w:b/>
                <w:bCs/>
              </w:rPr>
            </w:pPr>
            <w:r>
              <w:rPr>
                <w:b/>
                <w:bCs/>
              </w:rPr>
              <w:t>Date</w:t>
            </w:r>
          </w:p>
        </w:tc>
      </w:tr>
      <w:tr w:rsidR="00655F09" w:rsidRPr="005A2D0A" w:rsidTr="00BB5BDE">
        <w:tc>
          <w:tcPr>
            <w:tcW w:w="0" w:type="auto"/>
          </w:tcPr>
          <w:p w:rsidR="00655F09" w:rsidRPr="00796BC2" w:rsidRDefault="00655F09" w:rsidP="00BB5BDE">
            <w:r w:rsidRPr="00796BC2">
              <w:t>PacifiCorp releases final RFP solicitation</w:t>
            </w:r>
          </w:p>
        </w:tc>
        <w:tc>
          <w:tcPr>
            <w:tcW w:w="3066" w:type="dxa"/>
            <w:vAlign w:val="bottom"/>
          </w:tcPr>
          <w:p w:rsidR="00655F09" w:rsidRPr="005A2D0A" w:rsidRDefault="005A2D0A" w:rsidP="00031F83">
            <w:pPr>
              <w:jc w:val="center"/>
              <w:rPr>
                <w:szCs w:val="24"/>
              </w:rPr>
            </w:pPr>
            <w:r w:rsidRPr="00FE33AB">
              <w:rPr>
                <w:szCs w:val="24"/>
              </w:rPr>
              <w:t xml:space="preserve">Commission’s </w:t>
            </w:r>
            <w:r w:rsidR="00031F83">
              <w:rPr>
                <w:szCs w:val="24"/>
              </w:rPr>
              <w:t xml:space="preserve">approval of </w:t>
            </w:r>
            <w:r w:rsidRPr="00FE33AB">
              <w:rPr>
                <w:szCs w:val="24"/>
              </w:rPr>
              <w:t xml:space="preserve"> Waiver (“Issue Date”) </w:t>
            </w:r>
          </w:p>
        </w:tc>
      </w:tr>
      <w:tr w:rsidR="00031F83" w:rsidRPr="00796BC2" w:rsidTr="00BB5BDE">
        <w:tc>
          <w:tcPr>
            <w:tcW w:w="0" w:type="auto"/>
          </w:tcPr>
          <w:p w:rsidR="00031F83" w:rsidRPr="00796BC2" w:rsidRDefault="00031F83" w:rsidP="00BB5BDE">
            <w:r>
              <w:t xml:space="preserve">Commission Approval of RFP </w:t>
            </w:r>
          </w:p>
        </w:tc>
        <w:tc>
          <w:tcPr>
            <w:tcW w:w="3066" w:type="dxa"/>
            <w:vAlign w:val="bottom"/>
          </w:tcPr>
          <w:p w:rsidR="00031F83" w:rsidRDefault="00031F83" w:rsidP="005F7A09">
            <w:pPr>
              <w:jc w:val="center"/>
              <w:rPr>
                <w:szCs w:val="24"/>
              </w:rPr>
            </w:pPr>
            <w:r>
              <w:rPr>
                <w:szCs w:val="24"/>
              </w:rPr>
              <w:t xml:space="preserve">Approval </w:t>
            </w:r>
            <w:r w:rsidR="005F7A09">
              <w:rPr>
                <w:szCs w:val="24"/>
              </w:rPr>
              <w:t xml:space="preserve">of Waiver </w:t>
            </w:r>
            <w:r>
              <w:rPr>
                <w:szCs w:val="24"/>
              </w:rPr>
              <w:t xml:space="preserve">+ </w:t>
            </w:r>
            <w:r w:rsidR="005F7A09">
              <w:rPr>
                <w:szCs w:val="24"/>
              </w:rPr>
              <w:t>5 Business D</w:t>
            </w:r>
            <w:r>
              <w:rPr>
                <w:szCs w:val="24"/>
              </w:rPr>
              <w:t xml:space="preserve">ays </w:t>
            </w:r>
          </w:p>
        </w:tc>
      </w:tr>
      <w:tr w:rsidR="005F7A09" w:rsidRPr="00796BC2" w:rsidTr="00BB5BDE">
        <w:tc>
          <w:tcPr>
            <w:tcW w:w="0" w:type="auto"/>
          </w:tcPr>
          <w:p w:rsidR="005F7A09" w:rsidRPr="00796BC2" w:rsidRDefault="005F7A09" w:rsidP="005F7A09">
            <w:r>
              <w:t xml:space="preserve">PacifiCorp Issuance of  RFP </w:t>
            </w:r>
          </w:p>
        </w:tc>
        <w:tc>
          <w:tcPr>
            <w:tcW w:w="3066" w:type="dxa"/>
            <w:vAlign w:val="bottom"/>
          </w:tcPr>
          <w:p w:rsidR="005F7A09" w:rsidRDefault="005F7A09" w:rsidP="005F7A09">
            <w:pPr>
              <w:jc w:val="center"/>
              <w:rPr>
                <w:szCs w:val="24"/>
              </w:rPr>
            </w:pPr>
            <w:r>
              <w:rPr>
                <w:szCs w:val="24"/>
              </w:rPr>
              <w:t xml:space="preserve">Approval of RFP + 5 Business Days </w:t>
            </w:r>
          </w:p>
        </w:tc>
      </w:tr>
      <w:tr w:rsidR="005F7A09" w:rsidRPr="00796BC2" w:rsidTr="00BB5BDE">
        <w:tc>
          <w:tcPr>
            <w:tcW w:w="0" w:type="auto"/>
          </w:tcPr>
          <w:p w:rsidR="005F7A09" w:rsidRPr="00796BC2" w:rsidRDefault="005F7A09" w:rsidP="00BB5BDE">
            <w:r>
              <w:t xml:space="preserve">Bidders Conference </w:t>
            </w:r>
          </w:p>
        </w:tc>
        <w:tc>
          <w:tcPr>
            <w:tcW w:w="3066" w:type="dxa"/>
            <w:vAlign w:val="bottom"/>
          </w:tcPr>
          <w:p w:rsidR="005F7A09" w:rsidRDefault="005F7A09" w:rsidP="005F7A09">
            <w:pPr>
              <w:jc w:val="center"/>
              <w:rPr>
                <w:szCs w:val="24"/>
              </w:rPr>
            </w:pPr>
            <w:r>
              <w:rPr>
                <w:szCs w:val="24"/>
              </w:rPr>
              <w:t xml:space="preserve">Issuance of RFP + 5 Business Days </w:t>
            </w:r>
          </w:p>
        </w:tc>
      </w:tr>
      <w:tr w:rsidR="00655F09" w:rsidRPr="00796BC2" w:rsidTr="00BB5BDE">
        <w:tc>
          <w:tcPr>
            <w:tcW w:w="0" w:type="auto"/>
          </w:tcPr>
          <w:p w:rsidR="00655F09" w:rsidRPr="00796BC2" w:rsidRDefault="00655F09" w:rsidP="00BB5BDE">
            <w:r w:rsidRPr="00796BC2">
              <w:t>Offers due to PacifiCorp</w:t>
            </w:r>
          </w:p>
        </w:tc>
        <w:tc>
          <w:tcPr>
            <w:tcW w:w="3066" w:type="dxa"/>
            <w:vAlign w:val="bottom"/>
          </w:tcPr>
          <w:p w:rsidR="00655F09" w:rsidRPr="0025669A" w:rsidRDefault="005F7A09" w:rsidP="005F7A09">
            <w:pPr>
              <w:jc w:val="center"/>
              <w:rPr>
                <w:szCs w:val="24"/>
              </w:rPr>
            </w:pPr>
            <w:r>
              <w:rPr>
                <w:szCs w:val="24"/>
              </w:rPr>
              <w:t xml:space="preserve">Issue of RFP + 10 Business Days  (Due Date) </w:t>
            </w:r>
          </w:p>
        </w:tc>
      </w:tr>
      <w:tr w:rsidR="00655F09" w:rsidRPr="00796BC2" w:rsidTr="00BB5BDE">
        <w:tc>
          <w:tcPr>
            <w:tcW w:w="0" w:type="auto"/>
          </w:tcPr>
          <w:p w:rsidR="00655F09" w:rsidRPr="00796BC2" w:rsidRDefault="00655F09" w:rsidP="009A5D17">
            <w:r w:rsidRPr="00796BC2">
              <w:t xml:space="preserve">Final short list selected, </w:t>
            </w:r>
            <w:r w:rsidR="009A5D17">
              <w:t>Bidder</w:t>
            </w:r>
            <w:r w:rsidR="009A5D17" w:rsidRPr="00796BC2">
              <w:t xml:space="preserve">s </w:t>
            </w:r>
            <w:r w:rsidRPr="00796BC2">
              <w:t>notified</w:t>
            </w:r>
          </w:p>
        </w:tc>
        <w:tc>
          <w:tcPr>
            <w:tcW w:w="3066" w:type="dxa"/>
            <w:vAlign w:val="bottom"/>
          </w:tcPr>
          <w:p w:rsidR="00655F09" w:rsidRPr="005A2D0A" w:rsidRDefault="005F7A09" w:rsidP="005F7A09">
            <w:pPr>
              <w:jc w:val="center"/>
              <w:rPr>
                <w:szCs w:val="24"/>
              </w:rPr>
            </w:pPr>
            <w:r>
              <w:rPr>
                <w:szCs w:val="24"/>
              </w:rPr>
              <w:t xml:space="preserve">Receipt of Offers </w:t>
            </w:r>
          </w:p>
        </w:tc>
      </w:tr>
      <w:tr w:rsidR="00655F09" w:rsidRPr="00796BC2" w:rsidTr="00BB5BDE">
        <w:tc>
          <w:tcPr>
            <w:tcW w:w="0" w:type="auto"/>
          </w:tcPr>
          <w:p w:rsidR="00655F09" w:rsidRPr="00796BC2" w:rsidRDefault="00655F09" w:rsidP="00BB5BDE">
            <w:r>
              <w:t xml:space="preserve">Avoided Cost Filing </w:t>
            </w:r>
          </w:p>
        </w:tc>
        <w:tc>
          <w:tcPr>
            <w:tcW w:w="3066" w:type="dxa"/>
            <w:vAlign w:val="bottom"/>
          </w:tcPr>
          <w:p w:rsidR="00655F09" w:rsidRDefault="000520E8" w:rsidP="000520E8">
            <w:pPr>
              <w:jc w:val="center"/>
            </w:pPr>
            <w:r w:rsidRPr="00FE33AB">
              <w:t>Month __, 2013</w:t>
            </w:r>
          </w:p>
        </w:tc>
      </w:tr>
    </w:tbl>
    <w:p w:rsidR="00655F09" w:rsidRPr="00796BC2" w:rsidRDefault="00655F09" w:rsidP="00655F09">
      <w:pPr>
        <w:pStyle w:val="BodyText"/>
        <w:rPr>
          <w:szCs w:val="24"/>
        </w:rPr>
      </w:pPr>
    </w:p>
    <w:p w:rsidR="00D214FB" w:rsidRDefault="00655F09" w:rsidP="00D214FB">
      <w:pPr>
        <w:rPr>
          <w:b/>
        </w:rPr>
      </w:pPr>
      <w:r w:rsidRPr="00796BC2">
        <w:rPr>
          <w:szCs w:val="24"/>
        </w:rPr>
        <w:t xml:space="preserve">Interested parties and </w:t>
      </w:r>
      <w:r w:rsidR="009A5D17">
        <w:rPr>
          <w:szCs w:val="24"/>
        </w:rPr>
        <w:t>Bidders</w:t>
      </w:r>
      <w:r w:rsidR="009A5D17" w:rsidRPr="00796BC2">
        <w:rPr>
          <w:szCs w:val="24"/>
        </w:rPr>
        <w:t xml:space="preserve"> </w:t>
      </w:r>
      <w:r w:rsidRPr="00796BC2">
        <w:rPr>
          <w:szCs w:val="24"/>
        </w:rPr>
        <w:t>may submit questions</w:t>
      </w:r>
      <w:r>
        <w:rPr>
          <w:szCs w:val="24"/>
        </w:rPr>
        <w:t>, which</w:t>
      </w:r>
      <w:r w:rsidRPr="00796BC2">
        <w:rPr>
          <w:szCs w:val="24"/>
        </w:rPr>
        <w:t xml:space="preserve"> will be addressed in a timely fashion. All information, including the pre-bid materials, questions and answers will be posted on the </w:t>
      </w:r>
      <w:r>
        <w:rPr>
          <w:szCs w:val="24"/>
        </w:rPr>
        <w:t>Company’s</w:t>
      </w:r>
      <w:r w:rsidRPr="00796BC2">
        <w:rPr>
          <w:szCs w:val="24"/>
        </w:rPr>
        <w:t xml:space="preserve"> website at </w:t>
      </w:r>
      <w:hyperlink r:id="rId14" w:history="1">
        <w:r w:rsidRPr="00796BC2">
          <w:rPr>
            <w:rStyle w:val="Hyperlink"/>
            <w:color w:val="auto"/>
            <w:szCs w:val="24"/>
          </w:rPr>
          <w:t>www.pacificorp.com</w:t>
        </w:r>
      </w:hyperlink>
      <w:r w:rsidRPr="00796BC2">
        <w:rPr>
          <w:szCs w:val="24"/>
        </w:rPr>
        <w:t xml:space="preserve">. </w:t>
      </w:r>
      <w:r>
        <w:t>The Company</w:t>
      </w:r>
      <w:r w:rsidRPr="00796BC2">
        <w:rPr>
          <w:szCs w:val="24"/>
        </w:rPr>
        <w:t xml:space="preserve"> will maintain and post all materials on PacifiCorp’s website at </w:t>
      </w:r>
      <w:hyperlink r:id="rId15" w:history="1">
        <w:r w:rsidRPr="00796BC2">
          <w:rPr>
            <w:rStyle w:val="Hyperlink"/>
            <w:color w:val="auto"/>
            <w:szCs w:val="24"/>
          </w:rPr>
          <w:t>www.pacificorp.com</w:t>
        </w:r>
      </w:hyperlink>
      <w:r w:rsidRPr="00796BC2">
        <w:rPr>
          <w:szCs w:val="24"/>
        </w:rPr>
        <w:t xml:space="preserve">.  </w:t>
      </w:r>
      <w:hyperlink r:id="rId16" w:history="1">
        <w:r w:rsidRPr="00796BC2">
          <w:t>Any questions on the RFP or r</w:t>
        </w:r>
      </w:hyperlink>
      <w:r w:rsidRPr="00796BC2">
        <w:rPr>
          <w:szCs w:val="24"/>
        </w:rPr>
        <w:t xml:space="preserve">elated documents should be sent to </w:t>
      </w:r>
      <w:r>
        <w:rPr>
          <w:szCs w:val="24"/>
        </w:rPr>
        <w:t xml:space="preserve">the </w:t>
      </w:r>
      <w:r w:rsidRPr="00796BC2">
        <w:rPr>
          <w:szCs w:val="24"/>
        </w:rPr>
        <w:t>Company via email at</w:t>
      </w:r>
      <w:r w:rsidR="00D214FB">
        <w:rPr>
          <w:szCs w:val="24"/>
        </w:rPr>
        <w:t xml:space="preserve"> </w:t>
      </w:r>
      <w:hyperlink r:id="rId17" w:history="1">
        <w:r w:rsidR="00D214FB" w:rsidRPr="00780DEB">
          <w:rPr>
            <w:rStyle w:val="Hyperlink"/>
            <w:b/>
          </w:rPr>
          <w:t>RFPmarket@pacificorp.com</w:t>
        </w:r>
      </w:hyperlink>
      <w:r w:rsidR="00D214FB">
        <w:rPr>
          <w:b/>
        </w:rPr>
        <w:t xml:space="preserve"> </w:t>
      </w:r>
    </w:p>
    <w:p w:rsidR="005F7A09" w:rsidRDefault="005F7A09" w:rsidP="00D214FB">
      <w:pPr>
        <w:rPr>
          <w:b/>
        </w:rPr>
      </w:pPr>
    </w:p>
    <w:p w:rsidR="005F7A09" w:rsidRDefault="005F7A09" w:rsidP="0067382F">
      <w:pPr>
        <w:rPr>
          <w:szCs w:val="24"/>
        </w:rPr>
      </w:pPr>
    </w:p>
    <w:p w:rsidR="005F7A09" w:rsidRDefault="005F7A09" w:rsidP="0067382F">
      <w:pPr>
        <w:rPr>
          <w:szCs w:val="24"/>
        </w:rPr>
      </w:pPr>
      <w:r>
        <w:rPr>
          <w:szCs w:val="24"/>
        </w:rPr>
        <w:t xml:space="preserve">BIDDER CONFERENCE </w:t>
      </w:r>
    </w:p>
    <w:p w:rsidR="005F7A09" w:rsidRDefault="005F7A09" w:rsidP="0067382F">
      <w:pPr>
        <w:rPr>
          <w:szCs w:val="24"/>
        </w:rPr>
      </w:pPr>
      <w:r>
        <w:rPr>
          <w:szCs w:val="24"/>
        </w:rPr>
        <w:t xml:space="preserve">TBA – PHONE CALL TO BE </w:t>
      </w:r>
      <w:r w:rsidR="00A40B3E">
        <w:rPr>
          <w:szCs w:val="24"/>
        </w:rPr>
        <w:t xml:space="preserve">SCHEDULED </w:t>
      </w:r>
    </w:p>
    <w:p w:rsidR="0067382F" w:rsidRDefault="00A40B3E" w:rsidP="0067382F">
      <w:pPr>
        <w:rPr>
          <w:szCs w:val="24"/>
        </w:rPr>
      </w:pPr>
      <w:r>
        <w:rPr>
          <w:szCs w:val="24"/>
        </w:rPr>
        <w:t xml:space="preserve">SCHEDULED </w:t>
      </w:r>
      <w:r w:rsidR="005F7A09">
        <w:rPr>
          <w:szCs w:val="24"/>
        </w:rPr>
        <w:t>5 BUSINESS DAYS FOLLOWING THE ISSUA</w:t>
      </w:r>
      <w:r w:rsidR="000D511A">
        <w:rPr>
          <w:szCs w:val="24"/>
        </w:rPr>
        <w:t>NCE</w:t>
      </w:r>
      <w:r w:rsidR="005F7A09">
        <w:rPr>
          <w:szCs w:val="24"/>
        </w:rPr>
        <w:t xml:space="preserve"> OF THE RFP.</w:t>
      </w:r>
    </w:p>
    <w:p w:rsidR="0067382F" w:rsidRPr="00796BC2" w:rsidRDefault="0067382F" w:rsidP="0067382F">
      <w:pPr>
        <w:rPr>
          <w:szCs w:val="24"/>
        </w:rPr>
      </w:pPr>
    </w:p>
    <w:p w:rsidR="0067382F" w:rsidRPr="00796BC2" w:rsidRDefault="0067382F" w:rsidP="0067382F">
      <w:pPr>
        <w:pStyle w:val="OutlineL1"/>
        <w:rPr>
          <w:rFonts w:ascii="Times New Roman" w:hAnsi="Times New Roman"/>
          <w:bCs/>
        </w:rPr>
      </w:pPr>
      <w:r w:rsidRPr="00796BC2">
        <w:rPr>
          <w:rFonts w:ascii="Times New Roman" w:hAnsi="Times New Roman"/>
          <w:bCs/>
        </w:rPr>
        <w:t xml:space="preserve">SECTION </w:t>
      </w:r>
      <w:r>
        <w:rPr>
          <w:rFonts w:ascii="Times New Roman" w:hAnsi="Times New Roman"/>
          <w:bCs/>
        </w:rPr>
        <w:t>5</w:t>
      </w:r>
      <w:r w:rsidRPr="00796BC2">
        <w:rPr>
          <w:rFonts w:ascii="Times New Roman" w:hAnsi="Times New Roman"/>
          <w:bCs/>
        </w:rPr>
        <w:t xml:space="preserve">.  </w:t>
      </w:r>
      <w:r>
        <w:rPr>
          <w:rFonts w:ascii="Times New Roman" w:hAnsi="Times New Roman"/>
          <w:bCs/>
        </w:rPr>
        <w:t>EVALUATION PROCESS</w:t>
      </w:r>
    </w:p>
    <w:p w:rsidR="00655F09" w:rsidRPr="00796BC2" w:rsidRDefault="00655F09" w:rsidP="00655F09">
      <w:pPr>
        <w:pStyle w:val="BodyText"/>
      </w:pPr>
      <w:r w:rsidRPr="00796BC2">
        <w:t>PacifiCorp will follow a structured evaluation process to assess the merits of proposals with regard to meeting its need. The process is intended to screen and rank individual proposals.</w:t>
      </w:r>
      <w:r w:rsidRPr="00796BC2">
        <w:rPr>
          <w:rStyle w:val="FootnoteReference"/>
        </w:rPr>
        <w:footnoteReference w:id="4"/>
      </w:r>
      <w:r w:rsidRPr="00796BC2">
        <w:t xml:space="preserve"> </w:t>
      </w:r>
      <w:r>
        <w:t>The Company</w:t>
      </w:r>
      <w:r w:rsidRPr="00796BC2" w:rsidDel="00CC1D47">
        <w:t xml:space="preserve"> </w:t>
      </w:r>
      <w:r w:rsidRPr="00796BC2">
        <w:t>will consider a number of quantitative and qualitative factors designed to reasonably compare proposals with diverse attributes. Each proposal will be evaluated based on its compliance with this RFP and according to the following Price and Non</w:t>
      </w:r>
      <w:r>
        <w:t>-</w:t>
      </w:r>
      <w:r w:rsidRPr="00796BC2">
        <w:t xml:space="preserve">Price information. </w:t>
      </w:r>
    </w:p>
    <w:p w:rsidR="00655F09" w:rsidRPr="00796BC2" w:rsidRDefault="00655F09" w:rsidP="00655F09"/>
    <w:p w:rsidR="00655F09" w:rsidRPr="00796BC2" w:rsidRDefault="00655F09" w:rsidP="00655F09">
      <w:pPr>
        <w:pStyle w:val="OutlineL2"/>
        <w:numPr>
          <w:ilvl w:val="1"/>
          <w:numId w:val="4"/>
        </w:numPr>
        <w:jc w:val="left"/>
      </w:pPr>
      <w:bookmarkStart w:id="16" w:name="_Toc205008778"/>
      <w:bookmarkStart w:id="17" w:name="_Toc205009234"/>
      <w:bookmarkStart w:id="18" w:name="_Toc205025410"/>
      <w:bookmarkStart w:id="19" w:name="_Toc304795880"/>
      <w:r w:rsidRPr="00796BC2">
        <w:t xml:space="preserve">PRICE </w:t>
      </w:r>
      <w:smartTag w:uri="urn:schemas-microsoft-com:office:smarttags" w:element="stockticker">
        <w:r w:rsidRPr="00796BC2">
          <w:t>AND</w:t>
        </w:r>
      </w:smartTag>
      <w:r w:rsidRPr="00796BC2">
        <w:t xml:space="preserve"> NON-PRICE INFORMATION</w:t>
      </w:r>
      <w:bookmarkEnd w:id="16"/>
      <w:bookmarkEnd w:id="17"/>
      <w:bookmarkEnd w:id="18"/>
      <w:bookmarkEnd w:id="19"/>
    </w:p>
    <w:p w:rsidR="00655F09" w:rsidRPr="00796BC2" w:rsidRDefault="00655F09" w:rsidP="00655F09">
      <w:r>
        <w:t>Proposals</w:t>
      </w:r>
      <w:r w:rsidRPr="00796BC2">
        <w:t xml:space="preserve"> will be evaluated on the basis of price and non-price factors</w:t>
      </w:r>
      <w:r>
        <w:t>.</w:t>
      </w:r>
      <w:r w:rsidRPr="00796BC2">
        <w:t xml:space="preserve"> </w:t>
      </w:r>
    </w:p>
    <w:p w:rsidR="00655F09" w:rsidRPr="00796BC2" w:rsidRDefault="00655F09" w:rsidP="00655F09">
      <w:pPr>
        <w:pStyle w:val="Header"/>
        <w:tabs>
          <w:tab w:val="clear" w:pos="4320"/>
          <w:tab w:val="clear" w:pos="8640"/>
        </w:tabs>
        <w:ind w:firstLine="90"/>
        <w:rPr>
          <w:szCs w:val="24"/>
        </w:rPr>
      </w:pPr>
    </w:p>
    <w:p w:rsidR="00655F09" w:rsidRPr="00796BC2" w:rsidRDefault="00655F09" w:rsidP="00655F09">
      <w:pPr>
        <w:pStyle w:val="OUTLINEL3"/>
      </w:pPr>
      <w:bookmarkStart w:id="20" w:name="_Toc304795881"/>
      <w:r w:rsidRPr="00796BC2">
        <w:t>PRICE INFORMATION</w:t>
      </w:r>
      <w:bookmarkEnd w:id="20"/>
      <w:r w:rsidRPr="00796BC2">
        <w:t xml:space="preserve"> </w:t>
      </w:r>
      <w:r>
        <w:t>(70%)</w:t>
      </w:r>
    </w:p>
    <w:p w:rsidR="00655F09" w:rsidRPr="00796BC2" w:rsidRDefault="00655F09" w:rsidP="00655F09"/>
    <w:p w:rsidR="00655F09" w:rsidRPr="00796BC2" w:rsidRDefault="00655F09" w:rsidP="00655F09">
      <w:r w:rsidRPr="00796BC2">
        <w:t>The Price factors will be determined using the comparison metric of the projected net present value revenue requirement (net PVRR) per kilowatt month (</w:t>
      </w:r>
      <w:r>
        <w:t>n</w:t>
      </w:r>
      <w:r w:rsidRPr="00796BC2">
        <w:t xml:space="preserve">et </w:t>
      </w:r>
      <w:proofErr w:type="spellStart"/>
      <w:r w:rsidRPr="00796BC2">
        <w:t>PVRR</w:t>
      </w:r>
      <w:proofErr w:type="spellEnd"/>
      <w:r w:rsidRPr="00796BC2">
        <w:t xml:space="preserve">/kW-mo).  The net PVRR component views the value of the energy and capacity as a positive, and the offsetting costs as negative. The more positive the net PVRR, the more </w:t>
      </w:r>
      <w:r>
        <w:t>beneficial</w:t>
      </w:r>
      <w:r w:rsidRPr="00796BC2">
        <w:t xml:space="preserve"> a given resource is to PacifiCorp’s customers. The net </w:t>
      </w:r>
      <w:proofErr w:type="spellStart"/>
      <w:r w:rsidRPr="00796BC2">
        <w:t>PVRR</w:t>
      </w:r>
      <w:proofErr w:type="spellEnd"/>
      <w:r w:rsidRPr="00796BC2">
        <w:t>/kW-mo metric is the annuity value which, when applied to the nominal kilowatts on a monthly basis and present-valued, will result in the same net PVRR as a straight NPV calculation</w:t>
      </w:r>
      <w:r>
        <w:t>.</w:t>
      </w:r>
      <w:r w:rsidRPr="00796BC2">
        <w:t xml:space="preserve"> Price factors will recognize the value of the power (e.g., firm versus non-firm, delivery shape, but not an inferred value of environmental attributes associated with the facilities). </w:t>
      </w:r>
    </w:p>
    <w:p w:rsidR="00655F09" w:rsidRPr="00796BC2" w:rsidRDefault="00655F09" w:rsidP="00655F09">
      <w:pPr>
        <w:pStyle w:val="Header"/>
        <w:rPr>
          <w:szCs w:val="24"/>
        </w:rPr>
      </w:pPr>
    </w:p>
    <w:p w:rsidR="00655F09" w:rsidRPr="00796BC2" w:rsidRDefault="00655F09" w:rsidP="00655F09">
      <w:pPr>
        <w:pStyle w:val="Header"/>
        <w:keepNext/>
        <w:keepLines/>
        <w:ind w:hanging="720"/>
      </w:pPr>
      <w:r w:rsidRPr="00796BC2">
        <w:tab/>
      </w:r>
      <w:r>
        <w:t>The Company</w:t>
      </w:r>
      <w:r w:rsidRPr="00796BC2">
        <w:t xml:space="preserve"> will consider PPA options as described in Part II, Section 1 below.</w:t>
      </w:r>
    </w:p>
    <w:p w:rsidR="00655F09" w:rsidRPr="00796BC2" w:rsidRDefault="00655F09" w:rsidP="00655F09">
      <w:pPr>
        <w:pStyle w:val="Header"/>
        <w:rPr>
          <w:szCs w:val="24"/>
        </w:rPr>
      </w:pPr>
    </w:p>
    <w:p w:rsidR="00655F09" w:rsidRPr="00796BC2" w:rsidRDefault="00655F09" w:rsidP="00655F09">
      <w:pPr>
        <w:pStyle w:val="OUTLINEL3"/>
      </w:pPr>
      <w:bookmarkStart w:id="21" w:name="_Toc304795882"/>
      <w:r w:rsidRPr="00796BC2">
        <w:t>NON-PRICE INFORMATION</w:t>
      </w:r>
      <w:bookmarkEnd w:id="21"/>
      <w:r>
        <w:t xml:space="preserve"> (30%)</w:t>
      </w:r>
    </w:p>
    <w:p w:rsidR="00655F09" w:rsidRPr="00796BC2" w:rsidRDefault="00655F09" w:rsidP="00655F09">
      <w:pPr>
        <w:ind w:hanging="450"/>
        <w:rPr>
          <w:szCs w:val="24"/>
        </w:rPr>
      </w:pPr>
    </w:p>
    <w:p w:rsidR="00655F09" w:rsidRPr="00796BC2" w:rsidRDefault="00655F09" w:rsidP="00655F09">
      <w:pPr>
        <w:pStyle w:val="Header"/>
        <w:rPr>
          <w:szCs w:val="24"/>
        </w:rPr>
      </w:pPr>
      <w:r w:rsidRPr="00796BC2">
        <w:rPr>
          <w:szCs w:val="24"/>
        </w:rPr>
        <w:t xml:space="preserve">The Non-Price factors will include: </w:t>
      </w:r>
    </w:p>
    <w:p w:rsidR="00655F09" w:rsidRPr="00AD4482" w:rsidRDefault="00655F09" w:rsidP="00655F09">
      <w:pPr>
        <w:pStyle w:val="Header"/>
        <w:numPr>
          <w:ilvl w:val="0"/>
          <w:numId w:val="5"/>
        </w:numPr>
        <w:rPr>
          <w:szCs w:val="24"/>
        </w:rPr>
      </w:pPr>
      <w:r w:rsidRPr="00AD4482">
        <w:rPr>
          <w:szCs w:val="24"/>
        </w:rPr>
        <w:t xml:space="preserve">Conformity to the WSPP or EEI </w:t>
      </w:r>
      <w:r w:rsidRPr="009D394D">
        <w:rPr>
          <w:szCs w:val="24"/>
        </w:rPr>
        <w:t xml:space="preserve">(Appendix </w:t>
      </w:r>
      <w:r w:rsidR="00E85E14">
        <w:rPr>
          <w:szCs w:val="24"/>
        </w:rPr>
        <w:t>2</w:t>
      </w:r>
      <w:r w:rsidRPr="009D394D">
        <w:rPr>
          <w:szCs w:val="24"/>
        </w:rPr>
        <w:t>)</w:t>
      </w:r>
      <w:r w:rsidRPr="00AD4482">
        <w:rPr>
          <w:szCs w:val="24"/>
        </w:rPr>
        <w:t xml:space="preserve"> (10%)</w:t>
      </w:r>
    </w:p>
    <w:p w:rsidR="00655F09" w:rsidRPr="00AD4482" w:rsidRDefault="00655F09" w:rsidP="00655F09">
      <w:pPr>
        <w:pStyle w:val="Header"/>
        <w:numPr>
          <w:ilvl w:val="0"/>
          <w:numId w:val="5"/>
        </w:numPr>
        <w:rPr>
          <w:szCs w:val="24"/>
        </w:rPr>
      </w:pPr>
      <w:r w:rsidRPr="00AD4482">
        <w:rPr>
          <w:szCs w:val="24"/>
        </w:rPr>
        <w:t>Development and feasibility of proposal (10%)</w:t>
      </w:r>
    </w:p>
    <w:p w:rsidR="00655F09" w:rsidRPr="00796BC2" w:rsidRDefault="00655F09" w:rsidP="00655F09">
      <w:pPr>
        <w:pStyle w:val="Header"/>
        <w:numPr>
          <w:ilvl w:val="0"/>
          <w:numId w:val="5"/>
        </w:numPr>
        <w:rPr>
          <w:szCs w:val="24"/>
        </w:rPr>
      </w:pPr>
      <w:r w:rsidRPr="00796BC2">
        <w:rPr>
          <w:szCs w:val="24"/>
        </w:rPr>
        <w:t xml:space="preserve">Operational viability </w:t>
      </w:r>
      <w:r>
        <w:rPr>
          <w:szCs w:val="24"/>
        </w:rPr>
        <w:t>(10%)</w:t>
      </w:r>
    </w:p>
    <w:p w:rsidR="00655F09" w:rsidRPr="00796BC2" w:rsidRDefault="00655F09" w:rsidP="00655F09">
      <w:pPr>
        <w:rPr>
          <w:szCs w:val="24"/>
          <w:u w:val="single"/>
        </w:rPr>
      </w:pPr>
    </w:p>
    <w:p w:rsidR="00655F09" w:rsidRPr="00796BC2" w:rsidRDefault="00655F09" w:rsidP="00655F09">
      <w:r w:rsidRPr="00796BC2">
        <w:t>All proposals will be contingent on firm transmission and must be able to be designated by PacifiCorp</w:t>
      </w:r>
      <w:r>
        <w:t>’s</w:t>
      </w:r>
      <w:r w:rsidRPr="00796BC2">
        <w:t xml:space="preserve"> </w:t>
      </w:r>
      <w:r>
        <w:t>C</w:t>
      </w:r>
      <w:r w:rsidRPr="00796BC2">
        <w:t xml:space="preserve">ommercial and </w:t>
      </w:r>
      <w:r>
        <w:t>T</w:t>
      </w:r>
      <w:r w:rsidRPr="00796BC2">
        <w:t xml:space="preserve">rading function as a Network Resource in the western balancing authority </w:t>
      </w:r>
      <w:r>
        <w:t xml:space="preserve">area </w:t>
      </w:r>
      <w:r w:rsidRPr="00796BC2">
        <w:t xml:space="preserve">under the network </w:t>
      </w:r>
      <w:r>
        <w:t xml:space="preserve">integration transmission </w:t>
      </w:r>
      <w:r w:rsidRPr="00796BC2">
        <w:t>service contract between PacifiCorp Transmission (</w:t>
      </w:r>
      <w:hyperlink r:id="rId18" w:history="1">
        <w:r w:rsidR="00D214FB" w:rsidRPr="00780DEB">
          <w:rPr>
            <w:rStyle w:val="Hyperlink"/>
            <w:b/>
            <w:szCs w:val="24"/>
          </w:rPr>
          <w:t>www.oasis.pacificorp.com</w:t>
        </w:r>
      </w:hyperlink>
      <w:r w:rsidRPr="00796BC2">
        <w:t>) and PacifiCorp Commercial and Trading.</w:t>
      </w:r>
    </w:p>
    <w:p w:rsidR="00655F09" w:rsidRPr="00796BC2" w:rsidRDefault="00655F09" w:rsidP="00655F09">
      <w:pPr>
        <w:pStyle w:val="BodyText"/>
        <w:rPr>
          <w:b/>
          <w:szCs w:val="24"/>
        </w:rPr>
      </w:pPr>
    </w:p>
    <w:p w:rsidR="00655F09" w:rsidRPr="00796BC2" w:rsidRDefault="00655F09" w:rsidP="00655F09">
      <w:r w:rsidRPr="00796BC2">
        <w:rPr>
          <w:szCs w:val="24"/>
        </w:rPr>
        <w:t>PacifiCorp</w:t>
      </w:r>
      <w:r w:rsidRPr="00796BC2">
        <w:t xml:space="preserve"> has no obligation to enter into </w:t>
      </w:r>
      <w:r>
        <w:t>d</w:t>
      </w:r>
      <w:r w:rsidRPr="00796BC2">
        <w:t xml:space="preserve">efinitive </w:t>
      </w:r>
      <w:r>
        <w:t>a</w:t>
      </w:r>
      <w:r w:rsidRPr="00796BC2">
        <w:t xml:space="preserve">greements with any </w:t>
      </w:r>
      <w:r>
        <w:t xml:space="preserve">Bidder </w:t>
      </w:r>
      <w:r w:rsidRPr="00796BC2">
        <w:t xml:space="preserve">to this RFP and may terminate or modify the RFP at any time without liability or obligation to any </w:t>
      </w:r>
      <w:r>
        <w:t xml:space="preserve">Bidder. </w:t>
      </w:r>
      <w:r w:rsidRPr="00796BC2">
        <w:t xml:space="preserve"> This RFP shall not be construed as preventing </w:t>
      </w:r>
      <w:r>
        <w:rPr>
          <w:szCs w:val="24"/>
        </w:rPr>
        <w:t>the Company</w:t>
      </w:r>
      <w:r w:rsidRPr="00796BC2">
        <w:t xml:space="preserve"> from entering into any agreement that it deems appropriate at any time before, during, or after the RFP process is complete. </w:t>
      </w:r>
    </w:p>
    <w:p w:rsidR="00655F09" w:rsidRDefault="00655F09" w:rsidP="00655F09">
      <w:pPr>
        <w:jc w:val="left"/>
      </w:pPr>
      <w:r>
        <w:br w:type="page"/>
      </w:r>
    </w:p>
    <w:p w:rsidR="00655F09" w:rsidRPr="00796BC2" w:rsidRDefault="00655F09" w:rsidP="00655F09"/>
    <w:p w:rsidR="00655F09" w:rsidRPr="00881AA5" w:rsidRDefault="00655F09" w:rsidP="00655F09">
      <w:pPr>
        <w:pStyle w:val="Title"/>
        <w:jc w:val="left"/>
        <w:rPr>
          <w:rFonts w:ascii="Times New Roman" w:hAnsi="Times New Roman" w:cs="Times New Roman"/>
          <w:color w:val="auto"/>
          <w:sz w:val="48"/>
        </w:rPr>
      </w:pPr>
      <w:bookmarkStart w:id="22" w:name="_Toc304795884"/>
      <w:r w:rsidRPr="00881AA5">
        <w:rPr>
          <w:rFonts w:ascii="Times New Roman" w:hAnsi="Times New Roman" w:cs="Times New Roman"/>
          <w:color w:val="auto"/>
          <w:sz w:val="48"/>
        </w:rPr>
        <w:t xml:space="preserve">II. Information Requested from </w:t>
      </w:r>
      <w:bookmarkEnd w:id="22"/>
      <w:r w:rsidR="001D5E5A" w:rsidRPr="00881AA5">
        <w:rPr>
          <w:rFonts w:ascii="Times New Roman" w:hAnsi="Times New Roman" w:cs="Times New Roman"/>
          <w:color w:val="auto"/>
          <w:sz w:val="48"/>
        </w:rPr>
        <w:t>Bidders</w:t>
      </w:r>
    </w:p>
    <w:p w:rsidR="0067382F" w:rsidRPr="00796BC2" w:rsidRDefault="0067382F" w:rsidP="0067382F">
      <w:pPr>
        <w:pStyle w:val="OutlineL1"/>
        <w:rPr>
          <w:rFonts w:ascii="Times New Roman" w:hAnsi="Times New Roman"/>
          <w:bCs/>
        </w:rPr>
      </w:pPr>
      <w:bookmarkStart w:id="23" w:name="_Toc147575980"/>
      <w:bookmarkStart w:id="24" w:name="_Toc147576128"/>
      <w:bookmarkStart w:id="25" w:name="_Toc147576195"/>
      <w:bookmarkStart w:id="26" w:name="_Toc147576331"/>
      <w:bookmarkStart w:id="27" w:name="_Toc147576467"/>
      <w:bookmarkStart w:id="28" w:name="_Toc147576534"/>
      <w:bookmarkStart w:id="29" w:name="_Toc147651073"/>
      <w:bookmarkStart w:id="30" w:name="_Toc144200104"/>
      <w:bookmarkStart w:id="31" w:name="_Toc144264757"/>
      <w:bookmarkStart w:id="32" w:name="_Toc144264903"/>
      <w:bookmarkStart w:id="33" w:name="_Toc147575981"/>
      <w:bookmarkStart w:id="34" w:name="_Toc147576129"/>
      <w:bookmarkStart w:id="35" w:name="_Toc147576196"/>
      <w:bookmarkStart w:id="36" w:name="_Toc147576332"/>
      <w:bookmarkStart w:id="37" w:name="_Toc147576468"/>
      <w:bookmarkStart w:id="38" w:name="_Toc147576535"/>
      <w:bookmarkStart w:id="39" w:name="_Toc147651074"/>
      <w:bookmarkStart w:id="40" w:name="_Toc147575982"/>
      <w:bookmarkStart w:id="41" w:name="_Toc147576130"/>
      <w:bookmarkStart w:id="42" w:name="_Toc147576197"/>
      <w:bookmarkStart w:id="43" w:name="_Toc147576333"/>
      <w:bookmarkStart w:id="44" w:name="_Toc147576469"/>
      <w:bookmarkStart w:id="45" w:name="_Toc147576536"/>
      <w:bookmarkStart w:id="46" w:name="_Toc147651075"/>
      <w:bookmarkStart w:id="47" w:name="_Toc30479588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796BC2">
        <w:rPr>
          <w:rFonts w:ascii="Times New Roman" w:hAnsi="Times New Roman"/>
          <w:bCs/>
        </w:rPr>
        <w:t xml:space="preserve">SECTION </w:t>
      </w:r>
      <w:r>
        <w:rPr>
          <w:rFonts w:ascii="Times New Roman" w:hAnsi="Times New Roman"/>
          <w:bCs/>
        </w:rPr>
        <w:t>1</w:t>
      </w:r>
      <w:r w:rsidRPr="00796BC2">
        <w:rPr>
          <w:rFonts w:ascii="Times New Roman" w:hAnsi="Times New Roman"/>
          <w:bCs/>
        </w:rPr>
        <w:t xml:space="preserve">.  </w:t>
      </w:r>
      <w:r>
        <w:rPr>
          <w:rFonts w:ascii="Times New Roman" w:hAnsi="Times New Roman"/>
          <w:bCs/>
        </w:rPr>
        <w:t>PROPOSAL REQUIREMENTS</w:t>
      </w:r>
    </w:p>
    <w:bookmarkEnd w:id="47"/>
    <w:p w:rsidR="00D214FB" w:rsidRPr="00881AA5" w:rsidRDefault="00655F09" w:rsidP="00D214FB">
      <w:r w:rsidRPr="00464E0E">
        <w:rPr>
          <w:b/>
        </w:rPr>
        <w:t xml:space="preserve">Bidders will be required to fill out the following and provide the following Term Sheet when submitting their proposals.  </w:t>
      </w:r>
      <w:r w:rsidRPr="00881AA5">
        <w:rPr>
          <w:b/>
        </w:rPr>
        <w:t xml:space="preserve">Contract pricing must be submitted by Seller on </w:t>
      </w:r>
      <w:r w:rsidR="000F570F">
        <w:rPr>
          <w:b/>
        </w:rPr>
        <w:t>Due Date</w:t>
      </w:r>
      <w:r w:rsidRPr="00881AA5">
        <w:rPr>
          <w:b/>
        </w:rPr>
        <w:t xml:space="preserve"> at 9:00 am and Bidders must hold their prices valid until 11am PPT.  PacifiCorp will contact Bidders on </w:t>
      </w:r>
      <w:r w:rsidR="000F570F">
        <w:rPr>
          <w:b/>
        </w:rPr>
        <w:t xml:space="preserve">Due Date </w:t>
      </w:r>
      <w:r w:rsidR="005F7A09">
        <w:rPr>
          <w:b/>
        </w:rPr>
        <w:t xml:space="preserve">prior to </w:t>
      </w:r>
      <w:r w:rsidRPr="00881AA5">
        <w:rPr>
          <w:b/>
        </w:rPr>
        <w:t xml:space="preserve">11:00 PPT if the Bidder is successful in the RFP. Bidders are to email the Following TERM SHEET and any </w:t>
      </w:r>
      <w:r w:rsidR="00D214FB">
        <w:rPr>
          <w:b/>
        </w:rPr>
        <w:t xml:space="preserve">proposed </w:t>
      </w:r>
      <w:r w:rsidRPr="00881AA5">
        <w:rPr>
          <w:b/>
        </w:rPr>
        <w:t xml:space="preserve">changes to Appendix </w:t>
      </w:r>
      <w:r w:rsidR="00E85E14" w:rsidRPr="00881AA5">
        <w:rPr>
          <w:b/>
        </w:rPr>
        <w:t>2</w:t>
      </w:r>
      <w:r w:rsidRPr="00881AA5">
        <w:rPr>
          <w:b/>
        </w:rPr>
        <w:t xml:space="preserve"> to</w:t>
      </w:r>
      <w:r w:rsidR="00FA749A">
        <w:rPr>
          <w:b/>
        </w:rPr>
        <w:t xml:space="preserve"> </w:t>
      </w:r>
      <w:hyperlink r:id="rId19" w:history="1">
        <w:r w:rsidR="00D214FB" w:rsidRPr="00780DEB">
          <w:rPr>
            <w:rStyle w:val="Hyperlink"/>
            <w:b/>
          </w:rPr>
          <w:t>RFPmarket@pacificorp.com</w:t>
        </w:r>
      </w:hyperlink>
      <w:r w:rsidR="00D214FB">
        <w:rPr>
          <w:b/>
        </w:rPr>
        <w:t xml:space="preserve"> </w:t>
      </w:r>
    </w:p>
    <w:p w:rsidR="00655F09" w:rsidRPr="0067382F" w:rsidRDefault="00655F09" w:rsidP="00655F09">
      <w:pPr>
        <w:rPr>
          <w:szCs w:val="24"/>
        </w:rPr>
      </w:pPr>
    </w:p>
    <w:p w:rsidR="00655F09" w:rsidRPr="009A1DB8" w:rsidRDefault="00655F09" w:rsidP="00655F09">
      <w:pPr>
        <w:jc w:val="left"/>
        <w:rPr>
          <w:b/>
          <w:szCs w:val="24"/>
        </w:rPr>
      </w:pPr>
      <w:r w:rsidRPr="009A1DB8">
        <w:rPr>
          <w:b/>
          <w:szCs w:val="24"/>
        </w:rPr>
        <w:t xml:space="preserve">TERM SHEET </w:t>
      </w:r>
    </w:p>
    <w:p w:rsidR="00655F09" w:rsidRPr="008F4651" w:rsidRDefault="00655F09" w:rsidP="00655F09">
      <w:pPr>
        <w:jc w:val="left"/>
        <w:rPr>
          <w:szCs w:val="24"/>
        </w:rPr>
      </w:pPr>
    </w:p>
    <w:p w:rsidR="00655F09" w:rsidRPr="008F4651" w:rsidRDefault="00655F09" w:rsidP="00655F09">
      <w:pPr>
        <w:pStyle w:val="Header"/>
        <w:tabs>
          <w:tab w:val="clear" w:pos="4320"/>
          <w:tab w:val="clear" w:pos="8640"/>
        </w:tabs>
        <w:jc w:val="left"/>
        <w:rPr>
          <w:szCs w:val="24"/>
        </w:rPr>
      </w:pPr>
      <w:r w:rsidRPr="008F4651">
        <w:rPr>
          <w:szCs w:val="24"/>
        </w:rPr>
        <w:t>Seller:</w:t>
      </w:r>
      <w:r w:rsidRPr="008F4651">
        <w:rPr>
          <w:szCs w:val="24"/>
        </w:rPr>
        <w:tab/>
      </w:r>
      <w:r w:rsidRPr="008F4651">
        <w:rPr>
          <w:szCs w:val="24"/>
        </w:rPr>
        <w:tab/>
      </w:r>
      <w:r w:rsidRPr="008F4651">
        <w:rPr>
          <w:szCs w:val="24"/>
        </w:rPr>
        <w:tab/>
        <w:t>Counterparty</w:t>
      </w:r>
    </w:p>
    <w:p w:rsidR="00655F09" w:rsidRPr="008F4651" w:rsidRDefault="00655F09" w:rsidP="00655F09">
      <w:pPr>
        <w:pStyle w:val="Header"/>
        <w:tabs>
          <w:tab w:val="clear" w:pos="4320"/>
          <w:tab w:val="clear" w:pos="8640"/>
        </w:tabs>
        <w:jc w:val="left"/>
        <w:rPr>
          <w:szCs w:val="24"/>
        </w:rPr>
      </w:pPr>
      <w:r w:rsidRPr="008F4651">
        <w:rPr>
          <w:szCs w:val="24"/>
        </w:rPr>
        <w:t>Buyer:</w:t>
      </w:r>
      <w:r w:rsidRPr="008F4651">
        <w:rPr>
          <w:szCs w:val="24"/>
        </w:rPr>
        <w:tab/>
      </w:r>
      <w:r w:rsidRPr="008F4651">
        <w:rPr>
          <w:szCs w:val="24"/>
        </w:rPr>
        <w:tab/>
      </w:r>
      <w:r w:rsidRPr="008F4651">
        <w:rPr>
          <w:szCs w:val="24"/>
        </w:rPr>
        <w:tab/>
        <w:t>PacifiCorp</w:t>
      </w:r>
    </w:p>
    <w:p w:rsidR="003D78CF" w:rsidRDefault="00655F09" w:rsidP="00FE33AB">
      <w:pPr>
        <w:pStyle w:val="Header"/>
        <w:tabs>
          <w:tab w:val="clear" w:pos="4320"/>
          <w:tab w:val="clear" w:pos="8640"/>
        </w:tabs>
        <w:jc w:val="left"/>
        <w:rPr>
          <w:szCs w:val="24"/>
        </w:rPr>
      </w:pPr>
      <w:r w:rsidRPr="008F4651">
        <w:rPr>
          <w:szCs w:val="24"/>
        </w:rPr>
        <w:t>Term:</w:t>
      </w:r>
      <w:r w:rsidRPr="008F4651">
        <w:rPr>
          <w:szCs w:val="24"/>
        </w:rPr>
        <w:tab/>
      </w:r>
      <w:r w:rsidR="000D511A">
        <w:rPr>
          <w:szCs w:val="24"/>
        </w:rPr>
        <w:tab/>
      </w:r>
      <w:r w:rsidR="000D511A">
        <w:rPr>
          <w:szCs w:val="24"/>
        </w:rPr>
        <w:tab/>
      </w:r>
      <w:r w:rsidR="005F7A09">
        <w:rPr>
          <w:szCs w:val="24"/>
        </w:rPr>
        <w:t>201</w:t>
      </w:r>
      <w:r w:rsidR="003D78CF">
        <w:rPr>
          <w:szCs w:val="24"/>
        </w:rPr>
        <w:t>4</w:t>
      </w:r>
      <w:r w:rsidR="005F7A09">
        <w:rPr>
          <w:szCs w:val="24"/>
        </w:rPr>
        <w:t xml:space="preserve"> through </w:t>
      </w:r>
      <w:r>
        <w:rPr>
          <w:szCs w:val="24"/>
        </w:rPr>
        <w:t>201</w:t>
      </w:r>
      <w:r w:rsidR="003D78CF">
        <w:rPr>
          <w:szCs w:val="24"/>
        </w:rPr>
        <w:t>7</w:t>
      </w:r>
    </w:p>
    <w:p w:rsidR="00655F09" w:rsidRPr="008F4651" w:rsidRDefault="00655F09" w:rsidP="00FE33AB">
      <w:pPr>
        <w:pStyle w:val="Header"/>
        <w:tabs>
          <w:tab w:val="clear" w:pos="4320"/>
          <w:tab w:val="clear" w:pos="8640"/>
        </w:tabs>
        <w:jc w:val="left"/>
        <w:rPr>
          <w:szCs w:val="24"/>
        </w:rPr>
      </w:pPr>
      <w:r w:rsidRPr="008F4651">
        <w:rPr>
          <w:szCs w:val="24"/>
        </w:rPr>
        <w:t>Quantity:</w:t>
      </w:r>
      <w:r w:rsidRPr="008F4651">
        <w:rPr>
          <w:szCs w:val="24"/>
        </w:rPr>
        <w:tab/>
      </w:r>
      <w:r w:rsidR="005F7A09">
        <w:rPr>
          <w:szCs w:val="24"/>
        </w:rPr>
        <w:tab/>
      </w:r>
      <w:r w:rsidRPr="008F4651">
        <w:rPr>
          <w:szCs w:val="24"/>
        </w:rPr>
        <w:t xml:space="preserve">Minimum bid of 25 MW </w:t>
      </w:r>
      <w:r>
        <w:rPr>
          <w:szCs w:val="24"/>
        </w:rPr>
        <w:t>in 25 MW increments</w:t>
      </w:r>
    </w:p>
    <w:p w:rsidR="00655F09" w:rsidRDefault="00655F09" w:rsidP="00655F09">
      <w:pPr>
        <w:ind w:left="2160" w:hanging="2160"/>
        <w:jc w:val="left"/>
        <w:rPr>
          <w:szCs w:val="24"/>
        </w:rPr>
      </w:pPr>
      <w:r w:rsidRPr="008F4651">
        <w:rPr>
          <w:szCs w:val="24"/>
        </w:rPr>
        <w:t xml:space="preserve">Delivery </w:t>
      </w:r>
      <w:r>
        <w:rPr>
          <w:szCs w:val="24"/>
        </w:rPr>
        <w:t>Term</w:t>
      </w:r>
      <w:r w:rsidRPr="008F4651">
        <w:rPr>
          <w:szCs w:val="24"/>
        </w:rPr>
        <w:t>:</w:t>
      </w:r>
      <w:r w:rsidRPr="008F4651">
        <w:rPr>
          <w:szCs w:val="24"/>
        </w:rPr>
        <w:tab/>
      </w:r>
      <w:r>
        <w:rPr>
          <w:szCs w:val="24"/>
        </w:rPr>
        <w:t xml:space="preserve">Product One: </w:t>
      </w:r>
      <w:r w:rsidRPr="008F4651">
        <w:rPr>
          <w:szCs w:val="24"/>
        </w:rPr>
        <w:t>Ju</w:t>
      </w:r>
      <w:r>
        <w:rPr>
          <w:szCs w:val="24"/>
        </w:rPr>
        <w:t xml:space="preserve">ly </w:t>
      </w:r>
      <w:r w:rsidRPr="008F4651">
        <w:rPr>
          <w:szCs w:val="24"/>
        </w:rPr>
        <w:t>– September</w:t>
      </w:r>
      <w:r>
        <w:rPr>
          <w:szCs w:val="24"/>
        </w:rPr>
        <w:t xml:space="preserve"> (all months inclusive, </w:t>
      </w:r>
      <w:r w:rsidRPr="008F4651">
        <w:rPr>
          <w:szCs w:val="24"/>
        </w:rPr>
        <w:t>Q3</w:t>
      </w:r>
      <w:r>
        <w:rPr>
          <w:szCs w:val="24"/>
        </w:rPr>
        <w:t>)</w:t>
      </w:r>
      <w:r w:rsidRPr="008F4651">
        <w:rPr>
          <w:szCs w:val="24"/>
        </w:rPr>
        <w:t xml:space="preserve"> </w:t>
      </w:r>
      <w:r w:rsidR="005F7A09">
        <w:rPr>
          <w:szCs w:val="24"/>
        </w:rPr>
        <w:t xml:space="preserve">of each calendar year and </w:t>
      </w:r>
      <w:r>
        <w:rPr>
          <w:szCs w:val="24"/>
        </w:rPr>
        <w:t xml:space="preserve">or </w:t>
      </w:r>
    </w:p>
    <w:p w:rsidR="00655F09" w:rsidRDefault="00655F09" w:rsidP="00655F09">
      <w:pPr>
        <w:ind w:left="2160"/>
        <w:jc w:val="left"/>
        <w:rPr>
          <w:szCs w:val="24"/>
        </w:rPr>
      </w:pPr>
      <w:r>
        <w:rPr>
          <w:szCs w:val="24"/>
        </w:rPr>
        <w:t xml:space="preserve">Product Two: January – December </w:t>
      </w:r>
      <w:r w:rsidR="000F570F">
        <w:rPr>
          <w:szCs w:val="24"/>
        </w:rPr>
        <w:t>of each calendar year</w:t>
      </w:r>
      <w:r>
        <w:rPr>
          <w:szCs w:val="24"/>
        </w:rPr>
        <w:t xml:space="preserve">. </w:t>
      </w:r>
    </w:p>
    <w:p w:rsidR="00655F09" w:rsidRDefault="00655F09" w:rsidP="00655F09">
      <w:pPr>
        <w:ind w:left="2160" w:hanging="2160"/>
        <w:jc w:val="left"/>
        <w:rPr>
          <w:szCs w:val="24"/>
        </w:rPr>
      </w:pPr>
      <w:r>
        <w:rPr>
          <w:szCs w:val="24"/>
        </w:rPr>
        <w:t xml:space="preserve">Point of </w:t>
      </w:r>
      <w:r w:rsidRPr="008F4651">
        <w:rPr>
          <w:szCs w:val="24"/>
        </w:rPr>
        <w:t>Delivery:</w:t>
      </w:r>
      <w:r w:rsidRPr="008F4651">
        <w:rPr>
          <w:szCs w:val="24"/>
        </w:rPr>
        <w:tab/>
      </w:r>
      <w:r>
        <w:rPr>
          <w:szCs w:val="24"/>
        </w:rPr>
        <w:t>PACW (see defined Point of Delivery below)</w:t>
      </w:r>
    </w:p>
    <w:p w:rsidR="00655F09" w:rsidRDefault="00655F09" w:rsidP="00655F09">
      <w:pPr>
        <w:ind w:left="2160" w:hanging="2160"/>
        <w:jc w:val="left"/>
        <w:rPr>
          <w:szCs w:val="24"/>
        </w:rPr>
      </w:pPr>
      <w:r>
        <w:rPr>
          <w:szCs w:val="24"/>
        </w:rPr>
        <w:t xml:space="preserve">Products </w:t>
      </w:r>
      <w:r>
        <w:rPr>
          <w:szCs w:val="24"/>
        </w:rPr>
        <w:tab/>
        <w:t xml:space="preserve">Product One: Q3 </w:t>
      </w:r>
      <w:r w:rsidRPr="0043593F">
        <w:rPr>
          <w:szCs w:val="24"/>
        </w:rPr>
        <w:t xml:space="preserve">Standard </w:t>
      </w:r>
      <w:r>
        <w:rPr>
          <w:szCs w:val="24"/>
        </w:rPr>
        <w:t>On</w:t>
      </w:r>
      <w:r w:rsidRPr="0043593F">
        <w:rPr>
          <w:szCs w:val="24"/>
        </w:rPr>
        <w:t>-Peak (6x</w:t>
      </w:r>
      <w:r>
        <w:rPr>
          <w:szCs w:val="24"/>
        </w:rPr>
        <w:t>16</w:t>
      </w:r>
      <w:r w:rsidRPr="0043593F">
        <w:rPr>
          <w:szCs w:val="24"/>
        </w:rPr>
        <w:t xml:space="preserve">); Monday through Saturday HE </w:t>
      </w:r>
      <w:r>
        <w:rPr>
          <w:szCs w:val="24"/>
        </w:rPr>
        <w:t>07</w:t>
      </w:r>
      <w:r w:rsidRPr="0043593F">
        <w:rPr>
          <w:szCs w:val="24"/>
        </w:rPr>
        <w:t>00 – HE 2</w:t>
      </w:r>
      <w:r>
        <w:rPr>
          <w:szCs w:val="24"/>
        </w:rPr>
        <w:t>2</w:t>
      </w:r>
      <w:r w:rsidRPr="0043593F">
        <w:rPr>
          <w:szCs w:val="24"/>
        </w:rPr>
        <w:t>00 PPT, excluding NERC holidays</w:t>
      </w:r>
      <w:r>
        <w:rPr>
          <w:szCs w:val="24"/>
        </w:rPr>
        <w:t xml:space="preserve"> for Q3</w:t>
      </w:r>
      <w:r w:rsidR="000F570F">
        <w:rPr>
          <w:szCs w:val="24"/>
        </w:rPr>
        <w:t xml:space="preserve">, </w:t>
      </w:r>
      <w:r>
        <w:rPr>
          <w:szCs w:val="24"/>
        </w:rPr>
        <w:t xml:space="preserve">and </w:t>
      </w:r>
    </w:p>
    <w:p w:rsidR="00655F09" w:rsidRDefault="00655F09" w:rsidP="00655F09">
      <w:pPr>
        <w:ind w:left="2160"/>
        <w:jc w:val="left"/>
        <w:rPr>
          <w:szCs w:val="24"/>
        </w:rPr>
      </w:pPr>
      <w:r>
        <w:rPr>
          <w:szCs w:val="24"/>
        </w:rPr>
        <w:t xml:space="preserve">Product Two: Flat Calendar product. All hours HE 0100 – HE 2400 PPT, including NERC holidays. </w:t>
      </w:r>
    </w:p>
    <w:p w:rsidR="00E85E14" w:rsidRDefault="00E85E14" w:rsidP="00655F09">
      <w:pPr>
        <w:ind w:left="2160"/>
        <w:jc w:val="left"/>
        <w:rPr>
          <w:szCs w:val="24"/>
        </w:rPr>
      </w:pPr>
    </w:p>
    <w:p w:rsidR="00655F09" w:rsidRPr="008F4651" w:rsidRDefault="00655F09" w:rsidP="00655F09">
      <w:pPr>
        <w:ind w:left="2160" w:hanging="2160"/>
        <w:jc w:val="left"/>
        <w:rPr>
          <w:szCs w:val="24"/>
        </w:rPr>
      </w:pPr>
      <w:r>
        <w:rPr>
          <w:szCs w:val="24"/>
        </w:rPr>
        <w:t>Energy</w:t>
      </w:r>
      <w:r w:rsidRPr="008F4651">
        <w:rPr>
          <w:szCs w:val="24"/>
        </w:rPr>
        <w:t xml:space="preserve"> Price:</w:t>
      </w:r>
      <w:r w:rsidRPr="008F4651">
        <w:rPr>
          <w:szCs w:val="24"/>
        </w:rPr>
        <w:tab/>
        <w:t xml:space="preserve">Please specify </w:t>
      </w:r>
      <w:r>
        <w:rPr>
          <w:szCs w:val="24"/>
        </w:rPr>
        <w:t>energy</w:t>
      </w:r>
      <w:r w:rsidRPr="008F4651">
        <w:rPr>
          <w:szCs w:val="24"/>
        </w:rPr>
        <w:t xml:space="preserve"> price </w:t>
      </w:r>
      <w:r>
        <w:rPr>
          <w:szCs w:val="24"/>
        </w:rPr>
        <w:t>($/MWh) for</w:t>
      </w:r>
      <w:r w:rsidRPr="008F4651">
        <w:rPr>
          <w:szCs w:val="24"/>
        </w:rPr>
        <w:t xml:space="preserve"> </w:t>
      </w:r>
      <w:r>
        <w:rPr>
          <w:szCs w:val="24"/>
        </w:rPr>
        <w:t>all Delivery Months in each year in the Term</w:t>
      </w:r>
      <w:r w:rsidRPr="008F4651">
        <w:rPr>
          <w:szCs w:val="24"/>
        </w:rPr>
        <w:t>.</w:t>
      </w:r>
      <w:r>
        <w:rPr>
          <w:szCs w:val="24"/>
        </w:rPr>
        <w:br/>
      </w:r>
    </w:p>
    <w:p w:rsidR="00655F09" w:rsidRPr="00EB4016" w:rsidRDefault="00655F09" w:rsidP="00655F09">
      <w:pPr>
        <w:ind w:left="2160" w:hanging="2160"/>
        <w:jc w:val="left"/>
        <w:rPr>
          <w:szCs w:val="24"/>
        </w:rPr>
      </w:pPr>
      <w:r w:rsidRPr="008F4651">
        <w:rPr>
          <w:szCs w:val="24"/>
        </w:rPr>
        <w:t>Quality of Product:</w:t>
      </w:r>
      <w:r w:rsidRPr="008F4651">
        <w:rPr>
          <w:szCs w:val="24"/>
        </w:rPr>
        <w:tab/>
      </w:r>
      <w:r w:rsidRPr="00EB4016">
        <w:rPr>
          <w:szCs w:val="24"/>
        </w:rPr>
        <w:t xml:space="preserve">WSPP Schedule C.  </w:t>
      </w:r>
    </w:p>
    <w:p w:rsidR="00655F09" w:rsidRPr="008F4651" w:rsidRDefault="00655F09" w:rsidP="00655F09">
      <w:pPr>
        <w:jc w:val="left"/>
        <w:rPr>
          <w:szCs w:val="24"/>
        </w:rPr>
      </w:pPr>
    </w:p>
    <w:p w:rsidR="00655F09" w:rsidRPr="008F4651" w:rsidRDefault="00655F09" w:rsidP="00655F09">
      <w:pPr>
        <w:ind w:left="2160" w:hanging="2160"/>
        <w:jc w:val="left"/>
        <w:rPr>
          <w:szCs w:val="24"/>
        </w:rPr>
      </w:pPr>
      <w:r w:rsidRPr="0043593F">
        <w:rPr>
          <w:szCs w:val="24"/>
        </w:rPr>
        <w:t>Pre</w:t>
      </w:r>
      <w:r>
        <w:rPr>
          <w:szCs w:val="24"/>
        </w:rPr>
        <w:t>-</w:t>
      </w:r>
      <w:r w:rsidRPr="0043593F">
        <w:rPr>
          <w:szCs w:val="24"/>
        </w:rPr>
        <w:t>scheduling:</w:t>
      </w:r>
      <w:r w:rsidRPr="0043593F">
        <w:rPr>
          <w:szCs w:val="24"/>
        </w:rPr>
        <w:tab/>
      </w:r>
      <w:r>
        <w:rPr>
          <w:szCs w:val="24"/>
        </w:rPr>
        <w:t>Pre-scheduling will be p</w:t>
      </w:r>
      <w:r w:rsidRPr="0043593F">
        <w:rPr>
          <w:szCs w:val="24"/>
        </w:rPr>
        <w:t xml:space="preserve">ursuant to the WECC ISAS daily </w:t>
      </w:r>
      <w:r>
        <w:rPr>
          <w:szCs w:val="24"/>
        </w:rPr>
        <w:t>pre-</w:t>
      </w:r>
      <w:r w:rsidRPr="0043593F">
        <w:rPr>
          <w:szCs w:val="24"/>
        </w:rPr>
        <w:t>scheduling calendar and the WECC Business Practices.</w:t>
      </w:r>
    </w:p>
    <w:p w:rsidR="00655F09" w:rsidRDefault="00655F09" w:rsidP="00655F09">
      <w:pPr>
        <w:ind w:left="2160" w:hanging="2160"/>
        <w:jc w:val="left"/>
        <w:rPr>
          <w:szCs w:val="24"/>
        </w:rPr>
      </w:pPr>
    </w:p>
    <w:p w:rsidR="00655F09" w:rsidRPr="008F4651" w:rsidRDefault="00655F09" w:rsidP="00655F09">
      <w:pPr>
        <w:ind w:left="2160" w:hanging="2160"/>
        <w:jc w:val="left"/>
        <w:rPr>
          <w:szCs w:val="24"/>
        </w:rPr>
        <w:sectPr w:rsidR="00655F09" w:rsidRPr="008F4651">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pPr>
      <w:r>
        <w:rPr>
          <w:szCs w:val="24"/>
        </w:rPr>
        <w:t>Credit Requirements:</w:t>
      </w:r>
      <w:r>
        <w:rPr>
          <w:szCs w:val="24"/>
        </w:rPr>
        <w:tab/>
        <w:t xml:space="preserve">Credit requirements will be evaluated based on the Bidders’ credit rating and the Product, Quantity, Delivery Term and the Price of the Bidders’ proposals. </w:t>
      </w:r>
    </w:p>
    <w:p w:rsidR="00655F09" w:rsidRDefault="00655F09" w:rsidP="00655F09">
      <w:pPr>
        <w:jc w:val="left"/>
        <w:rPr>
          <w:szCs w:val="24"/>
        </w:rPr>
      </w:pPr>
    </w:p>
    <w:p w:rsidR="00655F09" w:rsidRPr="00D214FB" w:rsidRDefault="00655F09" w:rsidP="00FE33AB">
      <w:pPr>
        <w:tabs>
          <w:tab w:val="left" w:pos="3060"/>
        </w:tabs>
        <w:ind w:firstLine="360"/>
        <w:jc w:val="left"/>
        <w:rPr>
          <w:sz w:val="22"/>
          <w:szCs w:val="22"/>
        </w:rPr>
      </w:pPr>
      <w:r w:rsidRPr="00D214FB">
        <w:rPr>
          <w:sz w:val="22"/>
          <w:szCs w:val="22"/>
        </w:rPr>
        <w:t>Counterparty Name (Seller):</w:t>
      </w:r>
      <w:r w:rsidR="000D511A">
        <w:rPr>
          <w:sz w:val="22"/>
          <w:szCs w:val="22"/>
        </w:rPr>
        <w:tab/>
      </w:r>
      <w:r w:rsidRPr="00D214FB">
        <w:rPr>
          <w:sz w:val="22"/>
          <w:szCs w:val="22"/>
        </w:rPr>
        <w:t xml:space="preserve"> _______________________</w:t>
      </w:r>
    </w:p>
    <w:p w:rsidR="00655F09" w:rsidRPr="00D214FB" w:rsidRDefault="00655F09" w:rsidP="00655F09">
      <w:pPr>
        <w:jc w:val="left"/>
        <w:rPr>
          <w:sz w:val="22"/>
          <w:szCs w:val="22"/>
        </w:rPr>
      </w:pPr>
    </w:p>
    <w:p w:rsidR="00655F09" w:rsidRPr="00D214FB" w:rsidRDefault="00655F09" w:rsidP="00FE33AB">
      <w:pPr>
        <w:tabs>
          <w:tab w:val="left" w:pos="3060"/>
        </w:tabs>
        <w:ind w:firstLine="360"/>
        <w:jc w:val="left"/>
        <w:rPr>
          <w:sz w:val="22"/>
          <w:szCs w:val="22"/>
        </w:rPr>
      </w:pPr>
      <w:r w:rsidRPr="00D214FB">
        <w:rPr>
          <w:sz w:val="22"/>
          <w:szCs w:val="22"/>
        </w:rPr>
        <w:t>Contact Name:</w:t>
      </w:r>
      <w:r w:rsidR="000D511A">
        <w:rPr>
          <w:sz w:val="22"/>
          <w:szCs w:val="22"/>
        </w:rPr>
        <w:tab/>
      </w:r>
      <w:r w:rsidRPr="00D214FB">
        <w:rPr>
          <w:sz w:val="22"/>
          <w:szCs w:val="22"/>
        </w:rPr>
        <w:t xml:space="preserve"> _______________________   </w:t>
      </w:r>
    </w:p>
    <w:p w:rsidR="00655F09" w:rsidRPr="00D214FB" w:rsidRDefault="00655F09" w:rsidP="00655F09">
      <w:pPr>
        <w:jc w:val="left"/>
        <w:rPr>
          <w:sz w:val="22"/>
          <w:szCs w:val="22"/>
        </w:rPr>
      </w:pPr>
    </w:p>
    <w:p w:rsidR="00655F09" w:rsidRPr="00D214FB" w:rsidRDefault="00655F09" w:rsidP="00FE33AB">
      <w:pPr>
        <w:tabs>
          <w:tab w:val="left" w:pos="3060"/>
        </w:tabs>
        <w:ind w:firstLine="360"/>
        <w:jc w:val="left"/>
        <w:rPr>
          <w:sz w:val="22"/>
          <w:szCs w:val="22"/>
        </w:rPr>
      </w:pPr>
      <w:r w:rsidRPr="00D214FB">
        <w:rPr>
          <w:sz w:val="22"/>
          <w:szCs w:val="22"/>
        </w:rPr>
        <w:t>Phone number:</w:t>
      </w:r>
      <w:r w:rsidRPr="00D214FB">
        <w:rPr>
          <w:sz w:val="22"/>
          <w:szCs w:val="22"/>
        </w:rPr>
        <w:tab/>
        <w:t xml:space="preserve"> _______________________</w:t>
      </w:r>
    </w:p>
    <w:p w:rsidR="00655F09" w:rsidRPr="00D214FB" w:rsidRDefault="00655F09" w:rsidP="00655F09">
      <w:pPr>
        <w:jc w:val="left"/>
        <w:rPr>
          <w:sz w:val="22"/>
          <w:szCs w:val="22"/>
        </w:rPr>
      </w:pPr>
    </w:p>
    <w:p w:rsidR="00FA749A" w:rsidRPr="00D214FB" w:rsidRDefault="00FA749A" w:rsidP="00655F09">
      <w:pPr>
        <w:jc w:val="left"/>
        <w:rPr>
          <w:sz w:val="22"/>
          <w:szCs w:val="22"/>
        </w:rPr>
      </w:pPr>
    </w:p>
    <w:p w:rsidR="00FA749A" w:rsidRPr="00D214FB" w:rsidRDefault="00FA749A" w:rsidP="00655F09">
      <w:pPr>
        <w:jc w:val="left"/>
        <w:rPr>
          <w:sz w:val="22"/>
          <w:szCs w:val="22"/>
        </w:rPr>
      </w:pPr>
    </w:p>
    <w:tbl>
      <w:tblPr>
        <w:tblpPr w:leftFromText="180" w:rightFromText="180" w:vertAnchor="text" w:horzAnchor="margin" w:tblpY="1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350"/>
        <w:gridCol w:w="1530"/>
        <w:gridCol w:w="2160"/>
        <w:gridCol w:w="1260"/>
        <w:gridCol w:w="1620"/>
      </w:tblGrid>
      <w:tr w:rsidR="00655F09" w:rsidRPr="00475E51" w:rsidTr="00BB5BDE">
        <w:trPr>
          <w:trHeight w:val="464"/>
        </w:trPr>
        <w:tc>
          <w:tcPr>
            <w:tcW w:w="2268" w:type="dxa"/>
            <w:shd w:val="clear" w:color="auto" w:fill="auto"/>
          </w:tcPr>
          <w:p w:rsidR="00655F09" w:rsidRPr="00475E51" w:rsidRDefault="00655F09" w:rsidP="00BB5BDE">
            <w:pPr>
              <w:jc w:val="left"/>
              <w:rPr>
                <w:b/>
                <w:szCs w:val="22"/>
              </w:rPr>
            </w:pPr>
            <w:r w:rsidRPr="00475E51">
              <w:rPr>
                <w:b/>
                <w:sz w:val="22"/>
                <w:szCs w:val="22"/>
              </w:rPr>
              <w:t>Delivery Point</w:t>
            </w:r>
          </w:p>
        </w:tc>
        <w:tc>
          <w:tcPr>
            <w:tcW w:w="1350" w:type="dxa"/>
            <w:shd w:val="clear" w:color="auto" w:fill="auto"/>
          </w:tcPr>
          <w:p w:rsidR="00655F09" w:rsidRPr="00475E51" w:rsidRDefault="00655F09" w:rsidP="00BB5BDE">
            <w:pPr>
              <w:jc w:val="left"/>
              <w:rPr>
                <w:b/>
                <w:szCs w:val="22"/>
              </w:rPr>
            </w:pPr>
            <w:r w:rsidRPr="00475E51">
              <w:rPr>
                <w:b/>
                <w:sz w:val="22"/>
                <w:szCs w:val="22"/>
              </w:rPr>
              <w:t>Delivery Months</w:t>
            </w:r>
          </w:p>
        </w:tc>
        <w:tc>
          <w:tcPr>
            <w:tcW w:w="1530" w:type="dxa"/>
            <w:shd w:val="clear" w:color="auto" w:fill="auto"/>
          </w:tcPr>
          <w:p w:rsidR="00655F09" w:rsidRPr="00475E51" w:rsidRDefault="00655F09" w:rsidP="00BB5BDE">
            <w:pPr>
              <w:jc w:val="left"/>
              <w:rPr>
                <w:b/>
                <w:szCs w:val="22"/>
              </w:rPr>
            </w:pPr>
            <w:r w:rsidRPr="00475E51">
              <w:rPr>
                <w:b/>
                <w:sz w:val="22"/>
                <w:szCs w:val="22"/>
              </w:rPr>
              <w:t>Year(s)</w:t>
            </w:r>
          </w:p>
        </w:tc>
        <w:tc>
          <w:tcPr>
            <w:tcW w:w="2160" w:type="dxa"/>
            <w:shd w:val="clear" w:color="auto" w:fill="auto"/>
          </w:tcPr>
          <w:p w:rsidR="00655F09" w:rsidRPr="00475E51" w:rsidRDefault="00655F09" w:rsidP="00BB5BDE">
            <w:pPr>
              <w:jc w:val="left"/>
              <w:rPr>
                <w:b/>
                <w:szCs w:val="22"/>
              </w:rPr>
            </w:pPr>
            <w:r w:rsidRPr="00475E51">
              <w:rPr>
                <w:b/>
                <w:sz w:val="22"/>
                <w:szCs w:val="22"/>
              </w:rPr>
              <w:t>Delivery Schedule</w:t>
            </w:r>
          </w:p>
        </w:tc>
        <w:tc>
          <w:tcPr>
            <w:tcW w:w="1260" w:type="dxa"/>
            <w:shd w:val="clear" w:color="auto" w:fill="auto"/>
          </w:tcPr>
          <w:p w:rsidR="00655F09" w:rsidRPr="00475E51" w:rsidRDefault="00655F09" w:rsidP="00BB5BDE">
            <w:pPr>
              <w:jc w:val="left"/>
              <w:rPr>
                <w:b/>
                <w:szCs w:val="22"/>
              </w:rPr>
            </w:pPr>
            <w:r w:rsidRPr="00475E51">
              <w:rPr>
                <w:b/>
                <w:sz w:val="22"/>
                <w:szCs w:val="22"/>
              </w:rPr>
              <w:t>Quantity (MW)</w:t>
            </w:r>
          </w:p>
        </w:tc>
        <w:tc>
          <w:tcPr>
            <w:tcW w:w="1620" w:type="dxa"/>
            <w:shd w:val="clear" w:color="auto" w:fill="auto"/>
          </w:tcPr>
          <w:p w:rsidR="00655F09" w:rsidRPr="00475E51" w:rsidRDefault="00655F09" w:rsidP="00BB5BDE">
            <w:pPr>
              <w:jc w:val="left"/>
              <w:rPr>
                <w:b/>
                <w:szCs w:val="22"/>
              </w:rPr>
            </w:pPr>
            <w:r w:rsidRPr="00475E51">
              <w:rPr>
                <w:b/>
                <w:sz w:val="22"/>
                <w:szCs w:val="22"/>
              </w:rPr>
              <w:t>Energy Price ($/MWh)</w:t>
            </w:r>
          </w:p>
        </w:tc>
      </w:tr>
      <w:tr w:rsidR="00655F09" w:rsidRPr="008F4651" w:rsidTr="00BB5BDE">
        <w:trPr>
          <w:trHeight w:val="232"/>
        </w:trPr>
        <w:tc>
          <w:tcPr>
            <w:tcW w:w="2268" w:type="dxa"/>
            <w:shd w:val="clear" w:color="auto" w:fill="auto"/>
          </w:tcPr>
          <w:p w:rsidR="00655F09" w:rsidRPr="00475E51" w:rsidRDefault="00655F09" w:rsidP="00BB5BDE">
            <w:pPr>
              <w:jc w:val="left"/>
              <w:rPr>
                <w:szCs w:val="22"/>
              </w:rPr>
            </w:pPr>
          </w:p>
        </w:tc>
        <w:tc>
          <w:tcPr>
            <w:tcW w:w="1350" w:type="dxa"/>
            <w:shd w:val="clear" w:color="auto" w:fill="auto"/>
          </w:tcPr>
          <w:p w:rsidR="00655F09" w:rsidRPr="00475E51" w:rsidRDefault="00655F09" w:rsidP="00BB5BDE">
            <w:pPr>
              <w:jc w:val="left"/>
              <w:rPr>
                <w:szCs w:val="22"/>
              </w:rPr>
            </w:pPr>
          </w:p>
        </w:tc>
        <w:tc>
          <w:tcPr>
            <w:tcW w:w="1530" w:type="dxa"/>
            <w:shd w:val="clear" w:color="auto" w:fill="auto"/>
          </w:tcPr>
          <w:p w:rsidR="00655F09" w:rsidRPr="00475E51" w:rsidRDefault="00655F09" w:rsidP="00BB5BDE">
            <w:pPr>
              <w:jc w:val="left"/>
              <w:rPr>
                <w:szCs w:val="22"/>
              </w:rPr>
            </w:pPr>
          </w:p>
        </w:tc>
        <w:tc>
          <w:tcPr>
            <w:tcW w:w="2160" w:type="dxa"/>
            <w:shd w:val="clear" w:color="auto" w:fill="auto"/>
          </w:tcPr>
          <w:p w:rsidR="00655F09" w:rsidRPr="00475E51" w:rsidRDefault="00655F09" w:rsidP="00BB5BDE">
            <w:pPr>
              <w:jc w:val="left"/>
              <w:rPr>
                <w:szCs w:val="22"/>
              </w:rPr>
            </w:pPr>
          </w:p>
        </w:tc>
        <w:tc>
          <w:tcPr>
            <w:tcW w:w="1260" w:type="dxa"/>
            <w:shd w:val="clear" w:color="auto" w:fill="auto"/>
          </w:tcPr>
          <w:p w:rsidR="00655F09" w:rsidRPr="00475E51" w:rsidRDefault="00655F09" w:rsidP="00BB5BDE">
            <w:pPr>
              <w:jc w:val="left"/>
              <w:rPr>
                <w:szCs w:val="22"/>
              </w:rPr>
            </w:pPr>
          </w:p>
        </w:tc>
        <w:tc>
          <w:tcPr>
            <w:tcW w:w="1620" w:type="dxa"/>
            <w:shd w:val="clear" w:color="auto" w:fill="auto"/>
          </w:tcPr>
          <w:p w:rsidR="00655F09" w:rsidRPr="00475E51" w:rsidRDefault="00655F09" w:rsidP="00BB5BDE">
            <w:pPr>
              <w:jc w:val="left"/>
              <w:rPr>
                <w:szCs w:val="22"/>
              </w:rPr>
            </w:pPr>
          </w:p>
        </w:tc>
      </w:tr>
      <w:tr w:rsidR="00655F09" w:rsidRPr="008F4651" w:rsidTr="00BB5BDE">
        <w:trPr>
          <w:trHeight w:val="232"/>
        </w:trPr>
        <w:tc>
          <w:tcPr>
            <w:tcW w:w="2268" w:type="dxa"/>
            <w:shd w:val="clear" w:color="auto" w:fill="auto"/>
          </w:tcPr>
          <w:p w:rsidR="00655F09" w:rsidRPr="00475E51" w:rsidRDefault="00655F09" w:rsidP="00BB5BDE">
            <w:pPr>
              <w:jc w:val="left"/>
              <w:rPr>
                <w:szCs w:val="22"/>
              </w:rPr>
            </w:pPr>
          </w:p>
        </w:tc>
        <w:tc>
          <w:tcPr>
            <w:tcW w:w="1350" w:type="dxa"/>
            <w:shd w:val="clear" w:color="auto" w:fill="auto"/>
          </w:tcPr>
          <w:p w:rsidR="00655F09" w:rsidRPr="00475E51" w:rsidRDefault="00655F09" w:rsidP="00BB5BDE">
            <w:pPr>
              <w:jc w:val="left"/>
              <w:rPr>
                <w:szCs w:val="22"/>
              </w:rPr>
            </w:pPr>
          </w:p>
        </w:tc>
        <w:tc>
          <w:tcPr>
            <w:tcW w:w="1530" w:type="dxa"/>
            <w:shd w:val="clear" w:color="auto" w:fill="auto"/>
          </w:tcPr>
          <w:p w:rsidR="00655F09" w:rsidRPr="00475E51" w:rsidRDefault="00655F09" w:rsidP="00BB5BDE">
            <w:pPr>
              <w:jc w:val="left"/>
              <w:rPr>
                <w:szCs w:val="22"/>
              </w:rPr>
            </w:pPr>
          </w:p>
        </w:tc>
        <w:tc>
          <w:tcPr>
            <w:tcW w:w="2160" w:type="dxa"/>
            <w:shd w:val="clear" w:color="auto" w:fill="auto"/>
          </w:tcPr>
          <w:p w:rsidR="00655F09" w:rsidRPr="00475E51" w:rsidRDefault="00655F09" w:rsidP="00BB5BDE">
            <w:pPr>
              <w:jc w:val="left"/>
              <w:rPr>
                <w:szCs w:val="22"/>
              </w:rPr>
            </w:pPr>
          </w:p>
        </w:tc>
        <w:tc>
          <w:tcPr>
            <w:tcW w:w="1260" w:type="dxa"/>
            <w:shd w:val="clear" w:color="auto" w:fill="auto"/>
          </w:tcPr>
          <w:p w:rsidR="00655F09" w:rsidRPr="00475E51" w:rsidRDefault="00655F09" w:rsidP="00BB5BDE">
            <w:pPr>
              <w:jc w:val="left"/>
              <w:rPr>
                <w:szCs w:val="22"/>
              </w:rPr>
            </w:pPr>
          </w:p>
        </w:tc>
        <w:tc>
          <w:tcPr>
            <w:tcW w:w="1620" w:type="dxa"/>
            <w:shd w:val="clear" w:color="auto" w:fill="auto"/>
          </w:tcPr>
          <w:p w:rsidR="00655F09" w:rsidRPr="00475E51" w:rsidRDefault="00655F09" w:rsidP="00BB5BDE">
            <w:pPr>
              <w:jc w:val="left"/>
              <w:rPr>
                <w:szCs w:val="22"/>
              </w:rPr>
            </w:pPr>
          </w:p>
        </w:tc>
      </w:tr>
      <w:tr w:rsidR="00655F09" w:rsidRPr="008F4651" w:rsidTr="00BB5BDE">
        <w:trPr>
          <w:trHeight w:val="232"/>
        </w:trPr>
        <w:tc>
          <w:tcPr>
            <w:tcW w:w="2268" w:type="dxa"/>
            <w:shd w:val="clear" w:color="auto" w:fill="auto"/>
          </w:tcPr>
          <w:p w:rsidR="00655F09" w:rsidRPr="00475E51" w:rsidRDefault="00655F09" w:rsidP="00BB5BDE">
            <w:pPr>
              <w:jc w:val="left"/>
              <w:rPr>
                <w:szCs w:val="22"/>
              </w:rPr>
            </w:pPr>
          </w:p>
        </w:tc>
        <w:tc>
          <w:tcPr>
            <w:tcW w:w="1350" w:type="dxa"/>
            <w:shd w:val="clear" w:color="auto" w:fill="auto"/>
          </w:tcPr>
          <w:p w:rsidR="00655F09" w:rsidRPr="00475E51" w:rsidRDefault="00655F09" w:rsidP="00BB5BDE">
            <w:pPr>
              <w:jc w:val="left"/>
              <w:rPr>
                <w:szCs w:val="22"/>
              </w:rPr>
            </w:pPr>
          </w:p>
        </w:tc>
        <w:tc>
          <w:tcPr>
            <w:tcW w:w="1530" w:type="dxa"/>
            <w:shd w:val="clear" w:color="auto" w:fill="auto"/>
          </w:tcPr>
          <w:p w:rsidR="00655F09" w:rsidRPr="00475E51" w:rsidRDefault="00655F09" w:rsidP="00BB5BDE">
            <w:pPr>
              <w:jc w:val="left"/>
              <w:rPr>
                <w:szCs w:val="22"/>
              </w:rPr>
            </w:pPr>
          </w:p>
        </w:tc>
        <w:tc>
          <w:tcPr>
            <w:tcW w:w="2160" w:type="dxa"/>
            <w:shd w:val="clear" w:color="auto" w:fill="auto"/>
          </w:tcPr>
          <w:p w:rsidR="00655F09" w:rsidRPr="00475E51" w:rsidRDefault="00655F09" w:rsidP="00BB5BDE">
            <w:pPr>
              <w:jc w:val="left"/>
              <w:rPr>
                <w:szCs w:val="22"/>
              </w:rPr>
            </w:pPr>
          </w:p>
        </w:tc>
        <w:tc>
          <w:tcPr>
            <w:tcW w:w="1260" w:type="dxa"/>
            <w:shd w:val="clear" w:color="auto" w:fill="auto"/>
          </w:tcPr>
          <w:p w:rsidR="00655F09" w:rsidRPr="00475E51" w:rsidRDefault="00655F09" w:rsidP="00BB5BDE">
            <w:pPr>
              <w:jc w:val="left"/>
              <w:rPr>
                <w:szCs w:val="22"/>
              </w:rPr>
            </w:pPr>
          </w:p>
        </w:tc>
        <w:tc>
          <w:tcPr>
            <w:tcW w:w="1620" w:type="dxa"/>
            <w:shd w:val="clear" w:color="auto" w:fill="auto"/>
          </w:tcPr>
          <w:p w:rsidR="00655F09" w:rsidRPr="00475E51" w:rsidRDefault="00655F09" w:rsidP="00BB5BDE">
            <w:pPr>
              <w:jc w:val="left"/>
              <w:rPr>
                <w:szCs w:val="22"/>
              </w:rPr>
            </w:pPr>
          </w:p>
        </w:tc>
      </w:tr>
      <w:tr w:rsidR="00655F09" w:rsidRPr="008F4651" w:rsidTr="00BB5BDE">
        <w:trPr>
          <w:trHeight w:val="232"/>
        </w:trPr>
        <w:tc>
          <w:tcPr>
            <w:tcW w:w="2268" w:type="dxa"/>
            <w:shd w:val="clear" w:color="auto" w:fill="auto"/>
          </w:tcPr>
          <w:p w:rsidR="00655F09" w:rsidRPr="00475E51" w:rsidRDefault="00655F09" w:rsidP="00BB5BDE">
            <w:pPr>
              <w:jc w:val="left"/>
              <w:rPr>
                <w:szCs w:val="22"/>
              </w:rPr>
            </w:pPr>
          </w:p>
        </w:tc>
        <w:tc>
          <w:tcPr>
            <w:tcW w:w="1350" w:type="dxa"/>
            <w:shd w:val="clear" w:color="auto" w:fill="auto"/>
          </w:tcPr>
          <w:p w:rsidR="00655F09" w:rsidRPr="00475E51" w:rsidRDefault="00655F09" w:rsidP="00BB5BDE">
            <w:pPr>
              <w:jc w:val="left"/>
              <w:rPr>
                <w:szCs w:val="22"/>
              </w:rPr>
            </w:pPr>
          </w:p>
        </w:tc>
        <w:tc>
          <w:tcPr>
            <w:tcW w:w="1530" w:type="dxa"/>
            <w:shd w:val="clear" w:color="auto" w:fill="auto"/>
          </w:tcPr>
          <w:p w:rsidR="00655F09" w:rsidRPr="00475E51" w:rsidRDefault="00655F09" w:rsidP="00BB5BDE">
            <w:pPr>
              <w:jc w:val="left"/>
              <w:rPr>
                <w:szCs w:val="22"/>
              </w:rPr>
            </w:pPr>
          </w:p>
        </w:tc>
        <w:tc>
          <w:tcPr>
            <w:tcW w:w="2160" w:type="dxa"/>
            <w:shd w:val="clear" w:color="auto" w:fill="auto"/>
          </w:tcPr>
          <w:p w:rsidR="00655F09" w:rsidRPr="00475E51" w:rsidRDefault="00655F09" w:rsidP="00BB5BDE">
            <w:pPr>
              <w:jc w:val="left"/>
              <w:rPr>
                <w:szCs w:val="22"/>
              </w:rPr>
            </w:pPr>
          </w:p>
        </w:tc>
        <w:tc>
          <w:tcPr>
            <w:tcW w:w="1260" w:type="dxa"/>
            <w:shd w:val="clear" w:color="auto" w:fill="auto"/>
          </w:tcPr>
          <w:p w:rsidR="00655F09" w:rsidRPr="00475E51" w:rsidRDefault="00655F09" w:rsidP="00BB5BDE">
            <w:pPr>
              <w:jc w:val="left"/>
              <w:rPr>
                <w:szCs w:val="22"/>
              </w:rPr>
            </w:pPr>
          </w:p>
        </w:tc>
        <w:tc>
          <w:tcPr>
            <w:tcW w:w="1620" w:type="dxa"/>
            <w:shd w:val="clear" w:color="auto" w:fill="auto"/>
          </w:tcPr>
          <w:p w:rsidR="00655F09" w:rsidRPr="00475E51" w:rsidRDefault="00655F09" w:rsidP="00BB5BDE">
            <w:pPr>
              <w:jc w:val="left"/>
              <w:rPr>
                <w:szCs w:val="22"/>
              </w:rPr>
            </w:pPr>
          </w:p>
        </w:tc>
      </w:tr>
    </w:tbl>
    <w:p w:rsidR="00655F09" w:rsidRPr="008F4651" w:rsidRDefault="00655F09" w:rsidP="00655F09">
      <w:pPr>
        <w:jc w:val="left"/>
        <w:rPr>
          <w:szCs w:val="24"/>
        </w:rPr>
      </w:pPr>
    </w:p>
    <w:p w:rsidR="00655F09" w:rsidRPr="00900C97" w:rsidRDefault="00655F09" w:rsidP="00655F09">
      <w:pPr>
        <w:pStyle w:val="OutlineL2"/>
        <w:numPr>
          <w:ilvl w:val="0"/>
          <w:numId w:val="0"/>
        </w:numPr>
      </w:pPr>
      <w:bookmarkStart w:id="48" w:name="_Toc205008779"/>
      <w:bookmarkStart w:id="49" w:name="_Toc205009235"/>
      <w:bookmarkStart w:id="50" w:name="_Toc205025411"/>
      <w:bookmarkStart w:id="51" w:name="_Toc304795895"/>
      <w:r w:rsidRPr="00900C97">
        <w:t>POINT OF DELIVERY</w:t>
      </w:r>
      <w:bookmarkEnd w:id="48"/>
      <w:bookmarkEnd w:id="49"/>
      <w:bookmarkEnd w:id="50"/>
      <w:bookmarkEnd w:id="51"/>
    </w:p>
    <w:p w:rsidR="00655F09" w:rsidRPr="00796BC2" w:rsidRDefault="00655F09" w:rsidP="00655F09">
      <w:pPr>
        <w:rPr>
          <w:szCs w:val="24"/>
        </w:rPr>
      </w:pPr>
      <w:r w:rsidRPr="00796BC2">
        <w:rPr>
          <w:szCs w:val="24"/>
        </w:rPr>
        <w:t>PacifiCorp seeks resources that are capable of delivery into or in PacifiCorp’s western balancing authority</w:t>
      </w:r>
      <w:r>
        <w:rPr>
          <w:szCs w:val="24"/>
        </w:rPr>
        <w:t xml:space="preserve"> area</w:t>
      </w:r>
      <w:r w:rsidRPr="00796BC2">
        <w:rPr>
          <w:szCs w:val="24"/>
        </w:rPr>
        <w:t xml:space="preserve">. If the source is located within the Bonneville </w:t>
      </w:r>
      <w:r>
        <w:rPr>
          <w:szCs w:val="24"/>
        </w:rPr>
        <w:t xml:space="preserve">Power Administration </w:t>
      </w:r>
      <w:r w:rsidRPr="00796BC2">
        <w:rPr>
          <w:szCs w:val="24"/>
        </w:rPr>
        <w:t>or another balancing authority</w:t>
      </w:r>
      <w:r>
        <w:rPr>
          <w:szCs w:val="24"/>
        </w:rPr>
        <w:t xml:space="preserve"> area</w:t>
      </w:r>
      <w:r w:rsidRPr="00796BC2">
        <w:rPr>
          <w:szCs w:val="24"/>
        </w:rPr>
        <w:t xml:space="preserve">, the </w:t>
      </w:r>
      <w:r w:rsidR="001D5E5A">
        <w:rPr>
          <w:szCs w:val="24"/>
        </w:rPr>
        <w:t>Bidder</w:t>
      </w:r>
      <w:r w:rsidR="001D5E5A" w:rsidRPr="00796BC2">
        <w:rPr>
          <w:szCs w:val="24"/>
        </w:rPr>
        <w:t xml:space="preserve"> </w:t>
      </w:r>
      <w:r w:rsidRPr="00796BC2">
        <w:rPr>
          <w:szCs w:val="24"/>
        </w:rPr>
        <w:t xml:space="preserve">must show they have </w:t>
      </w:r>
      <w:r w:rsidR="009A5D17">
        <w:rPr>
          <w:szCs w:val="24"/>
        </w:rPr>
        <w:t>all necessary transmission services, including</w:t>
      </w:r>
      <w:r w:rsidRPr="00796BC2">
        <w:rPr>
          <w:szCs w:val="24"/>
        </w:rPr>
        <w:t xml:space="preserve">: interconnection; transmission; balancing; reserve or other applicable balancing authority services from the resource to the delivery point to be able to schedule to the point(s) of interconnection </w:t>
      </w:r>
      <w:r>
        <w:rPr>
          <w:szCs w:val="24"/>
        </w:rPr>
        <w:t xml:space="preserve">into </w:t>
      </w:r>
      <w:r w:rsidRPr="00796BC2">
        <w:rPr>
          <w:szCs w:val="24"/>
        </w:rPr>
        <w:t>PACW.</w:t>
      </w:r>
    </w:p>
    <w:p w:rsidR="00655F09" w:rsidRPr="00796BC2" w:rsidRDefault="00655F09" w:rsidP="00655F09">
      <w:pPr>
        <w:rPr>
          <w:szCs w:val="24"/>
        </w:rPr>
      </w:pPr>
      <w:r w:rsidRPr="00796BC2">
        <w:rPr>
          <w:szCs w:val="24"/>
        </w:rPr>
        <w:t xml:space="preserve"> </w:t>
      </w:r>
    </w:p>
    <w:p w:rsidR="00655F09" w:rsidRPr="00AD3309" w:rsidRDefault="00655F09" w:rsidP="00655F09">
      <w:pPr>
        <w:rPr>
          <w:szCs w:val="24"/>
        </w:rPr>
      </w:pPr>
      <w:r w:rsidRPr="00AD3309">
        <w:rPr>
          <w:szCs w:val="24"/>
        </w:rPr>
        <w:t>West System Points of Delivery (</w:t>
      </w:r>
      <w:smartTag w:uri="urn:schemas-microsoft-com:office:smarttags" w:element="stockticker">
        <w:r w:rsidRPr="00AD3309">
          <w:rPr>
            <w:szCs w:val="24"/>
          </w:rPr>
          <w:t>PACW</w:t>
        </w:r>
      </w:smartTag>
      <w:r w:rsidRPr="00AD3309">
        <w:rPr>
          <w:szCs w:val="24"/>
        </w:rPr>
        <w:t>)</w:t>
      </w:r>
    </w:p>
    <w:p w:rsidR="00655F09" w:rsidRPr="00AD3309" w:rsidRDefault="00655F09" w:rsidP="00655F09">
      <w:pPr>
        <w:rPr>
          <w:szCs w:val="24"/>
        </w:rPr>
      </w:pPr>
    </w:p>
    <w:p w:rsidR="00655F09" w:rsidRPr="00AD3309" w:rsidRDefault="00655F09" w:rsidP="00655F09">
      <w:pPr>
        <w:numPr>
          <w:ilvl w:val="0"/>
          <w:numId w:val="8"/>
        </w:numPr>
        <w:rPr>
          <w:szCs w:val="24"/>
        </w:rPr>
      </w:pPr>
      <w:r w:rsidRPr="00AD3309">
        <w:rPr>
          <w:szCs w:val="24"/>
        </w:rPr>
        <w:t>Mid-Columbia – Yakima Area</w:t>
      </w:r>
    </w:p>
    <w:p w:rsidR="00655F09" w:rsidRPr="00AD3309" w:rsidRDefault="00655F09" w:rsidP="00655F09">
      <w:pPr>
        <w:numPr>
          <w:ilvl w:val="1"/>
          <w:numId w:val="8"/>
        </w:numPr>
        <w:rPr>
          <w:szCs w:val="24"/>
        </w:rPr>
      </w:pPr>
      <w:r w:rsidRPr="00AD3309">
        <w:rPr>
          <w:szCs w:val="24"/>
        </w:rPr>
        <w:t>Midway 230 kV</w:t>
      </w:r>
    </w:p>
    <w:p w:rsidR="00655F09" w:rsidRPr="00AD3309" w:rsidRDefault="00655F09" w:rsidP="00655F09">
      <w:pPr>
        <w:numPr>
          <w:ilvl w:val="1"/>
          <w:numId w:val="8"/>
        </w:numPr>
        <w:rPr>
          <w:szCs w:val="24"/>
        </w:rPr>
      </w:pPr>
      <w:proofErr w:type="spellStart"/>
      <w:r w:rsidRPr="00AD3309">
        <w:rPr>
          <w:szCs w:val="24"/>
        </w:rPr>
        <w:t>Wanapum</w:t>
      </w:r>
      <w:proofErr w:type="spellEnd"/>
      <w:r w:rsidRPr="00AD3309">
        <w:rPr>
          <w:szCs w:val="24"/>
        </w:rPr>
        <w:t xml:space="preserve"> 230 kV</w:t>
      </w:r>
    </w:p>
    <w:p w:rsidR="00655F09" w:rsidRPr="00AD3309" w:rsidRDefault="00655F09" w:rsidP="00655F09">
      <w:pPr>
        <w:numPr>
          <w:ilvl w:val="0"/>
          <w:numId w:val="8"/>
        </w:numPr>
        <w:rPr>
          <w:szCs w:val="24"/>
        </w:rPr>
      </w:pPr>
      <w:r w:rsidRPr="00AD3309">
        <w:rPr>
          <w:szCs w:val="24"/>
        </w:rPr>
        <w:t>California Oregon Border</w:t>
      </w:r>
    </w:p>
    <w:p w:rsidR="00655F09" w:rsidRPr="00AD3309" w:rsidRDefault="00655F09" w:rsidP="00655F09">
      <w:pPr>
        <w:numPr>
          <w:ilvl w:val="0"/>
          <w:numId w:val="8"/>
        </w:numPr>
        <w:rPr>
          <w:szCs w:val="24"/>
        </w:rPr>
      </w:pPr>
      <w:r w:rsidRPr="00AD3309">
        <w:rPr>
          <w:szCs w:val="24"/>
        </w:rPr>
        <w:t>Portland</w:t>
      </w:r>
    </w:p>
    <w:p w:rsidR="00655F09" w:rsidRPr="00AD3309" w:rsidRDefault="00655F09" w:rsidP="00655F09">
      <w:pPr>
        <w:numPr>
          <w:ilvl w:val="1"/>
          <w:numId w:val="8"/>
        </w:numPr>
        <w:rPr>
          <w:szCs w:val="24"/>
        </w:rPr>
      </w:pPr>
      <w:r w:rsidRPr="00AD3309">
        <w:rPr>
          <w:szCs w:val="24"/>
        </w:rPr>
        <w:t>Troutdale 230 kV</w:t>
      </w:r>
    </w:p>
    <w:p w:rsidR="00655F09" w:rsidRPr="00AD3309" w:rsidRDefault="00655F09" w:rsidP="00655F09">
      <w:pPr>
        <w:numPr>
          <w:ilvl w:val="0"/>
          <w:numId w:val="8"/>
        </w:numPr>
        <w:rPr>
          <w:szCs w:val="24"/>
        </w:rPr>
      </w:pPr>
      <w:r w:rsidRPr="00AD3309">
        <w:rPr>
          <w:szCs w:val="24"/>
        </w:rPr>
        <w:t xml:space="preserve">Willamette Valley </w:t>
      </w:r>
    </w:p>
    <w:p w:rsidR="00655F09" w:rsidRPr="00AD3309" w:rsidRDefault="00655F09" w:rsidP="00655F09">
      <w:pPr>
        <w:numPr>
          <w:ilvl w:val="1"/>
          <w:numId w:val="8"/>
        </w:numPr>
        <w:rPr>
          <w:szCs w:val="24"/>
        </w:rPr>
      </w:pPr>
      <w:proofErr w:type="spellStart"/>
      <w:r w:rsidRPr="00AD3309">
        <w:rPr>
          <w:szCs w:val="24"/>
        </w:rPr>
        <w:t>Alvey</w:t>
      </w:r>
      <w:proofErr w:type="spellEnd"/>
      <w:r w:rsidRPr="00AD3309">
        <w:rPr>
          <w:szCs w:val="24"/>
        </w:rPr>
        <w:t xml:space="preserve"> 500 kV</w:t>
      </w:r>
    </w:p>
    <w:p w:rsidR="00655F09" w:rsidRPr="00AD3309" w:rsidRDefault="00655F09" w:rsidP="00655F09">
      <w:pPr>
        <w:numPr>
          <w:ilvl w:val="1"/>
          <w:numId w:val="8"/>
        </w:numPr>
        <w:rPr>
          <w:szCs w:val="24"/>
        </w:rPr>
      </w:pPr>
      <w:r w:rsidRPr="00AD3309">
        <w:rPr>
          <w:szCs w:val="24"/>
        </w:rPr>
        <w:t>Fry 230 kV</w:t>
      </w:r>
    </w:p>
    <w:p w:rsidR="00655F09" w:rsidRPr="00AD3309" w:rsidRDefault="00655F09" w:rsidP="00655F09">
      <w:pPr>
        <w:numPr>
          <w:ilvl w:val="0"/>
          <w:numId w:val="8"/>
        </w:numPr>
        <w:rPr>
          <w:szCs w:val="24"/>
        </w:rPr>
      </w:pPr>
      <w:r w:rsidRPr="00AD3309">
        <w:rPr>
          <w:szCs w:val="24"/>
        </w:rPr>
        <w:t xml:space="preserve">Southern Oregon </w:t>
      </w:r>
    </w:p>
    <w:p w:rsidR="00655F09" w:rsidRPr="00AD3309" w:rsidRDefault="00655F09" w:rsidP="00655F09">
      <w:pPr>
        <w:numPr>
          <w:ilvl w:val="1"/>
          <w:numId w:val="8"/>
        </w:numPr>
        <w:rPr>
          <w:szCs w:val="24"/>
        </w:rPr>
      </w:pPr>
      <w:r w:rsidRPr="00AD3309">
        <w:rPr>
          <w:szCs w:val="24"/>
        </w:rPr>
        <w:t>Chiloquin 230 kV</w:t>
      </w:r>
    </w:p>
    <w:p w:rsidR="00655F09" w:rsidRPr="00AD3309" w:rsidRDefault="00655F09" w:rsidP="00655F09">
      <w:pPr>
        <w:numPr>
          <w:ilvl w:val="1"/>
          <w:numId w:val="8"/>
        </w:numPr>
        <w:rPr>
          <w:szCs w:val="24"/>
        </w:rPr>
      </w:pPr>
      <w:proofErr w:type="spellStart"/>
      <w:r w:rsidRPr="00AD3309">
        <w:rPr>
          <w:szCs w:val="24"/>
        </w:rPr>
        <w:t>Dixonville</w:t>
      </w:r>
      <w:proofErr w:type="spellEnd"/>
      <w:r w:rsidRPr="00AD3309">
        <w:rPr>
          <w:szCs w:val="24"/>
        </w:rPr>
        <w:t xml:space="preserve"> 230 kV</w:t>
      </w:r>
    </w:p>
    <w:p w:rsidR="00655F09" w:rsidRPr="00AD3309" w:rsidRDefault="00655F09" w:rsidP="00655F09">
      <w:pPr>
        <w:numPr>
          <w:ilvl w:val="1"/>
          <w:numId w:val="8"/>
        </w:numPr>
        <w:rPr>
          <w:szCs w:val="24"/>
        </w:rPr>
      </w:pPr>
      <w:r w:rsidRPr="00AD3309">
        <w:rPr>
          <w:szCs w:val="24"/>
        </w:rPr>
        <w:t>Meridian 230 kV</w:t>
      </w:r>
    </w:p>
    <w:p w:rsidR="00655F09" w:rsidRPr="00AD3309" w:rsidRDefault="00655F09" w:rsidP="00655F09">
      <w:pPr>
        <w:numPr>
          <w:ilvl w:val="1"/>
          <w:numId w:val="8"/>
        </w:numPr>
        <w:rPr>
          <w:szCs w:val="24"/>
        </w:rPr>
      </w:pPr>
      <w:r w:rsidRPr="00AD3309">
        <w:rPr>
          <w:szCs w:val="24"/>
        </w:rPr>
        <w:t>Reston 230 kV</w:t>
      </w:r>
    </w:p>
    <w:p w:rsidR="00655F09" w:rsidRPr="00AD3309" w:rsidRDefault="00655F09" w:rsidP="00655F09">
      <w:pPr>
        <w:numPr>
          <w:ilvl w:val="0"/>
          <w:numId w:val="8"/>
        </w:numPr>
        <w:rPr>
          <w:szCs w:val="24"/>
        </w:rPr>
      </w:pPr>
      <w:r w:rsidRPr="00AD3309">
        <w:rPr>
          <w:szCs w:val="24"/>
        </w:rPr>
        <w:t xml:space="preserve">Central Oregon </w:t>
      </w:r>
    </w:p>
    <w:p w:rsidR="00655F09" w:rsidRPr="00AD3309" w:rsidRDefault="00655F09" w:rsidP="00655F09">
      <w:pPr>
        <w:numPr>
          <w:ilvl w:val="1"/>
          <w:numId w:val="8"/>
        </w:numPr>
        <w:rPr>
          <w:szCs w:val="24"/>
        </w:rPr>
      </w:pPr>
      <w:r w:rsidRPr="00AD3309">
        <w:rPr>
          <w:szCs w:val="24"/>
        </w:rPr>
        <w:t xml:space="preserve">Bend </w:t>
      </w:r>
      <w:r w:rsidR="00B859D0">
        <w:rPr>
          <w:szCs w:val="24"/>
        </w:rPr>
        <w:t xml:space="preserve">Area </w:t>
      </w:r>
      <w:r w:rsidRPr="00AD3309">
        <w:rPr>
          <w:szCs w:val="24"/>
        </w:rPr>
        <w:t>69 kV</w:t>
      </w:r>
    </w:p>
    <w:p w:rsidR="00655F09" w:rsidRPr="00AD3309" w:rsidRDefault="00655F09" w:rsidP="00655F09">
      <w:pPr>
        <w:numPr>
          <w:ilvl w:val="1"/>
          <w:numId w:val="8"/>
        </w:numPr>
        <w:rPr>
          <w:szCs w:val="24"/>
        </w:rPr>
      </w:pPr>
      <w:r w:rsidRPr="00AD3309">
        <w:rPr>
          <w:szCs w:val="24"/>
        </w:rPr>
        <w:t>Plot Butte 69/230 kV</w:t>
      </w:r>
    </w:p>
    <w:p w:rsidR="00655F09" w:rsidRPr="00AD3309" w:rsidRDefault="00655F09" w:rsidP="00655F09">
      <w:pPr>
        <w:numPr>
          <w:ilvl w:val="1"/>
          <w:numId w:val="8"/>
        </w:numPr>
        <w:rPr>
          <w:szCs w:val="24"/>
        </w:rPr>
      </w:pPr>
      <w:r w:rsidRPr="00AD3309">
        <w:rPr>
          <w:szCs w:val="24"/>
        </w:rPr>
        <w:t xml:space="preserve">Ponderosa 230 kV </w:t>
      </w:r>
    </w:p>
    <w:p w:rsidR="00655F09" w:rsidRPr="00AD3309" w:rsidRDefault="00655F09" w:rsidP="00655F09">
      <w:pPr>
        <w:numPr>
          <w:ilvl w:val="1"/>
          <w:numId w:val="8"/>
        </w:numPr>
        <w:rPr>
          <w:szCs w:val="24"/>
        </w:rPr>
      </w:pPr>
      <w:r w:rsidRPr="00AD3309">
        <w:rPr>
          <w:szCs w:val="24"/>
        </w:rPr>
        <w:t>Redmond 69</w:t>
      </w:r>
      <w:r w:rsidR="00B859D0">
        <w:rPr>
          <w:szCs w:val="24"/>
        </w:rPr>
        <w:t>/115</w:t>
      </w:r>
      <w:r w:rsidRPr="00AD3309">
        <w:rPr>
          <w:szCs w:val="24"/>
        </w:rPr>
        <w:t xml:space="preserve"> kV </w:t>
      </w:r>
    </w:p>
    <w:p w:rsidR="00655F09" w:rsidRPr="00AD3309" w:rsidRDefault="00655F09" w:rsidP="00655F09">
      <w:pPr>
        <w:numPr>
          <w:ilvl w:val="0"/>
          <w:numId w:val="8"/>
        </w:numPr>
        <w:rPr>
          <w:szCs w:val="24"/>
        </w:rPr>
      </w:pPr>
      <w:r w:rsidRPr="00AD3309">
        <w:rPr>
          <w:szCs w:val="24"/>
        </w:rPr>
        <w:t xml:space="preserve">Oregon Coast </w:t>
      </w:r>
    </w:p>
    <w:p w:rsidR="00655F09" w:rsidRPr="00AD3309" w:rsidRDefault="00655F09" w:rsidP="00655F09">
      <w:pPr>
        <w:numPr>
          <w:ilvl w:val="1"/>
          <w:numId w:val="8"/>
        </w:numPr>
        <w:rPr>
          <w:szCs w:val="24"/>
        </w:rPr>
      </w:pPr>
      <w:r w:rsidRPr="00AD3309">
        <w:rPr>
          <w:szCs w:val="24"/>
        </w:rPr>
        <w:t>Astoria to Tillamook 115 kV</w:t>
      </w:r>
    </w:p>
    <w:p w:rsidR="00655F09" w:rsidRPr="00AD3309" w:rsidRDefault="00655F09" w:rsidP="00655F09">
      <w:pPr>
        <w:numPr>
          <w:ilvl w:val="1"/>
          <w:numId w:val="8"/>
        </w:numPr>
        <w:rPr>
          <w:szCs w:val="24"/>
        </w:rPr>
      </w:pPr>
      <w:r w:rsidRPr="00AD3309">
        <w:rPr>
          <w:szCs w:val="24"/>
        </w:rPr>
        <w:t>Boyer (Lincoln City) 115 kV</w:t>
      </w:r>
    </w:p>
    <w:p w:rsidR="00655F09" w:rsidRPr="00AD3309" w:rsidRDefault="00655F09" w:rsidP="00655F09">
      <w:pPr>
        <w:numPr>
          <w:ilvl w:val="1"/>
          <w:numId w:val="8"/>
        </w:numPr>
        <w:rPr>
          <w:szCs w:val="24"/>
        </w:rPr>
      </w:pPr>
      <w:r w:rsidRPr="00AD3309">
        <w:rPr>
          <w:szCs w:val="24"/>
        </w:rPr>
        <w:t>Fairview (Coos Bay) 115/230 kV</w:t>
      </w:r>
    </w:p>
    <w:p w:rsidR="00655F09" w:rsidRPr="00AD3309" w:rsidRDefault="00655F09" w:rsidP="00655F09">
      <w:pPr>
        <w:rPr>
          <w:szCs w:val="24"/>
        </w:rPr>
      </w:pPr>
    </w:p>
    <w:p w:rsidR="005D482E" w:rsidRDefault="005D482E" w:rsidP="00655F09">
      <w:pPr>
        <w:numPr>
          <w:ilvl w:val="0"/>
          <w:numId w:val="7"/>
        </w:numPr>
        <w:tabs>
          <w:tab w:val="clear" w:pos="810"/>
          <w:tab w:val="num" w:pos="1080"/>
        </w:tabs>
        <w:spacing w:after="120"/>
        <w:ind w:left="1080" w:right="720"/>
        <w:jc w:val="left"/>
        <w:rPr>
          <w:szCs w:val="24"/>
        </w:rPr>
        <w:sectPr w:rsidR="005D482E" w:rsidSect="005D482E">
          <w:footerReference w:type="default" r:id="rId26"/>
          <w:type w:val="continuous"/>
          <w:pgSz w:w="12240" w:h="15840"/>
          <w:pgMar w:top="1440" w:right="1440" w:bottom="1440" w:left="1440" w:header="720" w:footer="720" w:gutter="0"/>
          <w:pgNumType w:start="1"/>
          <w:cols w:space="720"/>
          <w:docGrid w:linePitch="360"/>
        </w:sectPr>
      </w:pPr>
    </w:p>
    <w:p w:rsidR="00655F09" w:rsidRPr="00AD3309" w:rsidRDefault="00655F09" w:rsidP="00655F09">
      <w:pPr>
        <w:numPr>
          <w:ilvl w:val="0"/>
          <w:numId w:val="7"/>
        </w:numPr>
        <w:tabs>
          <w:tab w:val="clear" w:pos="810"/>
          <w:tab w:val="num" w:pos="1080"/>
        </w:tabs>
        <w:spacing w:after="120"/>
        <w:ind w:left="1080" w:right="720"/>
        <w:jc w:val="left"/>
        <w:rPr>
          <w:szCs w:val="24"/>
        </w:rPr>
      </w:pPr>
      <w:r w:rsidRPr="00AD3309">
        <w:rPr>
          <w:szCs w:val="24"/>
        </w:rPr>
        <w:t>Within the Western Balancing Authority Area – The point of interconnection between the resource, or the electrical system to which the resource is connected, and PacifiCorp’s transmission system.</w:t>
      </w:r>
    </w:p>
    <w:p w:rsidR="00655F09" w:rsidRPr="00AD3309" w:rsidRDefault="00655F09" w:rsidP="00655F09">
      <w:pPr>
        <w:numPr>
          <w:ilvl w:val="0"/>
          <w:numId w:val="7"/>
        </w:numPr>
        <w:tabs>
          <w:tab w:val="clear" w:pos="810"/>
          <w:tab w:val="num" w:pos="1080"/>
        </w:tabs>
        <w:spacing w:after="120"/>
        <w:ind w:left="1080" w:right="720"/>
        <w:jc w:val="left"/>
        <w:rPr>
          <w:szCs w:val="24"/>
        </w:rPr>
      </w:pPr>
      <w:r w:rsidRPr="00AD3309">
        <w:rPr>
          <w:szCs w:val="24"/>
        </w:rPr>
        <w:t xml:space="preserve">Scheduled to the point(s) of interconnection between PacifiCorp’s western balancing authority area and the Bonneville Power Administration or Portland General Electric such that transfer limitations are not exceeded.  If the source located within the Bonneville Power Administration balancing authority area the </w:t>
      </w:r>
      <w:r w:rsidR="001D5E5A">
        <w:rPr>
          <w:szCs w:val="24"/>
        </w:rPr>
        <w:t>Bidder</w:t>
      </w:r>
      <w:r w:rsidR="001D5E5A" w:rsidRPr="00AD3309">
        <w:rPr>
          <w:szCs w:val="24"/>
        </w:rPr>
        <w:t xml:space="preserve"> </w:t>
      </w:r>
      <w:r w:rsidRPr="00AD3309">
        <w:rPr>
          <w:szCs w:val="24"/>
        </w:rPr>
        <w:t>must show they have balancing authority area service</w:t>
      </w:r>
      <w:r w:rsidR="001D5E5A">
        <w:rPr>
          <w:szCs w:val="24"/>
        </w:rPr>
        <w:t>s</w:t>
      </w:r>
      <w:r w:rsidRPr="00AD3309">
        <w:rPr>
          <w:szCs w:val="24"/>
        </w:rPr>
        <w:t xml:space="preserve"> from the resource to the delivery point.</w:t>
      </w:r>
      <w:r w:rsidRPr="00AD3309">
        <w:rPr>
          <w:szCs w:val="24"/>
        </w:rPr>
        <w:br/>
      </w:r>
    </w:p>
    <w:p w:rsidR="00467A8D" w:rsidRPr="00796BC2" w:rsidRDefault="00467A8D" w:rsidP="00881AA5">
      <w:pPr>
        <w:pStyle w:val="OutlineL1"/>
        <w:tabs>
          <w:tab w:val="clear" w:pos="5760"/>
        </w:tabs>
        <w:rPr>
          <w:rFonts w:ascii="Times New Roman" w:hAnsi="Times New Roman"/>
          <w:bCs/>
        </w:rPr>
      </w:pPr>
      <w:bookmarkStart w:id="52" w:name="_Toc304795902"/>
      <w:r w:rsidRPr="00796BC2">
        <w:rPr>
          <w:rFonts w:ascii="Times New Roman" w:hAnsi="Times New Roman"/>
          <w:bCs/>
        </w:rPr>
        <w:t xml:space="preserve">SECTION </w:t>
      </w:r>
      <w:r>
        <w:rPr>
          <w:rFonts w:ascii="Times New Roman" w:hAnsi="Times New Roman"/>
          <w:bCs/>
        </w:rPr>
        <w:t>2</w:t>
      </w:r>
      <w:r w:rsidRPr="00796BC2">
        <w:rPr>
          <w:rFonts w:ascii="Times New Roman" w:hAnsi="Times New Roman"/>
          <w:bCs/>
        </w:rPr>
        <w:t xml:space="preserve">.  </w:t>
      </w:r>
      <w:r>
        <w:rPr>
          <w:rFonts w:ascii="Times New Roman" w:hAnsi="Times New Roman"/>
          <w:bCs/>
        </w:rPr>
        <w:t>CREDIT REQUIREMENTS</w:t>
      </w:r>
    </w:p>
    <w:bookmarkEnd w:id="52"/>
    <w:p w:rsidR="004836D2" w:rsidRDefault="004836D2" w:rsidP="004836D2">
      <w:r w:rsidRPr="00796BC2">
        <w:rPr>
          <w:szCs w:val="24"/>
        </w:rPr>
        <w:t>PacifiCorp</w:t>
      </w:r>
      <w:r w:rsidRPr="00796BC2">
        <w:t xml:space="preserve"> will not accept collateral thresholds, credit ratings triggers, general adequate assurances language or similar language that might require the Company to provide performance assurance</w:t>
      </w:r>
      <w:r>
        <w:t>s to the Bidder</w:t>
      </w:r>
      <w:r w:rsidRPr="00796BC2">
        <w:t xml:space="preserve">. However, </w:t>
      </w:r>
      <w:r w:rsidRPr="00796BC2">
        <w:rPr>
          <w:szCs w:val="24"/>
        </w:rPr>
        <w:t>PacifiCorp</w:t>
      </w:r>
      <w:r w:rsidRPr="00796BC2">
        <w:t xml:space="preserve"> may require the </w:t>
      </w:r>
      <w:r>
        <w:t>Bidder</w:t>
      </w:r>
      <w:r w:rsidRPr="00796BC2">
        <w:t xml:space="preserve"> to provide </w:t>
      </w:r>
      <w:r>
        <w:t>a commitment letter(s) from a proposed guarantor(s) and/or from a financial institution(s) that would be issuing a letter of credit as performance assurances on behalf of the Bidder.</w:t>
      </w:r>
      <w:r w:rsidRPr="00796BC2">
        <w:t xml:space="preserve"> </w:t>
      </w:r>
      <w:r>
        <w:t xml:space="preserve">The amount of performance assurances to be provided will be determined based upon factors which include the following: </w:t>
      </w:r>
    </w:p>
    <w:p w:rsidR="004836D2" w:rsidRDefault="004836D2" w:rsidP="004836D2"/>
    <w:p w:rsidR="004836D2" w:rsidRDefault="004836D2" w:rsidP="004836D2">
      <w:pPr>
        <w:pStyle w:val="OutlineL4"/>
        <w:tabs>
          <w:tab w:val="left" w:pos="1440"/>
        </w:tabs>
        <w:ind w:left="1440" w:hanging="270"/>
      </w:pPr>
      <w:r>
        <w:t xml:space="preserve"> The Credit Rating of the Bidder and the entity(</w:t>
      </w:r>
      <w:proofErr w:type="spellStart"/>
      <w:r>
        <w:t>ies</w:t>
      </w:r>
      <w:proofErr w:type="spellEnd"/>
      <w:r>
        <w:t xml:space="preserve">) providing credit assurances on behalf of the Bidder, if applicable. </w:t>
      </w:r>
    </w:p>
    <w:p w:rsidR="004836D2" w:rsidRDefault="004836D2" w:rsidP="004836D2">
      <w:pPr>
        <w:pStyle w:val="OutlineL4"/>
        <w:tabs>
          <w:tab w:val="left" w:pos="1440"/>
        </w:tabs>
        <w:ind w:left="1440" w:hanging="270"/>
      </w:pPr>
      <w:r>
        <w:t xml:space="preserve"> The terms of the contract. </w:t>
      </w:r>
    </w:p>
    <w:p w:rsidR="004836D2" w:rsidRDefault="004836D2" w:rsidP="004836D2">
      <w:pPr>
        <w:pStyle w:val="OutlineL4"/>
        <w:tabs>
          <w:tab w:val="left" w:pos="1440"/>
        </w:tabs>
        <w:ind w:left="1440" w:hanging="270"/>
      </w:pPr>
      <w:r>
        <w:t xml:space="preserve"> The volume to be delivered.</w:t>
      </w:r>
    </w:p>
    <w:p w:rsidR="004836D2" w:rsidRDefault="004836D2" w:rsidP="004836D2">
      <w:pPr>
        <w:pStyle w:val="BodyText"/>
      </w:pPr>
      <w:r>
        <w:t xml:space="preserve">In order for PacifiCorp to perform a credit evaluation on the Bidder or the entity providing credit assurances on its behalf, </w:t>
      </w:r>
      <w:r>
        <w:rPr>
          <w:snapToGrid w:val="0"/>
        </w:rPr>
        <w:t>audited financial statements (including balance sheet, income statement, and cash flow statement) for the three (3) most recent fiscal years must be provided to the Company</w:t>
      </w:r>
      <w:r>
        <w:t xml:space="preserve">.  </w:t>
      </w:r>
    </w:p>
    <w:p w:rsidR="004836D2" w:rsidRDefault="004836D2" w:rsidP="004836D2">
      <w:pPr>
        <w:pStyle w:val="BodyText"/>
      </w:pPr>
      <w:r>
        <w:t>The Credit Rating is defined as the lower of: x) the most recently published senior, unsecured long term debt rating (</w:t>
      </w:r>
      <w:r>
        <w:rPr>
          <w:snapToGrid w:val="0"/>
          <w:color w:val="000000"/>
        </w:rPr>
        <w:t>or corporate rating if a debt rating is unavailable</w:t>
      </w:r>
      <w:r>
        <w:t>) from Standard &amp; Poor’s (S&amp;P) and/or y) the most recently published senior, unsecured debt rating (</w:t>
      </w:r>
      <w:r>
        <w:rPr>
          <w:snapToGrid w:val="0"/>
          <w:color w:val="000000"/>
        </w:rPr>
        <w:t>or corporate rating if a debt rating is unavailable)</w:t>
      </w:r>
      <w:r>
        <w:t xml:space="preserve"> from Moody’s Investor Services.  If option x) and y) are not available, the Credit Rating will be determined by the Company through an internal process review utilizing a proprietary credit scoring model developed in conjunction with a third party. </w:t>
      </w:r>
      <w:r w:rsidRPr="00796BC2">
        <w:t xml:space="preserve">With few exceptions, </w:t>
      </w:r>
      <w:r w:rsidRPr="00796BC2">
        <w:rPr>
          <w:szCs w:val="24"/>
        </w:rPr>
        <w:t>PacifiCorp</w:t>
      </w:r>
      <w:r w:rsidRPr="00796BC2">
        <w:t xml:space="preserve"> will expect sellers with sub investment-grade credit ratings (or being of similar creditworthiness) to provide performance assurance</w:t>
      </w:r>
      <w:r>
        <w:t>s</w:t>
      </w:r>
      <w:r w:rsidRPr="00796BC2">
        <w:t xml:space="preserve"> acceptable to the Company.</w:t>
      </w:r>
      <w:r>
        <w:t xml:space="preserve">  </w:t>
      </w:r>
    </w:p>
    <w:p w:rsidR="004836D2" w:rsidRDefault="004836D2" w:rsidP="004836D2">
      <w:pPr>
        <w:pStyle w:val="BodyText"/>
      </w:pPr>
    </w:p>
    <w:p w:rsidR="004836D2" w:rsidRDefault="004836D2" w:rsidP="004836D2">
      <w:r>
        <w:t>Please note that a financial institution providing a letter of credit as performance  assurances on behalf of the Bidder must have a Credit Rating of at least ‘A’ and ‘A2’ from S&amp;P and Moody’s, respectively, and have assets (net of reserves) of at least $10,000,000,000.</w:t>
      </w:r>
    </w:p>
    <w:p w:rsidR="00655F09" w:rsidRDefault="00655F09" w:rsidP="00655F09"/>
    <w:p w:rsidR="005D482E" w:rsidRDefault="005D482E" w:rsidP="00655F09">
      <w:pPr>
        <w:pStyle w:val="OutlineL2"/>
        <w:numPr>
          <w:ilvl w:val="0"/>
          <w:numId w:val="0"/>
        </w:numPr>
        <w:sectPr w:rsidR="005D482E" w:rsidSect="005D482E">
          <w:footerReference w:type="default" r:id="rId27"/>
          <w:type w:val="continuous"/>
          <w:pgSz w:w="12240" w:h="15840"/>
          <w:pgMar w:top="1440" w:right="1440" w:bottom="1440" w:left="1440" w:header="720" w:footer="720" w:gutter="0"/>
          <w:pgNumType w:start="1"/>
          <w:cols w:space="720"/>
          <w:docGrid w:linePitch="360"/>
        </w:sectPr>
      </w:pPr>
      <w:bookmarkStart w:id="53" w:name="_Toc205008770"/>
      <w:bookmarkStart w:id="54" w:name="_Toc205009226"/>
      <w:bookmarkStart w:id="55" w:name="_Toc205025402"/>
      <w:bookmarkStart w:id="56" w:name="_Toc304795900"/>
    </w:p>
    <w:p w:rsidR="00655F09" w:rsidRPr="00900C97" w:rsidRDefault="00655F09" w:rsidP="00655F09">
      <w:pPr>
        <w:pStyle w:val="OutlineL2"/>
        <w:numPr>
          <w:ilvl w:val="0"/>
          <w:numId w:val="0"/>
        </w:numPr>
      </w:pPr>
      <w:r w:rsidRPr="00900C97">
        <w:t xml:space="preserve">COMPANY RESERVATION OF RIGHTS </w:t>
      </w:r>
      <w:smartTag w:uri="urn:schemas-microsoft-com:office:smarttags" w:element="stockticker">
        <w:r w:rsidRPr="00900C97">
          <w:t>AND</w:t>
        </w:r>
      </w:smartTag>
      <w:r w:rsidRPr="00900C97">
        <w:t xml:space="preserve"> DISCLAMERS</w:t>
      </w:r>
      <w:bookmarkEnd w:id="53"/>
      <w:bookmarkEnd w:id="54"/>
      <w:bookmarkEnd w:id="55"/>
      <w:bookmarkEnd w:id="56"/>
    </w:p>
    <w:p w:rsidR="00655F09" w:rsidRPr="00796BC2" w:rsidRDefault="00655F09" w:rsidP="00655F09">
      <w:pPr>
        <w:pStyle w:val="BodyText"/>
        <w:rPr>
          <w:w w:val="0"/>
          <w:szCs w:val="24"/>
        </w:rPr>
      </w:pPr>
      <w:r w:rsidRPr="00796BC2">
        <w:rPr>
          <w:szCs w:val="24"/>
        </w:rPr>
        <w:t xml:space="preserve">The Company reserves the right, without qualification and in its sole discretion, to reject any or all </w:t>
      </w:r>
      <w:r>
        <w:rPr>
          <w:szCs w:val="24"/>
        </w:rPr>
        <w:t>proposals</w:t>
      </w:r>
      <w:r w:rsidRPr="00796BC2">
        <w:rPr>
          <w:szCs w:val="24"/>
        </w:rPr>
        <w:t xml:space="preserve">, and to terminate this RFP in whole or in part at any time. </w:t>
      </w:r>
      <w:r w:rsidRPr="00796BC2">
        <w:rPr>
          <w:bCs/>
          <w:szCs w:val="24"/>
        </w:rPr>
        <w:t xml:space="preserve">The Company </w:t>
      </w:r>
      <w:r w:rsidRPr="00796BC2">
        <w:rPr>
          <w:szCs w:val="24"/>
        </w:rPr>
        <w:t xml:space="preserve">further reserves the right without qualification and in its sole discretion to decline to enter into any agreement with any </w:t>
      </w:r>
      <w:r w:rsidR="001D5E5A">
        <w:rPr>
          <w:szCs w:val="24"/>
        </w:rPr>
        <w:t>Bidder</w:t>
      </w:r>
      <w:r w:rsidR="001D5E5A" w:rsidRPr="00796BC2">
        <w:rPr>
          <w:szCs w:val="24"/>
        </w:rPr>
        <w:t xml:space="preserve"> </w:t>
      </w:r>
      <w:r w:rsidRPr="00796BC2">
        <w:rPr>
          <w:szCs w:val="24"/>
        </w:rPr>
        <w:t>for any reason, including, but not limited to, change in regulations or regulatory requirements that impact the Company and/or any collusive bidding or other anti</w:t>
      </w:r>
      <w:r>
        <w:rPr>
          <w:szCs w:val="24"/>
        </w:rPr>
        <w:t>-</w:t>
      </w:r>
      <w:r w:rsidRPr="00796BC2">
        <w:rPr>
          <w:szCs w:val="24"/>
        </w:rPr>
        <w:t>competitive behavior or conduct.</w:t>
      </w:r>
    </w:p>
    <w:tbl>
      <w:tblPr>
        <w:tblW w:w="6352" w:type="dxa"/>
        <w:tblInd w:w="93" w:type="dxa"/>
        <w:tblLook w:val="04A0"/>
      </w:tblPr>
      <w:tblGrid>
        <w:gridCol w:w="2429"/>
        <w:gridCol w:w="2397"/>
        <w:gridCol w:w="1526"/>
      </w:tblGrid>
      <w:tr w:rsidR="00655F09" w:rsidRPr="002C566F" w:rsidTr="00BB5BDE">
        <w:trPr>
          <w:trHeight w:val="255"/>
        </w:trPr>
        <w:tc>
          <w:tcPr>
            <w:tcW w:w="2429" w:type="dxa"/>
            <w:tcBorders>
              <w:top w:val="nil"/>
              <w:left w:val="nil"/>
              <w:bottom w:val="nil"/>
              <w:right w:val="nil"/>
            </w:tcBorders>
            <w:shd w:val="clear" w:color="auto" w:fill="auto"/>
            <w:noWrap/>
            <w:vAlign w:val="bottom"/>
            <w:hideMark/>
          </w:tcPr>
          <w:p w:rsidR="00655F09" w:rsidRPr="002C566F" w:rsidRDefault="00655F09" w:rsidP="00BB5BDE">
            <w:pPr>
              <w:jc w:val="left"/>
              <w:rPr>
                <w:sz w:val="20"/>
              </w:rPr>
            </w:pPr>
          </w:p>
        </w:tc>
        <w:tc>
          <w:tcPr>
            <w:tcW w:w="2397" w:type="dxa"/>
            <w:tcBorders>
              <w:top w:val="nil"/>
              <w:left w:val="nil"/>
              <w:bottom w:val="nil"/>
              <w:right w:val="nil"/>
            </w:tcBorders>
            <w:shd w:val="clear" w:color="auto" w:fill="auto"/>
            <w:noWrap/>
            <w:vAlign w:val="bottom"/>
            <w:hideMark/>
          </w:tcPr>
          <w:p w:rsidR="00655F09" w:rsidRPr="002C566F" w:rsidRDefault="00655F09" w:rsidP="00BB5BDE">
            <w:pPr>
              <w:jc w:val="left"/>
              <w:rPr>
                <w:sz w:val="20"/>
              </w:rPr>
            </w:pPr>
          </w:p>
        </w:tc>
        <w:tc>
          <w:tcPr>
            <w:tcW w:w="1526" w:type="dxa"/>
            <w:tcBorders>
              <w:top w:val="nil"/>
              <w:left w:val="nil"/>
              <w:bottom w:val="nil"/>
              <w:right w:val="nil"/>
            </w:tcBorders>
            <w:shd w:val="clear" w:color="auto" w:fill="auto"/>
            <w:noWrap/>
            <w:vAlign w:val="bottom"/>
            <w:hideMark/>
          </w:tcPr>
          <w:p w:rsidR="00655F09" w:rsidRPr="002C566F" w:rsidRDefault="00655F09" w:rsidP="00BB5BDE">
            <w:pPr>
              <w:jc w:val="left"/>
              <w:rPr>
                <w:sz w:val="20"/>
              </w:rPr>
            </w:pPr>
          </w:p>
        </w:tc>
      </w:tr>
      <w:tr w:rsidR="00655F09" w:rsidRPr="002C566F" w:rsidTr="00BB5BDE">
        <w:trPr>
          <w:trHeight w:val="255"/>
        </w:trPr>
        <w:tc>
          <w:tcPr>
            <w:tcW w:w="2429" w:type="dxa"/>
            <w:tcBorders>
              <w:top w:val="nil"/>
              <w:left w:val="nil"/>
              <w:bottom w:val="nil"/>
              <w:right w:val="nil"/>
            </w:tcBorders>
            <w:shd w:val="clear" w:color="auto" w:fill="auto"/>
            <w:noWrap/>
            <w:vAlign w:val="bottom"/>
            <w:hideMark/>
          </w:tcPr>
          <w:p w:rsidR="00655F09" w:rsidRPr="002C566F" w:rsidRDefault="00655F09" w:rsidP="00BB5BDE">
            <w:pPr>
              <w:jc w:val="left"/>
              <w:rPr>
                <w:sz w:val="20"/>
              </w:rPr>
            </w:pPr>
          </w:p>
        </w:tc>
        <w:tc>
          <w:tcPr>
            <w:tcW w:w="2397" w:type="dxa"/>
            <w:tcBorders>
              <w:top w:val="nil"/>
              <w:left w:val="nil"/>
              <w:bottom w:val="nil"/>
              <w:right w:val="nil"/>
            </w:tcBorders>
            <w:shd w:val="clear" w:color="auto" w:fill="auto"/>
            <w:noWrap/>
            <w:vAlign w:val="bottom"/>
            <w:hideMark/>
          </w:tcPr>
          <w:p w:rsidR="00655F09" w:rsidRPr="002C566F" w:rsidRDefault="00655F09" w:rsidP="00BB5BDE">
            <w:pPr>
              <w:jc w:val="left"/>
              <w:rPr>
                <w:sz w:val="20"/>
              </w:rPr>
            </w:pPr>
          </w:p>
        </w:tc>
        <w:tc>
          <w:tcPr>
            <w:tcW w:w="1526" w:type="dxa"/>
            <w:tcBorders>
              <w:top w:val="nil"/>
              <w:left w:val="nil"/>
              <w:bottom w:val="nil"/>
              <w:right w:val="nil"/>
            </w:tcBorders>
            <w:shd w:val="clear" w:color="auto" w:fill="auto"/>
            <w:noWrap/>
            <w:vAlign w:val="bottom"/>
            <w:hideMark/>
          </w:tcPr>
          <w:p w:rsidR="00655F09" w:rsidRPr="002C566F" w:rsidRDefault="00655F09" w:rsidP="00BB5BDE">
            <w:pPr>
              <w:jc w:val="left"/>
              <w:rPr>
                <w:sz w:val="20"/>
              </w:rPr>
            </w:pPr>
          </w:p>
        </w:tc>
      </w:tr>
    </w:tbl>
    <w:p w:rsidR="00655F09" w:rsidRPr="00796BC2" w:rsidRDefault="00655F09" w:rsidP="00655F09">
      <w:r>
        <w:t xml:space="preserve"> </w:t>
      </w:r>
    </w:p>
    <w:p w:rsidR="00BD7E21" w:rsidRDefault="00BD7E21"/>
    <w:sectPr w:rsidR="00BD7E21" w:rsidSect="005D482E">
      <w:footerReference w:type="default" r:id="rId28"/>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FE" w:rsidRDefault="009E04FE" w:rsidP="00655F09">
      <w:r>
        <w:separator/>
      </w:r>
    </w:p>
  </w:endnote>
  <w:endnote w:type="continuationSeparator" w:id="0">
    <w:p w:rsidR="009E04FE" w:rsidRDefault="009E04FE" w:rsidP="00655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45" w:rsidRDefault="004B30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DE" w:rsidRDefault="00BB5BDE">
    <w:pPr>
      <w:pStyle w:val="Footer"/>
    </w:pPr>
    <w:r>
      <w:t xml:space="preserve">Page </w:t>
    </w:r>
    <w:r w:rsidR="003310E8">
      <w:fldChar w:fldCharType="begin"/>
    </w:r>
    <w:r>
      <w:instrText xml:space="preserve"> PAGE   \* MERGEFORMAT </w:instrText>
    </w:r>
    <w:r w:rsidR="003310E8">
      <w:fldChar w:fldCharType="separate"/>
    </w:r>
    <w:r w:rsidR="004B3045">
      <w:rPr>
        <w:noProof/>
      </w:rPr>
      <w:t>2</w:t>
    </w:r>
    <w:r w:rsidR="003310E8">
      <w:rPr>
        <w:noProof/>
      </w:rPr>
      <w:fldChar w:fldCharType="end"/>
    </w:r>
    <w:r>
      <w:t xml:space="preserve"> </w:t>
    </w:r>
    <w:r w:rsidR="00031F83">
      <w:t>–</w:t>
    </w:r>
    <w:r>
      <w:t>PacifiCorp Request for Proposal</w:t>
    </w:r>
    <w:r>
      <w:tab/>
    </w:r>
    <w: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45" w:rsidRDefault="004B30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DE" w:rsidRDefault="00301CD1">
    <w:pPr>
      <w:pStyle w:val="Footer"/>
    </w:pPr>
    <w:r>
      <w:t>Page 10</w:t>
    </w:r>
    <w:r w:rsidR="00BB5BDE">
      <w:t xml:space="preserve"> </w:t>
    </w:r>
    <w:r w:rsidR="005F7A09">
      <w:t>–</w:t>
    </w:r>
    <w:r w:rsidR="00BB5BDE">
      <w:t xml:space="preserve"> PacifiCorp Request for Proposal</w:t>
    </w:r>
    <w:r w:rsidR="00BB5BDE">
      <w:tab/>
    </w:r>
    <w:r w:rsidR="00BB5BDE">
      <w:tab/>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DE" w:rsidRDefault="00301CD1">
    <w:pPr>
      <w:pStyle w:val="Footer"/>
    </w:pPr>
    <w:r>
      <w:t>Page 11</w:t>
    </w:r>
    <w:r w:rsidR="00BB5BDE">
      <w:t xml:space="preserve"> - PacifiCorp Request for Proposal</w:t>
    </w:r>
    <w:r w:rsidR="00BB5BDE">
      <w:tab/>
    </w:r>
    <w:r w:rsidR="00BB5BDE">
      <w:tab/>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DE" w:rsidRDefault="00301CD1">
    <w:pPr>
      <w:pStyle w:val="Footer"/>
    </w:pPr>
    <w:r>
      <w:t>Page 12</w:t>
    </w:r>
    <w:r w:rsidR="00BB5BDE">
      <w:t xml:space="preserve"> - PacifiCorp Request for Proposal</w:t>
    </w:r>
    <w:r w:rsidR="00BB5BDE">
      <w:tab/>
    </w:r>
    <w:r w:rsidR="00BB5BDE">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FE" w:rsidRDefault="009E04FE" w:rsidP="00655F09">
      <w:r>
        <w:separator/>
      </w:r>
    </w:p>
  </w:footnote>
  <w:footnote w:type="continuationSeparator" w:id="0">
    <w:p w:rsidR="009E04FE" w:rsidRDefault="009E04FE" w:rsidP="00655F09">
      <w:r>
        <w:continuationSeparator/>
      </w:r>
    </w:p>
  </w:footnote>
  <w:footnote w:id="1">
    <w:p w:rsidR="00031F83" w:rsidRDefault="00031F83">
      <w:pPr>
        <w:pStyle w:val="FootnoteText"/>
      </w:pPr>
      <w:r>
        <w:rPr>
          <w:rStyle w:val="FootnoteReference"/>
        </w:rPr>
        <w:footnoteRef/>
      </w:r>
      <w:r>
        <w:t xml:space="preserve"> </w:t>
      </w:r>
      <w:r w:rsidR="006145D5">
        <w:t xml:space="preserve">The maximum </w:t>
      </w:r>
      <w:r w:rsidR="008E5D15">
        <w:t xml:space="preserve">effective transaction period </w:t>
      </w:r>
      <w:r w:rsidR="006145D5">
        <w:t xml:space="preserve">is </w:t>
      </w:r>
      <w:r w:rsidR="008E5D15">
        <w:t xml:space="preserve">36 consecutive months. </w:t>
      </w:r>
    </w:p>
  </w:footnote>
  <w:footnote w:id="2">
    <w:p w:rsidR="00BB5BDE" w:rsidRDefault="00BB5BDE" w:rsidP="00655F09">
      <w:pPr>
        <w:pStyle w:val="FootnoteText"/>
      </w:pPr>
      <w:r>
        <w:rPr>
          <w:rStyle w:val="FootnoteReference"/>
        </w:rPr>
        <w:footnoteRef/>
      </w:r>
      <w:r>
        <w:t xml:space="preserve"> </w:t>
      </w:r>
      <w:proofErr w:type="gramStart"/>
      <w:r>
        <w:t>WUTC Docket No.</w:t>
      </w:r>
      <w:proofErr w:type="gramEnd"/>
      <w:r>
        <w:t xml:space="preserve"> </w:t>
      </w:r>
      <w:proofErr w:type="gramStart"/>
      <w:r>
        <w:t>UE-1</w:t>
      </w:r>
      <w:r w:rsidR="00774BC1">
        <w:t>20416</w:t>
      </w:r>
      <w:r>
        <w:t>.</w:t>
      </w:r>
      <w:proofErr w:type="gramEnd"/>
    </w:p>
  </w:footnote>
  <w:footnote w:id="3">
    <w:p w:rsidR="00BB5BDE" w:rsidRDefault="00BB5BDE" w:rsidP="00655F09">
      <w:pPr>
        <w:pStyle w:val="FootnoteText"/>
      </w:pPr>
      <w:r>
        <w:rPr>
          <w:rStyle w:val="FootnoteReference"/>
        </w:rPr>
        <w:footnoteRef/>
      </w:r>
      <w:r>
        <w:t xml:space="preserve"> PacifiCorp 201</w:t>
      </w:r>
      <w:r w:rsidR="00510EEF">
        <w:t>3</w:t>
      </w:r>
      <w:r>
        <w:t xml:space="preserve"> IRP, Chapter 8 – Modeling Results, Table 8.</w:t>
      </w:r>
      <w:r w:rsidR="00510EEF">
        <w:t>8</w:t>
      </w:r>
      <w:r>
        <w:t>, page 2</w:t>
      </w:r>
      <w:r w:rsidR="00510EEF">
        <w:t>28</w:t>
      </w:r>
      <w:r>
        <w:rPr>
          <w:rFonts w:asciiTheme="minorHAnsi" w:hAnsiTheme="minorHAnsi" w:cstheme="minorBidi"/>
          <w:color w:val="1F497D" w:themeColor="dark2"/>
        </w:rPr>
        <w:t>.</w:t>
      </w:r>
    </w:p>
  </w:footnote>
  <w:footnote w:id="4">
    <w:p w:rsidR="00BB5BDE" w:rsidRDefault="00BB5BDE" w:rsidP="00655F09">
      <w:pPr>
        <w:pStyle w:val="FootnoteText"/>
      </w:pPr>
      <w:r>
        <w:rPr>
          <w:rStyle w:val="FootnoteReference"/>
        </w:rPr>
        <w:footnoteRef/>
      </w:r>
      <w:r>
        <w:t xml:space="preserve"> </w:t>
      </w:r>
      <w:r w:rsidRPr="006261D5">
        <w:t>P</w:t>
      </w:r>
      <w:r>
        <w:t>acifiCorp</w:t>
      </w:r>
      <w:r w:rsidRPr="006261D5">
        <w:t xml:space="preserve"> will comply </w:t>
      </w:r>
      <w:r w:rsidRPr="00FE33AB">
        <w:t>with WAC 480-107-035(3), which states, "After</w:t>
      </w:r>
      <w:r w:rsidRPr="006261D5">
        <w:t xml:space="preserve"> the project proposals have been opened for ranking, the utility must make available for public inspection at the utility's designated place of business a summary of each project proposal and a final ranking of all proposed projects."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45" w:rsidRDefault="004B30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45" w:rsidRDefault="004B30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045" w:rsidRDefault="004B30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C4CC3"/>
    <w:multiLevelType w:val="hybridMultilevel"/>
    <w:tmpl w:val="FAD42B60"/>
    <w:lvl w:ilvl="0" w:tplc="1BACDABC">
      <w:start w:val="1"/>
      <w:numFmt w:val="decimal"/>
      <w:pStyle w:val="OUTLINEL3"/>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2D13843"/>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2">
    <w:nsid w:val="354B3C3E"/>
    <w:multiLevelType w:val="hybridMultilevel"/>
    <w:tmpl w:val="B5947B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A4B3D"/>
    <w:multiLevelType w:val="multilevel"/>
    <w:tmpl w:val="5D6A2310"/>
    <w:lvl w:ilvl="0">
      <w:start w:val="1"/>
      <w:numFmt w:val="decimal"/>
      <w:lvlRestart w:val="0"/>
      <w:suff w:val="nothing"/>
      <w:lvlText w:val="Section %1."/>
      <w:lvlJc w:val="left"/>
      <w:pPr>
        <w:ind w:left="5040" w:firstLine="0"/>
      </w:pPr>
      <w:rPr>
        <w:rFonts w:ascii="Times New Roman" w:hAnsi="Times New Roman" w:hint="default"/>
        <w:b/>
        <w:i w:val="0"/>
        <w:caps/>
        <w:smallCaps w:val="0"/>
        <w:color w:val="auto"/>
        <w:sz w:val="24"/>
        <w:u w:val="none"/>
      </w:rPr>
    </w:lvl>
    <w:lvl w:ilvl="1">
      <w:start w:val="1"/>
      <w:numFmt w:val="upperLetter"/>
      <w:lvlText w:val="%2."/>
      <w:lvlJc w:val="left"/>
      <w:pPr>
        <w:tabs>
          <w:tab w:val="num" w:pos="720"/>
        </w:tabs>
        <w:ind w:left="0" w:firstLine="0"/>
      </w:pPr>
      <w:rPr>
        <w:rFonts w:ascii="Times New Roman" w:hAnsi="Times New Roman" w:hint="default"/>
        <w:b/>
        <w:i w:val="0"/>
        <w:caps w:val="0"/>
        <w:color w:val="auto"/>
        <w:sz w:val="24"/>
        <w:u w:val="none"/>
      </w:rPr>
    </w:lvl>
    <w:lvl w:ilvl="2">
      <w:start w:val="5"/>
      <w:numFmt w:val="decimal"/>
      <w:lvlText w:val="%3."/>
      <w:lvlJc w:val="left"/>
      <w:pPr>
        <w:tabs>
          <w:tab w:val="num" w:pos="1800"/>
        </w:tabs>
        <w:ind w:left="1584" w:hanging="144"/>
      </w:pPr>
      <w:rPr>
        <w:rFonts w:hint="default"/>
        <w:b/>
        <w:i w:val="0"/>
        <w:caps/>
        <w:smallCaps w:val="0"/>
        <w:color w:val="auto"/>
        <w:sz w:val="24"/>
        <w:u w:val="none"/>
      </w:rPr>
    </w:lvl>
    <w:lvl w:ilvl="3">
      <w:start w:val="1"/>
      <w:numFmt w:val="lowerLetter"/>
      <w:pStyle w:val="OutlineL4"/>
      <w:suff w:val="nothing"/>
      <w:lvlText w:val="%4)"/>
      <w:lvlJc w:val="left"/>
      <w:pPr>
        <w:ind w:left="1116" w:firstLine="864"/>
      </w:pPr>
      <w:rPr>
        <w:rFonts w:ascii="Times New Roman" w:hAnsi="Times New Roman" w:hint="default"/>
        <w:b w:val="0"/>
        <w:i w:val="0"/>
        <w:caps w:val="0"/>
        <w:color w:val="auto"/>
        <w:sz w:val="24"/>
        <w:u w:val="none"/>
      </w:rPr>
    </w:lvl>
    <w:lvl w:ilvl="4">
      <w:start w:val="1"/>
      <w:numFmt w:val="lowerRoman"/>
      <w:lvlText w:val="(%5)"/>
      <w:lvlJc w:val="left"/>
      <w:pPr>
        <w:tabs>
          <w:tab w:val="num" w:pos="4680"/>
        </w:tabs>
        <w:ind w:left="1080" w:firstLine="2880"/>
      </w:pPr>
      <w:rPr>
        <w:rFonts w:ascii="Times New Roman" w:hAnsi="Times New Roman" w:hint="default"/>
        <w:b w:val="0"/>
        <w:i w:val="0"/>
        <w:caps w:val="0"/>
        <w:color w:val="auto"/>
        <w:sz w:val="24"/>
        <w:u w:val="none"/>
      </w:rPr>
    </w:lvl>
    <w:lvl w:ilvl="5">
      <w:start w:val="1"/>
      <w:numFmt w:val="lowerLetter"/>
      <w:lvlText w:val="(%6)"/>
      <w:lvlJc w:val="left"/>
      <w:pPr>
        <w:tabs>
          <w:tab w:val="num" w:pos="5400"/>
        </w:tabs>
        <w:ind w:left="1080" w:firstLine="3600"/>
      </w:pPr>
      <w:rPr>
        <w:rFonts w:ascii="Times New Roman" w:hAnsi="Times New Roman" w:hint="default"/>
        <w:b w:val="0"/>
        <w:i w:val="0"/>
        <w:caps w:val="0"/>
        <w:color w:val="auto"/>
        <w:sz w:val="24"/>
        <w:u w:val="none"/>
      </w:rPr>
    </w:lvl>
    <w:lvl w:ilvl="6">
      <w:start w:val="1"/>
      <w:numFmt w:val="decimal"/>
      <w:lvlText w:val="(%7)"/>
      <w:lvlJc w:val="left"/>
      <w:pPr>
        <w:tabs>
          <w:tab w:val="num" w:pos="6120"/>
        </w:tabs>
        <w:ind w:left="1080" w:firstLine="4320"/>
      </w:pPr>
      <w:rPr>
        <w:rFonts w:ascii="Times New Roman" w:hAnsi="Times New Roman" w:hint="default"/>
        <w:b w:val="0"/>
        <w:i w:val="0"/>
        <w:caps w:val="0"/>
        <w:color w:val="auto"/>
        <w:sz w:val="24"/>
        <w:u w:val="none"/>
      </w:rPr>
    </w:lvl>
    <w:lvl w:ilvl="7">
      <w:start w:val="1"/>
      <w:numFmt w:val="lowerRoman"/>
      <w:lvlText w:val="%8)"/>
      <w:lvlJc w:val="left"/>
      <w:pPr>
        <w:tabs>
          <w:tab w:val="num" w:pos="6840"/>
        </w:tabs>
        <w:ind w:left="1080" w:firstLine="5040"/>
      </w:pPr>
      <w:rPr>
        <w:rFonts w:ascii="Times New Roman" w:hAnsi="Times New Roman" w:hint="default"/>
        <w:b w:val="0"/>
        <w:i w:val="0"/>
        <w:caps w:val="0"/>
        <w:color w:val="auto"/>
        <w:sz w:val="24"/>
        <w:u w:val="none"/>
      </w:rPr>
    </w:lvl>
    <w:lvl w:ilvl="8">
      <w:start w:val="1"/>
      <w:numFmt w:val="lowerLetter"/>
      <w:lvlText w:val="%9)"/>
      <w:lvlJc w:val="left"/>
      <w:pPr>
        <w:tabs>
          <w:tab w:val="num" w:pos="7560"/>
        </w:tabs>
        <w:ind w:left="1080" w:firstLine="5760"/>
      </w:pPr>
      <w:rPr>
        <w:rFonts w:ascii="Times New Roman" w:hAnsi="Times New Roman" w:hint="default"/>
        <w:b w:val="0"/>
        <w:i w:val="0"/>
        <w:caps w:val="0"/>
        <w:color w:val="auto"/>
        <w:sz w:val="24"/>
        <w:u w:val="none"/>
      </w:rPr>
    </w:lvl>
  </w:abstractNum>
  <w:abstractNum w:abstractNumId="4">
    <w:nsid w:val="3A7B4348"/>
    <w:multiLevelType w:val="hybridMultilevel"/>
    <w:tmpl w:val="03BEFC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7C75EE"/>
    <w:multiLevelType w:val="hybridMultilevel"/>
    <w:tmpl w:val="1BDC0C9E"/>
    <w:lvl w:ilvl="0" w:tplc="60D422C0">
      <w:start w:val="1"/>
      <w:numFmt w:val="upperLetter"/>
      <w:pStyle w:val="Outlin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46D5C"/>
    <w:multiLevelType w:val="hybridMultilevel"/>
    <w:tmpl w:val="3EAA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E4916"/>
    <w:multiLevelType w:val="hybridMultilevel"/>
    <w:tmpl w:val="2F064B3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2"/>
  </w:num>
  <w:num w:numId="4">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655F09"/>
    <w:rsid w:val="00031F83"/>
    <w:rsid w:val="00035289"/>
    <w:rsid w:val="000520E8"/>
    <w:rsid w:val="0005261E"/>
    <w:rsid w:val="00093E59"/>
    <w:rsid w:val="0009704F"/>
    <w:rsid w:val="000D0EF0"/>
    <w:rsid w:val="000D511A"/>
    <w:rsid w:val="000F570F"/>
    <w:rsid w:val="00187193"/>
    <w:rsid w:val="00192EFF"/>
    <w:rsid w:val="001A5CBD"/>
    <w:rsid w:val="001C7211"/>
    <w:rsid w:val="001D5E5A"/>
    <w:rsid w:val="0023574E"/>
    <w:rsid w:val="0025669A"/>
    <w:rsid w:val="002D43B9"/>
    <w:rsid w:val="00301CD1"/>
    <w:rsid w:val="00313A66"/>
    <w:rsid w:val="003310E8"/>
    <w:rsid w:val="00334F20"/>
    <w:rsid w:val="00360AE3"/>
    <w:rsid w:val="00394E41"/>
    <w:rsid w:val="003966D2"/>
    <w:rsid w:val="003B1313"/>
    <w:rsid w:val="003D3D59"/>
    <w:rsid w:val="003D78CF"/>
    <w:rsid w:val="00455069"/>
    <w:rsid w:val="00464E0E"/>
    <w:rsid w:val="00467A8D"/>
    <w:rsid w:val="004836D2"/>
    <w:rsid w:val="004B3045"/>
    <w:rsid w:val="004D23FB"/>
    <w:rsid w:val="004E160D"/>
    <w:rsid w:val="00510EEF"/>
    <w:rsid w:val="00555BD5"/>
    <w:rsid w:val="00562A55"/>
    <w:rsid w:val="0059095E"/>
    <w:rsid w:val="005A2D0A"/>
    <w:rsid w:val="005C7200"/>
    <w:rsid w:val="005D3ABC"/>
    <w:rsid w:val="005D482E"/>
    <w:rsid w:val="005F7A09"/>
    <w:rsid w:val="00602078"/>
    <w:rsid w:val="006145D5"/>
    <w:rsid w:val="006417F6"/>
    <w:rsid w:val="00655F09"/>
    <w:rsid w:val="00656847"/>
    <w:rsid w:val="0067382F"/>
    <w:rsid w:val="0068009E"/>
    <w:rsid w:val="006C5B8B"/>
    <w:rsid w:val="006E546F"/>
    <w:rsid w:val="006F5945"/>
    <w:rsid w:val="00757E5C"/>
    <w:rsid w:val="00774BC1"/>
    <w:rsid w:val="007E4559"/>
    <w:rsid w:val="008026A0"/>
    <w:rsid w:val="00803DDF"/>
    <w:rsid w:val="00820081"/>
    <w:rsid w:val="00830ABF"/>
    <w:rsid w:val="00831E30"/>
    <w:rsid w:val="00835031"/>
    <w:rsid w:val="00836FE9"/>
    <w:rsid w:val="00881AA5"/>
    <w:rsid w:val="0088489A"/>
    <w:rsid w:val="008E5D15"/>
    <w:rsid w:val="009231BD"/>
    <w:rsid w:val="009714E2"/>
    <w:rsid w:val="009748CF"/>
    <w:rsid w:val="009A5D17"/>
    <w:rsid w:val="009E04FE"/>
    <w:rsid w:val="00A40B3E"/>
    <w:rsid w:val="00A535D5"/>
    <w:rsid w:val="00A558FE"/>
    <w:rsid w:val="00AA1B4D"/>
    <w:rsid w:val="00B516E7"/>
    <w:rsid w:val="00B859D0"/>
    <w:rsid w:val="00BA09AD"/>
    <w:rsid w:val="00BB5BDE"/>
    <w:rsid w:val="00BC4C41"/>
    <w:rsid w:val="00BD12D8"/>
    <w:rsid w:val="00BD7E21"/>
    <w:rsid w:val="00BF30E1"/>
    <w:rsid w:val="00C01DA8"/>
    <w:rsid w:val="00C0679C"/>
    <w:rsid w:val="00C74284"/>
    <w:rsid w:val="00CA16D8"/>
    <w:rsid w:val="00CE7010"/>
    <w:rsid w:val="00D13950"/>
    <w:rsid w:val="00D16E9E"/>
    <w:rsid w:val="00D214FB"/>
    <w:rsid w:val="00DB421A"/>
    <w:rsid w:val="00DB7555"/>
    <w:rsid w:val="00E0449C"/>
    <w:rsid w:val="00E45830"/>
    <w:rsid w:val="00E57C06"/>
    <w:rsid w:val="00E85E14"/>
    <w:rsid w:val="00EC6A6E"/>
    <w:rsid w:val="00F16A54"/>
    <w:rsid w:val="00F90732"/>
    <w:rsid w:val="00F94595"/>
    <w:rsid w:val="00FA490D"/>
    <w:rsid w:val="00FA749A"/>
    <w:rsid w:val="00FE33AB"/>
    <w:rsid w:val="00FF3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0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5F09"/>
    <w:rPr>
      <w:color w:val="0000FF"/>
      <w:u w:val="single"/>
    </w:rPr>
  </w:style>
  <w:style w:type="paragraph" w:styleId="Header">
    <w:name w:val="header"/>
    <w:basedOn w:val="Normal"/>
    <w:link w:val="HeaderChar"/>
    <w:rsid w:val="00655F09"/>
    <w:pPr>
      <w:tabs>
        <w:tab w:val="center" w:pos="4320"/>
        <w:tab w:val="right" w:pos="8640"/>
      </w:tabs>
    </w:pPr>
  </w:style>
  <w:style w:type="character" w:customStyle="1" w:styleId="HeaderChar">
    <w:name w:val="Header Char"/>
    <w:basedOn w:val="DefaultParagraphFont"/>
    <w:link w:val="Header"/>
    <w:rsid w:val="00655F09"/>
    <w:rPr>
      <w:rFonts w:ascii="Times New Roman" w:eastAsia="Times New Roman" w:hAnsi="Times New Roman" w:cs="Times New Roman"/>
      <w:sz w:val="24"/>
      <w:szCs w:val="20"/>
    </w:rPr>
  </w:style>
  <w:style w:type="paragraph" w:styleId="Footer">
    <w:name w:val="footer"/>
    <w:basedOn w:val="Normal"/>
    <w:link w:val="FooterChar"/>
    <w:rsid w:val="00655F09"/>
    <w:pPr>
      <w:tabs>
        <w:tab w:val="center" w:pos="4320"/>
        <w:tab w:val="right" w:pos="8640"/>
      </w:tabs>
    </w:pPr>
  </w:style>
  <w:style w:type="character" w:customStyle="1" w:styleId="FooterChar">
    <w:name w:val="Footer Char"/>
    <w:basedOn w:val="DefaultParagraphFont"/>
    <w:link w:val="Footer"/>
    <w:rsid w:val="00655F09"/>
    <w:rPr>
      <w:rFonts w:ascii="Times New Roman" w:eastAsia="Times New Roman" w:hAnsi="Times New Roman" w:cs="Times New Roman"/>
      <w:sz w:val="24"/>
      <w:szCs w:val="20"/>
    </w:rPr>
  </w:style>
  <w:style w:type="paragraph" w:customStyle="1" w:styleId="OutlineL2">
    <w:name w:val="Outline_L2"/>
    <w:basedOn w:val="Normal"/>
    <w:next w:val="OutlineL1"/>
    <w:link w:val="OutlineL2Char"/>
    <w:rsid w:val="00655F09"/>
    <w:pPr>
      <w:keepNext/>
      <w:numPr>
        <w:numId w:val="9"/>
      </w:numPr>
      <w:spacing w:before="120" w:after="120"/>
      <w:outlineLvl w:val="2"/>
    </w:pPr>
    <w:rPr>
      <w:rFonts w:ascii="Times New Roman Bold" w:hAnsi="Times New Roman Bold"/>
      <w:b/>
      <w:caps/>
    </w:rPr>
  </w:style>
  <w:style w:type="paragraph" w:customStyle="1" w:styleId="OutlineL4">
    <w:name w:val="Outline_L4"/>
    <w:basedOn w:val="Normal"/>
    <w:next w:val="BodyText"/>
    <w:rsid w:val="00655F09"/>
    <w:pPr>
      <w:keepNext/>
      <w:numPr>
        <w:ilvl w:val="3"/>
        <w:numId w:val="1"/>
      </w:numPr>
      <w:spacing w:after="240"/>
      <w:outlineLvl w:val="3"/>
    </w:pPr>
  </w:style>
  <w:style w:type="character" w:customStyle="1" w:styleId="OutlineL2Char">
    <w:name w:val="Outline_L2 Char"/>
    <w:basedOn w:val="DefaultParagraphFont"/>
    <w:link w:val="OutlineL2"/>
    <w:rsid w:val="00655F09"/>
    <w:rPr>
      <w:rFonts w:ascii="Times New Roman Bold" w:eastAsia="Times New Roman" w:hAnsi="Times New Roman Bold" w:cs="Times New Roman"/>
      <w:b/>
      <w:caps/>
      <w:sz w:val="24"/>
      <w:szCs w:val="20"/>
    </w:rPr>
  </w:style>
  <w:style w:type="paragraph" w:customStyle="1" w:styleId="OutlineL1">
    <w:name w:val="Outline_L1"/>
    <w:basedOn w:val="Normal"/>
    <w:next w:val="BodyText"/>
    <w:link w:val="OutlineL1Char"/>
    <w:rsid w:val="00655F09"/>
    <w:pPr>
      <w:keepNext/>
      <w:tabs>
        <w:tab w:val="num" w:pos="5760"/>
      </w:tabs>
      <w:spacing w:before="240" w:after="240"/>
      <w:jc w:val="left"/>
      <w:outlineLvl w:val="1"/>
    </w:pPr>
    <w:rPr>
      <w:rFonts w:ascii="Times New Roman Bold" w:hAnsi="Times New Roman Bold"/>
      <w:b/>
      <w:caps/>
      <w:sz w:val="28"/>
    </w:rPr>
  </w:style>
  <w:style w:type="character" w:customStyle="1" w:styleId="OutlineL1Char">
    <w:name w:val="Outline_L1 Char"/>
    <w:basedOn w:val="DefaultParagraphFont"/>
    <w:link w:val="OutlineL1"/>
    <w:rsid w:val="00655F09"/>
    <w:rPr>
      <w:rFonts w:ascii="Times New Roman Bold" w:eastAsia="Times New Roman" w:hAnsi="Times New Roman Bold" w:cs="Times New Roman"/>
      <w:b/>
      <w:caps/>
      <w:sz w:val="28"/>
      <w:szCs w:val="20"/>
    </w:rPr>
  </w:style>
  <w:style w:type="paragraph" w:styleId="BodyText">
    <w:name w:val="Body Text"/>
    <w:basedOn w:val="Normal"/>
    <w:link w:val="BodyTextChar"/>
    <w:uiPriority w:val="99"/>
    <w:unhideWhenUsed/>
    <w:rsid w:val="00655F09"/>
    <w:pPr>
      <w:spacing w:after="120"/>
    </w:pPr>
  </w:style>
  <w:style w:type="character" w:customStyle="1" w:styleId="BodyTextChar">
    <w:name w:val="Body Text Char"/>
    <w:basedOn w:val="DefaultParagraphFont"/>
    <w:link w:val="BodyText"/>
    <w:uiPriority w:val="99"/>
    <w:rsid w:val="00655F09"/>
    <w:rPr>
      <w:rFonts w:ascii="Times New Roman" w:eastAsia="Times New Roman" w:hAnsi="Times New Roman" w:cs="Times New Roman"/>
      <w:sz w:val="24"/>
      <w:szCs w:val="20"/>
    </w:rPr>
  </w:style>
  <w:style w:type="paragraph" w:styleId="FootnoteText">
    <w:name w:val="footnote text"/>
    <w:aliases w:val="Footnote Text1 Char,Footnote Text Char Ch"/>
    <w:basedOn w:val="Normal"/>
    <w:link w:val="FootnoteTextChar"/>
    <w:unhideWhenUsed/>
    <w:rsid w:val="00655F09"/>
    <w:rPr>
      <w:sz w:val="20"/>
    </w:rPr>
  </w:style>
  <w:style w:type="character" w:customStyle="1" w:styleId="FootnoteTextChar">
    <w:name w:val="Footnote Text Char"/>
    <w:aliases w:val="Footnote Text1 Char Char,Footnote Text Char Ch Char"/>
    <w:basedOn w:val="DefaultParagraphFont"/>
    <w:link w:val="FootnoteText"/>
    <w:rsid w:val="00655F09"/>
    <w:rPr>
      <w:rFonts w:ascii="Times New Roman" w:eastAsia="Times New Roman" w:hAnsi="Times New Roman" w:cs="Times New Roman"/>
      <w:sz w:val="20"/>
      <w:szCs w:val="20"/>
    </w:rPr>
  </w:style>
  <w:style w:type="character" w:styleId="FootnoteReference">
    <w:name w:val="footnote reference"/>
    <w:basedOn w:val="DefaultParagraphFont"/>
    <w:unhideWhenUsed/>
    <w:rsid w:val="00655F09"/>
    <w:rPr>
      <w:vertAlign w:val="superscript"/>
    </w:rPr>
  </w:style>
  <w:style w:type="paragraph" w:styleId="ListParagraph">
    <w:name w:val="List Paragraph"/>
    <w:basedOn w:val="Normal"/>
    <w:uiPriority w:val="34"/>
    <w:qFormat/>
    <w:rsid w:val="00655F09"/>
    <w:pPr>
      <w:ind w:left="720"/>
      <w:contextualSpacing/>
    </w:pPr>
  </w:style>
  <w:style w:type="paragraph" w:customStyle="1" w:styleId="TableHeading">
    <w:name w:val="Table Heading"/>
    <w:basedOn w:val="Normal"/>
    <w:qFormat/>
    <w:rsid w:val="00655F09"/>
    <w:pPr>
      <w:keepNext/>
      <w:spacing w:after="60"/>
    </w:pPr>
    <w:rPr>
      <w:rFonts w:eastAsiaTheme="minorHAnsi" w:cstheme="minorBidi"/>
      <w:b/>
      <w:szCs w:val="22"/>
    </w:rPr>
  </w:style>
  <w:style w:type="paragraph" w:customStyle="1" w:styleId="FigureHeading">
    <w:name w:val="Figure Heading"/>
    <w:basedOn w:val="Normal"/>
    <w:qFormat/>
    <w:rsid w:val="00655F09"/>
    <w:pPr>
      <w:keepNext/>
      <w:spacing w:after="60"/>
    </w:pPr>
    <w:rPr>
      <w:rFonts w:eastAsiaTheme="minorHAnsi" w:cstheme="minorBidi"/>
      <w:b/>
      <w:szCs w:val="22"/>
    </w:rPr>
  </w:style>
  <w:style w:type="paragraph" w:styleId="Title">
    <w:name w:val="Title"/>
    <w:basedOn w:val="Normal"/>
    <w:next w:val="Normal"/>
    <w:link w:val="TitleChar"/>
    <w:uiPriority w:val="10"/>
    <w:qFormat/>
    <w:rsid w:val="00655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F09"/>
    <w:rPr>
      <w:rFonts w:asciiTheme="majorHAnsi" w:eastAsiaTheme="majorEastAsia" w:hAnsiTheme="majorHAnsi" w:cstheme="majorBidi"/>
      <w:color w:val="17365D" w:themeColor="text2" w:themeShade="BF"/>
      <w:spacing w:val="5"/>
      <w:kern w:val="28"/>
      <w:sz w:val="52"/>
      <w:szCs w:val="52"/>
    </w:rPr>
  </w:style>
  <w:style w:type="paragraph" w:customStyle="1" w:styleId="OUTLINEL3">
    <w:name w:val="OUTLINE L3"/>
    <w:basedOn w:val="OutlineL2"/>
    <w:link w:val="OUTLINEL3Char"/>
    <w:qFormat/>
    <w:rsid w:val="00655F09"/>
    <w:pPr>
      <w:numPr>
        <w:numId w:val="6"/>
      </w:numPr>
      <w:outlineLvl w:val="3"/>
    </w:pPr>
  </w:style>
  <w:style w:type="character" w:customStyle="1" w:styleId="OUTLINEL3Char">
    <w:name w:val="OUTLINE L3 Char"/>
    <w:basedOn w:val="OutlineL2Char"/>
    <w:link w:val="OUTLINEL3"/>
    <w:rsid w:val="00655F09"/>
    <w:rPr>
      <w:rFonts w:ascii="Times New Roman Bold" w:eastAsia="Times New Roman" w:hAnsi="Times New Roman Bold" w:cs="Times New Roman"/>
      <w:b/>
      <w:caps/>
      <w:sz w:val="24"/>
      <w:szCs w:val="20"/>
    </w:rPr>
  </w:style>
  <w:style w:type="paragraph" w:styleId="BalloonText">
    <w:name w:val="Balloon Text"/>
    <w:basedOn w:val="Normal"/>
    <w:link w:val="BalloonTextChar"/>
    <w:uiPriority w:val="99"/>
    <w:semiHidden/>
    <w:unhideWhenUsed/>
    <w:rsid w:val="00655F09"/>
    <w:rPr>
      <w:rFonts w:ascii="Tahoma" w:hAnsi="Tahoma"/>
      <w:sz w:val="16"/>
      <w:szCs w:val="16"/>
    </w:rPr>
  </w:style>
  <w:style w:type="character" w:customStyle="1" w:styleId="BalloonTextChar">
    <w:name w:val="Balloon Text Char"/>
    <w:basedOn w:val="DefaultParagraphFont"/>
    <w:link w:val="BalloonText"/>
    <w:uiPriority w:val="99"/>
    <w:semiHidden/>
    <w:rsid w:val="00655F09"/>
    <w:rPr>
      <w:rFonts w:ascii="Tahoma" w:eastAsia="Times New Roman" w:hAnsi="Tahoma" w:cs="Times New Roman"/>
      <w:sz w:val="16"/>
      <w:szCs w:val="16"/>
    </w:rPr>
  </w:style>
  <w:style w:type="character" w:styleId="CommentReference">
    <w:name w:val="annotation reference"/>
    <w:basedOn w:val="DefaultParagraphFont"/>
    <w:uiPriority w:val="99"/>
    <w:semiHidden/>
    <w:unhideWhenUsed/>
    <w:rsid w:val="00E85E14"/>
    <w:rPr>
      <w:sz w:val="16"/>
      <w:szCs w:val="16"/>
    </w:rPr>
  </w:style>
  <w:style w:type="paragraph" w:styleId="CommentText">
    <w:name w:val="annotation text"/>
    <w:basedOn w:val="Normal"/>
    <w:link w:val="CommentTextChar"/>
    <w:uiPriority w:val="99"/>
    <w:semiHidden/>
    <w:unhideWhenUsed/>
    <w:rsid w:val="00E85E14"/>
    <w:rPr>
      <w:sz w:val="20"/>
    </w:rPr>
  </w:style>
  <w:style w:type="character" w:customStyle="1" w:styleId="CommentTextChar">
    <w:name w:val="Comment Text Char"/>
    <w:basedOn w:val="DefaultParagraphFont"/>
    <w:link w:val="CommentText"/>
    <w:uiPriority w:val="99"/>
    <w:semiHidden/>
    <w:rsid w:val="00E85E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5E14"/>
    <w:rPr>
      <w:b/>
      <w:bCs/>
    </w:rPr>
  </w:style>
  <w:style w:type="character" w:customStyle="1" w:styleId="CommentSubjectChar">
    <w:name w:val="Comment Subject Char"/>
    <w:basedOn w:val="CommentTextChar"/>
    <w:link w:val="CommentSubject"/>
    <w:uiPriority w:val="99"/>
    <w:semiHidden/>
    <w:rsid w:val="00E85E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A74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0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5F09"/>
    <w:rPr>
      <w:color w:val="0000FF"/>
      <w:u w:val="single"/>
    </w:rPr>
  </w:style>
  <w:style w:type="paragraph" w:styleId="Header">
    <w:name w:val="header"/>
    <w:basedOn w:val="Normal"/>
    <w:link w:val="HeaderChar"/>
    <w:rsid w:val="00655F09"/>
    <w:pPr>
      <w:tabs>
        <w:tab w:val="center" w:pos="4320"/>
        <w:tab w:val="right" w:pos="8640"/>
      </w:tabs>
    </w:pPr>
  </w:style>
  <w:style w:type="character" w:customStyle="1" w:styleId="HeaderChar">
    <w:name w:val="Header Char"/>
    <w:basedOn w:val="DefaultParagraphFont"/>
    <w:link w:val="Header"/>
    <w:rsid w:val="00655F09"/>
    <w:rPr>
      <w:rFonts w:ascii="Times New Roman" w:eastAsia="Times New Roman" w:hAnsi="Times New Roman" w:cs="Times New Roman"/>
      <w:sz w:val="24"/>
      <w:szCs w:val="20"/>
    </w:rPr>
  </w:style>
  <w:style w:type="paragraph" w:styleId="Footer">
    <w:name w:val="footer"/>
    <w:basedOn w:val="Normal"/>
    <w:link w:val="FooterChar"/>
    <w:rsid w:val="00655F09"/>
    <w:pPr>
      <w:tabs>
        <w:tab w:val="center" w:pos="4320"/>
        <w:tab w:val="right" w:pos="8640"/>
      </w:tabs>
    </w:pPr>
  </w:style>
  <w:style w:type="character" w:customStyle="1" w:styleId="FooterChar">
    <w:name w:val="Footer Char"/>
    <w:basedOn w:val="DefaultParagraphFont"/>
    <w:link w:val="Footer"/>
    <w:rsid w:val="00655F09"/>
    <w:rPr>
      <w:rFonts w:ascii="Times New Roman" w:eastAsia="Times New Roman" w:hAnsi="Times New Roman" w:cs="Times New Roman"/>
      <w:sz w:val="24"/>
      <w:szCs w:val="20"/>
    </w:rPr>
  </w:style>
  <w:style w:type="paragraph" w:customStyle="1" w:styleId="OutlineL2">
    <w:name w:val="Outline_L2"/>
    <w:basedOn w:val="Normal"/>
    <w:next w:val="OutlineL1"/>
    <w:link w:val="OutlineL2Char"/>
    <w:rsid w:val="00655F09"/>
    <w:pPr>
      <w:keepNext/>
      <w:numPr>
        <w:numId w:val="9"/>
      </w:numPr>
      <w:spacing w:before="120" w:after="120"/>
      <w:outlineLvl w:val="2"/>
    </w:pPr>
    <w:rPr>
      <w:rFonts w:ascii="Times New Roman Bold" w:hAnsi="Times New Roman Bold"/>
      <w:b/>
      <w:caps/>
    </w:rPr>
  </w:style>
  <w:style w:type="paragraph" w:customStyle="1" w:styleId="OutlineL4">
    <w:name w:val="Outline_L4"/>
    <w:basedOn w:val="Normal"/>
    <w:next w:val="BodyText"/>
    <w:rsid w:val="00655F09"/>
    <w:pPr>
      <w:keepNext/>
      <w:numPr>
        <w:ilvl w:val="3"/>
        <w:numId w:val="1"/>
      </w:numPr>
      <w:spacing w:after="240"/>
      <w:outlineLvl w:val="3"/>
    </w:pPr>
  </w:style>
  <w:style w:type="character" w:customStyle="1" w:styleId="OutlineL2Char">
    <w:name w:val="Outline_L2 Char"/>
    <w:basedOn w:val="DefaultParagraphFont"/>
    <w:link w:val="OutlineL2"/>
    <w:rsid w:val="00655F09"/>
    <w:rPr>
      <w:rFonts w:ascii="Times New Roman Bold" w:eastAsia="Times New Roman" w:hAnsi="Times New Roman Bold" w:cs="Times New Roman"/>
      <w:b/>
      <w:caps/>
      <w:sz w:val="24"/>
      <w:szCs w:val="20"/>
    </w:rPr>
  </w:style>
  <w:style w:type="paragraph" w:customStyle="1" w:styleId="OutlineL1">
    <w:name w:val="Outline_L1"/>
    <w:basedOn w:val="Normal"/>
    <w:next w:val="BodyText"/>
    <w:link w:val="OutlineL1Char"/>
    <w:rsid w:val="00655F09"/>
    <w:pPr>
      <w:keepNext/>
      <w:tabs>
        <w:tab w:val="num" w:pos="5760"/>
      </w:tabs>
      <w:spacing w:before="240" w:after="240"/>
      <w:jc w:val="left"/>
      <w:outlineLvl w:val="1"/>
    </w:pPr>
    <w:rPr>
      <w:rFonts w:ascii="Times New Roman Bold" w:hAnsi="Times New Roman Bold"/>
      <w:b/>
      <w:caps/>
      <w:sz w:val="28"/>
    </w:rPr>
  </w:style>
  <w:style w:type="character" w:customStyle="1" w:styleId="OutlineL1Char">
    <w:name w:val="Outline_L1 Char"/>
    <w:basedOn w:val="DefaultParagraphFont"/>
    <w:link w:val="OutlineL1"/>
    <w:rsid w:val="00655F09"/>
    <w:rPr>
      <w:rFonts w:ascii="Times New Roman Bold" w:eastAsia="Times New Roman" w:hAnsi="Times New Roman Bold" w:cs="Times New Roman"/>
      <w:b/>
      <w:caps/>
      <w:sz w:val="28"/>
      <w:szCs w:val="20"/>
    </w:rPr>
  </w:style>
  <w:style w:type="paragraph" w:styleId="BodyText">
    <w:name w:val="Body Text"/>
    <w:basedOn w:val="Normal"/>
    <w:link w:val="BodyTextChar"/>
    <w:uiPriority w:val="99"/>
    <w:unhideWhenUsed/>
    <w:rsid w:val="00655F09"/>
    <w:pPr>
      <w:spacing w:after="120"/>
    </w:pPr>
  </w:style>
  <w:style w:type="character" w:customStyle="1" w:styleId="BodyTextChar">
    <w:name w:val="Body Text Char"/>
    <w:basedOn w:val="DefaultParagraphFont"/>
    <w:link w:val="BodyText"/>
    <w:uiPriority w:val="99"/>
    <w:rsid w:val="00655F09"/>
    <w:rPr>
      <w:rFonts w:ascii="Times New Roman" w:eastAsia="Times New Roman" w:hAnsi="Times New Roman" w:cs="Times New Roman"/>
      <w:sz w:val="24"/>
      <w:szCs w:val="20"/>
    </w:rPr>
  </w:style>
  <w:style w:type="paragraph" w:styleId="FootnoteText">
    <w:name w:val="footnote text"/>
    <w:aliases w:val="Footnote Text1 Char,Footnote Text Char Ch"/>
    <w:basedOn w:val="Normal"/>
    <w:link w:val="FootnoteTextChar"/>
    <w:unhideWhenUsed/>
    <w:rsid w:val="00655F09"/>
    <w:rPr>
      <w:sz w:val="20"/>
    </w:rPr>
  </w:style>
  <w:style w:type="character" w:customStyle="1" w:styleId="FootnoteTextChar">
    <w:name w:val="Footnote Text Char"/>
    <w:aliases w:val="Footnote Text1 Char Char,Footnote Text Char Ch Char"/>
    <w:basedOn w:val="DefaultParagraphFont"/>
    <w:link w:val="FootnoteText"/>
    <w:rsid w:val="00655F09"/>
    <w:rPr>
      <w:rFonts w:ascii="Times New Roman" w:eastAsia="Times New Roman" w:hAnsi="Times New Roman" w:cs="Times New Roman"/>
      <w:sz w:val="20"/>
      <w:szCs w:val="20"/>
    </w:rPr>
  </w:style>
  <w:style w:type="character" w:styleId="FootnoteReference">
    <w:name w:val="footnote reference"/>
    <w:basedOn w:val="DefaultParagraphFont"/>
    <w:unhideWhenUsed/>
    <w:rsid w:val="00655F09"/>
    <w:rPr>
      <w:vertAlign w:val="superscript"/>
    </w:rPr>
  </w:style>
  <w:style w:type="paragraph" w:styleId="ListParagraph">
    <w:name w:val="List Paragraph"/>
    <w:basedOn w:val="Normal"/>
    <w:uiPriority w:val="34"/>
    <w:qFormat/>
    <w:rsid w:val="00655F09"/>
    <w:pPr>
      <w:ind w:left="720"/>
      <w:contextualSpacing/>
    </w:pPr>
  </w:style>
  <w:style w:type="paragraph" w:customStyle="1" w:styleId="TableHeading">
    <w:name w:val="Table Heading"/>
    <w:basedOn w:val="Normal"/>
    <w:qFormat/>
    <w:rsid w:val="00655F09"/>
    <w:pPr>
      <w:keepNext/>
      <w:spacing w:after="60"/>
    </w:pPr>
    <w:rPr>
      <w:rFonts w:eastAsiaTheme="minorHAnsi" w:cstheme="minorBidi"/>
      <w:b/>
      <w:szCs w:val="22"/>
    </w:rPr>
  </w:style>
  <w:style w:type="paragraph" w:customStyle="1" w:styleId="FigureHeading">
    <w:name w:val="Figure Heading"/>
    <w:basedOn w:val="Normal"/>
    <w:qFormat/>
    <w:rsid w:val="00655F09"/>
    <w:pPr>
      <w:keepNext/>
      <w:spacing w:after="60"/>
    </w:pPr>
    <w:rPr>
      <w:rFonts w:eastAsiaTheme="minorHAnsi" w:cstheme="minorBidi"/>
      <w:b/>
      <w:szCs w:val="22"/>
    </w:rPr>
  </w:style>
  <w:style w:type="paragraph" w:styleId="Title">
    <w:name w:val="Title"/>
    <w:basedOn w:val="Normal"/>
    <w:next w:val="Normal"/>
    <w:link w:val="TitleChar"/>
    <w:uiPriority w:val="10"/>
    <w:qFormat/>
    <w:rsid w:val="00655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F09"/>
    <w:rPr>
      <w:rFonts w:asciiTheme="majorHAnsi" w:eastAsiaTheme="majorEastAsia" w:hAnsiTheme="majorHAnsi" w:cstheme="majorBidi"/>
      <w:color w:val="17365D" w:themeColor="text2" w:themeShade="BF"/>
      <w:spacing w:val="5"/>
      <w:kern w:val="28"/>
      <w:sz w:val="52"/>
      <w:szCs w:val="52"/>
    </w:rPr>
  </w:style>
  <w:style w:type="paragraph" w:customStyle="1" w:styleId="OUTLINEL3">
    <w:name w:val="OUTLINE L3"/>
    <w:basedOn w:val="OutlineL2"/>
    <w:link w:val="OUTLINEL3Char"/>
    <w:qFormat/>
    <w:rsid w:val="00655F09"/>
    <w:pPr>
      <w:numPr>
        <w:numId w:val="6"/>
      </w:numPr>
      <w:outlineLvl w:val="3"/>
    </w:pPr>
  </w:style>
  <w:style w:type="character" w:customStyle="1" w:styleId="OUTLINEL3Char">
    <w:name w:val="OUTLINE L3 Char"/>
    <w:basedOn w:val="OutlineL2Char"/>
    <w:link w:val="OUTLINEL3"/>
    <w:rsid w:val="00655F09"/>
    <w:rPr>
      <w:rFonts w:ascii="Times New Roman Bold" w:eastAsia="Times New Roman" w:hAnsi="Times New Roman Bold" w:cs="Times New Roman"/>
      <w:b/>
      <w:caps/>
      <w:sz w:val="24"/>
      <w:szCs w:val="20"/>
    </w:rPr>
  </w:style>
  <w:style w:type="paragraph" w:styleId="BalloonText">
    <w:name w:val="Balloon Text"/>
    <w:basedOn w:val="Normal"/>
    <w:link w:val="BalloonTextChar"/>
    <w:uiPriority w:val="99"/>
    <w:semiHidden/>
    <w:unhideWhenUsed/>
    <w:rsid w:val="00655F09"/>
    <w:rPr>
      <w:rFonts w:ascii="Tahoma" w:hAnsi="Tahoma"/>
      <w:sz w:val="16"/>
      <w:szCs w:val="16"/>
    </w:rPr>
  </w:style>
  <w:style w:type="character" w:customStyle="1" w:styleId="BalloonTextChar">
    <w:name w:val="Balloon Text Char"/>
    <w:basedOn w:val="DefaultParagraphFont"/>
    <w:link w:val="BalloonText"/>
    <w:uiPriority w:val="99"/>
    <w:semiHidden/>
    <w:rsid w:val="00655F09"/>
    <w:rPr>
      <w:rFonts w:ascii="Tahoma" w:eastAsia="Times New Roman" w:hAnsi="Tahoma" w:cs="Times New Roman"/>
      <w:sz w:val="16"/>
      <w:szCs w:val="16"/>
    </w:rPr>
  </w:style>
  <w:style w:type="character" w:styleId="CommentReference">
    <w:name w:val="annotation reference"/>
    <w:basedOn w:val="DefaultParagraphFont"/>
    <w:uiPriority w:val="99"/>
    <w:semiHidden/>
    <w:unhideWhenUsed/>
    <w:rsid w:val="00E85E14"/>
    <w:rPr>
      <w:sz w:val="16"/>
      <w:szCs w:val="16"/>
    </w:rPr>
  </w:style>
  <w:style w:type="paragraph" w:styleId="CommentText">
    <w:name w:val="annotation text"/>
    <w:basedOn w:val="Normal"/>
    <w:link w:val="CommentTextChar"/>
    <w:uiPriority w:val="99"/>
    <w:semiHidden/>
    <w:unhideWhenUsed/>
    <w:rsid w:val="00E85E14"/>
    <w:rPr>
      <w:sz w:val="20"/>
    </w:rPr>
  </w:style>
  <w:style w:type="character" w:customStyle="1" w:styleId="CommentTextChar">
    <w:name w:val="Comment Text Char"/>
    <w:basedOn w:val="DefaultParagraphFont"/>
    <w:link w:val="CommentText"/>
    <w:uiPriority w:val="99"/>
    <w:semiHidden/>
    <w:rsid w:val="00E85E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5E14"/>
    <w:rPr>
      <w:b/>
      <w:bCs/>
    </w:rPr>
  </w:style>
  <w:style w:type="character" w:customStyle="1" w:styleId="CommentSubjectChar">
    <w:name w:val="Comment Subject Char"/>
    <w:basedOn w:val="CommentTextChar"/>
    <w:link w:val="CommentSubject"/>
    <w:uiPriority w:val="99"/>
    <w:semiHidden/>
    <w:rsid w:val="00E85E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A749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cificorp.com/sup/rfps.html" TargetMode="External"/><Relationship Id="rId18" Type="http://schemas.openxmlformats.org/officeDocument/2006/relationships/hyperlink" Target="http://www.oasis.pacificorp.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RFPmarket@pacificorp.com" TargetMode="External"/><Relationship Id="rId25" Type="http://schemas.openxmlformats.org/officeDocument/2006/relationships/footer" Target="footer3.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Any%20questions%20on%20the%20RFP%20or%20r"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3.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pacificorp.com" TargetMode="External"/><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yperlink" Target="mailto:RFPmarket@pacificorp.co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acificorp.com/es/irp.html" TargetMode="External"/><Relationship Id="rId14" Type="http://schemas.openxmlformats.org/officeDocument/2006/relationships/hyperlink" Target="http://www.pacificorp.com"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theme" Target="theme/theme1.xml"/><Relationship Id="rId35" Type="http://schemas.openxmlformats.org/officeDocument/2006/relationships/customXml" Target="../customXml/item5.xml"/><Relationship Id="rId8" Type="http://schemas.openxmlformats.org/officeDocument/2006/relationships/hyperlink" Target="http://www.pacificorp.com/es/ir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2013-09-06T07:00:00+00:00</OpenedDate>
    <Date1 xmlns="dc463f71-b30c-4ab2-9473-d307f9d35888">2013-09-05T07:00:00+00:00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131670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2518EC084FF44989B7007214A30AA8" ma:contentTypeVersion="135" ma:contentTypeDescription="" ma:contentTypeScope="" ma:versionID="c4c5fc2e0c19637afb668208ac314c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93F0B5-7C66-47EB-BE78-D18DBF197499}"/>
</file>

<file path=customXml/itemProps2.xml><?xml version="1.0" encoding="utf-8"?>
<ds:datastoreItem xmlns:ds="http://schemas.openxmlformats.org/officeDocument/2006/customXml" ds:itemID="{7DA418C8-205C-4A5A-9825-4A1473FA6D27}"/>
</file>

<file path=customXml/itemProps3.xml><?xml version="1.0" encoding="utf-8"?>
<ds:datastoreItem xmlns:ds="http://schemas.openxmlformats.org/officeDocument/2006/customXml" ds:itemID="{3744A341-F5E2-464D-BCAD-F912F0BDC91D}"/>
</file>

<file path=customXml/itemProps4.xml><?xml version="1.0" encoding="utf-8"?>
<ds:datastoreItem xmlns:ds="http://schemas.openxmlformats.org/officeDocument/2006/customXml" ds:itemID="{2170FF5F-7D7D-4671-9D1B-6CCE761184FB}"/>
</file>

<file path=customXml/itemProps5.xml><?xml version="1.0" encoding="utf-8"?>
<ds:datastoreItem xmlns:ds="http://schemas.openxmlformats.org/officeDocument/2006/customXml" ds:itemID="{8A8BBB23-1749-4145-A731-72ADF4224899}"/>
</file>

<file path=docProps/app.xml><?xml version="1.0" encoding="utf-8"?>
<Properties xmlns="http://schemas.openxmlformats.org/officeDocument/2006/extended-properties" xmlns:vt="http://schemas.openxmlformats.org/officeDocument/2006/docPropsVTypes">
  <Template>Normal.dotm</Template>
  <TotalTime>0</TotalTime>
  <Pages>12</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2013-09-04T23:49:00Z</dcterms:created>
  <dcterms:modified xsi:type="dcterms:W3CDTF">2013-09-05T22:56:00Z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0x0101006E56B4D1795A2E4DB2F0B01679ED314A00762518EC084FF44989B7007214A30AA8</vt:lpwstr>
  </property>
  <property fmtid="{D5CDD505-2E9C-101B-9397-08002B2CF9AE}" pid="4" name="_docset_NoMedatataSyncRequired">
    <vt:lpwstr>False</vt:lpwstr>
  </property>
</Properties>
</file>