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8D6F5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23, 2011</w:t>
      </w:r>
    </w:p>
    <w:p w14:paraId="66B8D6F6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505B">
        <w:rPr>
          <w:rFonts w:ascii="Times New Roman" w:hAnsi="Times New Roman" w:cs="Times New Roman"/>
          <w:sz w:val="24"/>
          <w:szCs w:val="24"/>
        </w:rPr>
        <w:t>A1</w:t>
      </w:r>
    </w:p>
    <w:p w14:paraId="66B8D6F7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6F8" w14:textId="77777777" w:rsidR="005B16A2" w:rsidRDefault="005B16A2" w:rsidP="005B1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UG-111875</w:t>
      </w:r>
    </w:p>
    <w:p w14:paraId="66B8D6F9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  <w:t>Cascade Natural Gas Corporation</w:t>
      </w:r>
    </w:p>
    <w:p w14:paraId="66B8D6FA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6FB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EJ Keating, Regulatory Analyst</w:t>
      </w:r>
    </w:p>
    <w:p w14:paraId="66B8D6FC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Rick Applegate, Regulatory Analyst</w:t>
      </w:r>
    </w:p>
    <w:p w14:paraId="66B8D6FD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Roger Kouchi, Consumer Protection Staff</w:t>
      </w:r>
    </w:p>
    <w:p w14:paraId="66B8D6FE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6FF" w14:textId="77777777" w:rsidR="005B16A2" w:rsidRDefault="005B16A2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66B8D700" w14:textId="77777777" w:rsidR="005B16A2" w:rsidRDefault="005B16A2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8D701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 action, thereby allowing the tariff filing</w:t>
      </w:r>
      <w:r w:rsidR="001722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made by Cascade Natural Gas Corporation (Cascade or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ompany) in Docket UG-111875 to become effective December 1, 2011, by operation of law.</w:t>
      </w:r>
    </w:p>
    <w:p w14:paraId="66B8D702" w14:textId="77777777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703" w14:textId="77777777" w:rsidR="005B16A2" w:rsidRDefault="005B16A2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66B8D704" w14:textId="77777777" w:rsidR="005B16A2" w:rsidRDefault="005B16A2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8D705" w14:textId="076AA20E" w:rsidR="005B16A2" w:rsidRDefault="005B16A2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October 1, 2011, Cascade filed revisions to its deferred gas cost amortizatio</w:t>
      </w:r>
      <w:r w:rsidR="00D73C0E">
        <w:rPr>
          <w:rFonts w:ascii="Times New Roman" w:hAnsi="Times New Roman" w:cs="Times New Roman"/>
          <w:sz w:val="24"/>
          <w:szCs w:val="24"/>
        </w:rPr>
        <w:t>n tariffs in Docket UG-111757 resulting in a decrease in annual natural gas sales revenues of approximately $12</w:t>
      </w:r>
      <w:r w:rsidR="00D94685">
        <w:rPr>
          <w:rFonts w:ascii="Times New Roman" w:hAnsi="Times New Roman" w:cs="Times New Roman"/>
          <w:sz w:val="24"/>
          <w:szCs w:val="24"/>
        </w:rPr>
        <w:t xml:space="preserve"> million</w:t>
      </w:r>
      <w:r w:rsidR="00D73C0E">
        <w:rPr>
          <w:rFonts w:ascii="Times New Roman" w:hAnsi="Times New Roman" w:cs="Times New Roman"/>
          <w:sz w:val="24"/>
          <w:szCs w:val="24"/>
        </w:rPr>
        <w:t xml:space="preserve"> or (-4.8 percent).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319A5">
        <w:rPr>
          <w:rFonts w:ascii="Times New Roman" w:hAnsi="Times New Roman" w:cs="Times New Roman"/>
          <w:sz w:val="24"/>
          <w:szCs w:val="24"/>
        </w:rPr>
        <w:t>purchased gas adjustment (PGA)</w:t>
      </w:r>
      <w:r>
        <w:rPr>
          <w:rFonts w:ascii="Times New Roman" w:hAnsi="Times New Roman" w:cs="Times New Roman"/>
          <w:sz w:val="24"/>
          <w:szCs w:val="24"/>
        </w:rPr>
        <w:t xml:space="preserve"> and natural gas cost amortization tariffs are often filed </w:t>
      </w:r>
      <w:r w:rsidR="00D73C0E">
        <w:rPr>
          <w:rFonts w:ascii="Times New Roman" w:hAnsi="Times New Roman" w:cs="Times New Roman"/>
          <w:sz w:val="24"/>
          <w:szCs w:val="24"/>
        </w:rPr>
        <w:t>simultaneously.</w:t>
      </w:r>
      <w:r w:rsidR="0092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Cascade did not file a PG</w:t>
      </w:r>
      <w:r w:rsidR="00D73C0E">
        <w:rPr>
          <w:rFonts w:ascii="Times New Roman" w:hAnsi="Times New Roman" w:cs="Times New Roman"/>
          <w:sz w:val="24"/>
          <w:szCs w:val="24"/>
        </w:rPr>
        <w:t>A tariff revision at that time based on s</w:t>
      </w:r>
      <w:r>
        <w:rPr>
          <w:rFonts w:ascii="Times New Roman" w:hAnsi="Times New Roman" w:cs="Times New Roman"/>
          <w:sz w:val="24"/>
          <w:szCs w:val="24"/>
        </w:rPr>
        <w:t xml:space="preserve">upporting workpapers </w:t>
      </w:r>
      <w:r w:rsidR="002319A5">
        <w:rPr>
          <w:rFonts w:ascii="Times New Roman" w:hAnsi="Times New Roman" w:cs="Times New Roman"/>
          <w:sz w:val="24"/>
          <w:szCs w:val="24"/>
        </w:rPr>
        <w:t>that showed</w:t>
      </w:r>
      <w:r w:rsidR="00D73C0E">
        <w:rPr>
          <w:rFonts w:ascii="Times New Roman" w:hAnsi="Times New Roman" w:cs="Times New Roman"/>
          <w:sz w:val="24"/>
          <w:szCs w:val="24"/>
        </w:rPr>
        <w:t xml:space="preserve"> a </w:t>
      </w:r>
      <w:r w:rsidR="00925FA3">
        <w:rPr>
          <w:rFonts w:ascii="Times New Roman" w:hAnsi="Times New Roman" w:cs="Times New Roman"/>
          <w:sz w:val="24"/>
          <w:szCs w:val="24"/>
        </w:rPr>
        <w:t>two</w:t>
      </w:r>
      <w:r w:rsidR="00D73C0E">
        <w:rPr>
          <w:rFonts w:ascii="Times New Roman" w:hAnsi="Times New Roman" w:cs="Times New Roman"/>
          <w:sz w:val="24"/>
          <w:szCs w:val="24"/>
        </w:rPr>
        <w:t xml:space="preserve"> percent decrease in gas commodity costs </w:t>
      </w:r>
      <w:r w:rsidR="00166F01">
        <w:rPr>
          <w:rFonts w:ascii="Times New Roman" w:hAnsi="Times New Roman" w:cs="Times New Roman"/>
          <w:sz w:val="24"/>
          <w:szCs w:val="24"/>
        </w:rPr>
        <w:t xml:space="preserve">essentially </w:t>
      </w:r>
      <w:r w:rsidR="00D73C0E">
        <w:rPr>
          <w:rFonts w:ascii="Times New Roman" w:hAnsi="Times New Roman" w:cs="Times New Roman"/>
          <w:sz w:val="24"/>
          <w:szCs w:val="24"/>
        </w:rPr>
        <w:t xml:space="preserve">being offset by a </w:t>
      </w:r>
      <w:r w:rsidR="00925FA3">
        <w:rPr>
          <w:rFonts w:ascii="Times New Roman" w:hAnsi="Times New Roman" w:cs="Times New Roman"/>
          <w:sz w:val="24"/>
          <w:szCs w:val="24"/>
        </w:rPr>
        <w:t>two</w:t>
      </w:r>
      <w:r w:rsidR="00D73C0E">
        <w:rPr>
          <w:rFonts w:ascii="Times New Roman" w:hAnsi="Times New Roman" w:cs="Times New Roman"/>
          <w:sz w:val="24"/>
          <w:szCs w:val="24"/>
        </w:rPr>
        <w:t xml:space="preserve"> percent increase in its pipeline demand costs. </w:t>
      </w:r>
    </w:p>
    <w:p w14:paraId="66B8D706" w14:textId="77777777" w:rsidR="00D73C0E" w:rsidRDefault="00D73C0E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707" w14:textId="5BA8E8FF" w:rsidR="00D73C0E" w:rsidRDefault="00D73C0E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course of the filing an allocation error between Washington commodity costs and Oregon commodity costs was found and brou</w:t>
      </w:r>
      <w:r w:rsidR="009830CA">
        <w:rPr>
          <w:rFonts w:ascii="Times New Roman" w:hAnsi="Times New Roman" w:cs="Times New Roman"/>
          <w:sz w:val="24"/>
          <w:szCs w:val="24"/>
        </w:rPr>
        <w:t xml:space="preserve">ght to the attention of Staff. </w:t>
      </w:r>
      <w:r w:rsidR="00166F01">
        <w:rPr>
          <w:rFonts w:ascii="Times New Roman" w:hAnsi="Times New Roman" w:cs="Times New Roman"/>
          <w:sz w:val="24"/>
          <w:szCs w:val="24"/>
        </w:rPr>
        <w:t xml:space="preserve">Since it was not known </w:t>
      </w:r>
      <w:r w:rsidR="00D94685">
        <w:rPr>
          <w:rFonts w:ascii="Times New Roman" w:hAnsi="Times New Roman" w:cs="Times New Roman"/>
          <w:sz w:val="24"/>
          <w:szCs w:val="24"/>
        </w:rPr>
        <w:t xml:space="preserve">at the time how much the error would affect commodity costs, Staff determined it was in ratepayer interest to support the existing filing and recommended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 w:rsidR="00D94685">
        <w:rPr>
          <w:rFonts w:ascii="Times New Roman" w:hAnsi="Times New Roman" w:cs="Times New Roman"/>
          <w:sz w:val="24"/>
          <w:szCs w:val="24"/>
        </w:rPr>
        <w:t>ompany file updated commodity costs as soon as they were known.</w:t>
      </w:r>
      <w:r w:rsidR="00925FA3">
        <w:rPr>
          <w:rFonts w:ascii="Times New Roman" w:hAnsi="Times New Roman" w:cs="Times New Roman"/>
          <w:sz w:val="24"/>
          <w:szCs w:val="24"/>
        </w:rPr>
        <w:t xml:space="preserve"> </w:t>
      </w:r>
      <w:r w:rsidR="00D94685">
        <w:rPr>
          <w:rFonts w:ascii="Times New Roman" w:hAnsi="Times New Roman" w:cs="Times New Roman"/>
          <w:sz w:val="24"/>
          <w:szCs w:val="24"/>
        </w:rPr>
        <w:t xml:space="preserve">During the open meeting on October 27, 2011 </w:t>
      </w:r>
      <w:r w:rsidR="00172272">
        <w:rPr>
          <w:rFonts w:ascii="Times New Roman" w:hAnsi="Times New Roman" w:cs="Times New Roman"/>
          <w:sz w:val="24"/>
          <w:szCs w:val="24"/>
        </w:rPr>
        <w:t xml:space="preserve">a </w:t>
      </w:r>
      <w:r w:rsidR="00D94685">
        <w:rPr>
          <w:rFonts w:ascii="Times New Roman" w:hAnsi="Times New Roman" w:cs="Times New Roman"/>
          <w:sz w:val="24"/>
          <w:szCs w:val="24"/>
        </w:rPr>
        <w:t>discussion ensued regarding the gas cost amortization tariff filing and the er</w:t>
      </w:r>
      <w:r w:rsidR="009830CA">
        <w:rPr>
          <w:rFonts w:ascii="Times New Roman" w:hAnsi="Times New Roman" w:cs="Times New Roman"/>
          <w:sz w:val="24"/>
          <w:szCs w:val="24"/>
        </w:rPr>
        <w:t xml:space="preserve">ror found for commodity costs. </w:t>
      </w:r>
      <w:r w:rsidR="00D94685">
        <w:rPr>
          <w:rFonts w:ascii="Times New Roman" w:hAnsi="Times New Roman" w:cs="Times New Roman"/>
          <w:sz w:val="24"/>
          <w:szCs w:val="24"/>
        </w:rPr>
        <w:t xml:space="preserve">The </w:t>
      </w:r>
      <w:r w:rsidR="00215C4D">
        <w:rPr>
          <w:rFonts w:ascii="Times New Roman" w:hAnsi="Times New Roman" w:cs="Times New Roman"/>
          <w:sz w:val="24"/>
          <w:szCs w:val="24"/>
        </w:rPr>
        <w:t>C</w:t>
      </w:r>
      <w:r w:rsidR="00D94685">
        <w:rPr>
          <w:rFonts w:ascii="Times New Roman" w:hAnsi="Times New Roman" w:cs="Times New Roman"/>
          <w:sz w:val="24"/>
          <w:szCs w:val="24"/>
        </w:rPr>
        <w:t xml:space="preserve">ommission ultimately decided to allow the filing in Docket UG-111757 to go into effect, and requested the </w:t>
      </w:r>
      <w:r w:rsidR="00215C4D">
        <w:rPr>
          <w:rFonts w:ascii="Times New Roman" w:hAnsi="Times New Roman" w:cs="Times New Roman"/>
          <w:sz w:val="24"/>
          <w:szCs w:val="24"/>
        </w:rPr>
        <w:t>C</w:t>
      </w:r>
      <w:r w:rsidR="00D94685">
        <w:rPr>
          <w:rFonts w:ascii="Times New Roman" w:hAnsi="Times New Roman" w:cs="Times New Roman"/>
          <w:sz w:val="24"/>
          <w:szCs w:val="24"/>
        </w:rPr>
        <w:t>ompany update its commodity costs through a PGA filing as soon as they were known.</w:t>
      </w:r>
    </w:p>
    <w:p w14:paraId="66B8D708" w14:textId="77777777" w:rsidR="00D94685" w:rsidRDefault="00D94685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709" w14:textId="1C7E2BD5" w:rsidR="00D94685" w:rsidRDefault="00D94685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October 31, 2011,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ompany honored the </w:t>
      </w:r>
      <w:r w:rsidR="00215C4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 request and filed revisions to its PG</w:t>
      </w:r>
      <w:r w:rsidR="009830CA">
        <w:rPr>
          <w:rFonts w:ascii="Times New Roman" w:hAnsi="Times New Roman" w:cs="Times New Roman"/>
          <w:sz w:val="24"/>
          <w:szCs w:val="24"/>
        </w:rPr>
        <w:t xml:space="preserve">A tariffs in Docket UG-111875. </w:t>
      </w:r>
      <w:r>
        <w:rPr>
          <w:rFonts w:ascii="Times New Roman" w:hAnsi="Times New Roman" w:cs="Times New Roman"/>
          <w:sz w:val="24"/>
          <w:szCs w:val="24"/>
        </w:rPr>
        <w:t>The effect of the proposed filing is a decrease in annual natural gas sales revenues of approximately $16.5 million</w:t>
      </w:r>
      <w:r w:rsidR="00B17DB5">
        <w:rPr>
          <w:rFonts w:ascii="Times New Roman" w:hAnsi="Times New Roman" w:cs="Times New Roman"/>
          <w:sz w:val="24"/>
          <w:szCs w:val="24"/>
        </w:rPr>
        <w:t xml:space="preserve"> (-7.</w:t>
      </w:r>
      <w:r w:rsidR="005901D2">
        <w:rPr>
          <w:rFonts w:ascii="Times New Roman" w:hAnsi="Times New Roman" w:cs="Times New Roman"/>
          <w:sz w:val="24"/>
          <w:szCs w:val="24"/>
        </w:rPr>
        <w:t>4</w:t>
      </w:r>
      <w:r w:rsidR="00B17DB5">
        <w:rPr>
          <w:rFonts w:ascii="Times New Roman" w:hAnsi="Times New Roman" w:cs="Times New Roman"/>
          <w:sz w:val="24"/>
          <w:szCs w:val="24"/>
        </w:rPr>
        <w:t xml:space="preserve"> percent). The PGA establishes for the upcoming year a projecti</w:t>
      </w:r>
      <w:r w:rsidR="009830CA">
        <w:rPr>
          <w:rFonts w:ascii="Times New Roman" w:hAnsi="Times New Roman" w:cs="Times New Roman"/>
          <w:sz w:val="24"/>
          <w:szCs w:val="24"/>
        </w:rPr>
        <w:t xml:space="preserve">on of the utility’s gas costs. </w:t>
      </w:r>
      <w:r w:rsidR="00B17DB5">
        <w:rPr>
          <w:rFonts w:ascii="Times New Roman" w:hAnsi="Times New Roman" w:cs="Times New Roman"/>
          <w:sz w:val="24"/>
          <w:szCs w:val="24"/>
        </w:rPr>
        <w:t xml:space="preserve">The difference between the projected </w:t>
      </w:r>
      <w:r w:rsidR="00B17DB5">
        <w:rPr>
          <w:rFonts w:ascii="Times New Roman" w:hAnsi="Times New Roman" w:cs="Times New Roman"/>
          <w:sz w:val="24"/>
          <w:szCs w:val="24"/>
        </w:rPr>
        <w:lastRenderedPageBreak/>
        <w:t>cost and the actual cost is deferred and ultimately amortized back to customers with interest, whether it is a refund or a charge.</w:t>
      </w:r>
    </w:p>
    <w:p w14:paraId="66B8D70A" w14:textId="77777777" w:rsidR="00E321A1" w:rsidRDefault="00E321A1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70B" w14:textId="3615902B" w:rsidR="00E321A1" w:rsidRDefault="00E321A1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Cascade is a natural gas utility serving approximately 194,950 gas customers in various areas</w:t>
      </w:r>
      <w:r w:rsidR="009830CA">
        <w:rPr>
          <w:rFonts w:ascii="Times New Roman" w:hAnsi="Times New Roman" w:cs="Times New Roman"/>
          <w:sz w:val="24"/>
          <w:szCs w:val="24"/>
        </w:rPr>
        <w:t xml:space="preserve"> along the Northwest Pipeline. </w:t>
      </w:r>
      <w:r>
        <w:rPr>
          <w:rFonts w:ascii="Times New Roman" w:hAnsi="Times New Roman" w:cs="Times New Roman"/>
          <w:sz w:val="24"/>
          <w:szCs w:val="24"/>
        </w:rPr>
        <w:t>Its major Washington service locations include Bellingham, Bremerton, Yakima, and Walla Walla.</w:t>
      </w:r>
    </w:p>
    <w:p w14:paraId="66B8D70C" w14:textId="77777777" w:rsidR="00B17DB5" w:rsidRDefault="00B17DB5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70D" w14:textId="77777777" w:rsidR="00B17DB5" w:rsidRDefault="00B17DB5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66B8D70E" w14:textId="77777777" w:rsidR="008642F8" w:rsidRDefault="008642F8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8D70F" w14:textId="5F21A351" w:rsidR="006B675A" w:rsidRDefault="008642F8" w:rsidP="005B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Cascade’s proposed rates in Docket UG-111875 reflect the costs of purchased gas for the months of Decem</w:t>
      </w:r>
      <w:r w:rsidR="009830CA">
        <w:rPr>
          <w:rFonts w:ascii="Times New Roman" w:hAnsi="Times New Roman" w:cs="Times New Roman"/>
          <w:sz w:val="24"/>
          <w:szCs w:val="24"/>
        </w:rPr>
        <w:t xml:space="preserve">ber 2011 through October 2012. </w:t>
      </w:r>
      <w:r w:rsidR="00172272">
        <w:rPr>
          <w:rFonts w:ascii="Times New Roman" w:hAnsi="Times New Roman" w:cs="Times New Roman"/>
          <w:sz w:val="24"/>
          <w:szCs w:val="24"/>
        </w:rPr>
        <w:t xml:space="preserve">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 w:rsidR="00172272">
        <w:rPr>
          <w:rFonts w:ascii="Times New Roman" w:hAnsi="Times New Roman" w:cs="Times New Roman"/>
          <w:sz w:val="24"/>
          <w:szCs w:val="24"/>
        </w:rPr>
        <w:t>ompany is proposing a decrease of approximately $16.5 million (-7</w:t>
      </w:r>
      <w:r w:rsidR="005901D2">
        <w:rPr>
          <w:rFonts w:ascii="Times New Roman" w:hAnsi="Times New Roman" w:cs="Times New Roman"/>
          <w:sz w:val="24"/>
          <w:szCs w:val="24"/>
        </w:rPr>
        <w:t>.4</w:t>
      </w:r>
      <w:r w:rsidR="00172272">
        <w:rPr>
          <w:rFonts w:ascii="Times New Roman" w:hAnsi="Times New Roman" w:cs="Times New Roman"/>
          <w:sz w:val="24"/>
          <w:szCs w:val="24"/>
        </w:rPr>
        <w:t xml:space="preserve"> percent) in annual revenue, which reflects a weighted average cost of gas (WACOG) of $0.62552/therm (commodity $0.50169, firm demand $0.12383</w:t>
      </w:r>
      <w:r w:rsidR="009830CA">
        <w:rPr>
          <w:rFonts w:ascii="Times New Roman" w:hAnsi="Times New Roman" w:cs="Times New Roman"/>
          <w:sz w:val="24"/>
          <w:szCs w:val="24"/>
        </w:rPr>
        <w:t xml:space="preserve">) for residential customers. </w:t>
      </w:r>
      <w:r w:rsidR="005637E6">
        <w:rPr>
          <w:rFonts w:ascii="Times New Roman" w:hAnsi="Times New Roman" w:cs="Times New Roman"/>
          <w:sz w:val="24"/>
          <w:szCs w:val="24"/>
        </w:rPr>
        <w:t>Table 1 below shows the PGA per therm change, annual revenue change and percent change per respective customers.</w:t>
      </w:r>
    </w:p>
    <w:p w14:paraId="66B8D710" w14:textId="77777777" w:rsidR="005637E6" w:rsidRDefault="005637E6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tblInd w:w="997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980"/>
        <w:gridCol w:w="1530"/>
        <w:gridCol w:w="180"/>
      </w:tblGrid>
      <w:tr w:rsidR="005637E6" w:rsidRPr="005637E6" w14:paraId="66B8D713" w14:textId="77777777" w:rsidTr="006B675A">
        <w:trPr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D711" w14:textId="77777777" w:rsidR="005637E6" w:rsidRPr="006B675A" w:rsidRDefault="005637E6" w:rsidP="00925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5A">
              <w:rPr>
                <w:rFonts w:ascii="Times New Roman" w:hAnsi="Times New Roman" w:cs="Times New Roman"/>
                <w:b/>
                <w:sz w:val="24"/>
                <w:szCs w:val="24"/>
              </w:rPr>
              <w:t>TABLE 1</w:t>
            </w:r>
          </w:p>
          <w:p w14:paraId="66B8D712" w14:textId="77777777" w:rsidR="005637E6" w:rsidRPr="005637E6" w:rsidRDefault="005637E6" w:rsidP="0056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E6" w:rsidRPr="005637E6" w14:paraId="66B8D718" w14:textId="77777777" w:rsidTr="006B675A">
        <w:trPr>
          <w:gridAfter w:val="1"/>
          <w:wAfter w:w="180" w:type="dxa"/>
          <w:trHeight w:val="63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D714" w14:textId="77777777" w:rsidR="005637E6" w:rsidRPr="005637E6" w:rsidRDefault="005637E6" w:rsidP="0056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8D715" w14:textId="77777777" w:rsidR="005637E6" w:rsidRPr="005637E6" w:rsidRDefault="005637E6" w:rsidP="0056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PGA Per Therm Change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8D716" w14:textId="77777777" w:rsidR="005637E6" w:rsidRPr="005637E6" w:rsidRDefault="005637E6" w:rsidP="0056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Total Annual Revenue Change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8D717" w14:textId="77777777" w:rsidR="005637E6" w:rsidRPr="005637E6" w:rsidRDefault="005637E6" w:rsidP="0056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Percent Change</w:t>
            </w:r>
          </w:p>
        </w:tc>
      </w:tr>
      <w:tr w:rsidR="005637E6" w:rsidRPr="005637E6" w14:paraId="66B8D71D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19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Residential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1A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07169</w:t>
            </w: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1B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8,552,899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1C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37E6" w:rsidRPr="005637E6" w14:paraId="66B8D722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1E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1F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07199</w:t>
            </w: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0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6,154,530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1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5637E6" w:rsidRPr="005637E6" w14:paraId="66B8D727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3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Industrial Firm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4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07349</w:t>
            </w: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5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733,447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6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8.41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37E6" w:rsidRPr="005637E6" w14:paraId="66B8D72C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8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Industrial Large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9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07349</w:t>
            </w: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A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643,118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B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8.61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37E6" w:rsidRPr="005637E6" w14:paraId="66B8D731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D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Interruptible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2E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07497</w:t>
            </w: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B8D72F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326,694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B8D730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9.97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37E6" w:rsidRPr="005637E6" w14:paraId="66B8D736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32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Interruptible Inst.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B8D733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07497</w:t>
            </w:r>
            <w:r w:rsidRPr="0056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8D734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34,549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8D735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9.28</w:t>
            </w:r>
            <w:r w:rsidRPr="0056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37E6" w:rsidRPr="005637E6" w14:paraId="66B8D73B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37" w14:textId="77777777" w:rsidR="005637E6" w:rsidRPr="005637E6" w:rsidRDefault="005637E6" w:rsidP="0056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D738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6B8D739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16,445,237</w:t>
            </w:r>
            <w:r w:rsidRPr="00563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6B8D73A" w14:textId="77777777" w:rsidR="005637E6" w:rsidRPr="005637E6" w:rsidRDefault="005637E6" w:rsidP="00782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782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563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5637E6" w:rsidRPr="005637E6" w14:paraId="66B8D740" w14:textId="77777777" w:rsidTr="006B675A">
        <w:trPr>
          <w:gridAfter w:val="1"/>
          <w:wAfter w:w="180" w:type="dxa"/>
          <w:trHeight w:val="31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D73C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B8D73D" w14:textId="77777777" w:rsidR="005637E6" w:rsidRPr="005637E6" w:rsidRDefault="005637E6" w:rsidP="00563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B8D73E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B8D73F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7E6" w:rsidRPr="005637E6" w14:paraId="66B8D745" w14:textId="77777777" w:rsidTr="006B675A">
        <w:trPr>
          <w:gridAfter w:val="1"/>
          <w:wAfter w:w="180" w:type="dxa"/>
          <w:trHeight w:val="45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D741" w14:textId="77777777" w:rsidR="005637E6" w:rsidRPr="005637E6" w:rsidRDefault="005637E6" w:rsidP="0056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B8D742" w14:textId="77777777" w:rsidR="005637E6" w:rsidRPr="005637E6" w:rsidRDefault="005637E6" w:rsidP="005637E6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B8D743" w14:textId="77777777" w:rsidR="005637E6" w:rsidRPr="005637E6" w:rsidRDefault="005637E6" w:rsidP="005637E6">
            <w:pPr>
              <w:ind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B8D744" w14:textId="77777777" w:rsidR="005637E6" w:rsidRPr="005637E6" w:rsidRDefault="005637E6" w:rsidP="005637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6B8D746" w14:textId="77777777" w:rsidR="005637E6" w:rsidRDefault="005901D2" w:rsidP="0059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impact of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ompany’s filing on the average monthly bill for a residential customer with monthly consumption of 58 therms is a net decrease of $4.16 or 7.01%.</w:t>
      </w:r>
    </w:p>
    <w:p w14:paraId="66B8D747" w14:textId="77777777" w:rsidR="006B675A" w:rsidRPr="005637E6" w:rsidRDefault="006B675A" w:rsidP="005901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D748" w14:textId="77777777" w:rsidR="008642F8" w:rsidRDefault="008642F8" w:rsidP="008642F8">
      <w:pPr>
        <w:rPr>
          <w:rFonts w:ascii="Times New Roman" w:hAnsi="Times New Roman" w:cs="Times New Roman"/>
          <w:sz w:val="24"/>
          <w:szCs w:val="24"/>
        </w:rPr>
      </w:pPr>
      <w:r w:rsidRPr="00494940">
        <w:rPr>
          <w:rFonts w:ascii="Times New Roman" w:hAnsi="Times New Roman" w:cs="Times New Roman"/>
          <w:b/>
          <w:sz w:val="24"/>
          <w:szCs w:val="24"/>
          <w:u w:val="single"/>
        </w:rPr>
        <w:t>Customer Comments</w:t>
      </w:r>
    </w:p>
    <w:p w14:paraId="66B8D749" w14:textId="5055B9E3" w:rsidR="008642F8" w:rsidRDefault="008642F8" w:rsidP="00864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Cascade Natural Gas issued bill inserts to customers during September 2011 explaining the purchased gas cost adjustment (PGA) process.</w:t>
      </w:r>
      <w:r w:rsidR="0092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October 31,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ompany provided a news release to the editors of newspapers, television stations and radio stations within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ompany’s service area about the PGA. The </w:t>
      </w:r>
      <w:r w:rsidR="00215C4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received no customer comments.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ompany will follow up with a bill insert to its customers after the final disposition of this filing. </w:t>
      </w:r>
    </w:p>
    <w:p w14:paraId="66B8D74A" w14:textId="77777777" w:rsidR="005901D2" w:rsidRDefault="005901D2" w:rsidP="008642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1D2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66B8D74B" w14:textId="15809EFF" w:rsidR="005901D2" w:rsidRPr="005901D2" w:rsidRDefault="005901D2" w:rsidP="00864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has reviewed Cascade’s PGA filing </w:t>
      </w:r>
      <w:r w:rsidR="009830CA">
        <w:rPr>
          <w:rFonts w:ascii="Times New Roman" w:hAnsi="Times New Roman" w:cs="Times New Roman"/>
          <w:sz w:val="24"/>
          <w:szCs w:val="24"/>
        </w:rPr>
        <w:t xml:space="preserve">and found it to be reasonable. </w:t>
      </w: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="00215C4D">
        <w:rPr>
          <w:rFonts w:ascii="Times New Roman" w:hAnsi="Times New Roman" w:cs="Times New Roman"/>
          <w:sz w:val="24"/>
          <w:szCs w:val="24"/>
        </w:rPr>
        <w:t>S</w:t>
      </w:r>
      <w:r w:rsidR="009830CA">
        <w:rPr>
          <w:rFonts w:ascii="Times New Roman" w:hAnsi="Times New Roman" w:cs="Times New Roman"/>
          <w:sz w:val="24"/>
          <w:szCs w:val="24"/>
        </w:rPr>
        <w:t xml:space="preserve">taff </w:t>
      </w:r>
      <w:r>
        <w:rPr>
          <w:rFonts w:ascii="Times New Roman" w:hAnsi="Times New Roman" w:cs="Times New Roman"/>
          <w:sz w:val="24"/>
          <w:szCs w:val="24"/>
        </w:rPr>
        <w:t xml:space="preserve">recommends the </w:t>
      </w:r>
      <w:r w:rsidR="00925F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take no action, thereby allowing the tariff filings in Docket </w:t>
      </w:r>
      <w:r w:rsidR="009830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UG-111875 to take effect December 1, 2011 by operation of law.</w:t>
      </w:r>
    </w:p>
    <w:p w14:paraId="66B8D74C" w14:textId="77777777" w:rsidR="008642F8" w:rsidRDefault="008642F8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8D74D" w14:textId="77777777" w:rsidR="00B17DB5" w:rsidRDefault="00B17DB5" w:rsidP="005B1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B8D74E" w14:textId="77777777" w:rsidR="00B17DB5" w:rsidRPr="00B17DB5" w:rsidRDefault="00B17DB5" w:rsidP="005B16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7DB5" w:rsidRPr="00B17DB5" w:rsidSect="00925FA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8D751" w14:textId="77777777" w:rsidR="002B6AA1" w:rsidRDefault="002B6AA1" w:rsidP="001C0342">
      <w:pPr>
        <w:spacing w:after="0" w:line="240" w:lineRule="auto"/>
      </w:pPr>
      <w:r>
        <w:separator/>
      </w:r>
    </w:p>
  </w:endnote>
  <w:endnote w:type="continuationSeparator" w:id="0">
    <w:p w14:paraId="66B8D752" w14:textId="77777777" w:rsidR="002B6AA1" w:rsidRDefault="002B6AA1" w:rsidP="001C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8D74F" w14:textId="77777777" w:rsidR="002B6AA1" w:rsidRDefault="002B6AA1" w:rsidP="001C0342">
      <w:pPr>
        <w:spacing w:after="0" w:line="240" w:lineRule="auto"/>
      </w:pPr>
      <w:r>
        <w:separator/>
      </w:r>
    </w:p>
  </w:footnote>
  <w:footnote w:type="continuationSeparator" w:id="0">
    <w:p w14:paraId="66B8D750" w14:textId="77777777" w:rsidR="002B6AA1" w:rsidRDefault="002B6AA1" w:rsidP="001C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8D753" w14:textId="77777777" w:rsidR="00925FA3" w:rsidRDefault="00925FA3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Docket UG-111875</w:t>
    </w:r>
  </w:p>
  <w:p w14:paraId="66B8D754" w14:textId="77777777" w:rsidR="00925FA3" w:rsidRDefault="00925FA3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November 23, 2011</w:t>
    </w:r>
  </w:p>
  <w:p w14:paraId="66B8D755" w14:textId="77777777" w:rsidR="00925FA3" w:rsidRPr="00925FA3" w:rsidRDefault="00925FA3">
    <w:pPr>
      <w:pStyle w:val="Header"/>
      <w:rPr>
        <w:rFonts w:ascii="Times New Roman" w:hAnsi="Times New Roman" w:cs="Times New Roman"/>
        <w:sz w:val="20"/>
        <w:szCs w:val="20"/>
      </w:rPr>
    </w:pPr>
    <w:r w:rsidRPr="00925FA3">
      <w:rPr>
        <w:rFonts w:ascii="Times New Roman" w:hAnsi="Times New Roman" w:cs="Times New Roman"/>
        <w:sz w:val="20"/>
        <w:szCs w:val="20"/>
      </w:rPr>
      <w:t xml:space="preserve">Page </w:t>
    </w:r>
    <w:r w:rsidRPr="00925FA3">
      <w:rPr>
        <w:rFonts w:ascii="Times New Roman" w:hAnsi="Times New Roman" w:cs="Times New Roman"/>
        <w:b/>
        <w:sz w:val="20"/>
        <w:szCs w:val="20"/>
      </w:rPr>
      <w:fldChar w:fldCharType="begin"/>
    </w:r>
    <w:r w:rsidRPr="00925FA3">
      <w:rPr>
        <w:rFonts w:ascii="Times New Roman" w:hAnsi="Times New Roman" w:cs="Times New Roman"/>
        <w:b/>
        <w:sz w:val="20"/>
        <w:szCs w:val="20"/>
      </w:rPr>
      <w:instrText xml:space="preserve"> PAGE  \* Arabic  \* MERGEFORMAT </w:instrText>
    </w:r>
    <w:r w:rsidRPr="00925FA3">
      <w:rPr>
        <w:rFonts w:ascii="Times New Roman" w:hAnsi="Times New Roman" w:cs="Times New Roman"/>
        <w:b/>
        <w:sz w:val="20"/>
        <w:szCs w:val="20"/>
      </w:rPr>
      <w:fldChar w:fldCharType="separate"/>
    </w:r>
    <w:r w:rsidR="005F65A3">
      <w:rPr>
        <w:rFonts w:ascii="Times New Roman" w:hAnsi="Times New Roman" w:cs="Times New Roman"/>
        <w:b/>
        <w:noProof/>
        <w:sz w:val="20"/>
        <w:szCs w:val="20"/>
      </w:rPr>
      <w:t>3</w:t>
    </w:r>
    <w:r w:rsidRPr="00925FA3">
      <w:rPr>
        <w:rFonts w:ascii="Times New Roman" w:hAnsi="Times New Roman" w:cs="Times New Roman"/>
        <w:b/>
        <w:sz w:val="20"/>
        <w:szCs w:val="20"/>
      </w:rPr>
      <w:fldChar w:fldCharType="end"/>
    </w:r>
    <w:r w:rsidRPr="00925FA3">
      <w:rPr>
        <w:rFonts w:ascii="Times New Roman" w:hAnsi="Times New Roman" w:cs="Times New Roman"/>
        <w:sz w:val="20"/>
        <w:szCs w:val="20"/>
      </w:rPr>
      <w:t xml:space="preserve"> of </w:t>
    </w:r>
    <w:r w:rsidRPr="00925FA3">
      <w:rPr>
        <w:rFonts w:ascii="Times New Roman" w:hAnsi="Times New Roman" w:cs="Times New Roman"/>
        <w:b/>
        <w:sz w:val="20"/>
        <w:szCs w:val="20"/>
      </w:rPr>
      <w:fldChar w:fldCharType="begin"/>
    </w:r>
    <w:r w:rsidRPr="00925FA3">
      <w:rPr>
        <w:rFonts w:ascii="Times New Roman" w:hAnsi="Times New Roman" w:cs="Times New Roman"/>
        <w:b/>
        <w:sz w:val="20"/>
        <w:szCs w:val="20"/>
      </w:rPr>
      <w:instrText xml:space="preserve"> NUMPAGES  \* Arabic  \* MERGEFORMAT </w:instrText>
    </w:r>
    <w:r w:rsidRPr="00925FA3">
      <w:rPr>
        <w:rFonts w:ascii="Times New Roman" w:hAnsi="Times New Roman" w:cs="Times New Roman"/>
        <w:b/>
        <w:sz w:val="20"/>
        <w:szCs w:val="20"/>
      </w:rPr>
      <w:fldChar w:fldCharType="separate"/>
    </w:r>
    <w:r w:rsidR="005F65A3">
      <w:rPr>
        <w:rFonts w:ascii="Times New Roman" w:hAnsi="Times New Roman" w:cs="Times New Roman"/>
        <w:b/>
        <w:noProof/>
        <w:sz w:val="20"/>
        <w:szCs w:val="20"/>
      </w:rPr>
      <w:t>3</w:t>
    </w:r>
    <w:r w:rsidRPr="00925FA3">
      <w:rPr>
        <w:rFonts w:ascii="Times New Roman" w:hAnsi="Times New Roman" w:cs="Times New Roman"/>
        <w:b/>
        <w:sz w:val="20"/>
        <w:szCs w:val="20"/>
      </w:rPr>
      <w:fldChar w:fldCharType="end"/>
    </w:r>
  </w:p>
  <w:p w14:paraId="66B8D756" w14:textId="77777777" w:rsidR="00782DB5" w:rsidRDefault="00782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A2"/>
    <w:rsid w:val="000040E5"/>
    <w:rsid w:val="0000657C"/>
    <w:rsid w:val="00016312"/>
    <w:rsid w:val="00016F64"/>
    <w:rsid w:val="00017093"/>
    <w:rsid w:val="00021E34"/>
    <w:rsid w:val="000256D1"/>
    <w:rsid w:val="000262EC"/>
    <w:rsid w:val="00056076"/>
    <w:rsid w:val="000616AA"/>
    <w:rsid w:val="00066157"/>
    <w:rsid w:val="00080406"/>
    <w:rsid w:val="000832FA"/>
    <w:rsid w:val="00083332"/>
    <w:rsid w:val="000916EE"/>
    <w:rsid w:val="00097ED7"/>
    <w:rsid w:val="000A4AC8"/>
    <w:rsid w:val="000A617D"/>
    <w:rsid w:val="000B2DF4"/>
    <w:rsid w:val="000C0A09"/>
    <w:rsid w:val="000C55CD"/>
    <w:rsid w:val="000C680C"/>
    <w:rsid w:val="000D58AA"/>
    <w:rsid w:val="000E4682"/>
    <w:rsid w:val="000E640C"/>
    <w:rsid w:val="000F1E3C"/>
    <w:rsid w:val="0010537B"/>
    <w:rsid w:val="00114019"/>
    <w:rsid w:val="001231CA"/>
    <w:rsid w:val="00123447"/>
    <w:rsid w:val="00123AC1"/>
    <w:rsid w:val="0013116D"/>
    <w:rsid w:val="00131B99"/>
    <w:rsid w:val="00143B3C"/>
    <w:rsid w:val="001546B7"/>
    <w:rsid w:val="001626B9"/>
    <w:rsid w:val="00165347"/>
    <w:rsid w:val="001658F9"/>
    <w:rsid w:val="00166F01"/>
    <w:rsid w:val="00171BBB"/>
    <w:rsid w:val="00172272"/>
    <w:rsid w:val="00182724"/>
    <w:rsid w:val="00185F30"/>
    <w:rsid w:val="00195AA6"/>
    <w:rsid w:val="001965CF"/>
    <w:rsid w:val="001A3B8F"/>
    <w:rsid w:val="001A61B0"/>
    <w:rsid w:val="001B6B37"/>
    <w:rsid w:val="001C0342"/>
    <w:rsid w:val="001C09A8"/>
    <w:rsid w:val="001C20F9"/>
    <w:rsid w:val="001C5AB1"/>
    <w:rsid w:val="001C6511"/>
    <w:rsid w:val="001C686F"/>
    <w:rsid w:val="001D0659"/>
    <w:rsid w:val="001D1CCD"/>
    <w:rsid w:val="001D3D0C"/>
    <w:rsid w:val="001D5EFD"/>
    <w:rsid w:val="001E1D7A"/>
    <w:rsid w:val="001E1F62"/>
    <w:rsid w:val="00215C4D"/>
    <w:rsid w:val="00216495"/>
    <w:rsid w:val="0021768F"/>
    <w:rsid w:val="00222461"/>
    <w:rsid w:val="002319A5"/>
    <w:rsid w:val="00232097"/>
    <w:rsid w:val="00247B35"/>
    <w:rsid w:val="0025168E"/>
    <w:rsid w:val="002554EA"/>
    <w:rsid w:val="00272A9B"/>
    <w:rsid w:val="0027359F"/>
    <w:rsid w:val="00280044"/>
    <w:rsid w:val="002874D8"/>
    <w:rsid w:val="00290C49"/>
    <w:rsid w:val="002963E8"/>
    <w:rsid w:val="002A0C0C"/>
    <w:rsid w:val="002A1C76"/>
    <w:rsid w:val="002A436E"/>
    <w:rsid w:val="002A447C"/>
    <w:rsid w:val="002A4539"/>
    <w:rsid w:val="002B59A9"/>
    <w:rsid w:val="002B6AA1"/>
    <w:rsid w:val="002C0194"/>
    <w:rsid w:val="002C039A"/>
    <w:rsid w:val="002C46C8"/>
    <w:rsid w:val="002C6027"/>
    <w:rsid w:val="002D2075"/>
    <w:rsid w:val="002E03A3"/>
    <w:rsid w:val="002E17D8"/>
    <w:rsid w:val="002E55C1"/>
    <w:rsid w:val="002E7571"/>
    <w:rsid w:val="00305B49"/>
    <w:rsid w:val="00313543"/>
    <w:rsid w:val="0032042A"/>
    <w:rsid w:val="003218AF"/>
    <w:rsid w:val="003248AF"/>
    <w:rsid w:val="00336AEC"/>
    <w:rsid w:val="003377CA"/>
    <w:rsid w:val="0034180F"/>
    <w:rsid w:val="00345A36"/>
    <w:rsid w:val="00346158"/>
    <w:rsid w:val="003626DB"/>
    <w:rsid w:val="00365A1A"/>
    <w:rsid w:val="0036663C"/>
    <w:rsid w:val="0038314B"/>
    <w:rsid w:val="003851D1"/>
    <w:rsid w:val="00395246"/>
    <w:rsid w:val="003A7BEC"/>
    <w:rsid w:val="003B47A5"/>
    <w:rsid w:val="003B4A34"/>
    <w:rsid w:val="003B678A"/>
    <w:rsid w:val="003B7059"/>
    <w:rsid w:val="003E2D00"/>
    <w:rsid w:val="003E5D52"/>
    <w:rsid w:val="003F5BAD"/>
    <w:rsid w:val="004011FB"/>
    <w:rsid w:val="00401566"/>
    <w:rsid w:val="00404795"/>
    <w:rsid w:val="004144C2"/>
    <w:rsid w:val="0041527E"/>
    <w:rsid w:val="004205D7"/>
    <w:rsid w:val="0042479B"/>
    <w:rsid w:val="00431DCF"/>
    <w:rsid w:val="004478E3"/>
    <w:rsid w:val="00451346"/>
    <w:rsid w:val="00454FB4"/>
    <w:rsid w:val="00456835"/>
    <w:rsid w:val="00464BCE"/>
    <w:rsid w:val="00481C20"/>
    <w:rsid w:val="004956CC"/>
    <w:rsid w:val="004A42B8"/>
    <w:rsid w:val="004A5057"/>
    <w:rsid w:val="004A68EE"/>
    <w:rsid w:val="004B3E1E"/>
    <w:rsid w:val="004D09E2"/>
    <w:rsid w:val="004D1B8E"/>
    <w:rsid w:val="004D322C"/>
    <w:rsid w:val="004D5E1A"/>
    <w:rsid w:val="004E3757"/>
    <w:rsid w:val="004F1C47"/>
    <w:rsid w:val="0050102B"/>
    <w:rsid w:val="00506415"/>
    <w:rsid w:val="00510799"/>
    <w:rsid w:val="0051333E"/>
    <w:rsid w:val="005139B6"/>
    <w:rsid w:val="0052400D"/>
    <w:rsid w:val="00524514"/>
    <w:rsid w:val="00530E37"/>
    <w:rsid w:val="00534E25"/>
    <w:rsid w:val="00543026"/>
    <w:rsid w:val="00545D0C"/>
    <w:rsid w:val="00552600"/>
    <w:rsid w:val="00557DC3"/>
    <w:rsid w:val="005620A3"/>
    <w:rsid w:val="005634F3"/>
    <w:rsid w:val="005637E6"/>
    <w:rsid w:val="00564118"/>
    <w:rsid w:val="00570FF7"/>
    <w:rsid w:val="005749E9"/>
    <w:rsid w:val="0057600A"/>
    <w:rsid w:val="00581EEF"/>
    <w:rsid w:val="00586619"/>
    <w:rsid w:val="00586ABE"/>
    <w:rsid w:val="005901D2"/>
    <w:rsid w:val="005907A4"/>
    <w:rsid w:val="00594AE7"/>
    <w:rsid w:val="005A1E25"/>
    <w:rsid w:val="005A324F"/>
    <w:rsid w:val="005A326C"/>
    <w:rsid w:val="005A3974"/>
    <w:rsid w:val="005A551C"/>
    <w:rsid w:val="005A6C74"/>
    <w:rsid w:val="005B16A2"/>
    <w:rsid w:val="005B5422"/>
    <w:rsid w:val="005B5CB4"/>
    <w:rsid w:val="005B615C"/>
    <w:rsid w:val="005D1457"/>
    <w:rsid w:val="005D3D6B"/>
    <w:rsid w:val="005E2DF4"/>
    <w:rsid w:val="005F3A75"/>
    <w:rsid w:val="005F3D25"/>
    <w:rsid w:val="005F5A8A"/>
    <w:rsid w:val="005F625C"/>
    <w:rsid w:val="005F65A3"/>
    <w:rsid w:val="005F6A4E"/>
    <w:rsid w:val="006079C4"/>
    <w:rsid w:val="00610348"/>
    <w:rsid w:val="00611AF1"/>
    <w:rsid w:val="006163B4"/>
    <w:rsid w:val="006312F4"/>
    <w:rsid w:val="00637DC9"/>
    <w:rsid w:val="006414B4"/>
    <w:rsid w:val="006424E3"/>
    <w:rsid w:val="00644B63"/>
    <w:rsid w:val="006478CB"/>
    <w:rsid w:val="00652DFB"/>
    <w:rsid w:val="006561F6"/>
    <w:rsid w:val="00663BA5"/>
    <w:rsid w:val="00665571"/>
    <w:rsid w:val="006665D8"/>
    <w:rsid w:val="006670EA"/>
    <w:rsid w:val="006729EE"/>
    <w:rsid w:val="00672F7B"/>
    <w:rsid w:val="00677A18"/>
    <w:rsid w:val="00681371"/>
    <w:rsid w:val="00692A75"/>
    <w:rsid w:val="006A17F8"/>
    <w:rsid w:val="006A19DF"/>
    <w:rsid w:val="006A1DD8"/>
    <w:rsid w:val="006A41EE"/>
    <w:rsid w:val="006A49BD"/>
    <w:rsid w:val="006B00B9"/>
    <w:rsid w:val="006B0DB5"/>
    <w:rsid w:val="006B3B47"/>
    <w:rsid w:val="006B648D"/>
    <w:rsid w:val="006B675A"/>
    <w:rsid w:val="006B79FC"/>
    <w:rsid w:val="006C378D"/>
    <w:rsid w:val="006C5085"/>
    <w:rsid w:val="006D260A"/>
    <w:rsid w:val="006D79B1"/>
    <w:rsid w:val="006E17B0"/>
    <w:rsid w:val="006F4A6F"/>
    <w:rsid w:val="006F70F0"/>
    <w:rsid w:val="00704051"/>
    <w:rsid w:val="00713647"/>
    <w:rsid w:val="00716C68"/>
    <w:rsid w:val="0071790E"/>
    <w:rsid w:val="0072171F"/>
    <w:rsid w:val="00723B1C"/>
    <w:rsid w:val="0072770D"/>
    <w:rsid w:val="00730F5C"/>
    <w:rsid w:val="007376CF"/>
    <w:rsid w:val="00737A60"/>
    <w:rsid w:val="00737C04"/>
    <w:rsid w:val="00744F5C"/>
    <w:rsid w:val="00746645"/>
    <w:rsid w:val="00750901"/>
    <w:rsid w:val="0075530A"/>
    <w:rsid w:val="00755534"/>
    <w:rsid w:val="00757F84"/>
    <w:rsid w:val="00761E55"/>
    <w:rsid w:val="00765645"/>
    <w:rsid w:val="00765D90"/>
    <w:rsid w:val="00766567"/>
    <w:rsid w:val="0077169D"/>
    <w:rsid w:val="00771E64"/>
    <w:rsid w:val="007722FB"/>
    <w:rsid w:val="007768FF"/>
    <w:rsid w:val="007777F3"/>
    <w:rsid w:val="007814DD"/>
    <w:rsid w:val="00782DB5"/>
    <w:rsid w:val="00782DBC"/>
    <w:rsid w:val="00784BC8"/>
    <w:rsid w:val="00784C41"/>
    <w:rsid w:val="00784E22"/>
    <w:rsid w:val="00791983"/>
    <w:rsid w:val="00795A67"/>
    <w:rsid w:val="00796A64"/>
    <w:rsid w:val="007A07B4"/>
    <w:rsid w:val="007B4071"/>
    <w:rsid w:val="007C059F"/>
    <w:rsid w:val="007C224A"/>
    <w:rsid w:val="007D0D52"/>
    <w:rsid w:val="007D486E"/>
    <w:rsid w:val="007D7AFE"/>
    <w:rsid w:val="007E32BE"/>
    <w:rsid w:val="00802F28"/>
    <w:rsid w:val="00807E05"/>
    <w:rsid w:val="00811A38"/>
    <w:rsid w:val="00825421"/>
    <w:rsid w:val="00833A4F"/>
    <w:rsid w:val="008343D1"/>
    <w:rsid w:val="008454D8"/>
    <w:rsid w:val="008479E0"/>
    <w:rsid w:val="00854143"/>
    <w:rsid w:val="0085420B"/>
    <w:rsid w:val="008600F2"/>
    <w:rsid w:val="00860264"/>
    <w:rsid w:val="00860D5F"/>
    <w:rsid w:val="008624B7"/>
    <w:rsid w:val="008642F8"/>
    <w:rsid w:val="008669A1"/>
    <w:rsid w:val="00866D06"/>
    <w:rsid w:val="008766D4"/>
    <w:rsid w:val="00884789"/>
    <w:rsid w:val="00892B89"/>
    <w:rsid w:val="00894571"/>
    <w:rsid w:val="00894B2A"/>
    <w:rsid w:val="0089527C"/>
    <w:rsid w:val="008A5A7D"/>
    <w:rsid w:val="008B4FA1"/>
    <w:rsid w:val="008C3C59"/>
    <w:rsid w:val="008D0C8D"/>
    <w:rsid w:val="008D7418"/>
    <w:rsid w:val="00904FAD"/>
    <w:rsid w:val="00907A9E"/>
    <w:rsid w:val="0091048C"/>
    <w:rsid w:val="00912A8F"/>
    <w:rsid w:val="0092110B"/>
    <w:rsid w:val="00925FA3"/>
    <w:rsid w:val="009275D0"/>
    <w:rsid w:val="009302CD"/>
    <w:rsid w:val="00935A5C"/>
    <w:rsid w:val="00937F30"/>
    <w:rsid w:val="00941201"/>
    <w:rsid w:val="00942E3B"/>
    <w:rsid w:val="00944FFC"/>
    <w:rsid w:val="00953492"/>
    <w:rsid w:val="009710AF"/>
    <w:rsid w:val="0097543A"/>
    <w:rsid w:val="00980AAF"/>
    <w:rsid w:val="009824E4"/>
    <w:rsid w:val="009830CA"/>
    <w:rsid w:val="00986BF4"/>
    <w:rsid w:val="00987140"/>
    <w:rsid w:val="009A445F"/>
    <w:rsid w:val="009A5BDD"/>
    <w:rsid w:val="009A6CAE"/>
    <w:rsid w:val="009A7C9B"/>
    <w:rsid w:val="009B151D"/>
    <w:rsid w:val="009B2908"/>
    <w:rsid w:val="009B2EA9"/>
    <w:rsid w:val="009B484E"/>
    <w:rsid w:val="009B5560"/>
    <w:rsid w:val="009B608F"/>
    <w:rsid w:val="009C29C2"/>
    <w:rsid w:val="009C441D"/>
    <w:rsid w:val="009D3F84"/>
    <w:rsid w:val="009E1927"/>
    <w:rsid w:val="009E3A11"/>
    <w:rsid w:val="009E4DD3"/>
    <w:rsid w:val="009E564F"/>
    <w:rsid w:val="009E76F9"/>
    <w:rsid w:val="009F1331"/>
    <w:rsid w:val="009F17C1"/>
    <w:rsid w:val="00A02E63"/>
    <w:rsid w:val="00A07C8D"/>
    <w:rsid w:val="00A10276"/>
    <w:rsid w:val="00A13E09"/>
    <w:rsid w:val="00A1454D"/>
    <w:rsid w:val="00A210EF"/>
    <w:rsid w:val="00A228C6"/>
    <w:rsid w:val="00A46B56"/>
    <w:rsid w:val="00A528F2"/>
    <w:rsid w:val="00A56A4B"/>
    <w:rsid w:val="00A579D0"/>
    <w:rsid w:val="00A72356"/>
    <w:rsid w:val="00A81EBF"/>
    <w:rsid w:val="00A84C2A"/>
    <w:rsid w:val="00A922AB"/>
    <w:rsid w:val="00A97638"/>
    <w:rsid w:val="00AD3312"/>
    <w:rsid w:val="00AD4409"/>
    <w:rsid w:val="00AD484A"/>
    <w:rsid w:val="00AD54E6"/>
    <w:rsid w:val="00AD6046"/>
    <w:rsid w:val="00AE273E"/>
    <w:rsid w:val="00AE432F"/>
    <w:rsid w:val="00AE5919"/>
    <w:rsid w:val="00AE7F1C"/>
    <w:rsid w:val="00AF6CF1"/>
    <w:rsid w:val="00B0564B"/>
    <w:rsid w:val="00B0619E"/>
    <w:rsid w:val="00B11996"/>
    <w:rsid w:val="00B11F2C"/>
    <w:rsid w:val="00B13041"/>
    <w:rsid w:val="00B17818"/>
    <w:rsid w:val="00B17DB5"/>
    <w:rsid w:val="00B279E4"/>
    <w:rsid w:val="00B3213E"/>
    <w:rsid w:val="00B34BCF"/>
    <w:rsid w:val="00B40C4A"/>
    <w:rsid w:val="00B439D6"/>
    <w:rsid w:val="00B47C54"/>
    <w:rsid w:val="00B5434D"/>
    <w:rsid w:val="00B6365B"/>
    <w:rsid w:val="00B67D7C"/>
    <w:rsid w:val="00B7505B"/>
    <w:rsid w:val="00B87D59"/>
    <w:rsid w:val="00B90172"/>
    <w:rsid w:val="00B93CD3"/>
    <w:rsid w:val="00BA15A1"/>
    <w:rsid w:val="00BA3257"/>
    <w:rsid w:val="00BA7E47"/>
    <w:rsid w:val="00BD0797"/>
    <w:rsid w:val="00BD6DDF"/>
    <w:rsid w:val="00BF2C47"/>
    <w:rsid w:val="00BF6C6D"/>
    <w:rsid w:val="00BF7FFB"/>
    <w:rsid w:val="00C04165"/>
    <w:rsid w:val="00C04215"/>
    <w:rsid w:val="00C0714D"/>
    <w:rsid w:val="00C15865"/>
    <w:rsid w:val="00C231A1"/>
    <w:rsid w:val="00C26C75"/>
    <w:rsid w:val="00C47C48"/>
    <w:rsid w:val="00C63467"/>
    <w:rsid w:val="00C71B1A"/>
    <w:rsid w:val="00C77BE6"/>
    <w:rsid w:val="00C86BB9"/>
    <w:rsid w:val="00C9493D"/>
    <w:rsid w:val="00C97453"/>
    <w:rsid w:val="00CA63E1"/>
    <w:rsid w:val="00CA74B4"/>
    <w:rsid w:val="00CB04A6"/>
    <w:rsid w:val="00CB22B0"/>
    <w:rsid w:val="00CB745A"/>
    <w:rsid w:val="00CC3790"/>
    <w:rsid w:val="00CC4DBA"/>
    <w:rsid w:val="00CC51DC"/>
    <w:rsid w:val="00CC6904"/>
    <w:rsid w:val="00CD3F1E"/>
    <w:rsid w:val="00CD7793"/>
    <w:rsid w:val="00CF5D9C"/>
    <w:rsid w:val="00D005ED"/>
    <w:rsid w:val="00D125D7"/>
    <w:rsid w:val="00D12CE7"/>
    <w:rsid w:val="00D13771"/>
    <w:rsid w:val="00D137D3"/>
    <w:rsid w:val="00D171DB"/>
    <w:rsid w:val="00D20C65"/>
    <w:rsid w:val="00D32C4B"/>
    <w:rsid w:val="00D3566D"/>
    <w:rsid w:val="00D359F0"/>
    <w:rsid w:val="00D4063C"/>
    <w:rsid w:val="00D42009"/>
    <w:rsid w:val="00D43A7A"/>
    <w:rsid w:val="00D47330"/>
    <w:rsid w:val="00D5115A"/>
    <w:rsid w:val="00D60C64"/>
    <w:rsid w:val="00D6703B"/>
    <w:rsid w:val="00D70DDE"/>
    <w:rsid w:val="00D737D9"/>
    <w:rsid w:val="00D73C0E"/>
    <w:rsid w:val="00D744BE"/>
    <w:rsid w:val="00D756F5"/>
    <w:rsid w:val="00D76FF5"/>
    <w:rsid w:val="00D8129E"/>
    <w:rsid w:val="00D81B12"/>
    <w:rsid w:val="00D87E23"/>
    <w:rsid w:val="00D93889"/>
    <w:rsid w:val="00D94685"/>
    <w:rsid w:val="00DA1B86"/>
    <w:rsid w:val="00DB015C"/>
    <w:rsid w:val="00DB2EE5"/>
    <w:rsid w:val="00DB7785"/>
    <w:rsid w:val="00DC1438"/>
    <w:rsid w:val="00DC18EF"/>
    <w:rsid w:val="00DC3726"/>
    <w:rsid w:val="00DC3F70"/>
    <w:rsid w:val="00DC54F3"/>
    <w:rsid w:val="00DC6BFF"/>
    <w:rsid w:val="00DD2A47"/>
    <w:rsid w:val="00DD3791"/>
    <w:rsid w:val="00DD77EA"/>
    <w:rsid w:val="00DE15CA"/>
    <w:rsid w:val="00DE451E"/>
    <w:rsid w:val="00DF373D"/>
    <w:rsid w:val="00E02D8C"/>
    <w:rsid w:val="00E03285"/>
    <w:rsid w:val="00E03CDC"/>
    <w:rsid w:val="00E07061"/>
    <w:rsid w:val="00E0740E"/>
    <w:rsid w:val="00E10102"/>
    <w:rsid w:val="00E10D33"/>
    <w:rsid w:val="00E129C0"/>
    <w:rsid w:val="00E172C8"/>
    <w:rsid w:val="00E321A1"/>
    <w:rsid w:val="00E609CE"/>
    <w:rsid w:val="00E61E85"/>
    <w:rsid w:val="00E67D1C"/>
    <w:rsid w:val="00E704C6"/>
    <w:rsid w:val="00E732DA"/>
    <w:rsid w:val="00E7489D"/>
    <w:rsid w:val="00E76E22"/>
    <w:rsid w:val="00E819C9"/>
    <w:rsid w:val="00E821ED"/>
    <w:rsid w:val="00E9516E"/>
    <w:rsid w:val="00EA4536"/>
    <w:rsid w:val="00EA4B47"/>
    <w:rsid w:val="00EC11ED"/>
    <w:rsid w:val="00EC2110"/>
    <w:rsid w:val="00EC4F9A"/>
    <w:rsid w:val="00ED129E"/>
    <w:rsid w:val="00ED45A9"/>
    <w:rsid w:val="00EE13B1"/>
    <w:rsid w:val="00EE1BBF"/>
    <w:rsid w:val="00EE3E46"/>
    <w:rsid w:val="00EE64F7"/>
    <w:rsid w:val="00EE6646"/>
    <w:rsid w:val="00EE7587"/>
    <w:rsid w:val="00F00B84"/>
    <w:rsid w:val="00F04E57"/>
    <w:rsid w:val="00F0631A"/>
    <w:rsid w:val="00F10A38"/>
    <w:rsid w:val="00F10F5C"/>
    <w:rsid w:val="00F112F1"/>
    <w:rsid w:val="00F12BF3"/>
    <w:rsid w:val="00F130C1"/>
    <w:rsid w:val="00F21B68"/>
    <w:rsid w:val="00F25B30"/>
    <w:rsid w:val="00F370C0"/>
    <w:rsid w:val="00F37140"/>
    <w:rsid w:val="00F410B7"/>
    <w:rsid w:val="00F4178A"/>
    <w:rsid w:val="00F45BD3"/>
    <w:rsid w:val="00F52BE1"/>
    <w:rsid w:val="00F52C62"/>
    <w:rsid w:val="00F52CC3"/>
    <w:rsid w:val="00F52DBD"/>
    <w:rsid w:val="00F54D7B"/>
    <w:rsid w:val="00F55DCE"/>
    <w:rsid w:val="00F622D9"/>
    <w:rsid w:val="00F63FE4"/>
    <w:rsid w:val="00F64FBC"/>
    <w:rsid w:val="00F83A4A"/>
    <w:rsid w:val="00F91369"/>
    <w:rsid w:val="00F91CE7"/>
    <w:rsid w:val="00F9270F"/>
    <w:rsid w:val="00F93D0B"/>
    <w:rsid w:val="00F95DBB"/>
    <w:rsid w:val="00F963F1"/>
    <w:rsid w:val="00FA6659"/>
    <w:rsid w:val="00FC30FA"/>
    <w:rsid w:val="00FC5175"/>
    <w:rsid w:val="00FC5C7C"/>
    <w:rsid w:val="00FD0BFB"/>
    <w:rsid w:val="00FD302C"/>
    <w:rsid w:val="00FE6A66"/>
    <w:rsid w:val="00FF2B45"/>
    <w:rsid w:val="00FF32C7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B8D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42"/>
  </w:style>
  <w:style w:type="paragraph" w:styleId="Footer">
    <w:name w:val="footer"/>
    <w:basedOn w:val="Normal"/>
    <w:link w:val="FooterChar"/>
    <w:uiPriority w:val="99"/>
    <w:unhideWhenUsed/>
    <w:rsid w:val="001C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42"/>
  </w:style>
  <w:style w:type="paragraph" w:styleId="BalloonText">
    <w:name w:val="Balloon Text"/>
    <w:basedOn w:val="Normal"/>
    <w:link w:val="BalloonTextChar"/>
    <w:uiPriority w:val="99"/>
    <w:semiHidden/>
    <w:unhideWhenUsed/>
    <w:rsid w:val="001C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42"/>
  </w:style>
  <w:style w:type="paragraph" w:styleId="Footer">
    <w:name w:val="footer"/>
    <w:basedOn w:val="Normal"/>
    <w:link w:val="FooterChar"/>
    <w:uiPriority w:val="99"/>
    <w:unhideWhenUsed/>
    <w:rsid w:val="001C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42"/>
  </w:style>
  <w:style w:type="paragraph" w:styleId="BalloonText">
    <w:name w:val="Balloon Text"/>
    <w:basedOn w:val="Normal"/>
    <w:link w:val="BalloonTextChar"/>
    <w:uiPriority w:val="99"/>
    <w:semiHidden/>
    <w:unhideWhenUsed/>
    <w:rsid w:val="001C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778D635A27C84DB7785106458BA746" ma:contentTypeVersion="143" ma:contentTypeDescription="" ma:contentTypeScope="" ma:versionID="a09418a2e5d96bdc7551a523cab0b3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2011-10-31T07:00:00+00:00</OpenedDate>
    <Date1 xmlns="dc463f71-b30c-4ab2-9473-d307f9d35888">2011-11-23T08:00:00+00:00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111875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AD3EEF-1F52-4795-9EE5-332061F68205}"/>
</file>

<file path=customXml/itemProps2.xml><?xml version="1.0" encoding="utf-8"?>
<ds:datastoreItem xmlns:ds="http://schemas.openxmlformats.org/officeDocument/2006/customXml" ds:itemID="{EFB5329F-1974-4589-B748-323EA679D420}"/>
</file>

<file path=customXml/itemProps3.xml><?xml version="1.0" encoding="utf-8"?>
<ds:datastoreItem xmlns:ds="http://schemas.openxmlformats.org/officeDocument/2006/customXml" ds:itemID="{88013C91-92AE-4121-B95D-FDB0AAC8095E}"/>
</file>

<file path=customXml/itemProps4.xml><?xml version="1.0" encoding="utf-8"?>
<ds:datastoreItem xmlns:ds="http://schemas.openxmlformats.org/officeDocument/2006/customXml" ds:itemID="{57EA8039-C1FE-47E4-8579-503223A37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UG-111875 Memo</vt:lpstr>
    </vt:vector>
  </TitlesOfParts>
  <Company>Washington Utilities and Transportation Commission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UG-111875 Memo</dc:title>
  <dc:subject/>
  <dc:creator>EJ Keating</dc:creator>
  <cp:keywords/>
  <dc:description/>
  <cp:lastModifiedBy>Catherine Taliaferro</cp:lastModifiedBy>
  <cp:revision>2</cp:revision>
  <cp:lastPrinted>2011-11-18T19:05:00Z</cp:lastPrinted>
  <dcterms:created xsi:type="dcterms:W3CDTF">2011-11-18T21:34:00Z</dcterms:created>
  <dcterms:modified xsi:type="dcterms:W3CDTF">2011-11-18T21:34:00Z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0x0101006E56B4D1795A2E4DB2F0B01679ED314A00FD778D635A27C84DB7785106458BA746</vt:lpwstr>
  </property>
  <property fmtid="{D5CDD505-2E9C-101B-9397-08002B2CF9AE}" pid="3" name="_docset_NoMedatataSyncRequired">
    <vt:lpwstr>False</vt:lpwstr>
  </property>
</Properties>
</file>