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95E2D" w14:textId="77777777" w:rsidR="00A94D25" w:rsidRPr="00EA7CBD" w:rsidRDefault="00883CAE" w:rsidP="003F1F4B">
      <w:bookmarkStart w:id="0" w:name="_GoBack"/>
      <w:bookmarkEnd w:id="0"/>
      <w:r w:rsidRPr="007E4BA2">
        <w:t>Agenda Date:</w:t>
      </w:r>
      <w:r w:rsidR="00A94D25" w:rsidRPr="007E4BA2">
        <w:rPr>
          <w:caps/>
        </w:rPr>
        <w:tab/>
      </w:r>
      <w:r>
        <w:rPr>
          <w:caps/>
        </w:rPr>
        <w:tab/>
      </w:r>
      <w:r w:rsidR="00991C76">
        <w:t xml:space="preserve">October </w:t>
      </w:r>
      <w:r w:rsidR="00DE1014">
        <w:t>2</w:t>
      </w:r>
      <w:r w:rsidR="00AD6F2B">
        <w:t>7</w:t>
      </w:r>
      <w:r w:rsidR="00991C76">
        <w:t>, 20</w:t>
      </w:r>
      <w:r w:rsidR="00DE1014">
        <w:t>1</w:t>
      </w:r>
      <w:r w:rsidR="00AD6F2B">
        <w:t>1</w:t>
      </w:r>
    </w:p>
    <w:p w14:paraId="2A295E2E" w14:textId="0AB81229" w:rsidR="00A94D25" w:rsidRPr="00EA7CBD" w:rsidRDefault="00883CAE" w:rsidP="003F1F4B">
      <w:r w:rsidRPr="007E4BA2">
        <w:t>Item Number</w:t>
      </w:r>
      <w:r w:rsidR="00A94D25" w:rsidRPr="007E4BA2">
        <w:rPr>
          <w:caps/>
        </w:rPr>
        <w:t>:</w:t>
      </w:r>
      <w:r w:rsidR="007E4BA2">
        <w:rPr>
          <w:caps/>
        </w:rPr>
        <w:tab/>
      </w:r>
      <w:r w:rsidR="005F599E">
        <w:rPr>
          <w:caps/>
        </w:rPr>
        <w:tab/>
      </w:r>
      <w:r w:rsidR="00F37B4B">
        <w:rPr>
          <w:caps/>
        </w:rPr>
        <w:t>a5</w:t>
      </w:r>
    </w:p>
    <w:p w14:paraId="2A295E2F" w14:textId="77777777" w:rsidR="00A94D25" w:rsidRPr="00EA7CBD" w:rsidRDefault="00A94D25" w:rsidP="003F1F4B"/>
    <w:p w14:paraId="2A295E30" w14:textId="529D70E8" w:rsidR="00A94D25" w:rsidRPr="00EA7CBD" w:rsidRDefault="00883CAE" w:rsidP="003F1F4B">
      <w:pPr>
        <w:rPr>
          <w:b/>
        </w:rPr>
      </w:pPr>
      <w:r w:rsidRPr="007E4BA2">
        <w:rPr>
          <w:rFonts w:ascii="Times New Roman Bold" w:hAnsi="Times New Roman Bold"/>
          <w:b/>
        </w:rPr>
        <w:t>Docket:</w:t>
      </w:r>
      <w:r w:rsidR="00A94D25" w:rsidRPr="00EA7CBD">
        <w:rPr>
          <w:b/>
        </w:rPr>
        <w:tab/>
      </w:r>
      <w:r w:rsidR="007E4BA2">
        <w:rPr>
          <w:b/>
        </w:rPr>
        <w:tab/>
      </w:r>
      <w:r w:rsidR="00991C76">
        <w:rPr>
          <w:b/>
        </w:rPr>
        <w:t>UG-</w:t>
      </w:r>
      <w:r w:rsidR="00AD6F2B">
        <w:rPr>
          <w:b/>
        </w:rPr>
        <w:t>11</w:t>
      </w:r>
      <w:r w:rsidR="009F18B5">
        <w:rPr>
          <w:b/>
        </w:rPr>
        <w:t>1757</w:t>
      </w:r>
    </w:p>
    <w:p w14:paraId="2A295E31" w14:textId="77777777" w:rsidR="00A94D25" w:rsidRPr="00EA7CBD" w:rsidRDefault="00883CAE" w:rsidP="003F1F4B">
      <w:r w:rsidRPr="007E4BA2">
        <w:t>Company Name:</w:t>
      </w:r>
      <w:r w:rsidR="00A94D25" w:rsidRPr="00EA7CBD">
        <w:tab/>
        <w:t>Cascade Natural Gas Corporation</w:t>
      </w:r>
    </w:p>
    <w:p w14:paraId="2A295E32" w14:textId="77777777" w:rsidR="00A94D25" w:rsidRPr="00EA7CBD" w:rsidRDefault="00A94D25" w:rsidP="003F1F4B"/>
    <w:p w14:paraId="2A295E33" w14:textId="77777777" w:rsidR="00A94D25" w:rsidRDefault="00883CAE" w:rsidP="003F1F4B">
      <w:r w:rsidRPr="007E4BA2">
        <w:t>Staff:</w:t>
      </w:r>
      <w:r w:rsidRPr="007E4BA2">
        <w:tab/>
      </w:r>
      <w:r>
        <w:tab/>
      </w:r>
      <w:r w:rsidR="00A94D25" w:rsidRPr="00EA7CBD">
        <w:tab/>
      </w:r>
      <w:r w:rsidR="000022C0">
        <w:t>Rick Applegate, Regulatory Analyst</w:t>
      </w:r>
      <w:r w:rsidR="000022C0" w:rsidRPr="00EA7CBD" w:rsidDel="000022C0">
        <w:t xml:space="preserve"> </w:t>
      </w:r>
    </w:p>
    <w:p w14:paraId="2A295E34" w14:textId="77777777" w:rsidR="00DE1014" w:rsidRDefault="00DE1014" w:rsidP="003F1F4B">
      <w:r>
        <w:tab/>
      </w:r>
      <w:r>
        <w:tab/>
      </w:r>
      <w:r>
        <w:tab/>
      </w:r>
      <w:r w:rsidR="00AD6F2B">
        <w:t>EJ Keating</w:t>
      </w:r>
      <w:r w:rsidR="000022C0" w:rsidRPr="00EA7CBD">
        <w:t>, Regulatory Analyst</w:t>
      </w:r>
      <w:r w:rsidR="000022C0">
        <w:t xml:space="preserve"> </w:t>
      </w:r>
    </w:p>
    <w:p w14:paraId="2A295E35" w14:textId="4329035E" w:rsidR="00DE1014" w:rsidRDefault="00DE1014" w:rsidP="003F1F4B">
      <w:r>
        <w:tab/>
      </w:r>
      <w:r>
        <w:tab/>
      </w:r>
      <w:r>
        <w:tab/>
        <w:t>Roger K</w:t>
      </w:r>
      <w:r w:rsidR="0028485F">
        <w:t>o</w:t>
      </w:r>
      <w:r>
        <w:t xml:space="preserve">uchi, </w:t>
      </w:r>
      <w:r w:rsidR="00544EA2">
        <w:t>Consumer Protection Staff</w:t>
      </w:r>
    </w:p>
    <w:p w14:paraId="2A295E36" w14:textId="77777777" w:rsidR="00A94D25" w:rsidRDefault="00DE1014" w:rsidP="00DE1014">
      <w:r>
        <w:tab/>
      </w:r>
      <w:r>
        <w:tab/>
      </w:r>
      <w:r>
        <w:tab/>
      </w:r>
    </w:p>
    <w:p w14:paraId="2A295E37" w14:textId="77777777" w:rsidR="00A94D25" w:rsidRPr="00883CAE" w:rsidRDefault="00883CAE" w:rsidP="003F1F4B">
      <w:pPr>
        <w:spacing w:after="120"/>
        <w:rPr>
          <w:b/>
          <w:caps/>
          <w:u w:val="single"/>
        </w:rPr>
      </w:pPr>
      <w:r w:rsidRPr="00883CAE">
        <w:rPr>
          <w:b/>
          <w:u w:val="single"/>
        </w:rPr>
        <w:t>Recommendation</w:t>
      </w:r>
    </w:p>
    <w:p w14:paraId="2A295E38" w14:textId="7D014F17" w:rsidR="00A94D25" w:rsidRDefault="00A94D25" w:rsidP="003F1F4B">
      <w:pPr>
        <w:spacing w:after="120"/>
      </w:pPr>
      <w:r>
        <w:t xml:space="preserve">Take no action, </w:t>
      </w:r>
      <w:r w:rsidR="00C46833">
        <w:t xml:space="preserve">thereby </w:t>
      </w:r>
      <w:r>
        <w:t>allowing the tariff filing made by Cascade Natural Gas Corporation (Cascade</w:t>
      </w:r>
      <w:r w:rsidR="00920F63">
        <w:t xml:space="preserve"> or </w:t>
      </w:r>
      <w:r w:rsidR="00937003">
        <w:t>c</w:t>
      </w:r>
      <w:r w:rsidR="00920F63">
        <w:t>ompany</w:t>
      </w:r>
      <w:r>
        <w:t xml:space="preserve">) in Docket </w:t>
      </w:r>
      <w:r w:rsidR="00DE1014" w:rsidRPr="00DE1014">
        <w:t>UG-1</w:t>
      </w:r>
      <w:r w:rsidR="00AD6F2B">
        <w:t>1</w:t>
      </w:r>
      <w:r w:rsidR="00DD505B">
        <w:t>1</w:t>
      </w:r>
      <w:r w:rsidR="00CC66DC">
        <w:t>757</w:t>
      </w:r>
      <w:r w:rsidR="00DE1014" w:rsidRPr="00DE1014">
        <w:t xml:space="preserve"> </w:t>
      </w:r>
      <w:r>
        <w:t xml:space="preserve">to </w:t>
      </w:r>
      <w:r w:rsidR="00C46833">
        <w:t>become</w:t>
      </w:r>
      <w:r>
        <w:t xml:space="preserve"> effect</w:t>
      </w:r>
      <w:r w:rsidR="00C46833">
        <w:t>ive</w:t>
      </w:r>
      <w:r w:rsidR="00AE6443">
        <w:t xml:space="preserve"> November</w:t>
      </w:r>
      <w:r w:rsidR="00991C76">
        <w:t xml:space="preserve"> </w:t>
      </w:r>
      <w:r w:rsidR="00AE6443">
        <w:t>1, 20</w:t>
      </w:r>
      <w:r w:rsidR="00DE1014">
        <w:t>1</w:t>
      </w:r>
      <w:r w:rsidR="00AD6F2B">
        <w:t>1</w:t>
      </w:r>
      <w:r w:rsidR="00AE6443">
        <w:t>,</w:t>
      </w:r>
      <w:r>
        <w:t xml:space="preserve"> by operation of law.</w:t>
      </w:r>
    </w:p>
    <w:p w14:paraId="2A295E39" w14:textId="77777777" w:rsidR="003F1F4B" w:rsidRDefault="003F1F4B" w:rsidP="003F1F4B">
      <w:pPr>
        <w:spacing w:after="120"/>
        <w:rPr>
          <w:b/>
          <w:u w:val="single"/>
        </w:rPr>
      </w:pPr>
    </w:p>
    <w:p w14:paraId="2A295E3A" w14:textId="77777777" w:rsidR="00A94D25" w:rsidRPr="00883CAE" w:rsidRDefault="00883CAE" w:rsidP="003F1F4B">
      <w:pPr>
        <w:spacing w:after="120"/>
        <w:rPr>
          <w:b/>
          <w:caps/>
          <w:u w:val="single"/>
        </w:rPr>
      </w:pPr>
      <w:r w:rsidRPr="00883CAE">
        <w:rPr>
          <w:b/>
          <w:u w:val="single"/>
        </w:rPr>
        <w:t>Background</w:t>
      </w:r>
    </w:p>
    <w:p w14:paraId="2A295E3B" w14:textId="1AC71311" w:rsidR="00AD6F2B" w:rsidRDefault="00991C76" w:rsidP="003F1F4B">
      <w:pPr>
        <w:spacing w:after="120"/>
      </w:pPr>
      <w:r>
        <w:t xml:space="preserve">On </w:t>
      </w:r>
      <w:r w:rsidR="00DE1014">
        <w:t>October</w:t>
      </w:r>
      <w:r>
        <w:t xml:space="preserve"> </w:t>
      </w:r>
      <w:r w:rsidR="00DE1014">
        <w:t>1</w:t>
      </w:r>
      <w:r w:rsidR="00A94D25">
        <w:t>, 20</w:t>
      </w:r>
      <w:r w:rsidR="00DE1014">
        <w:t>1</w:t>
      </w:r>
      <w:r w:rsidR="00F37B4B">
        <w:t>1</w:t>
      </w:r>
      <w:r w:rsidR="00A94D25">
        <w:t xml:space="preserve">, Cascade filed revisions to its deferred gas cost amortization tariffs in Docket </w:t>
      </w:r>
      <w:r w:rsidR="00DE1014" w:rsidRPr="00DE1014">
        <w:t>UG-1</w:t>
      </w:r>
      <w:r w:rsidR="00AD6F2B">
        <w:t>1</w:t>
      </w:r>
      <w:r w:rsidR="00DD505B">
        <w:t>1</w:t>
      </w:r>
      <w:r w:rsidR="00F37B4B">
        <w:t>757</w:t>
      </w:r>
      <w:r w:rsidR="00A94D25">
        <w:t xml:space="preserve">. The effect of the proposed filings is a </w:t>
      </w:r>
      <w:r w:rsidR="00DE1014">
        <w:t>decrease</w:t>
      </w:r>
      <w:r w:rsidR="00A94D25">
        <w:t xml:space="preserve"> in annual</w:t>
      </w:r>
      <w:r w:rsidR="005C2DB1">
        <w:t xml:space="preserve"> natural</w:t>
      </w:r>
      <w:r w:rsidR="00A94D25">
        <w:t xml:space="preserve"> gas sales revenues of </w:t>
      </w:r>
      <w:r w:rsidR="004C6F97">
        <w:t>$</w:t>
      </w:r>
      <w:r w:rsidR="00685F2E">
        <w:t>12,037,829</w:t>
      </w:r>
      <w:r w:rsidR="00A94D25">
        <w:t xml:space="preserve"> (</w:t>
      </w:r>
      <w:r w:rsidR="004C6F97">
        <w:t>-</w:t>
      </w:r>
      <w:r w:rsidR="00685F2E">
        <w:t>4</w:t>
      </w:r>
      <w:r w:rsidR="00AD6F2B">
        <w:t>.</w:t>
      </w:r>
      <w:r w:rsidR="00685F2E">
        <w:t>8</w:t>
      </w:r>
      <w:r w:rsidR="00AD6F2B">
        <w:t xml:space="preserve"> percent</w:t>
      </w:r>
      <w:r w:rsidR="00A94D25">
        <w:t>).</w:t>
      </w:r>
      <w:r w:rsidR="00AD6F2B">
        <w:t xml:space="preserve"> Cascade did not file a purchase gas adjustment (PGA) tariff revision, which </w:t>
      </w:r>
      <w:r w:rsidR="00685F2E">
        <w:t>generally</w:t>
      </w:r>
      <w:r w:rsidR="00AD6F2B">
        <w:t xml:space="preserve"> but not always occurs simulateously with the deferred gas cost tariff revision.</w:t>
      </w:r>
    </w:p>
    <w:p w14:paraId="2A295E3C" w14:textId="77777777" w:rsidR="00A94D25" w:rsidRDefault="00A94D25" w:rsidP="003F1F4B">
      <w:pPr>
        <w:spacing w:after="120"/>
      </w:pPr>
      <w:r>
        <w:t>The PGA and deferred</w:t>
      </w:r>
      <w:r w:rsidR="005C2DB1">
        <w:t xml:space="preserve"> natural</w:t>
      </w:r>
      <w:r>
        <w:t xml:space="preserve"> gas cost amortization mechanisms are designed to pass through to customers the utility’s actual cost of natural gas on a periodic basis. The PGA establishes for the upcoming year a projection of the utility’s gas costs. The difference between the projected cost and the actual cost is deferred and ultimately amortized back to customers with interest,</w:t>
      </w:r>
      <w:r w:rsidR="00A85FC6">
        <w:t xml:space="preserve"> whether it is a refund or a </w:t>
      </w:r>
      <w:r>
        <w:t>charge.</w:t>
      </w:r>
    </w:p>
    <w:p w14:paraId="2A295E3D" w14:textId="77777777" w:rsidR="00A94D25" w:rsidRDefault="00A85FC6" w:rsidP="003F1F4B">
      <w:pPr>
        <w:spacing w:after="120"/>
      </w:pPr>
      <w:r>
        <w:t xml:space="preserve">Cascade </w:t>
      </w:r>
      <w:r w:rsidR="00A94D25">
        <w:t xml:space="preserve">is a natural gas utility serving approximately </w:t>
      </w:r>
      <w:r w:rsidR="00D6667E">
        <w:t>194</w:t>
      </w:r>
      <w:r w:rsidR="00A94D25">
        <w:t>,</w:t>
      </w:r>
      <w:r w:rsidR="00D6667E">
        <w:t>848</w:t>
      </w:r>
      <w:r w:rsidR="00A94D25">
        <w:t xml:space="preserve"> gas customers in </w:t>
      </w:r>
      <w:r w:rsidR="00687DBE">
        <w:t xml:space="preserve">various areas along </w:t>
      </w:r>
      <w:r w:rsidR="008D3519">
        <w:t xml:space="preserve">the </w:t>
      </w:r>
      <w:r w:rsidR="00687DBE">
        <w:t xml:space="preserve">Northwest Pipeline. </w:t>
      </w:r>
      <w:r w:rsidR="005D69EB">
        <w:t>It</w:t>
      </w:r>
      <w:r>
        <w:t>s m</w:t>
      </w:r>
      <w:r w:rsidR="00227214">
        <w:t xml:space="preserve">ajor </w:t>
      </w:r>
      <w:smartTag w:uri="urn:schemas-microsoft-com:office:smarttags" w:element="State">
        <w:r w:rsidR="00227214">
          <w:t>W</w:t>
        </w:r>
        <w:r w:rsidR="00A94D25">
          <w:t>ashington</w:t>
        </w:r>
      </w:smartTag>
      <w:r w:rsidR="00A94D25">
        <w:t xml:space="preserve"> </w:t>
      </w:r>
      <w:r>
        <w:t xml:space="preserve">service </w:t>
      </w:r>
      <w:r w:rsidR="00227214">
        <w:t xml:space="preserve">locations include </w:t>
      </w:r>
      <w:smartTag w:uri="urn:schemas-microsoft-com:office:smarttags" w:element="City">
        <w:r w:rsidR="00227214">
          <w:t>Bellingham</w:t>
        </w:r>
      </w:smartTag>
      <w:r w:rsidR="00227214">
        <w:t xml:space="preserve">, </w:t>
      </w:r>
      <w:smartTag w:uri="urn:schemas-microsoft-com:office:smarttags" w:element="City">
        <w:r w:rsidR="00227214">
          <w:t>Bremerton</w:t>
        </w:r>
      </w:smartTag>
      <w:r w:rsidR="00227214">
        <w:t xml:space="preserve">, </w:t>
      </w:r>
      <w:smartTag w:uri="urn:schemas-microsoft-com:office:smarttags" w:element="City">
        <w:r w:rsidR="00227214">
          <w:t>Yakima</w:t>
        </w:r>
      </w:smartTag>
      <w:r w:rsidR="00227214">
        <w:t xml:space="preserve">, and </w:t>
      </w:r>
      <w:smartTag w:uri="urn:schemas-microsoft-com:office:smarttags" w:element="City">
        <w:smartTag w:uri="urn:schemas-microsoft-com:office:smarttags" w:element="place">
          <w:r w:rsidR="00227214">
            <w:t>Walla Walla</w:t>
          </w:r>
        </w:smartTag>
      </w:smartTag>
      <w:r>
        <w:t>.</w:t>
      </w:r>
      <w:r w:rsidR="00DE1014" w:rsidRPr="00DE1014">
        <w:t xml:space="preserve"> </w:t>
      </w:r>
    </w:p>
    <w:p w14:paraId="2A295E3E" w14:textId="77777777" w:rsidR="003F1F4B" w:rsidRDefault="003F1F4B" w:rsidP="003F1F4B">
      <w:pPr>
        <w:spacing w:after="120"/>
        <w:rPr>
          <w:b/>
          <w:u w:val="single"/>
        </w:rPr>
      </w:pPr>
    </w:p>
    <w:p w14:paraId="2A295E3F" w14:textId="77777777" w:rsidR="00A85FC6" w:rsidRPr="00A85FC6" w:rsidRDefault="00A85FC6" w:rsidP="003F1F4B">
      <w:pPr>
        <w:spacing w:after="120"/>
        <w:rPr>
          <w:b/>
          <w:u w:val="single"/>
        </w:rPr>
      </w:pPr>
      <w:r w:rsidRPr="00A85FC6">
        <w:rPr>
          <w:b/>
          <w:u w:val="single"/>
        </w:rPr>
        <w:t>Discussion</w:t>
      </w:r>
    </w:p>
    <w:p w14:paraId="2A295E40" w14:textId="77777777" w:rsidR="00A94D25" w:rsidRDefault="00386EEC" w:rsidP="003F1F4B">
      <w:pPr>
        <w:spacing w:after="120"/>
      </w:pPr>
      <w:r>
        <w:t>Cascade</w:t>
      </w:r>
      <w:r w:rsidR="00BC2D2A">
        <w:t xml:space="preserve"> proposes a rate to amortize </w:t>
      </w:r>
      <w:r w:rsidR="000463AB">
        <w:t>deferred</w:t>
      </w:r>
      <w:r w:rsidR="00047DD3">
        <w:t xml:space="preserve"> </w:t>
      </w:r>
      <w:r w:rsidR="005C2DB1">
        <w:t xml:space="preserve">natural </w:t>
      </w:r>
      <w:r w:rsidR="00A94D25">
        <w:t>gas cost</w:t>
      </w:r>
      <w:r w:rsidR="000463AB">
        <w:t>s</w:t>
      </w:r>
      <w:r w:rsidR="00A94D25">
        <w:t xml:space="preserve">. </w:t>
      </w:r>
      <w:r w:rsidR="00047DD3">
        <w:t xml:space="preserve">This filing is designed to pass </w:t>
      </w:r>
      <w:r w:rsidR="005C2DB1">
        <w:t>through to customers the additional natural gas costs the company incurred above the amount</w:t>
      </w:r>
      <w:r w:rsidR="00B44389">
        <w:t>s</w:t>
      </w:r>
      <w:r w:rsidR="00E46B12">
        <w:t xml:space="preserve"> collected. </w:t>
      </w:r>
      <w:r w:rsidR="00A94D25" w:rsidRPr="00920F63">
        <w:t>The</w:t>
      </w:r>
      <w:r w:rsidR="00A94D25">
        <w:t xml:space="preserve"> following table shows the impacts of the filings by customer class:</w:t>
      </w:r>
    </w:p>
    <w:p w14:paraId="2A295E41" w14:textId="77777777" w:rsidR="00A94D25" w:rsidRDefault="00A94D25" w:rsidP="003F1F4B">
      <w:pPr>
        <w:spacing w:after="120"/>
      </w:pPr>
    </w:p>
    <w:p w14:paraId="357FC1B1" w14:textId="77777777" w:rsidR="005F599E" w:rsidRDefault="005F599E" w:rsidP="003F1F4B">
      <w:pPr>
        <w:spacing w:after="120"/>
      </w:pPr>
    </w:p>
    <w:p w14:paraId="013672A7" w14:textId="77777777" w:rsidR="005F599E" w:rsidRDefault="005F599E" w:rsidP="003F1F4B">
      <w:pPr>
        <w:spacing w:after="120"/>
      </w:pPr>
    </w:p>
    <w:p w14:paraId="20D931DC" w14:textId="77777777" w:rsidR="005F599E" w:rsidRDefault="005F599E" w:rsidP="003F1F4B">
      <w:pPr>
        <w:spacing w:after="120"/>
      </w:pPr>
    </w:p>
    <w:p w14:paraId="475A7973" w14:textId="77777777" w:rsidR="005F599E" w:rsidRDefault="005F599E" w:rsidP="003F1F4B">
      <w:pPr>
        <w:spacing w:after="120"/>
      </w:pPr>
    </w:p>
    <w:p w14:paraId="74F1FC6A" w14:textId="77777777" w:rsidR="005F599E" w:rsidRDefault="005F599E" w:rsidP="003F1F4B">
      <w:pPr>
        <w:spacing w:after="120"/>
      </w:pPr>
    </w:p>
    <w:tbl>
      <w:tblPr>
        <w:tblW w:w="9180" w:type="dxa"/>
        <w:tblInd w:w="108" w:type="dxa"/>
        <w:tblLayout w:type="fixed"/>
        <w:tblLook w:val="04A0" w:firstRow="1" w:lastRow="0" w:firstColumn="1" w:lastColumn="0" w:noHBand="0" w:noVBand="1"/>
      </w:tblPr>
      <w:tblGrid>
        <w:gridCol w:w="1980"/>
        <w:gridCol w:w="1980"/>
        <w:gridCol w:w="1980"/>
        <w:gridCol w:w="1530"/>
        <w:gridCol w:w="1710"/>
      </w:tblGrid>
      <w:tr w:rsidR="001E5E48" w14:paraId="2A295E44" w14:textId="77777777" w:rsidTr="000022C0">
        <w:trPr>
          <w:trHeight w:val="315"/>
        </w:trPr>
        <w:tc>
          <w:tcPr>
            <w:tcW w:w="9180" w:type="dxa"/>
            <w:gridSpan w:val="5"/>
            <w:tcBorders>
              <w:top w:val="nil"/>
              <w:left w:val="nil"/>
              <w:bottom w:val="nil"/>
              <w:right w:val="nil"/>
            </w:tcBorders>
            <w:shd w:val="clear" w:color="auto" w:fill="auto"/>
            <w:hideMark/>
          </w:tcPr>
          <w:p w14:paraId="2A295E42" w14:textId="77777777" w:rsidR="001E5E48" w:rsidRDefault="001E5E48">
            <w:pPr>
              <w:jc w:val="center"/>
            </w:pPr>
            <w:r>
              <w:lastRenderedPageBreak/>
              <w:t>TABLE 1</w:t>
            </w:r>
          </w:p>
          <w:p w14:paraId="2A295E43" w14:textId="77777777" w:rsidR="001E5E48" w:rsidRDefault="001E5E48">
            <w:pPr>
              <w:jc w:val="center"/>
            </w:pPr>
          </w:p>
        </w:tc>
      </w:tr>
      <w:tr w:rsidR="009F18B5" w14:paraId="2A295E49" w14:textId="77777777" w:rsidTr="000022C0">
        <w:trPr>
          <w:gridAfter w:val="1"/>
          <w:wAfter w:w="1710" w:type="dxa"/>
          <w:trHeight w:val="630"/>
        </w:trPr>
        <w:tc>
          <w:tcPr>
            <w:tcW w:w="1980" w:type="dxa"/>
            <w:tcBorders>
              <w:top w:val="nil"/>
              <w:left w:val="nil"/>
              <w:bottom w:val="nil"/>
              <w:right w:val="nil"/>
            </w:tcBorders>
            <w:shd w:val="clear" w:color="auto" w:fill="auto"/>
            <w:vAlign w:val="center"/>
            <w:hideMark/>
          </w:tcPr>
          <w:p w14:paraId="2A295E45" w14:textId="77777777" w:rsidR="009F18B5" w:rsidRDefault="009F18B5">
            <w:pPr>
              <w:jc w:val="center"/>
            </w:pPr>
          </w:p>
        </w:tc>
        <w:tc>
          <w:tcPr>
            <w:tcW w:w="1980" w:type="dxa"/>
            <w:tcBorders>
              <w:top w:val="nil"/>
              <w:left w:val="nil"/>
              <w:bottom w:val="single" w:sz="4" w:space="0" w:color="auto"/>
              <w:right w:val="nil"/>
            </w:tcBorders>
            <w:shd w:val="clear" w:color="auto" w:fill="auto"/>
            <w:vAlign w:val="center"/>
            <w:hideMark/>
          </w:tcPr>
          <w:p w14:paraId="2A295E46" w14:textId="77777777" w:rsidR="009F18B5" w:rsidRDefault="009F18B5">
            <w:pPr>
              <w:jc w:val="center"/>
            </w:pPr>
            <w:r>
              <w:t>Amortization Per Therm Change</w:t>
            </w:r>
          </w:p>
        </w:tc>
        <w:tc>
          <w:tcPr>
            <w:tcW w:w="1980" w:type="dxa"/>
            <w:tcBorders>
              <w:top w:val="nil"/>
              <w:left w:val="nil"/>
              <w:bottom w:val="single" w:sz="4" w:space="0" w:color="auto"/>
              <w:right w:val="nil"/>
            </w:tcBorders>
            <w:shd w:val="clear" w:color="auto" w:fill="auto"/>
            <w:vAlign w:val="center"/>
            <w:hideMark/>
          </w:tcPr>
          <w:p w14:paraId="2A295E47" w14:textId="77777777" w:rsidR="009F18B5" w:rsidRDefault="009F18B5">
            <w:pPr>
              <w:jc w:val="center"/>
            </w:pPr>
            <w:r>
              <w:t>Total Annual Revenue Change</w:t>
            </w:r>
          </w:p>
        </w:tc>
        <w:tc>
          <w:tcPr>
            <w:tcW w:w="1530" w:type="dxa"/>
            <w:tcBorders>
              <w:top w:val="nil"/>
              <w:left w:val="nil"/>
              <w:bottom w:val="single" w:sz="4" w:space="0" w:color="auto"/>
              <w:right w:val="nil"/>
            </w:tcBorders>
            <w:shd w:val="clear" w:color="auto" w:fill="auto"/>
            <w:vAlign w:val="center"/>
            <w:hideMark/>
          </w:tcPr>
          <w:p w14:paraId="2A295E48" w14:textId="77777777" w:rsidR="009F18B5" w:rsidRDefault="009F18B5">
            <w:pPr>
              <w:jc w:val="center"/>
            </w:pPr>
            <w:r>
              <w:t>Percent Change</w:t>
            </w:r>
          </w:p>
        </w:tc>
      </w:tr>
      <w:tr w:rsidR="009B5377" w14:paraId="2A295E4E"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4A" w14:textId="77777777" w:rsidR="009B5377" w:rsidRPr="00F86AD3" w:rsidRDefault="009B5377" w:rsidP="00C46386">
            <w:r w:rsidRPr="00F86AD3">
              <w:t>Residential</w:t>
            </w:r>
          </w:p>
        </w:tc>
        <w:tc>
          <w:tcPr>
            <w:tcW w:w="1980" w:type="dxa"/>
            <w:tcBorders>
              <w:top w:val="nil"/>
              <w:left w:val="nil"/>
              <w:bottom w:val="nil"/>
              <w:right w:val="nil"/>
            </w:tcBorders>
            <w:shd w:val="clear" w:color="auto" w:fill="auto"/>
            <w:noWrap/>
          </w:tcPr>
          <w:p w14:paraId="2A295E4B" w14:textId="77777777" w:rsidR="009B5377" w:rsidRPr="00791EAF" w:rsidRDefault="009B5377" w:rsidP="00C46386">
            <w:r w:rsidRPr="00791EAF">
              <w:t xml:space="preserve"> $(0.04888)</w:t>
            </w:r>
          </w:p>
        </w:tc>
        <w:tc>
          <w:tcPr>
            <w:tcW w:w="1980" w:type="dxa"/>
            <w:tcBorders>
              <w:top w:val="nil"/>
              <w:left w:val="nil"/>
              <w:bottom w:val="nil"/>
              <w:right w:val="nil"/>
            </w:tcBorders>
            <w:shd w:val="clear" w:color="auto" w:fill="auto"/>
            <w:noWrap/>
          </w:tcPr>
          <w:p w14:paraId="2A295E4C" w14:textId="77777777" w:rsidR="009B5377" w:rsidRPr="00791EAF" w:rsidRDefault="009B5377" w:rsidP="00C46386">
            <w:r w:rsidRPr="00791EAF">
              <w:t>(5,831,767)</w:t>
            </w:r>
          </w:p>
        </w:tc>
        <w:tc>
          <w:tcPr>
            <w:tcW w:w="1530" w:type="dxa"/>
            <w:tcBorders>
              <w:top w:val="nil"/>
              <w:left w:val="nil"/>
              <w:bottom w:val="nil"/>
              <w:right w:val="nil"/>
            </w:tcBorders>
            <w:shd w:val="clear" w:color="auto" w:fill="auto"/>
            <w:noWrap/>
          </w:tcPr>
          <w:p w14:paraId="2A295E4D" w14:textId="77777777" w:rsidR="009B5377" w:rsidRDefault="009B5377" w:rsidP="00C46386">
            <w:r w:rsidRPr="00791EAF">
              <w:t>-4.63%</w:t>
            </w:r>
          </w:p>
        </w:tc>
      </w:tr>
      <w:tr w:rsidR="009B5377" w14:paraId="2A295E53"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4F" w14:textId="77777777" w:rsidR="009B5377" w:rsidRPr="00F86AD3" w:rsidRDefault="009B5377" w:rsidP="00C46386">
            <w:r w:rsidRPr="00F86AD3">
              <w:t>Commercial</w:t>
            </w:r>
          </w:p>
        </w:tc>
        <w:tc>
          <w:tcPr>
            <w:tcW w:w="1980" w:type="dxa"/>
            <w:tcBorders>
              <w:top w:val="nil"/>
              <w:left w:val="nil"/>
              <w:bottom w:val="nil"/>
              <w:right w:val="nil"/>
            </w:tcBorders>
            <w:shd w:val="clear" w:color="auto" w:fill="auto"/>
            <w:noWrap/>
          </w:tcPr>
          <w:p w14:paraId="2A295E50" w14:textId="77777777" w:rsidR="009B5377" w:rsidRPr="004C4E40" w:rsidRDefault="009B5377" w:rsidP="00C46386">
            <w:r w:rsidRPr="004C4E40">
              <w:t xml:space="preserve"> $(0.04904)</w:t>
            </w:r>
          </w:p>
        </w:tc>
        <w:tc>
          <w:tcPr>
            <w:tcW w:w="1980" w:type="dxa"/>
            <w:tcBorders>
              <w:top w:val="nil"/>
              <w:left w:val="nil"/>
              <w:bottom w:val="nil"/>
              <w:right w:val="nil"/>
            </w:tcBorders>
            <w:shd w:val="clear" w:color="auto" w:fill="auto"/>
            <w:noWrap/>
          </w:tcPr>
          <w:p w14:paraId="2A295E51" w14:textId="77777777" w:rsidR="009B5377" w:rsidRPr="004C4E40" w:rsidRDefault="009B5377" w:rsidP="00C46386">
            <w:r w:rsidRPr="004C4E40">
              <w:t>(4,192,638)</w:t>
            </w:r>
          </w:p>
        </w:tc>
        <w:tc>
          <w:tcPr>
            <w:tcW w:w="1530" w:type="dxa"/>
            <w:tcBorders>
              <w:top w:val="nil"/>
              <w:left w:val="nil"/>
              <w:bottom w:val="nil"/>
              <w:right w:val="nil"/>
            </w:tcBorders>
            <w:shd w:val="clear" w:color="auto" w:fill="auto"/>
            <w:noWrap/>
          </w:tcPr>
          <w:p w14:paraId="2A295E52" w14:textId="77777777" w:rsidR="009B5377" w:rsidRDefault="009B5377" w:rsidP="00C46386">
            <w:r w:rsidRPr="004C4E40">
              <w:t>-4.92%</w:t>
            </w:r>
          </w:p>
        </w:tc>
      </w:tr>
      <w:tr w:rsidR="009B5377" w14:paraId="2A295E58"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54" w14:textId="77777777" w:rsidR="009B5377" w:rsidRPr="00F86AD3" w:rsidRDefault="009B5377" w:rsidP="00C46386">
            <w:r w:rsidRPr="00F86AD3">
              <w:t>Industrial Firm</w:t>
            </w:r>
          </w:p>
        </w:tc>
        <w:tc>
          <w:tcPr>
            <w:tcW w:w="1980" w:type="dxa"/>
            <w:tcBorders>
              <w:top w:val="nil"/>
              <w:left w:val="nil"/>
              <w:bottom w:val="nil"/>
              <w:right w:val="nil"/>
            </w:tcBorders>
            <w:shd w:val="clear" w:color="auto" w:fill="auto"/>
            <w:noWrap/>
          </w:tcPr>
          <w:p w14:paraId="2A295E55" w14:textId="77777777" w:rsidR="009B5377" w:rsidRPr="00CC1638" w:rsidRDefault="009B5377" w:rsidP="00C46386">
            <w:r w:rsidRPr="00CC1638">
              <w:t xml:space="preserve"> $(0.05128)</w:t>
            </w:r>
          </w:p>
        </w:tc>
        <w:tc>
          <w:tcPr>
            <w:tcW w:w="1980" w:type="dxa"/>
            <w:tcBorders>
              <w:top w:val="nil"/>
              <w:left w:val="nil"/>
              <w:bottom w:val="nil"/>
              <w:right w:val="nil"/>
            </w:tcBorders>
            <w:shd w:val="clear" w:color="auto" w:fill="auto"/>
            <w:noWrap/>
          </w:tcPr>
          <w:p w14:paraId="2A295E56" w14:textId="77777777" w:rsidR="009B5377" w:rsidRPr="00CC1638" w:rsidRDefault="009B5377" w:rsidP="00C46386">
            <w:r w:rsidRPr="00CC1638">
              <w:t>(511,803)</w:t>
            </w:r>
          </w:p>
        </w:tc>
        <w:tc>
          <w:tcPr>
            <w:tcW w:w="1530" w:type="dxa"/>
            <w:tcBorders>
              <w:top w:val="nil"/>
              <w:left w:val="nil"/>
              <w:bottom w:val="nil"/>
              <w:right w:val="nil"/>
            </w:tcBorders>
            <w:shd w:val="clear" w:color="auto" w:fill="auto"/>
            <w:noWrap/>
          </w:tcPr>
          <w:p w14:paraId="2A295E57" w14:textId="77777777" w:rsidR="009B5377" w:rsidRDefault="009B5377" w:rsidP="00C46386">
            <w:r w:rsidRPr="00CC1638">
              <w:t>-5.87%</w:t>
            </w:r>
          </w:p>
        </w:tc>
      </w:tr>
      <w:tr w:rsidR="009B5377" w14:paraId="2A295E5D"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59" w14:textId="77777777" w:rsidR="009B5377" w:rsidRPr="00F86AD3" w:rsidRDefault="009B5377" w:rsidP="00C46386">
            <w:r w:rsidRPr="00F86AD3">
              <w:t>Industrial Large</w:t>
            </w:r>
          </w:p>
        </w:tc>
        <w:tc>
          <w:tcPr>
            <w:tcW w:w="1980" w:type="dxa"/>
            <w:tcBorders>
              <w:top w:val="nil"/>
              <w:left w:val="nil"/>
              <w:bottom w:val="nil"/>
              <w:right w:val="nil"/>
            </w:tcBorders>
            <w:shd w:val="clear" w:color="auto" w:fill="auto"/>
            <w:noWrap/>
          </w:tcPr>
          <w:p w14:paraId="2A295E5A" w14:textId="77777777" w:rsidR="009B5377" w:rsidRPr="00E5465B" w:rsidRDefault="009B5377" w:rsidP="00C46386">
            <w:r w:rsidRPr="00E5465B">
              <w:t xml:space="preserve"> $(0.05091)</w:t>
            </w:r>
          </w:p>
        </w:tc>
        <w:tc>
          <w:tcPr>
            <w:tcW w:w="1980" w:type="dxa"/>
            <w:tcBorders>
              <w:top w:val="nil"/>
              <w:left w:val="nil"/>
              <w:bottom w:val="nil"/>
              <w:right w:val="nil"/>
            </w:tcBorders>
            <w:shd w:val="clear" w:color="auto" w:fill="auto"/>
            <w:noWrap/>
          </w:tcPr>
          <w:p w14:paraId="2A295E5B" w14:textId="77777777" w:rsidR="009B5377" w:rsidRPr="00E5465B" w:rsidRDefault="009B5377" w:rsidP="00C46386">
            <w:r w:rsidRPr="00E5465B">
              <w:t>(445,533)</w:t>
            </w:r>
          </w:p>
        </w:tc>
        <w:tc>
          <w:tcPr>
            <w:tcW w:w="1530" w:type="dxa"/>
            <w:tcBorders>
              <w:top w:val="nil"/>
              <w:left w:val="nil"/>
              <w:bottom w:val="nil"/>
              <w:right w:val="nil"/>
            </w:tcBorders>
            <w:shd w:val="clear" w:color="auto" w:fill="auto"/>
            <w:noWrap/>
          </w:tcPr>
          <w:p w14:paraId="2A295E5C" w14:textId="77777777" w:rsidR="009B5377" w:rsidRDefault="009B5377" w:rsidP="00C46386">
            <w:r w:rsidRPr="00E5465B">
              <w:t>-5.96%</w:t>
            </w:r>
          </w:p>
        </w:tc>
      </w:tr>
      <w:tr w:rsidR="009B5377" w14:paraId="2A295E62"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5E" w14:textId="77777777" w:rsidR="009B5377" w:rsidRPr="00F86AD3" w:rsidRDefault="009B5377" w:rsidP="00C46386">
            <w:r w:rsidRPr="00F86AD3">
              <w:t>Interruptible</w:t>
            </w:r>
          </w:p>
        </w:tc>
        <w:tc>
          <w:tcPr>
            <w:tcW w:w="1980" w:type="dxa"/>
            <w:tcBorders>
              <w:top w:val="nil"/>
              <w:left w:val="nil"/>
              <w:bottom w:val="nil"/>
              <w:right w:val="nil"/>
            </w:tcBorders>
            <w:shd w:val="clear" w:color="auto" w:fill="auto"/>
            <w:noWrap/>
          </w:tcPr>
          <w:p w14:paraId="2A295E5F" w14:textId="77777777" w:rsidR="009B5377" w:rsidRPr="00FE2097" w:rsidRDefault="009B5377" w:rsidP="00C46386">
            <w:r w:rsidRPr="00FE2097">
              <w:t xml:space="preserve"> $(0.05151)</w:t>
            </w:r>
          </w:p>
        </w:tc>
        <w:tc>
          <w:tcPr>
            <w:tcW w:w="1980" w:type="dxa"/>
            <w:tcBorders>
              <w:top w:val="nil"/>
              <w:left w:val="nil"/>
              <w:bottom w:val="nil"/>
              <w:right w:val="nil"/>
            </w:tcBorders>
            <w:shd w:val="clear" w:color="auto" w:fill="auto"/>
            <w:noWrap/>
          </w:tcPr>
          <w:p w14:paraId="2A295E60" w14:textId="77777777" w:rsidR="009B5377" w:rsidRPr="00FE2097" w:rsidRDefault="009B5377" w:rsidP="00C46386">
            <w:r w:rsidRPr="00FE2097">
              <w:t>(224,470)</w:t>
            </w:r>
          </w:p>
        </w:tc>
        <w:tc>
          <w:tcPr>
            <w:tcW w:w="1530" w:type="dxa"/>
            <w:tcBorders>
              <w:top w:val="nil"/>
              <w:left w:val="nil"/>
              <w:bottom w:val="nil"/>
              <w:right w:val="nil"/>
            </w:tcBorders>
            <w:shd w:val="clear" w:color="auto" w:fill="auto"/>
            <w:noWrap/>
          </w:tcPr>
          <w:p w14:paraId="2A295E61" w14:textId="77777777" w:rsidR="009B5377" w:rsidRDefault="009B5377" w:rsidP="00C46386">
            <w:r w:rsidRPr="00FE2097">
              <w:t>-6.85%</w:t>
            </w:r>
          </w:p>
        </w:tc>
      </w:tr>
      <w:tr w:rsidR="009B5377" w14:paraId="2A295E67"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63" w14:textId="77777777" w:rsidR="009B5377" w:rsidRPr="00F86AD3" w:rsidRDefault="009B5377" w:rsidP="00C46386">
            <w:r w:rsidRPr="00F86AD3">
              <w:t>Interruptible Inst</w:t>
            </w:r>
            <w:r>
              <w:t>.</w:t>
            </w:r>
          </w:p>
        </w:tc>
        <w:tc>
          <w:tcPr>
            <w:tcW w:w="1980" w:type="dxa"/>
            <w:tcBorders>
              <w:top w:val="nil"/>
              <w:left w:val="nil"/>
              <w:right w:val="nil"/>
            </w:tcBorders>
            <w:shd w:val="clear" w:color="auto" w:fill="auto"/>
            <w:noWrap/>
          </w:tcPr>
          <w:p w14:paraId="2A295E64" w14:textId="77777777" w:rsidR="009B5377" w:rsidRPr="00555886" w:rsidRDefault="009B5377" w:rsidP="00C46386">
            <w:r w:rsidRPr="00555886">
              <w:t xml:space="preserve"> $(0.05151)</w:t>
            </w:r>
          </w:p>
        </w:tc>
        <w:tc>
          <w:tcPr>
            <w:tcW w:w="1980" w:type="dxa"/>
            <w:tcBorders>
              <w:top w:val="nil"/>
              <w:left w:val="nil"/>
              <w:right w:val="nil"/>
            </w:tcBorders>
            <w:shd w:val="clear" w:color="auto" w:fill="auto"/>
            <w:noWrap/>
          </w:tcPr>
          <w:p w14:paraId="2A295E65" w14:textId="77777777" w:rsidR="009B5377" w:rsidRPr="00555886" w:rsidRDefault="009B5377" w:rsidP="00C46386">
            <w:r w:rsidRPr="00555886">
              <w:t>(23,738)</w:t>
            </w:r>
          </w:p>
        </w:tc>
        <w:tc>
          <w:tcPr>
            <w:tcW w:w="1530" w:type="dxa"/>
            <w:tcBorders>
              <w:top w:val="nil"/>
              <w:left w:val="nil"/>
              <w:right w:val="nil"/>
            </w:tcBorders>
            <w:shd w:val="clear" w:color="auto" w:fill="auto"/>
            <w:noWrap/>
          </w:tcPr>
          <w:p w14:paraId="2A295E66" w14:textId="77777777" w:rsidR="009B5377" w:rsidRDefault="009B5377" w:rsidP="00C46386">
            <w:r w:rsidRPr="00555886">
              <w:t>-6.37%</w:t>
            </w:r>
          </w:p>
        </w:tc>
      </w:tr>
      <w:tr w:rsidR="009B5377" w14:paraId="2A295E6C"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68" w14:textId="77777777" w:rsidR="009B5377" w:rsidRPr="00F86AD3" w:rsidRDefault="009B5377" w:rsidP="00C46386">
            <w:r w:rsidRPr="00F86AD3">
              <w:t>Noncore Dist</w:t>
            </w:r>
          </w:p>
        </w:tc>
        <w:tc>
          <w:tcPr>
            <w:tcW w:w="1980" w:type="dxa"/>
            <w:tcBorders>
              <w:top w:val="nil"/>
              <w:left w:val="nil"/>
              <w:right w:val="nil"/>
            </w:tcBorders>
            <w:shd w:val="clear" w:color="auto" w:fill="auto"/>
            <w:noWrap/>
          </w:tcPr>
          <w:p w14:paraId="2A295E69" w14:textId="77777777" w:rsidR="009B5377" w:rsidRPr="00190962" w:rsidRDefault="009B5377" w:rsidP="00C46386">
            <w:r w:rsidRPr="00190962">
              <w:t xml:space="preserve"> $(0.00212)</w:t>
            </w:r>
          </w:p>
        </w:tc>
        <w:tc>
          <w:tcPr>
            <w:tcW w:w="1980" w:type="dxa"/>
            <w:tcBorders>
              <w:top w:val="nil"/>
              <w:left w:val="nil"/>
              <w:right w:val="nil"/>
            </w:tcBorders>
            <w:shd w:val="clear" w:color="auto" w:fill="auto"/>
            <w:noWrap/>
          </w:tcPr>
          <w:p w14:paraId="2A295E6A" w14:textId="77777777" w:rsidR="009B5377" w:rsidRPr="00190962" w:rsidRDefault="009B5377" w:rsidP="00C46386">
            <w:r w:rsidRPr="00190962">
              <w:t>(783,023)</w:t>
            </w:r>
          </w:p>
        </w:tc>
        <w:tc>
          <w:tcPr>
            <w:tcW w:w="1530" w:type="dxa"/>
            <w:tcBorders>
              <w:top w:val="nil"/>
              <w:left w:val="nil"/>
              <w:right w:val="nil"/>
            </w:tcBorders>
            <w:shd w:val="clear" w:color="auto" w:fill="auto"/>
            <w:noWrap/>
          </w:tcPr>
          <w:p w14:paraId="2A295E6B" w14:textId="77777777" w:rsidR="009B5377" w:rsidRDefault="009B5377" w:rsidP="00C46386">
            <w:r w:rsidRPr="00190962">
              <w:t>-5.81%</w:t>
            </w:r>
          </w:p>
        </w:tc>
      </w:tr>
      <w:tr w:rsidR="009B5377" w14:paraId="2A295E71" w14:textId="77777777" w:rsidTr="00AD6F2B">
        <w:trPr>
          <w:gridAfter w:val="1"/>
          <w:wAfter w:w="1710" w:type="dxa"/>
          <w:trHeight w:val="315"/>
        </w:trPr>
        <w:tc>
          <w:tcPr>
            <w:tcW w:w="1980" w:type="dxa"/>
            <w:tcBorders>
              <w:top w:val="nil"/>
              <w:left w:val="nil"/>
              <w:bottom w:val="nil"/>
              <w:right w:val="nil"/>
            </w:tcBorders>
            <w:shd w:val="clear" w:color="auto" w:fill="auto"/>
            <w:noWrap/>
            <w:hideMark/>
          </w:tcPr>
          <w:p w14:paraId="2A295E6D" w14:textId="77777777" w:rsidR="009B5377" w:rsidRDefault="009B5377" w:rsidP="00C46386">
            <w:r w:rsidRPr="00F86AD3">
              <w:t>Noncore Trans</w:t>
            </w:r>
          </w:p>
        </w:tc>
        <w:tc>
          <w:tcPr>
            <w:tcW w:w="1980" w:type="dxa"/>
            <w:tcBorders>
              <w:left w:val="nil"/>
              <w:bottom w:val="single" w:sz="4" w:space="0" w:color="auto"/>
              <w:right w:val="nil"/>
            </w:tcBorders>
            <w:shd w:val="clear" w:color="auto" w:fill="auto"/>
            <w:noWrap/>
          </w:tcPr>
          <w:p w14:paraId="2A295E6E" w14:textId="77777777" w:rsidR="009B5377" w:rsidRPr="00532A8C" w:rsidRDefault="009B5377" w:rsidP="00C46386">
            <w:r w:rsidRPr="00532A8C">
              <w:t xml:space="preserve"> $-   </w:t>
            </w:r>
          </w:p>
        </w:tc>
        <w:tc>
          <w:tcPr>
            <w:tcW w:w="1980" w:type="dxa"/>
            <w:tcBorders>
              <w:left w:val="nil"/>
              <w:bottom w:val="single" w:sz="4" w:space="0" w:color="auto"/>
              <w:right w:val="nil"/>
            </w:tcBorders>
            <w:shd w:val="clear" w:color="auto" w:fill="auto"/>
            <w:noWrap/>
          </w:tcPr>
          <w:p w14:paraId="2A295E6F" w14:textId="77777777" w:rsidR="009B5377" w:rsidRPr="00532A8C" w:rsidRDefault="009B5377" w:rsidP="00C46386">
            <w:r w:rsidRPr="00532A8C">
              <w:t xml:space="preserve"> -   </w:t>
            </w:r>
          </w:p>
        </w:tc>
        <w:tc>
          <w:tcPr>
            <w:tcW w:w="1530" w:type="dxa"/>
            <w:tcBorders>
              <w:left w:val="nil"/>
              <w:bottom w:val="single" w:sz="4" w:space="0" w:color="auto"/>
              <w:right w:val="nil"/>
            </w:tcBorders>
            <w:shd w:val="clear" w:color="auto" w:fill="auto"/>
            <w:noWrap/>
          </w:tcPr>
          <w:p w14:paraId="2A295E70" w14:textId="77777777" w:rsidR="009B5377" w:rsidRDefault="009B5377" w:rsidP="00C46386">
            <w:r w:rsidRPr="00532A8C">
              <w:t xml:space="preserve"> -   </w:t>
            </w:r>
          </w:p>
        </w:tc>
      </w:tr>
      <w:tr w:rsidR="009F18B5" w14:paraId="2A295E76" w14:textId="77777777" w:rsidTr="00AD6F2B">
        <w:trPr>
          <w:gridAfter w:val="1"/>
          <w:wAfter w:w="1710" w:type="dxa"/>
          <w:trHeight w:val="330"/>
        </w:trPr>
        <w:tc>
          <w:tcPr>
            <w:tcW w:w="1980" w:type="dxa"/>
            <w:tcBorders>
              <w:top w:val="nil"/>
              <w:left w:val="nil"/>
              <w:bottom w:val="nil"/>
              <w:right w:val="nil"/>
            </w:tcBorders>
            <w:shd w:val="clear" w:color="auto" w:fill="auto"/>
            <w:noWrap/>
            <w:hideMark/>
          </w:tcPr>
          <w:p w14:paraId="2A295E72" w14:textId="77777777" w:rsidR="009F18B5" w:rsidRDefault="009F18B5">
            <w:r>
              <w:t>TOTAL</w:t>
            </w:r>
          </w:p>
        </w:tc>
        <w:tc>
          <w:tcPr>
            <w:tcW w:w="1980" w:type="dxa"/>
            <w:tcBorders>
              <w:top w:val="nil"/>
              <w:left w:val="nil"/>
              <w:bottom w:val="nil"/>
              <w:right w:val="nil"/>
            </w:tcBorders>
            <w:shd w:val="clear" w:color="auto" w:fill="auto"/>
            <w:noWrap/>
            <w:hideMark/>
          </w:tcPr>
          <w:p w14:paraId="2A295E73" w14:textId="77777777" w:rsidR="009F18B5" w:rsidRDefault="009F18B5">
            <w:pPr>
              <w:ind w:firstLineChars="300" w:firstLine="720"/>
            </w:pPr>
          </w:p>
        </w:tc>
        <w:tc>
          <w:tcPr>
            <w:tcW w:w="1980" w:type="dxa"/>
            <w:tcBorders>
              <w:top w:val="nil"/>
              <w:left w:val="nil"/>
              <w:bottom w:val="double" w:sz="6" w:space="0" w:color="auto"/>
              <w:right w:val="nil"/>
            </w:tcBorders>
            <w:shd w:val="clear" w:color="auto" w:fill="auto"/>
            <w:noWrap/>
          </w:tcPr>
          <w:p w14:paraId="2A295E74" w14:textId="77777777" w:rsidR="009F18B5" w:rsidRDefault="00DE27DD" w:rsidP="00DE27DD">
            <w:r w:rsidRPr="00DE27DD">
              <w:t>$(12,012,973)</w:t>
            </w:r>
          </w:p>
        </w:tc>
        <w:tc>
          <w:tcPr>
            <w:tcW w:w="1530" w:type="dxa"/>
            <w:tcBorders>
              <w:top w:val="nil"/>
              <w:left w:val="nil"/>
              <w:bottom w:val="double" w:sz="6" w:space="0" w:color="auto"/>
              <w:right w:val="nil"/>
            </w:tcBorders>
            <w:shd w:val="clear" w:color="auto" w:fill="auto"/>
            <w:noWrap/>
          </w:tcPr>
          <w:p w14:paraId="2A295E75" w14:textId="77777777" w:rsidR="009F18B5" w:rsidRPr="00DE27DD" w:rsidRDefault="00DE27DD" w:rsidP="00DE27DD">
            <w:r w:rsidRPr="00DE27DD">
              <w:t>-4.8%</w:t>
            </w:r>
          </w:p>
        </w:tc>
      </w:tr>
    </w:tbl>
    <w:p w14:paraId="2A295E77" w14:textId="77777777" w:rsidR="00A94D25" w:rsidRDefault="00A94D25" w:rsidP="003F1F4B">
      <w:pPr>
        <w:spacing w:after="120"/>
      </w:pPr>
    </w:p>
    <w:p w14:paraId="2A295E78" w14:textId="77777777" w:rsidR="00A94D25" w:rsidRDefault="00A94D25" w:rsidP="003F1F4B">
      <w:pPr>
        <w:spacing w:after="120"/>
      </w:pPr>
      <w:r>
        <w:t xml:space="preserve">The impact of </w:t>
      </w:r>
      <w:r w:rsidR="00216A96">
        <w:t xml:space="preserve">the </w:t>
      </w:r>
      <w:r w:rsidR="00AD6F2B">
        <w:t>filing</w:t>
      </w:r>
      <w:r>
        <w:t xml:space="preserve"> on </w:t>
      </w:r>
      <w:r w:rsidR="00216A96">
        <w:t>the average</w:t>
      </w:r>
      <w:r>
        <w:t xml:space="preserve"> monthly bill for a residential customer with </w:t>
      </w:r>
      <w:r w:rsidR="00047DD3">
        <w:t xml:space="preserve">monthly consumption of </w:t>
      </w:r>
      <w:r w:rsidR="009F18B5">
        <w:t>58</w:t>
      </w:r>
      <w:r>
        <w:t xml:space="preserve"> therms will be a </w:t>
      </w:r>
      <w:r w:rsidR="00047DD3">
        <w:t xml:space="preserve">net </w:t>
      </w:r>
      <w:r w:rsidR="009567B9">
        <w:t>decrease</w:t>
      </w:r>
      <w:r>
        <w:t xml:space="preserve"> of $</w:t>
      </w:r>
      <w:r w:rsidR="009F18B5">
        <w:t>2</w:t>
      </w:r>
      <w:r w:rsidR="00471B80">
        <w:t>.</w:t>
      </w:r>
      <w:r w:rsidR="009F18B5">
        <w:t>74</w:t>
      </w:r>
      <w:r w:rsidR="00047DD3">
        <w:t xml:space="preserve"> or</w:t>
      </w:r>
      <w:r w:rsidR="009567B9">
        <w:t xml:space="preserve"> </w:t>
      </w:r>
      <w:r w:rsidR="009F18B5">
        <w:t>4</w:t>
      </w:r>
      <w:r w:rsidR="00047DD3">
        <w:t>.</w:t>
      </w:r>
      <w:r w:rsidR="009F18B5">
        <w:t>45</w:t>
      </w:r>
      <w:r>
        <w:t xml:space="preserve"> percent.</w:t>
      </w:r>
    </w:p>
    <w:p w14:paraId="2A295E79" w14:textId="77777777" w:rsidR="000022C0" w:rsidRDefault="000022C0" w:rsidP="00BC5607"/>
    <w:p w14:paraId="2A295E7A" w14:textId="52B75C15" w:rsidR="00AD6F2B" w:rsidRDefault="00941095" w:rsidP="00BC5607">
      <w:r>
        <w:t xml:space="preserve">Cascade did not file a PGA tariff revision because a 2 percent decrease in its gas commodity cost have been essentially offset by a 2 percent increase </w:t>
      </w:r>
      <w:r w:rsidR="00F37B4B">
        <w:t xml:space="preserve">in </w:t>
      </w:r>
      <w:r>
        <w:t xml:space="preserve">its pipline demand costs. While commodity gas costs have </w:t>
      </w:r>
      <w:r w:rsidR="00CA4456">
        <w:t xml:space="preserve">declined </w:t>
      </w:r>
      <w:r>
        <w:t>since Cascade filed its last PGA tariff revisions</w:t>
      </w:r>
      <w:r w:rsidR="0047220D">
        <w:t>,</w:t>
      </w:r>
      <w:r>
        <w:t xml:space="preserve"> staff accepts the company’s position that the tariff should not be revised at this time. Staff hop</w:t>
      </w:r>
      <w:r w:rsidR="00646931">
        <w:t xml:space="preserve">es that Cascade will soon be able to file a PGA that reflects lower wholesale </w:t>
      </w:r>
      <w:r w:rsidR="00DE27DD">
        <w:t xml:space="preserve">natural </w:t>
      </w:r>
      <w:r w:rsidR="00646931">
        <w:t xml:space="preserve">gas prices in its rates.  </w:t>
      </w:r>
    </w:p>
    <w:p w14:paraId="2A295E7B" w14:textId="77777777" w:rsidR="00AD6F2B" w:rsidRDefault="00AD6F2B" w:rsidP="00BC5607"/>
    <w:p w14:paraId="2A295E7C" w14:textId="1E2D0307" w:rsidR="000022C0" w:rsidRPr="00883CAE" w:rsidRDefault="000022C0" w:rsidP="000022C0">
      <w:pPr>
        <w:spacing w:after="120"/>
        <w:rPr>
          <w:b/>
          <w:caps/>
          <w:u w:val="single"/>
        </w:rPr>
      </w:pPr>
      <w:r w:rsidRPr="00883CAE">
        <w:rPr>
          <w:b/>
          <w:u w:val="single"/>
        </w:rPr>
        <w:t>C</w:t>
      </w:r>
      <w:r>
        <w:rPr>
          <w:b/>
          <w:u w:val="single"/>
        </w:rPr>
        <w:t>ustomer Comments</w:t>
      </w:r>
    </w:p>
    <w:p w14:paraId="5A21FD18" w14:textId="0484AB56" w:rsidR="005F599E" w:rsidRDefault="004E2C2D" w:rsidP="003F1F4B">
      <w:pPr>
        <w:spacing w:after="120"/>
        <w:rPr>
          <w:b/>
          <w:u w:val="single"/>
        </w:rPr>
      </w:pPr>
      <w:r w:rsidRPr="004E2C2D">
        <w:t>The company is not required to notify its customers if there is no change to its tariff. However, the company did explain the PGA process in its September newsletter to its customers. The commission did not receive any customer comments on this filing.</w:t>
      </w:r>
    </w:p>
    <w:p w14:paraId="2A295E7F" w14:textId="77777777" w:rsidR="00A94D25" w:rsidRPr="00883CAE" w:rsidRDefault="00883CAE" w:rsidP="003F1F4B">
      <w:pPr>
        <w:spacing w:after="120"/>
        <w:rPr>
          <w:b/>
          <w:caps/>
          <w:u w:val="single"/>
        </w:rPr>
      </w:pPr>
      <w:r w:rsidRPr="00883CAE">
        <w:rPr>
          <w:b/>
          <w:u w:val="single"/>
        </w:rPr>
        <w:t>Conclusion</w:t>
      </w:r>
    </w:p>
    <w:p w14:paraId="2A295E80" w14:textId="77777777" w:rsidR="00A94D25" w:rsidRDefault="00A94D25" w:rsidP="003F1F4B">
      <w:pPr>
        <w:spacing w:after="120"/>
      </w:pPr>
      <w:r>
        <w:t xml:space="preserve">Staff has reviewed </w:t>
      </w:r>
      <w:r w:rsidR="00047DD3">
        <w:t>Cascade’s</w:t>
      </w:r>
      <w:r>
        <w:t xml:space="preserve"> prospective</w:t>
      </w:r>
      <w:r w:rsidR="00216A96">
        <w:t xml:space="preserve"> natural</w:t>
      </w:r>
      <w:r>
        <w:t xml:space="preserve"> gas costs and deferral </w:t>
      </w:r>
      <w:r w:rsidR="00216A96">
        <w:t>amortization filings an</w:t>
      </w:r>
      <w:r w:rsidR="00E46B12">
        <w:t xml:space="preserve">d found them to be reasonable. </w:t>
      </w:r>
      <w:r w:rsidR="00216A96">
        <w:t xml:space="preserve">Therefore, </w:t>
      </w:r>
      <w:r w:rsidR="00820C8B">
        <w:t>s</w:t>
      </w:r>
      <w:r>
        <w:t>ta</w:t>
      </w:r>
      <w:r w:rsidR="00820C8B">
        <w:t>ff recommends the c</w:t>
      </w:r>
      <w:r w:rsidR="00C36F82">
        <w:t xml:space="preserve">ommission </w:t>
      </w:r>
      <w:r>
        <w:t xml:space="preserve">take no action, </w:t>
      </w:r>
      <w:r w:rsidR="00386EEC">
        <w:t xml:space="preserve">thereby </w:t>
      </w:r>
      <w:r>
        <w:t>allowing the tariff filing in Docket UG-</w:t>
      </w:r>
      <w:r w:rsidR="00646931">
        <w:t>11</w:t>
      </w:r>
      <w:r w:rsidR="00685F2E">
        <w:t>1757</w:t>
      </w:r>
      <w:r>
        <w:t xml:space="preserve"> to take effect </w:t>
      </w:r>
      <w:r w:rsidR="00047DD3">
        <w:t>November</w:t>
      </w:r>
      <w:r>
        <w:t xml:space="preserve"> 1, 20</w:t>
      </w:r>
      <w:r w:rsidR="00820C8B">
        <w:t>1</w:t>
      </w:r>
      <w:r w:rsidR="00646931">
        <w:t>1</w:t>
      </w:r>
      <w:r>
        <w:t>, by operation of law.</w:t>
      </w:r>
    </w:p>
    <w:sectPr w:rsidR="00A94D25" w:rsidSect="00920F63">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95E89" w14:textId="77777777" w:rsidR="00C46386" w:rsidRDefault="00C46386">
      <w:r>
        <w:separator/>
      </w:r>
    </w:p>
  </w:endnote>
  <w:endnote w:type="continuationSeparator" w:id="0">
    <w:p w14:paraId="2A295E8A" w14:textId="77777777" w:rsidR="00C46386" w:rsidRDefault="00C4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5E87" w14:textId="77777777" w:rsidR="00C46386" w:rsidRDefault="00C46386">
      <w:r>
        <w:separator/>
      </w:r>
    </w:p>
  </w:footnote>
  <w:footnote w:type="continuationSeparator" w:id="0">
    <w:p w14:paraId="2A295E88" w14:textId="77777777" w:rsidR="00C46386" w:rsidRDefault="00C4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5E8B" w14:textId="52F961EB" w:rsidR="00C46386" w:rsidRPr="003F1F4B" w:rsidRDefault="00C46386">
    <w:pPr>
      <w:pStyle w:val="Header"/>
      <w:rPr>
        <w:sz w:val="20"/>
        <w:szCs w:val="20"/>
      </w:rPr>
    </w:pPr>
    <w:r w:rsidRPr="003F1F4B">
      <w:rPr>
        <w:sz w:val="20"/>
        <w:szCs w:val="20"/>
      </w:rPr>
      <w:t>Dockets UG-</w:t>
    </w:r>
    <w:r>
      <w:rPr>
        <w:sz w:val="20"/>
        <w:szCs w:val="20"/>
      </w:rPr>
      <w:t>111757</w:t>
    </w:r>
  </w:p>
  <w:p w14:paraId="2A295E8C" w14:textId="42949B98" w:rsidR="00C46386" w:rsidRPr="003F1F4B" w:rsidRDefault="00C46386">
    <w:pPr>
      <w:pStyle w:val="Header"/>
      <w:rPr>
        <w:sz w:val="20"/>
        <w:szCs w:val="20"/>
      </w:rPr>
    </w:pPr>
    <w:r>
      <w:rPr>
        <w:sz w:val="20"/>
        <w:szCs w:val="20"/>
      </w:rPr>
      <w:t>October 27, 2011</w:t>
    </w:r>
  </w:p>
  <w:p w14:paraId="2A295E8D" w14:textId="77777777" w:rsidR="00C46386" w:rsidRDefault="00C46386">
    <w:pPr>
      <w:pStyle w:val="Header"/>
      <w:rPr>
        <w:sz w:val="20"/>
        <w:szCs w:val="20"/>
      </w:rPr>
    </w:pPr>
    <w:r w:rsidRPr="003F1F4B">
      <w:rPr>
        <w:sz w:val="20"/>
        <w:szCs w:val="20"/>
      </w:rPr>
      <w:t xml:space="preserve">Page </w:t>
    </w:r>
    <w:r w:rsidRPr="003F1F4B">
      <w:rPr>
        <w:sz w:val="20"/>
        <w:szCs w:val="20"/>
      </w:rPr>
      <w:fldChar w:fldCharType="begin"/>
    </w:r>
    <w:r w:rsidRPr="003F1F4B">
      <w:rPr>
        <w:sz w:val="20"/>
        <w:szCs w:val="20"/>
      </w:rPr>
      <w:instrText xml:space="preserve"> PAGE </w:instrText>
    </w:r>
    <w:r w:rsidRPr="003F1F4B">
      <w:rPr>
        <w:sz w:val="20"/>
        <w:szCs w:val="20"/>
      </w:rPr>
      <w:fldChar w:fldCharType="separate"/>
    </w:r>
    <w:r w:rsidR="0047674D">
      <w:rPr>
        <w:noProof/>
        <w:sz w:val="20"/>
        <w:szCs w:val="20"/>
      </w:rPr>
      <w:t>2</w:t>
    </w:r>
    <w:r w:rsidRPr="003F1F4B">
      <w:rPr>
        <w:sz w:val="20"/>
        <w:szCs w:val="20"/>
      </w:rPr>
      <w:fldChar w:fldCharType="end"/>
    </w:r>
    <w:r w:rsidRPr="003F1F4B">
      <w:rPr>
        <w:sz w:val="20"/>
        <w:szCs w:val="20"/>
      </w:rPr>
      <w:t xml:space="preserve"> of </w:t>
    </w:r>
    <w:r w:rsidRPr="003F1F4B">
      <w:rPr>
        <w:sz w:val="20"/>
        <w:szCs w:val="20"/>
      </w:rPr>
      <w:fldChar w:fldCharType="begin"/>
    </w:r>
    <w:r w:rsidRPr="003F1F4B">
      <w:rPr>
        <w:sz w:val="20"/>
        <w:szCs w:val="20"/>
      </w:rPr>
      <w:instrText xml:space="preserve"> NUMPAGES </w:instrText>
    </w:r>
    <w:r w:rsidRPr="003F1F4B">
      <w:rPr>
        <w:sz w:val="20"/>
        <w:szCs w:val="20"/>
      </w:rPr>
      <w:fldChar w:fldCharType="separate"/>
    </w:r>
    <w:r w:rsidR="0047674D">
      <w:rPr>
        <w:noProof/>
        <w:sz w:val="20"/>
        <w:szCs w:val="20"/>
      </w:rPr>
      <w:t>2</w:t>
    </w:r>
    <w:r w:rsidRPr="003F1F4B">
      <w:rPr>
        <w:sz w:val="20"/>
        <w:szCs w:val="20"/>
      </w:rPr>
      <w:fldChar w:fldCharType="end"/>
    </w:r>
  </w:p>
  <w:p w14:paraId="2A295E8E" w14:textId="77777777" w:rsidR="00C46386" w:rsidRDefault="00C46386">
    <w:pPr>
      <w:pStyle w:val="Header"/>
      <w:rPr>
        <w:sz w:val="20"/>
        <w:szCs w:val="20"/>
      </w:rPr>
    </w:pPr>
  </w:p>
  <w:p w14:paraId="2A295E8F" w14:textId="77777777" w:rsidR="00C46386" w:rsidRPr="003F1F4B" w:rsidRDefault="00C46386">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25"/>
    <w:rsid w:val="000022C0"/>
    <w:rsid w:val="000463AB"/>
    <w:rsid w:val="00047DD3"/>
    <w:rsid w:val="000E369A"/>
    <w:rsid w:val="00102D4C"/>
    <w:rsid w:val="0010327C"/>
    <w:rsid w:val="00127089"/>
    <w:rsid w:val="001574A6"/>
    <w:rsid w:val="00161634"/>
    <w:rsid w:val="00190E3F"/>
    <w:rsid w:val="001A33FB"/>
    <w:rsid w:val="001A708C"/>
    <w:rsid w:val="001B3AE3"/>
    <w:rsid w:val="001D262E"/>
    <w:rsid w:val="001D3BE3"/>
    <w:rsid w:val="001E0527"/>
    <w:rsid w:val="001E5E48"/>
    <w:rsid w:val="001F46AF"/>
    <w:rsid w:val="0020447B"/>
    <w:rsid w:val="002065E2"/>
    <w:rsid w:val="00216A96"/>
    <w:rsid w:val="0021749C"/>
    <w:rsid w:val="00227214"/>
    <w:rsid w:val="002344C7"/>
    <w:rsid w:val="00242E57"/>
    <w:rsid w:val="0026151D"/>
    <w:rsid w:val="002650E1"/>
    <w:rsid w:val="0028485F"/>
    <w:rsid w:val="002D2D87"/>
    <w:rsid w:val="002D61D4"/>
    <w:rsid w:val="002F3021"/>
    <w:rsid w:val="003320A0"/>
    <w:rsid w:val="00351D29"/>
    <w:rsid w:val="00386EEC"/>
    <w:rsid w:val="0039614F"/>
    <w:rsid w:val="003A1CC0"/>
    <w:rsid w:val="003A2A9F"/>
    <w:rsid w:val="003E5E18"/>
    <w:rsid w:val="003F1F4B"/>
    <w:rsid w:val="00411E6B"/>
    <w:rsid w:val="00422F0A"/>
    <w:rsid w:val="00466E61"/>
    <w:rsid w:val="00471B80"/>
    <w:rsid w:val="0047220D"/>
    <w:rsid w:val="0047674D"/>
    <w:rsid w:val="00484A29"/>
    <w:rsid w:val="00494122"/>
    <w:rsid w:val="00494D94"/>
    <w:rsid w:val="004A3482"/>
    <w:rsid w:val="004A7E6A"/>
    <w:rsid w:val="004B3160"/>
    <w:rsid w:val="004C6F97"/>
    <w:rsid w:val="004D4908"/>
    <w:rsid w:val="004E2C2D"/>
    <w:rsid w:val="004E362B"/>
    <w:rsid w:val="0050543B"/>
    <w:rsid w:val="00511B59"/>
    <w:rsid w:val="00520449"/>
    <w:rsid w:val="00544EA2"/>
    <w:rsid w:val="005564BF"/>
    <w:rsid w:val="005671AA"/>
    <w:rsid w:val="00582CEB"/>
    <w:rsid w:val="00590F16"/>
    <w:rsid w:val="005C2DB1"/>
    <w:rsid w:val="005D69EB"/>
    <w:rsid w:val="005D7C93"/>
    <w:rsid w:val="005E13B4"/>
    <w:rsid w:val="005F599E"/>
    <w:rsid w:val="006160F0"/>
    <w:rsid w:val="006243E4"/>
    <w:rsid w:val="00634D4D"/>
    <w:rsid w:val="00646931"/>
    <w:rsid w:val="006509CE"/>
    <w:rsid w:val="00673861"/>
    <w:rsid w:val="00685F2E"/>
    <w:rsid w:val="00687DBE"/>
    <w:rsid w:val="006A1556"/>
    <w:rsid w:val="006A30E9"/>
    <w:rsid w:val="006A58DC"/>
    <w:rsid w:val="006B1BB2"/>
    <w:rsid w:val="006B21DB"/>
    <w:rsid w:val="006B35CB"/>
    <w:rsid w:val="006D6A33"/>
    <w:rsid w:val="006E6370"/>
    <w:rsid w:val="0070692A"/>
    <w:rsid w:val="007142B2"/>
    <w:rsid w:val="0073553A"/>
    <w:rsid w:val="0074584B"/>
    <w:rsid w:val="00763714"/>
    <w:rsid w:val="007867CC"/>
    <w:rsid w:val="007B0E82"/>
    <w:rsid w:val="007C7EB7"/>
    <w:rsid w:val="007E3B22"/>
    <w:rsid w:val="007E4BA2"/>
    <w:rsid w:val="00816918"/>
    <w:rsid w:val="00820334"/>
    <w:rsid w:val="00820C8B"/>
    <w:rsid w:val="00846123"/>
    <w:rsid w:val="00864D4E"/>
    <w:rsid w:val="00870D38"/>
    <w:rsid w:val="00870DCA"/>
    <w:rsid w:val="00883CAE"/>
    <w:rsid w:val="00886359"/>
    <w:rsid w:val="008D3519"/>
    <w:rsid w:val="008D3D67"/>
    <w:rsid w:val="008D4127"/>
    <w:rsid w:val="008D6EAE"/>
    <w:rsid w:val="008F6DD7"/>
    <w:rsid w:val="00920F63"/>
    <w:rsid w:val="00931A33"/>
    <w:rsid w:val="00937003"/>
    <w:rsid w:val="00941095"/>
    <w:rsid w:val="00943689"/>
    <w:rsid w:val="009567B9"/>
    <w:rsid w:val="00962822"/>
    <w:rsid w:val="00970C50"/>
    <w:rsid w:val="00975737"/>
    <w:rsid w:val="00982E90"/>
    <w:rsid w:val="00991C76"/>
    <w:rsid w:val="009A0318"/>
    <w:rsid w:val="009B5377"/>
    <w:rsid w:val="009B62D8"/>
    <w:rsid w:val="009C5C61"/>
    <w:rsid w:val="009C79DA"/>
    <w:rsid w:val="009E46A8"/>
    <w:rsid w:val="009F18B5"/>
    <w:rsid w:val="00A03CC1"/>
    <w:rsid w:val="00A2383E"/>
    <w:rsid w:val="00A556C1"/>
    <w:rsid w:val="00A85FC6"/>
    <w:rsid w:val="00A94D25"/>
    <w:rsid w:val="00AC1528"/>
    <w:rsid w:val="00AC4E48"/>
    <w:rsid w:val="00AD6F2B"/>
    <w:rsid w:val="00AE6443"/>
    <w:rsid w:val="00B07A43"/>
    <w:rsid w:val="00B1449C"/>
    <w:rsid w:val="00B15BE1"/>
    <w:rsid w:val="00B174AA"/>
    <w:rsid w:val="00B27AE1"/>
    <w:rsid w:val="00B44389"/>
    <w:rsid w:val="00B53E37"/>
    <w:rsid w:val="00B67271"/>
    <w:rsid w:val="00B83E33"/>
    <w:rsid w:val="00BC2BB2"/>
    <w:rsid w:val="00BC2D2A"/>
    <w:rsid w:val="00BC5607"/>
    <w:rsid w:val="00BD2EAF"/>
    <w:rsid w:val="00BF0C02"/>
    <w:rsid w:val="00BF5236"/>
    <w:rsid w:val="00BF6557"/>
    <w:rsid w:val="00C033D7"/>
    <w:rsid w:val="00C36F82"/>
    <w:rsid w:val="00C46386"/>
    <w:rsid w:val="00C46833"/>
    <w:rsid w:val="00CA1659"/>
    <w:rsid w:val="00CA4456"/>
    <w:rsid w:val="00CC6681"/>
    <w:rsid w:val="00CC66DC"/>
    <w:rsid w:val="00CF7E31"/>
    <w:rsid w:val="00D07DEC"/>
    <w:rsid w:val="00D2468A"/>
    <w:rsid w:val="00D4003C"/>
    <w:rsid w:val="00D41EEB"/>
    <w:rsid w:val="00D6667E"/>
    <w:rsid w:val="00D72D11"/>
    <w:rsid w:val="00D96E85"/>
    <w:rsid w:val="00DA70BD"/>
    <w:rsid w:val="00DB0152"/>
    <w:rsid w:val="00DD505B"/>
    <w:rsid w:val="00DE1014"/>
    <w:rsid w:val="00DE2317"/>
    <w:rsid w:val="00DE27DD"/>
    <w:rsid w:val="00DF6A37"/>
    <w:rsid w:val="00E03490"/>
    <w:rsid w:val="00E1203E"/>
    <w:rsid w:val="00E46B12"/>
    <w:rsid w:val="00E85FB0"/>
    <w:rsid w:val="00E9109A"/>
    <w:rsid w:val="00E94E7E"/>
    <w:rsid w:val="00EA7CBD"/>
    <w:rsid w:val="00EB0597"/>
    <w:rsid w:val="00EB5E9F"/>
    <w:rsid w:val="00EE41A8"/>
    <w:rsid w:val="00EF7AA6"/>
    <w:rsid w:val="00F16852"/>
    <w:rsid w:val="00F21C13"/>
    <w:rsid w:val="00F24119"/>
    <w:rsid w:val="00F37B4B"/>
    <w:rsid w:val="00F5144D"/>
    <w:rsid w:val="00F66888"/>
    <w:rsid w:val="00FC1C2C"/>
    <w:rsid w:val="00FC6CBC"/>
    <w:rsid w:val="00FC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A29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1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0022C0"/>
    <w:rPr>
      <w:sz w:val="16"/>
      <w:szCs w:val="16"/>
    </w:rPr>
  </w:style>
  <w:style w:type="paragraph" w:styleId="CommentText">
    <w:name w:val="annotation text"/>
    <w:basedOn w:val="Normal"/>
    <w:link w:val="CommentTextChar"/>
    <w:rsid w:val="000022C0"/>
    <w:rPr>
      <w:sz w:val="20"/>
      <w:szCs w:val="20"/>
    </w:rPr>
  </w:style>
  <w:style w:type="character" w:customStyle="1" w:styleId="CommentTextChar">
    <w:name w:val="Comment Text Char"/>
    <w:basedOn w:val="DefaultParagraphFont"/>
    <w:link w:val="CommentText"/>
    <w:rsid w:val="000022C0"/>
  </w:style>
  <w:style w:type="paragraph" w:styleId="CommentSubject">
    <w:name w:val="annotation subject"/>
    <w:basedOn w:val="CommentText"/>
    <w:next w:val="CommentText"/>
    <w:link w:val="CommentSubjectChar"/>
    <w:rsid w:val="000022C0"/>
    <w:rPr>
      <w:b/>
      <w:bCs/>
    </w:rPr>
  </w:style>
  <w:style w:type="character" w:customStyle="1" w:styleId="CommentSubjectChar">
    <w:name w:val="Comment Subject Char"/>
    <w:basedOn w:val="CommentTextChar"/>
    <w:link w:val="CommentSubject"/>
    <w:rsid w:val="000022C0"/>
    <w:rPr>
      <w:b/>
      <w:bCs/>
    </w:rPr>
  </w:style>
  <w:style w:type="paragraph" w:styleId="FootnoteText">
    <w:name w:val="footnote text"/>
    <w:basedOn w:val="Normal"/>
    <w:link w:val="FootnoteTextChar"/>
    <w:rsid w:val="00646931"/>
    <w:rPr>
      <w:sz w:val="20"/>
      <w:szCs w:val="20"/>
    </w:rPr>
  </w:style>
  <w:style w:type="character" w:customStyle="1" w:styleId="FootnoteTextChar">
    <w:name w:val="Footnote Text Char"/>
    <w:basedOn w:val="DefaultParagraphFont"/>
    <w:link w:val="FootnoteText"/>
    <w:rsid w:val="00646931"/>
  </w:style>
  <w:style w:type="character" w:styleId="FootnoteReference">
    <w:name w:val="footnote reference"/>
    <w:basedOn w:val="DefaultParagraphFont"/>
    <w:rsid w:val="006469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1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BA2"/>
    <w:rPr>
      <w:rFonts w:ascii="Tahoma" w:hAnsi="Tahoma" w:cs="Tahoma"/>
      <w:sz w:val="16"/>
      <w:szCs w:val="16"/>
    </w:rPr>
  </w:style>
  <w:style w:type="paragraph" w:styleId="Header">
    <w:name w:val="header"/>
    <w:basedOn w:val="Normal"/>
    <w:rsid w:val="00920F63"/>
    <w:pPr>
      <w:tabs>
        <w:tab w:val="center" w:pos="4320"/>
        <w:tab w:val="right" w:pos="8640"/>
      </w:tabs>
    </w:pPr>
  </w:style>
  <w:style w:type="paragraph" w:styleId="Footer">
    <w:name w:val="footer"/>
    <w:basedOn w:val="Normal"/>
    <w:rsid w:val="00920F63"/>
    <w:pPr>
      <w:tabs>
        <w:tab w:val="center" w:pos="4320"/>
        <w:tab w:val="right" w:pos="8640"/>
      </w:tabs>
    </w:pPr>
  </w:style>
  <w:style w:type="character" w:styleId="CommentReference">
    <w:name w:val="annotation reference"/>
    <w:basedOn w:val="DefaultParagraphFont"/>
    <w:rsid w:val="000022C0"/>
    <w:rPr>
      <w:sz w:val="16"/>
      <w:szCs w:val="16"/>
    </w:rPr>
  </w:style>
  <w:style w:type="paragraph" w:styleId="CommentText">
    <w:name w:val="annotation text"/>
    <w:basedOn w:val="Normal"/>
    <w:link w:val="CommentTextChar"/>
    <w:rsid w:val="000022C0"/>
    <w:rPr>
      <w:sz w:val="20"/>
      <w:szCs w:val="20"/>
    </w:rPr>
  </w:style>
  <w:style w:type="character" w:customStyle="1" w:styleId="CommentTextChar">
    <w:name w:val="Comment Text Char"/>
    <w:basedOn w:val="DefaultParagraphFont"/>
    <w:link w:val="CommentText"/>
    <w:rsid w:val="000022C0"/>
  </w:style>
  <w:style w:type="paragraph" w:styleId="CommentSubject">
    <w:name w:val="annotation subject"/>
    <w:basedOn w:val="CommentText"/>
    <w:next w:val="CommentText"/>
    <w:link w:val="CommentSubjectChar"/>
    <w:rsid w:val="000022C0"/>
    <w:rPr>
      <w:b/>
      <w:bCs/>
    </w:rPr>
  </w:style>
  <w:style w:type="character" w:customStyle="1" w:styleId="CommentSubjectChar">
    <w:name w:val="Comment Subject Char"/>
    <w:basedOn w:val="CommentTextChar"/>
    <w:link w:val="CommentSubject"/>
    <w:rsid w:val="000022C0"/>
    <w:rPr>
      <w:b/>
      <w:bCs/>
    </w:rPr>
  </w:style>
  <w:style w:type="paragraph" w:styleId="FootnoteText">
    <w:name w:val="footnote text"/>
    <w:basedOn w:val="Normal"/>
    <w:link w:val="FootnoteTextChar"/>
    <w:rsid w:val="00646931"/>
    <w:rPr>
      <w:sz w:val="20"/>
      <w:szCs w:val="20"/>
    </w:rPr>
  </w:style>
  <w:style w:type="character" w:customStyle="1" w:styleId="FootnoteTextChar">
    <w:name w:val="Footnote Text Char"/>
    <w:basedOn w:val="DefaultParagraphFont"/>
    <w:link w:val="FootnoteText"/>
    <w:rsid w:val="00646931"/>
  </w:style>
  <w:style w:type="character" w:styleId="FootnoteReference">
    <w:name w:val="footnote reference"/>
    <w:basedOn w:val="DefaultParagraphFont"/>
    <w:rsid w:val="00646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3330">
      <w:bodyDiv w:val="1"/>
      <w:marLeft w:val="0"/>
      <w:marRight w:val="0"/>
      <w:marTop w:val="0"/>
      <w:marBottom w:val="0"/>
      <w:divBdr>
        <w:top w:val="none" w:sz="0" w:space="0" w:color="auto"/>
        <w:left w:val="none" w:sz="0" w:space="0" w:color="auto"/>
        <w:bottom w:val="none" w:sz="0" w:space="0" w:color="auto"/>
        <w:right w:val="none" w:sz="0" w:space="0" w:color="auto"/>
      </w:divBdr>
    </w:div>
    <w:div w:id="12302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2011-09-30T07:00:00+00:00</OpenedDate>
    <Date1 xmlns="dc463f71-b30c-4ab2-9473-d307f9d35888">2011-10-27T07:00:00+00:00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111757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5AAE985C6C7D40AEA4006557D07B0A" ma:contentTypeVersion="143" ma:contentTypeDescription="" ma:contentTypeScope="" ma:versionID="5886cf68ed1c0f9fca40ca24c80d56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EAEAB-94C4-4BD9-B950-A83D49E52340}"/>
</file>

<file path=customXml/itemProps2.xml><?xml version="1.0" encoding="utf-8"?>
<ds:datastoreItem xmlns:ds="http://schemas.openxmlformats.org/officeDocument/2006/customXml" ds:itemID="{B0D68BC3-BE9E-4575-AEC0-D4FA48FA91B7}"/>
</file>

<file path=customXml/itemProps3.xml><?xml version="1.0" encoding="utf-8"?>
<ds:datastoreItem xmlns:ds="http://schemas.openxmlformats.org/officeDocument/2006/customXml" ds:itemID="{1FCDBE9C-2924-4069-8F6C-9E143BFBE848}"/>
</file>

<file path=customXml/itemProps4.xml><?xml version="1.0" encoding="utf-8"?>
<ds:datastoreItem xmlns:ds="http://schemas.openxmlformats.org/officeDocument/2006/customXml" ds:itemID="{BBFB7FEF-ECD6-4D25-9737-F56DBB6730EB}"/>
</file>

<file path=customXml/itemProps5.xml><?xml version="1.0" encoding="utf-8"?>
<ds:datastoreItem xmlns:ds="http://schemas.openxmlformats.org/officeDocument/2006/customXml" ds:itemID="{64B5ED5B-40A8-463B-A8C7-C29365FD486A}"/>
</file>

<file path=customXml/itemProps6.xml><?xml version="1.0" encoding="utf-8"?>
<ds:datastoreItem xmlns:ds="http://schemas.openxmlformats.org/officeDocument/2006/customXml" ds:itemID="{323F1120-33B6-4378-ABCC-CC707346E318}"/>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Cascade UG-111757</vt:lpstr>
    </vt:vector>
  </TitlesOfParts>
  <Company>WUTC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Cascade UG-111757</dc:title>
  <dc:subject/>
  <dc:creator>Ann LaRue</dc:creator>
  <cp:keywords/>
  <dc:description/>
  <cp:lastModifiedBy>Lisa Wyse, Records Manager</cp:lastModifiedBy>
  <cp:revision>2</cp:revision>
  <cp:lastPrinted>2011-10-24T17:51:00Z</cp:lastPrinted>
  <dcterms:created xsi:type="dcterms:W3CDTF">2011-10-24T23:25:00Z</dcterms:created>
  <dcterms:modified xsi:type="dcterms:W3CDTF">2011-10-24T23:25:00Z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Item">
    <vt:lpwstr>0</vt:lpwstr>
  </property>
  <property fmtid="{D5CDD505-2E9C-101B-9397-08002B2CF9AE}" pid="3" name="ContentType">
    <vt:lpwstr>Document</vt:lpwstr>
  </property>
  <property fmtid="{D5CDD505-2E9C-101B-9397-08002B2CF9AE}" pid="4" name="Move To0">
    <vt:lpwstr/>
  </property>
  <property fmtid="{D5CDD505-2E9C-101B-9397-08002B2CF9AE}" pid="5" name="Item ID0">
    <vt:lpwstr/>
  </property>
  <property fmtid="{D5CDD505-2E9C-101B-9397-08002B2CF9AE}" pid="6" name="ContentTypeId">
    <vt:lpwstr>0x0101006E56B4D1795A2E4DB2F0B01679ED314A00565AAE985C6C7D40AEA4006557D07B0A</vt:lpwstr>
  </property>
  <property fmtid="{D5CDD505-2E9C-101B-9397-08002B2CF9AE}" pid="7" name="_docset_NoMedatataSyncRequired">
    <vt:lpwstr>False</vt:lpwstr>
  </property>
</Properties>
</file>