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25" w:rsidRPr="00EA7CBD" w:rsidRDefault="00883CAE" w:rsidP="003F1F4B">
      <w:r w:rsidRPr="007E4BA2">
        <w:t>Agenda Date:</w:t>
      </w:r>
      <w:r w:rsidR="00A94D25" w:rsidRPr="007E4BA2">
        <w:rPr>
          <w:caps/>
        </w:rPr>
        <w:tab/>
      </w:r>
      <w:r>
        <w:rPr>
          <w:caps/>
        </w:rPr>
        <w:tab/>
      </w:r>
      <w:r w:rsidR="00991C76">
        <w:t xml:space="preserve">October </w:t>
      </w:r>
      <w:r w:rsidR="00DE1014">
        <w:t>28</w:t>
      </w:r>
      <w:r w:rsidR="00991C76">
        <w:t>, 20</w:t>
      </w:r>
      <w:r w:rsidR="00DE1014">
        <w:t>10</w:t>
      </w:r>
    </w:p>
    <w:p w:rsidR="00A94D25" w:rsidRPr="00EA7CBD" w:rsidRDefault="00883CAE" w:rsidP="003F1F4B">
      <w:r w:rsidRPr="007E4BA2">
        <w:t>Item Numbers</w:t>
      </w:r>
      <w:r w:rsidR="00A94D25" w:rsidRPr="007E4BA2">
        <w:rPr>
          <w:caps/>
        </w:rPr>
        <w:t>:</w:t>
      </w:r>
      <w:r w:rsidR="007E4BA2">
        <w:rPr>
          <w:caps/>
        </w:rPr>
        <w:tab/>
      </w:r>
      <w:r w:rsidR="006B1BB2">
        <w:rPr>
          <w:caps/>
        </w:rPr>
        <w:t>A2,</w:t>
      </w:r>
      <w:r w:rsidR="000022C0">
        <w:rPr>
          <w:caps/>
        </w:rPr>
        <w:t xml:space="preserve"> A3</w:t>
      </w:r>
    </w:p>
    <w:p w:rsidR="00A94D25" w:rsidRPr="00EA7CBD" w:rsidRDefault="00A94D25" w:rsidP="003F1F4B"/>
    <w:p w:rsidR="00A94D25" w:rsidRPr="00EA7CBD" w:rsidRDefault="00883CAE" w:rsidP="003F1F4B">
      <w:pPr>
        <w:rPr>
          <w:b/>
        </w:rPr>
      </w:pPr>
      <w:r w:rsidRPr="007E4BA2">
        <w:rPr>
          <w:rFonts w:ascii="Times New Roman Bold" w:hAnsi="Times New Roman Bold"/>
          <w:b/>
        </w:rPr>
        <w:t>Dockets:</w:t>
      </w:r>
      <w:r w:rsidR="00A94D25" w:rsidRPr="00EA7CBD">
        <w:rPr>
          <w:b/>
        </w:rPr>
        <w:tab/>
      </w:r>
      <w:r w:rsidR="007E4BA2">
        <w:rPr>
          <w:b/>
        </w:rPr>
        <w:tab/>
      </w:r>
      <w:r w:rsidR="00991C76">
        <w:rPr>
          <w:b/>
        </w:rPr>
        <w:t>UG-</w:t>
      </w:r>
      <w:r w:rsidR="00DE1014">
        <w:rPr>
          <w:b/>
        </w:rPr>
        <w:t>101636</w:t>
      </w:r>
      <w:r w:rsidR="00A94D25" w:rsidRPr="00EA7CBD">
        <w:rPr>
          <w:b/>
        </w:rPr>
        <w:t xml:space="preserve"> and UG-</w:t>
      </w:r>
      <w:r w:rsidR="00DE1014">
        <w:rPr>
          <w:b/>
        </w:rPr>
        <w:t>101637</w:t>
      </w:r>
    </w:p>
    <w:p w:rsidR="00A94D25" w:rsidRPr="00EA7CBD" w:rsidRDefault="00883CAE" w:rsidP="003F1F4B">
      <w:r w:rsidRPr="007E4BA2">
        <w:t>Company Name:</w:t>
      </w:r>
      <w:r w:rsidR="00A94D25" w:rsidRPr="00EA7CBD">
        <w:tab/>
        <w:t>Cascade Natural Gas Corporation</w:t>
      </w:r>
    </w:p>
    <w:p w:rsidR="00A94D25" w:rsidRPr="00EA7CBD" w:rsidRDefault="00A94D25" w:rsidP="003F1F4B"/>
    <w:p w:rsidR="00A94D25" w:rsidRDefault="00883CAE" w:rsidP="003F1F4B">
      <w:r w:rsidRPr="007E4BA2">
        <w:t>Staff:</w:t>
      </w:r>
      <w:r w:rsidRPr="007E4BA2">
        <w:tab/>
      </w:r>
      <w:r>
        <w:tab/>
      </w:r>
      <w:r w:rsidR="00A94D25" w:rsidRPr="00EA7CBD">
        <w:tab/>
      </w:r>
      <w:r w:rsidR="000022C0">
        <w:t>Rick Applegate, Regulatory Analyst</w:t>
      </w:r>
      <w:r w:rsidR="000022C0" w:rsidRPr="00EA7CBD" w:rsidDel="000022C0">
        <w:t xml:space="preserve"> </w:t>
      </w:r>
    </w:p>
    <w:p w:rsidR="00DE1014" w:rsidRDefault="00DE1014" w:rsidP="003F1F4B">
      <w:r>
        <w:tab/>
      </w:r>
      <w:r>
        <w:tab/>
      </w:r>
      <w:r>
        <w:tab/>
      </w:r>
      <w:r w:rsidR="000022C0" w:rsidRPr="00EA7CBD">
        <w:t>Ann LaRue, Regulatory Analyst</w:t>
      </w:r>
      <w:r w:rsidR="000022C0">
        <w:t xml:space="preserve"> </w:t>
      </w:r>
    </w:p>
    <w:p w:rsidR="00DE1014" w:rsidRDefault="00DE1014" w:rsidP="003F1F4B">
      <w:r>
        <w:tab/>
      </w:r>
      <w:r>
        <w:tab/>
      </w:r>
      <w:r>
        <w:tab/>
        <w:t>Roger K</w:t>
      </w:r>
      <w:r w:rsidR="0028485F">
        <w:t>o</w:t>
      </w:r>
      <w:r>
        <w:t xml:space="preserve">uchi, </w:t>
      </w:r>
      <w:r w:rsidR="00544EA2">
        <w:t>Consumer Protection Staff</w:t>
      </w:r>
    </w:p>
    <w:p w:rsidR="00A94D25" w:rsidRDefault="00DE1014" w:rsidP="00DE1014">
      <w:r>
        <w:tab/>
      </w:r>
      <w:r>
        <w:tab/>
      </w:r>
      <w:r>
        <w:tab/>
      </w:r>
    </w:p>
    <w:p w:rsidR="00A94D25" w:rsidRPr="00883CAE" w:rsidRDefault="00883CAE" w:rsidP="003F1F4B">
      <w:pPr>
        <w:spacing w:after="120"/>
        <w:rPr>
          <w:b/>
          <w:caps/>
          <w:u w:val="single"/>
        </w:rPr>
      </w:pPr>
      <w:r w:rsidRPr="00883CAE">
        <w:rPr>
          <w:b/>
          <w:u w:val="single"/>
        </w:rPr>
        <w:t>Recommendation</w:t>
      </w:r>
    </w:p>
    <w:p w:rsidR="00A94D25" w:rsidRDefault="00A94D25" w:rsidP="003F1F4B">
      <w:pPr>
        <w:spacing w:after="120"/>
      </w:pPr>
      <w:r>
        <w:t xml:space="preserve">Take no action, </w:t>
      </w:r>
      <w:r w:rsidR="00C46833">
        <w:t xml:space="preserve">thereby </w:t>
      </w:r>
      <w:r>
        <w:t>allowing the tariff filings made by Cascade Natural Gas Corporation (Cascade</w:t>
      </w:r>
      <w:r w:rsidR="00920F63">
        <w:t xml:space="preserve"> or </w:t>
      </w:r>
      <w:r w:rsidR="00937003">
        <w:t>c</w:t>
      </w:r>
      <w:r w:rsidR="00920F63">
        <w:t>ompany</w:t>
      </w:r>
      <w:r>
        <w:t xml:space="preserve">) in Dockets </w:t>
      </w:r>
      <w:r w:rsidR="00DE1014" w:rsidRPr="00DE1014">
        <w:t>UG-101636 and UG-101637</w:t>
      </w:r>
      <w:r>
        <w:t xml:space="preserve"> to </w:t>
      </w:r>
      <w:r w:rsidR="00C46833">
        <w:t>become</w:t>
      </w:r>
      <w:r>
        <w:t xml:space="preserve"> effect</w:t>
      </w:r>
      <w:r w:rsidR="00C46833">
        <w:t>ive</w:t>
      </w:r>
      <w:r w:rsidR="00AE6443">
        <w:t xml:space="preserve"> November</w:t>
      </w:r>
      <w:r w:rsidR="00991C76">
        <w:t xml:space="preserve"> </w:t>
      </w:r>
      <w:r w:rsidR="00AE6443">
        <w:t>1, 20</w:t>
      </w:r>
      <w:r w:rsidR="00DE1014">
        <w:t>10</w:t>
      </w:r>
      <w:r w:rsidR="00AE6443">
        <w:t>,</w:t>
      </w:r>
      <w:r>
        <w:t xml:space="preserve"> by operation of law.</w:t>
      </w:r>
    </w:p>
    <w:p w:rsidR="003F1F4B" w:rsidRDefault="003F1F4B" w:rsidP="003F1F4B">
      <w:pPr>
        <w:spacing w:after="120"/>
        <w:rPr>
          <w:b/>
          <w:u w:val="single"/>
        </w:rPr>
      </w:pPr>
    </w:p>
    <w:p w:rsidR="00A94D25" w:rsidRPr="00883CAE" w:rsidRDefault="00883CAE" w:rsidP="003F1F4B">
      <w:pPr>
        <w:spacing w:after="120"/>
        <w:rPr>
          <w:b/>
          <w:caps/>
          <w:u w:val="single"/>
        </w:rPr>
      </w:pPr>
      <w:r w:rsidRPr="00883CAE">
        <w:rPr>
          <w:b/>
          <w:u w:val="single"/>
        </w:rPr>
        <w:t>Background</w:t>
      </w:r>
    </w:p>
    <w:p w:rsidR="00A94D25" w:rsidRDefault="00991C76" w:rsidP="003F1F4B">
      <w:pPr>
        <w:spacing w:after="120"/>
      </w:pPr>
      <w:r>
        <w:t xml:space="preserve">On </w:t>
      </w:r>
      <w:r w:rsidR="00DE1014">
        <w:t>October</w:t>
      </w:r>
      <w:r>
        <w:t xml:space="preserve"> </w:t>
      </w:r>
      <w:r w:rsidR="00DE1014">
        <w:t>1</w:t>
      </w:r>
      <w:r w:rsidR="00A94D25">
        <w:t>, 20</w:t>
      </w:r>
      <w:r w:rsidR="00DE1014">
        <w:t>10</w:t>
      </w:r>
      <w:r w:rsidR="00A94D25">
        <w:t>, Cascade filed revisions to its Purchase</w:t>
      </w:r>
      <w:r w:rsidR="00386EEC">
        <w:t>d</w:t>
      </w:r>
      <w:r w:rsidR="00A94D25">
        <w:t xml:space="preserve"> Gas Adjustment </w:t>
      </w:r>
      <w:r w:rsidR="00920F63">
        <w:t xml:space="preserve">(PGA) </w:t>
      </w:r>
      <w:r w:rsidR="00A94D25">
        <w:t xml:space="preserve">and deferred gas cost amortization tariffs in Dockets </w:t>
      </w:r>
      <w:r w:rsidR="00DE1014" w:rsidRPr="00DE1014">
        <w:t>UG-101636 and UG-101637</w:t>
      </w:r>
      <w:r w:rsidR="00A94D25">
        <w:t xml:space="preserve">, respectively. The net effect of the proposed filings is a </w:t>
      </w:r>
      <w:r w:rsidR="00DE1014">
        <w:t>decrease</w:t>
      </w:r>
      <w:r w:rsidR="00A94D25">
        <w:t xml:space="preserve"> in annual</w:t>
      </w:r>
      <w:r w:rsidR="005C2DB1">
        <w:t xml:space="preserve"> natural</w:t>
      </w:r>
      <w:r w:rsidR="00A94D25">
        <w:t xml:space="preserve"> gas sales revenues of </w:t>
      </w:r>
      <w:r w:rsidR="004C6F97">
        <w:t>$23,105,275</w:t>
      </w:r>
      <w:r w:rsidR="00A94D25">
        <w:t xml:space="preserve"> (</w:t>
      </w:r>
      <w:r w:rsidR="004C6F97">
        <w:t>-9</w:t>
      </w:r>
      <w:r w:rsidR="004C6F97" w:rsidRPr="00920F63">
        <w:t>.</w:t>
      </w:r>
      <w:r w:rsidR="004C6F97">
        <w:t xml:space="preserve">34 </w:t>
      </w:r>
      <w:r w:rsidR="008D3519">
        <w:t>percent</w:t>
      </w:r>
      <w:r w:rsidR="00A94D25">
        <w:t>).</w:t>
      </w:r>
    </w:p>
    <w:p w:rsidR="00A94D25" w:rsidRDefault="00A94D25" w:rsidP="003F1F4B">
      <w:pPr>
        <w:spacing w:after="120"/>
      </w:pPr>
      <w:r>
        <w:t>The PGA and deferred</w:t>
      </w:r>
      <w:r w:rsidR="005C2DB1">
        <w:t xml:space="preserve"> natural</w:t>
      </w:r>
      <w:r>
        <w:t xml:space="preserve"> gas cost amortization mechanisms are designed to pass through to customers the utility’s actual cost of natural gas on a periodic basis. The PGA establishes for the upcoming year a projection of the utility’s gas costs. The difference between the projected cost and the actual cost is deferred and ultimately amortized back to customers with interest,</w:t>
      </w:r>
      <w:r w:rsidR="00A85FC6">
        <w:t xml:space="preserve"> whether it is a refund or a </w:t>
      </w:r>
      <w:r>
        <w:t>charge.</w:t>
      </w:r>
    </w:p>
    <w:p w:rsidR="00A94D25" w:rsidRDefault="00A85FC6" w:rsidP="003F1F4B">
      <w:pPr>
        <w:spacing w:after="120"/>
      </w:pPr>
      <w:r>
        <w:t xml:space="preserve">Cascade </w:t>
      </w:r>
      <w:r w:rsidR="00A94D25">
        <w:t xml:space="preserve">is a natural gas utility serving approximately </w:t>
      </w:r>
      <w:r w:rsidR="00B83E33">
        <w:t>191</w:t>
      </w:r>
      <w:r w:rsidR="00A94D25">
        <w:t>,</w:t>
      </w:r>
      <w:r w:rsidR="00B83E33">
        <w:t>375</w:t>
      </w:r>
      <w:r w:rsidR="00A94D25">
        <w:t xml:space="preserve"> gas customers in </w:t>
      </w:r>
      <w:r w:rsidR="00687DBE">
        <w:t xml:space="preserve">various areas along </w:t>
      </w:r>
      <w:r w:rsidR="008D3519">
        <w:t xml:space="preserve">the </w:t>
      </w:r>
      <w:r w:rsidR="00687DBE">
        <w:t xml:space="preserve">Northwest Pipeline. </w:t>
      </w:r>
      <w:r w:rsidR="005D69EB">
        <w:t>It</w:t>
      </w:r>
      <w:r>
        <w:t>s m</w:t>
      </w:r>
      <w:r w:rsidR="00227214">
        <w:t xml:space="preserve">ajor </w:t>
      </w:r>
      <w:smartTag w:uri="urn:schemas-microsoft-com:office:smarttags" w:element="State">
        <w:r w:rsidR="00227214">
          <w:t>W</w:t>
        </w:r>
        <w:r w:rsidR="00A94D25">
          <w:t>ashington</w:t>
        </w:r>
      </w:smartTag>
      <w:r w:rsidR="00A94D25">
        <w:t xml:space="preserve"> </w:t>
      </w:r>
      <w:r>
        <w:t xml:space="preserve">service </w:t>
      </w:r>
      <w:r w:rsidR="00227214">
        <w:t xml:space="preserve">locations include </w:t>
      </w:r>
      <w:smartTag w:uri="urn:schemas-microsoft-com:office:smarttags" w:element="City">
        <w:r w:rsidR="00227214">
          <w:t>Bellingham</w:t>
        </w:r>
      </w:smartTag>
      <w:r w:rsidR="00227214">
        <w:t xml:space="preserve">, </w:t>
      </w:r>
      <w:smartTag w:uri="urn:schemas-microsoft-com:office:smarttags" w:element="City">
        <w:r w:rsidR="00227214">
          <w:t>Bremerton</w:t>
        </w:r>
      </w:smartTag>
      <w:r w:rsidR="00227214">
        <w:t xml:space="preserve">, </w:t>
      </w:r>
      <w:smartTag w:uri="urn:schemas-microsoft-com:office:smarttags" w:element="City">
        <w:r w:rsidR="00227214">
          <w:t>Yakima</w:t>
        </w:r>
      </w:smartTag>
      <w:r w:rsidR="00227214">
        <w:t xml:space="preserve">, and </w:t>
      </w:r>
      <w:smartTag w:uri="urn:schemas-microsoft-com:office:smarttags" w:element="City">
        <w:smartTag w:uri="urn:schemas-microsoft-com:office:smarttags" w:element="place">
          <w:r w:rsidR="00227214">
            <w:t>Walla Walla</w:t>
          </w:r>
        </w:smartTag>
      </w:smartTag>
      <w:r>
        <w:t>.</w:t>
      </w:r>
      <w:r w:rsidR="00DE1014" w:rsidRPr="00DE1014">
        <w:t xml:space="preserve"> </w:t>
      </w:r>
    </w:p>
    <w:p w:rsidR="003F1F4B" w:rsidRDefault="003F1F4B" w:rsidP="003F1F4B">
      <w:pPr>
        <w:spacing w:after="120"/>
        <w:rPr>
          <w:b/>
          <w:u w:val="single"/>
        </w:rPr>
      </w:pPr>
    </w:p>
    <w:p w:rsidR="00A85FC6" w:rsidRPr="00A85FC6" w:rsidRDefault="00A85FC6" w:rsidP="003F1F4B">
      <w:pPr>
        <w:spacing w:after="120"/>
        <w:rPr>
          <w:b/>
          <w:u w:val="single"/>
        </w:rPr>
      </w:pPr>
      <w:r w:rsidRPr="00A85FC6">
        <w:rPr>
          <w:b/>
          <w:u w:val="single"/>
        </w:rPr>
        <w:t>Discussion</w:t>
      </w:r>
    </w:p>
    <w:p w:rsidR="008D3519" w:rsidRDefault="00883CAE" w:rsidP="003F1F4B">
      <w:pPr>
        <w:spacing w:after="120"/>
        <w:rPr>
          <w:b/>
        </w:rPr>
      </w:pPr>
      <w:r w:rsidRPr="008D3519">
        <w:rPr>
          <w:b/>
        </w:rPr>
        <w:t>Purchase</w:t>
      </w:r>
      <w:r w:rsidR="00386EEC">
        <w:rPr>
          <w:b/>
        </w:rPr>
        <w:t>d</w:t>
      </w:r>
      <w:r w:rsidRPr="008D3519">
        <w:rPr>
          <w:b/>
        </w:rPr>
        <w:t xml:space="preserve"> Gas Adjustment</w:t>
      </w:r>
    </w:p>
    <w:p w:rsidR="00A94D25" w:rsidRPr="008D3519" w:rsidRDefault="006B35CB" w:rsidP="003F1F4B">
      <w:pPr>
        <w:spacing w:after="120"/>
        <w:rPr>
          <w:b/>
        </w:rPr>
      </w:pPr>
      <w:r>
        <w:t xml:space="preserve">In </w:t>
      </w:r>
      <w:r w:rsidR="00A94D25">
        <w:t>Docket UG-</w:t>
      </w:r>
      <w:r>
        <w:t xml:space="preserve">101636, </w:t>
      </w:r>
      <w:r w:rsidR="00386EEC">
        <w:t>Cascade’s</w:t>
      </w:r>
      <w:r w:rsidR="00590F16">
        <w:t xml:space="preserve"> PGA filing</w:t>
      </w:r>
      <w:r>
        <w:t>,</w:t>
      </w:r>
      <w:r w:rsidR="00E46B12">
        <w:t xml:space="preserve"> </w:t>
      </w:r>
      <w:r>
        <w:t>t</w:t>
      </w:r>
      <w:r w:rsidR="005C2DB1">
        <w:t xml:space="preserve">he </w:t>
      </w:r>
      <w:r w:rsidR="00937003">
        <w:t>c</w:t>
      </w:r>
      <w:r w:rsidR="005C2DB1">
        <w:t xml:space="preserve">ompany </w:t>
      </w:r>
      <w:r>
        <w:t>proposes</w:t>
      </w:r>
      <w:r w:rsidR="005C2DB1">
        <w:t xml:space="preserve"> </w:t>
      </w:r>
      <w:r>
        <w:t xml:space="preserve">a </w:t>
      </w:r>
      <w:r w:rsidR="00BC2D2A">
        <w:t>decrease</w:t>
      </w:r>
      <w:r w:rsidR="005C2DB1">
        <w:t xml:space="preserve"> of approximately $</w:t>
      </w:r>
      <w:r w:rsidR="00BC2D2A">
        <w:t>2</w:t>
      </w:r>
      <w:r w:rsidR="00E03490">
        <w:t>7</w:t>
      </w:r>
      <w:r w:rsidR="00BC2D2A">
        <w:t>.</w:t>
      </w:r>
      <w:r w:rsidR="00E03490">
        <w:t>0</w:t>
      </w:r>
      <w:r w:rsidR="005C2DB1">
        <w:t xml:space="preserve"> million (</w:t>
      </w:r>
      <w:r w:rsidR="00BC2D2A">
        <w:t>-10</w:t>
      </w:r>
      <w:r w:rsidR="005C2DB1">
        <w:t>.</w:t>
      </w:r>
      <w:r w:rsidR="004E362B">
        <w:t>9</w:t>
      </w:r>
      <w:r w:rsidR="00F16852">
        <w:t>0</w:t>
      </w:r>
      <w:r w:rsidR="005C2DB1">
        <w:t xml:space="preserve"> percent) in annual revenue</w:t>
      </w:r>
      <w:r w:rsidR="00386EEC">
        <w:t>,</w:t>
      </w:r>
      <w:r w:rsidR="005C2DB1">
        <w:t xml:space="preserve"> which reflects</w:t>
      </w:r>
      <w:r w:rsidR="005C2DB1" w:rsidRPr="00590F16">
        <w:t xml:space="preserve"> a weighted </w:t>
      </w:r>
      <w:r w:rsidR="005C2DB1">
        <w:t xml:space="preserve">average </w:t>
      </w:r>
      <w:r w:rsidR="005C2DB1" w:rsidRPr="00590F16">
        <w:t>cost of gas of $</w:t>
      </w:r>
      <w:r w:rsidR="005C2DB1">
        <w:t>0</w:t>
      </w:r>
      <w:r w:rsidR="005C2DB1" w:rsidRPr="00590F16">
        <w:t>.</w:t>
      </w:r>
      <w:r w:rsidR="009567B9">
        <w:t>66454</w:t>
      </w:r>
      <w:r w:rsidR="005C2DB1" w:rsidRPr="00590F16">
        <w:t>/therm (commodity $0.</w:t>
      </w:r>
      <w:r w:rsidR="009567B9">
        <w:t>56143</w:t>
      </w:r>
      <w:r w:rsidR="005C2DB1">
        <w:t>,</w:t>
      </w:r>
      <w:r w:rsidR="005C2DB1" w:rsidRPr="00590F16">
        <w:t xml:space="preserve"> firm demand $0.</w:t>
      </w:r>
      <w:r w:rsidR="009567B9">
        <w:t>10311</w:t>
      </w:r>
      <w:r w:rsidR="005C2DB1" w:rsidRPr="00590F16">
        <w:t>)</w:t>
      </w:r>
      <w:r w:rsidR="000463AB">
        <w:t xml:space="preserve">. Cascade forecasts </w:t>
      </w:r>
      <w:r w:rsidR="004E362B">
        <w:t>lower</w:t>
      </w:r>
      <w:r w:rsidR="005C2DB1">
        <w:t xml:space="preserve"> natural gas costs for the coming year</w:t>
      </w:r>
      <w:r w:rsidR="00386EEC">
        <w:t>,</w:t>
      </w:r>
      <w:r w:rsidR="005C2DB1">
        <w:t xml:space="preserve"> which it determined using </w:t>
      </w:r>
      <w:r w:rsidR="00DA70BD">
        <w:t>v</w:t>
      </w:r>
      <w:r w:rsidR="005C2DB1">
        <w:t xml:space="preserve">arious analytical </w:t>
      </w:r>
      <w:r w:rsidR="00A94D25">
        <w:t>methods</w:t>
      </w:r>
      <w:r w:rsidR="005C2DB1">
        <w:t xml:space="preserve"> and supporting historical data </w:t>
      </w:r>
      <w:r w:rsidR="000463AB">
        <w:t>that</w:t>
      </w:r>
      <w:r w:rsidR="005C2DB1">
        <w:t xml:space="preserve"> staff found reasonable</w:t>
      </w:r>
      <w:r w:rsidR="00DA70BD">
        <w:t>.</w:t>
      </w:r>
      <w:r w:rsidR="005C2DB1">
        <w:t xml:space="preserve">  </w:t>
      </w:r>
    </w:p>
    <w:p w:rsidR="00A94D25" w:rsidRPr="008D3519" w:rsidRDefault="00883CAE" w:rsidP="003F1F4B">
      <w:pPr>
        <w:spacing w:after="120"/>
        <w:rPr>
          <w:b/>
          <w:caps/>
        </w:rPr>
      </w:pPr>
      <w:r w:rsidRPr="008D3519">
        <w:rPr>
          <w:b/>
        </w:rPr>
        <w:t>Gas Cost Deferral Amortization</w:t>
      </w:r>
    </w:p>
    <w:p w:rsidR="00161634" w:rsidRDefault="000463AB" w:rsidP="00161634">
      <w:pPr>
        <w:spacing w:after="120"/>
      </w:pPr>
      <w:r>
        <w:t xml:space="preserve">In </w:t>
      </w:r>
      <w:r w:rsidR="00047DD3">
        <w:t>Docket UG-</w:t>
      </w:r>
      <w:r>
        <w:t>101637,</w:t>
      </w:r>
      <w:r w:rsidR="00A94D25">
        <w:t xml:space="preserve"> </w:t>
      </w:r>
      <w:r w:rsidR="00386EEC">
        <w:t>Cascade</w:t>
      </w:r>
      <w:r w:rsidR="00BC2D2A">
        <w:t xml:space="preserve"> proposes a rate to amortize </w:t>
      </w:r>
      <w:r>
        <w:t>deferred</w:t>
      </w:r>
      <w:r w:rsidR="00047DD3">
        <w:t xml:space="preserve"> </w:t>
      </w:r>
      <w:r w:rsidR="005C2DB1">
        <w:t xml:space="preserve">natural </w:t>
      </w:r>
      <w:r w:rsidR="00A94D25">
        <w:t>gas cost</w:t>
      </w:r>
      <w:r>
        <w:t>s</w:t>
      </w:r>
      <w:r w:rsidR="00A94D25">
        <w:t xml:space="preserve">. </w:t>
      </w:r>
      <w:r w:rsidR="00047DD3">
        <w:t xml:space="preserve">This filing is designed to pass </w:t>
      </w:r>
      <w:r w:rsidR="005C2DB1">
        <w:t>through to customers the additional natural gas costs the company incurred above the amount</w:t>
      </w:r>
      <w:r w:rsidR="00B44389">
        <w:t>s</w:t>
      </w:r>
      <w:r w:rsidR="00E46B12">
        <w:t xml:space="preserve"> collected. </w:t>
      </w:r>
      <w:r w:rsidR="00991C76">
        <w:t xml:space="preserve">The </w:t>
      </w:r>
      <w:r w:rsidR="005C2DB1">
        <w:t xml:space="preserve">filing </w:t>
      </w:r>
      <w:r w:rsidR="00991C76">
        <w:t>results in a</w:t>
      </w:r>
      <w:r w:rsidR="00BC2D2A">
        <w:t>n</w:t>
      </w:r>
      <w:r>
        <w:t xml:space="preserve"> </w:t>
      </w:r>
      <w:r w:rsidR="00BC2D2A">
        <w:t>increase</w:t>
      </w:r>
      <w:r w:rsidR="00047DD3">
        <w:t xml:space="preserve"> to annual</w:t>
      </w:r>
      <w:r w:rsidR="00A85FC6">
        <w:t xml:space="preserve"> revenues of $</w:t>
      </w:r>
      <w:r w:rsidR="00BC2D2A">
        <w:t>3.</w:t>
      </w:r>
      <w:r w:rsidR="00E03490">
        <w:t>9</w:t>
      </w:r>
      <w:r w:rsidR="00471B80">
        <w:t xml:space="preserve"> million (</w:t>
      </w:r>
      <w:r w:rsidR="00BC2D2A">
        <w:t>1.</w:t>
      </w:r>
      <w:r w:rsidR="00F16852">
        <w:t>5</w:t>
      </w:r>
      <w:r w:rsidR="00BC2D2A">
        <w:t>6</w:t>
      </w:r>
      <w:r w:rsidR="008D3519">
        <w:t xml:space="preserve"> percent</w:t>
      </w:r>
      <w:r w:rsidR="00047DD3">
        <w:t>).</w:t>
      </w:r>
      <w:r w:rsidR="00161634" w:rsidRPr="00161634">
        <w:t xml:space="preserve"> </w:t>
      </w:r>
    </w:p>
    <w:p w:rsidR="00A94D25" w:rsidRPr="008D3519" w:rsidRDefault="00883CAE" w:rsidP="003F1F4B">
      <w:pPr>
        <w:spacing w:after="120"/>
        <w:rPr>
          <w:b/>
          <w:caps/>
        </w:rPr>
      </w:pPr>
      <w:r w:rsidRPr="008D3519">
        <w:rPr>
          <w:b/>
        </w:rPr>
        <w:lastRenderedPageBreak/>
        <w:t>Revenue and Residential Bill Impacts</w:t>
      </w:r>
    </w:p>
    <w:p w:rsidR="00A94D25" w:rsidRDefault="00A94D25" w:rsidP="003F1F4B">
      <w:pPr>
        <w:spacing w:after="120"/>
      </w:pPr>
      <w:r>
        <w:t xml:space="preserve">The combined effect of the two filings </w:t>
      </w:r>
      <w:r w:rsidR="000463AB">
        <w:t>is a decrease</w:t>
      </w:r>
      <w:r w:rsidR="005C2DB1">
        <w:t xml:space="preserve"> in annual natural gas sales revenues of $</w:t>
      </w:r>
      <w:r w:rsidR="00870D38">
        <w:t>23</w:t>
      </w:r>
      <w:r w:rsidR="005C2DB1">
        <w:t>,</w:t>
      </w:r>
      <w:r w:rsidR="00870D38">
        <w:t>105</w:t>
      </w:r>
      <w:r w:rsidR="005C2DB1">
        <w:t>,</w:t>
      </w:r>
      <w:r w:rsidR="00870D38">
        <w:t>275</w:t>
      </w:r>
      <w:r w:rsidR="00216A96">
        <w:t xml:space="preserve">, which </w:t>
      </w:r>
      <w:r w:rsidR="000463AB">
        <w:t>decreases</w:t>
      </w:r>
      <w:r>
        <w:t xml:space="preserve"> overall rates for</w:t>
      </w:r>
      <w:r w:rsidR="00216A96">
        <w:t xml:space="preserve"> natural</w:t>
      </w:r>
      <w:r>
        <w:t xml:space="preserve"> gas customers by </w:t>
      </w:r>
      <w:r w:rsidR="00BC2D2A">
        <w:t>9</w:t>
      </w:r>
      <w:r w:rsidR="00920F63" w:rsidRPr="00920F63">
        <w:t>.</w:t>
      </w:r>
      <w:r w:rsidR="00BC2D2A">
        <w:t>3</w:t>
      </w:r>
      <w:r w:rsidR="00F16852">
        <w:t>4</w:t>
      </w:r>
      <w:r w:rsidRPr="00920F63">
        <w:t xml:space="preserve"> percent. The</w:t>
      </w:r>
      <w:r>
        <w:t xml:space="preserve"> following table shows the impacts of the filings by customer class:</w:t>
      </w:r>
    </w:p>
    <w:p w:rsidR="00A94D25" w:rsidRDefault="00A94D25" w:rsidP="003F1F4B">
      <w:pPr>
        <w:spacing w:after="120"/>
      </w:pPr>
    </w:p>
    <w:tbl>
      <w:tblPr>
        <w:tblW w:w="9180" w:type="dxa"/>
        <w:tblInd w:w="108" w:type="dxa"/>
        <w:tblLayout w:type="fixed"/>
        <w:tblLook w:val="04A0"/>
      </w:tblPr>
      <w:tblGrid>
        <w:gridCol w:w="1980"/>
        <w:gridCol w:w="1710"/>
        <w:gridCol w:w="1980"/>
        <w:gridCol w:w="1980"/>
        <w:gridCol w:w="1530"/>
      </w:tblGrid>
      <w:tr w:rsidR="001E5E48" w:rsidTr="000022C0">
        <w:trPr>
          <w:trHeight w:val="315"/>
        </w:trPr>
        <w:tc>
          <w:tcPr>
            <w:tcW w:w="9180" w:type="dxa"/>
            <w:gridSpan w:val="5"/>
            <w:tcBorders>
              <w:top w:val="nil"/>
              <w:left w:val="nil"/>
              <w:bottom w:val="nil"/>
              <w:right w:val="nil"/>
            </w:tcBorders>
            <w:shd w:val="clear" w:color="auto" w:fill="auto"/>
            <w:hideMark/>
          </w:tcPr>
          <w:p w:rsidR="001E5E48" w:rsidRDefault="001E5E48">
            <w:pPr>
              <w:jc w:val="center"/>
            </w:pPr>
            <w:r>
              <w:t>TABLE 1</w:t>
            </w:r>
          </w:p>
          <w:p w:rsidR="001E5E48" w:rsidRDefault="001E5E48">
            <w:pPr>
              <w:jc w:val="center"/>
            </w:pPr>
          </w:p>
        </w:tc>
      </w:tr>
      <w:tr w:rsidR="001E5E48" w:rsidTr="000022C0">
        <w:trPr>
          <w:trHeight w:val="630"/>
        </w:trPr>
        <w:tc>
          <w:tcPr>
            <w:tcW w:w="1980" w:type="dxa"/>
            <w:tcBorders>
              <w:top w:val="nil"/>
              <w:left w:val="nil"/>
              <w:bottom w:val="nil"/>
              <w:right w:val="nil"/>
            </w:tcBorders>
            <w:shd w:val="clear" w:color="auto" w:fill="auto"/>
            <w:vAlign w:val="center"/>
            <w:hideMark/>
          </w:tcPr>
          <w:p w:rsidR="001E5E48" w:rsidRDefault="001E5E48">
            <w:pPr>
              <w:jc w:val="center"/>
            </w:pPr>
          </w:p>
        </w:tc>
        <w:tc>
          <w:tcPr>
            <w:tcW w:w="1710" w:type="dxa"/>
            <w:tcBorders>
              <w:top w:val="nil"/>
              <w:left w:val="nil"/>
              <w:bottom w:val="single" w:sz="4" w:space="0" w:color="auto"/>
              <w:right w:val="nil"/>
            </w:tcBorders>
            <w:shd w:val="clear" w:color="auto" w:fill="auto"/>
            <w:vAlign w:val="center"/>
            <w:hideMark/>
          </w:tcPr>
          <w:p w:rsidR="001E5E48" w:rsidRDefault="001E5E48">
            <w:pPr>
              <w:jc w:val="center"/>
            </w:pPr>
            <w:r>
              <w:t>PGA Per Therm Change</w:t>
            </w:r>
          </w:p>
        </w:tc>
        <w:tc>
          <w:tcPr>
            <w:tcW w:w="1980" w:type="dxa"/>
            <w:tcBorders>
              <w:top w:val="nil"/>
              <w:left w:val="nil"/>
              <w:bottom w:val="single" w:sz="4" w:space="0" w:color="auto"/>
              <w:right w:val="nil"/>
            </w:tcBorders>
            <w:shd w:val="clear" w:color="auto" w:fill="auto"/>
            <w:vAlign w:val="center"/>
            <w:hideMark/>
          </w:tcPr>
          <w:p w:rsidR="001E5E48" w:rsidRDefault="001E5E48">
            <w:pPr>
              <w:jc w:val="center"/>
            </w:pPr>
            <w:r>
              <w:t>Amortization Per Therm Change</w:t>
            </w:r>
          </w:p>
        </w:tc>
        <w:tc>
          <w:tcPr>
            <w:tcW w:w="1980" w:type="dxa"/>
            <w:tcBorders>
              <w:top w:val="nil"/>
              <w:left w:val="nil"/>
              <w:bottom w:val="single" w:sz="4" w:space="0" w:color="auto"/>
              <w:right w:val="nil"/>
            </w:tcBorders>
            <w:shd w:val="clear" w:color="auto" w:fill="auto"/>
            <w:vAlign w:val="center"/>
            <w:hideMark/>
          </w:tcPr>
          <w:p w:rsidR="001E5E48" w:rsidRDefault="001E5E48">
            <w:pPr>
              <w:jc w:val="center"/>
            </w:pPr>
            <w:r>
              <w:t>Total Annual Revenue Change</w:t>
            </w:r>
          </w:p>
        </w:tc>
        <w:tc>
          <w:tcPr>
            <w:tcW w:w="1530" w:type="dxa"/>
            <w:tcBorders>
              <w:top w:val="nil"/>
              <w:left w:val="nil"/>
              <w:bottom w:val="single" w:sz="4" w:space="0" w:color="auto"/>
              <w:right w:val="nil"/>
            </w:tcBorders>
            <w:shd w:val="clear" w:color="auto" w:fill="auto"/>
            <w:vAlign w:val="center"/>
            <w:hideMark/>
          </w:tcPr>
          <w:p w:rsidR="001E5E48" w:rsidRDefault="001E5E48">
            <w:pPr>
              <w:jc w:val="center"/>
            </w:pPr>
            <w:r>
              <w:t>Percent Change</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Residential</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(0.13079)</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 xml:space="preserve">0.01871 </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(11,994,150)</w:t>
            </w:r>
          </w:p>
        </w:tc>
        <w:tc>
          <w:tcPr>
            <w:tcW w:w="1530" w:type="dxa"/>
            <w:tcBorders>
              <w:top w:val="nil"/>
              <w:left w:val="nil"/>
              <w:bottom w:val="nil"/>
              <w:right w:val="nil"/>
            </w:tcBorders>
            <w:shd w:val="clear" w:color="auto" w:fill="auto"/>
            <w:noWrap/>
            <w:hideMark/>
          </w:tcPr>
          <w:p w:rsidR="00870D38" w:rsidRDefault="00870D38" w:rsidP="00F16852">
            <w:pPr>
              <w:autoSpaceDE w:val="0"/>
              <w:autoSpaceDN w:val="0"/>
              <w:adjustRightInd w:val="0"/>
              <w:jc w:val="right"/>
              <w:rPr>
                <w:color w:val="000000"/>
              </w:rPr>
            </w:pPr>
            <w:r>
              <w:rPr>
                <w:color w:val="000000"/>
              </w:rPr>
              <w:t>-9.8</w:t>
            </w:r>
            <w:r w:rsidR="00F16852">
              <w:rPr>
                <w:color w:val="000000"/>
              </w:rPr>
              <w:t>2</w:t>
            </w:r>
            <w:r>
              <w:rPr>
                <w:color w:val="000000"/>
              </w:rPr>
              <w:t>%</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Commercial</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(0.13062)</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 xml:space="preserve">0.01293 </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(9,070,060)</w:t>
            </w:r>
          </w:p>
        </w:tc>
        <w:tc>
          <w:tcPr>
            <w:tcW w:w="1530" w:type="dxa"/>
            <w:tcBorders>
              <w:top w:val="nil"/>
              <w:left w:val="nil"/>
              <w:bottom w:val="nil"/>
              <w:right w:val="nil"/>
            </w:tcBorders>
            <w:shd w:val="clear" w:color="auto" w:fill="auto"/>
            <w:noWrap/>
            <w:hideMark/>
          </w:tcPr>
          <w:p w:rsidR="00870D38" w:rsidRDefault="00870D38" w:rsidP="00F16852">
            <w:pPr>
              <w:autoSpaceDE w:val="0"/>
              <w:autoSpaceDN w:val="0"/>
              <w:adjustRightInd w:val="0"/>
              <w:jc w:val="right"/>
              <w:rPr>
                <w:color w:val="000000"/>
              </w:rPr>
            </w:pPr>
            <w:r>
              <w:rPr>
                <w:color w:val="000000"/>
              </w:rPr>
              <w:t>-10.9</w:t>
            </w:r>
            <w:r w:rsidR="00F16852">
              <w:rPr>
                <w:color w:val="000000"/>
              </w:rPr>
              <w:t>3</w:t>
            </w:r>
            <w:r>
              <w:rPr>
                <w:color w:val="000000"/>
              </w:rPr>
              <w:t>%</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Industrial Firm</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(0.12980)</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 xml:space="preserve">0.00611 </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(1,032,340)</w:t>
            </w:r>
          </w:p>
        </w:tc>
        <w:tc>
          <w:tcPr>
            <w:tcW w:w="153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-12.45%</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Industrial Large</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(0.12980)</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 xml:space="preserve">0.00299 </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(1,167,127)</w:t>
            </w:r>
          </w:p>
        </w:tc>
        <w:tc>
          <w:tcPr>
            <w:tcW w:w="153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-12.48%</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Interruptible</w:t>
            </w:r>
          </w:p>
        </w:tc>
        <w:tc>
          <w:tcPr>
            <w:tcW w:w="1710" w:type="dxa"/>
            <w:tcBorders>
              <w:top w:val="nil"/>
              <w:left w:val="nil"/>
              <w:bottom w:val="nil"/>
              <w:right w:val="nil"/>
            </w:tcBorders>
            <w:shd w:val="clear" w:color="auto" w:fill="auto"/>
            <w:noWrap/>
            <w:hideMark/>
          </w:tcPr>
          <w:p w:rsidR="00870D38" w:rsidRPr="00186FB6" w:rsidRDefault="00870D38" w:rsidP="00870D38">
            <w:pPr>
              <w:jc w:val="right"/>
            </w:pPr>
            <w:r w:rsidRPr="00186FB6">
              <w:t>(0.12899)</w:t>
            </w:r>
          </w:p>
        </w:tc>
        <w:tc>
          <w:tcPr>
            <w:tcW w:w="1980" w:type="dxa"/>
            <w:tcBorders>
              <w:top w:val="nil"/>
              <w:left w:val="nil"/>
              <w:bottom w:val="nil"/>
              <w:right w:val="nil"/>
            </w:tcBorders>
            <w:shd w:val="clear" w:color="auto" w:fill="auto"/>
            <w:noWrap/>
            <w:hideMark/>
          </w:tcPr>
          <w:p w:rsidR="00870D38" w:rsidRPr="00707338" w:rsidRDefault="00870D38" w:rsidP="00870D38">
            <w:pPr>
              <w:jc w:val="right"/>
            </w:pPr>
            <w:r w:rsidRPr="00707338">
              <w:t>(0.00277)</w:t>
            </w:r>
          </w:p>
        </w:tc>
        <w:tc>
          <w:tcPr>
            <w:tcW w:w="198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(583,970)</w:t>
            </w:r>
          </w:p>
        </w:tc>
        <w:tc>
          <w:tcPr>
            <w:tcW w:w="1530" w:type="dxa"/>
            <w:tcBorders>
              <w:top w:val="nil"/>
              <w:left w:val="nil"/>
              <w:bottom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-15.32%</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Interruptible Inst</w:t>
            </w:r>
            <w:r>
              <w:t>.</w:t>
            </w:r>
          </w:p>
        </w:tc>
        <w:tc>
          <w:tcPr>
            <w:tcW w:w="1710" w:type="dxa"/>
            <w:tcBorders>
              <w:top w:val="nil"/>
              <w:left w:val="nil"/>
              <w:right w:val="nil"/>
            </w:tcBorders>
            <w:shd w:val="clear" w:color="auto" w:fill="auto"/>
            <w:noWrap/>
            <w:hideMark/>
          </w:tcPr>
          <w:p w:rsidR="00870D38" w:rsidRPr="00186FB6" w:rsidRDefault="00870D38" w:rsidP="00870D38">
            <w:pPr>
              <w:jc w:val="right"/>
            </w:pPr>
            <w:r w:rsidRPr="00186FB6">
              <w:t>(0.12899)</w:t>
            </w:r>
          </w:p>
        </w:tc>
        <w:tc>
          <w:tcPr>
            <w:tcW w:w="1980" w:type="dxa"/>
            <w:tcBorders>
              <w:top w:val="nil"/>
              <w:left w:val="nil"/>
              <w:right w:val="nil"/>
            </w:tcBorders>
            <w:shd w:val="clear" w:color="auto" w:fill="auto"/>
            <w:noWrap/>
            <w:hideMark/>
          </w:tcPr>
          <w:p w:rsidR="00870D38" w:rsidRPr="00707338" w:rsidRDefault="00870D38" w:rsidP="00870D38">
            <w:pPr>
              <w:jc w:val="right"/>
            </w:pPr>
            <w:r w:rsidRPr="00707338">
              <w:t xml:space="preserve">0.00024 </w:t>
            </w:r>
          </w:p>
        </w:tc>
        <w:tc>
          <w:tcPr>
            <w:tcW w:w="1980" w:type="dxa"/>
            <w:tcBorders>
              <w:top w:val="nil"/>
              <w:left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(59,671)</w:t>
            </w:r>
          </w:p>
        </w:tc>
        <w:tc>
          <w:tcPr>
            <w:tcW w:w="1530" w:type="dxa"/>
            <w:tcBorders>
              <w:top w:val="nil"/>
              <w:left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-14.18%</w:t>
            </w:r>
          </w:p>
        </w:tc>
      </w:tr>
      <w:tr w:rsidR="00870D38" w:rsidTr="000022C0">
        <w:trPr>
          <w:trHeight w:val="315"/>
        </w:trPr>
        <w:tc>
          <w:tcPr>
            <w:tcW w:w="1980" w:type="dxa"/>
            <w:tcBorders>
              <w:top w:val="nil"/>
              <w:left w:val="nil"/>
              <w:bottom w:val="nil"/>
              <w:right w:val="nil"/>
            </w:tcBorders>
            <w:shd w:val="clear" w:color="auto" w:fill="auto"/>
            <w:noWrap/>
            <w:hideMark/>
          </w:tcPr>
          <w:p w:rsidR="00870D38" w:rsidRPr="00F86AD3" w:rsidRDefault="00870D38" w:rsidP="00DA671D">
            <w:r w:rsidRPr="00F86AD3">
              <w:t>Noncore Dist</w:t>
            </w:r>
          </w:p>
        </w:tc>
        <w:tc>
          <w:tcPr>
            <w:tcW w:w="1710" w:type="dxa"/>
            <w:tcBorders>
              <w:top w:val="nil"/>
              <w:left w:val="nil"/>
              <w:right w:val="nil"/>
            </w:tcBorders>
            <w:shd w:val="clear" w:color="auto" w:fill="auto"/>
            <w:noWrap/>
            <w:hideMark/>
          </w:tcPr>
          <w:p w:rsidR="00870D38" w:rsidRPr="00186FB6" w:rsidRDefault="00870D38" w:rsidP="00870D38">
            <w:pPr>
              <w:jc w:val="right"/>
            </w:pPr>
          </w:p>
        </w:tc>
        <w:tc>
          <w:tcPr>
            <w:tcW w:w="1980" w:type="dxa"/>
            <w:tcBorders>
              <w:top w:val="nil"/>
              <w:left w:val="nil"/>
              <w:right w:val="nil"/>
            </w:tcBorders>
            <w:shd w:val="clear" w:color="auto" w:fill="auto"/>
            <w:noWrap/>
            <w:hideMark/>
          </w:tcPr>
          <w:p w:rsidR="00870D38" w:rsidRPr="00707338" w:rsidRDefault="00870D38" w:rsidP="00870D38">
            <w:pPr>
              <w:jc w:val="right"/>
            </w:pPr>
            <w:r w:rsidRPr="00707338">
              <w:t xml:space="preserve">0.00203 </w:t>
            </w:r>
          </w:p>
        </w:tc>
        <w:tc>
          <w:tcPr>
            <w:tcW w:w="1980" w:type="dxa"/>
            <w:tcBorders>
              <w:top w:val="nil"/>
              <w:left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 xml:space="preserve">809,220 </w:t>
            </w:r>
          </w:p>
        </w:tc>
        <w:tc>
          <w:tcPr>
            <w:tcW w:w="1530" w:type="dxa"/>
            <w:tcBorders>
              <w:top w:val="nil"/>
              <w:left w:val="nil"/>
              <w:right w:val="nil"/>
            </w:tcBorders>
            <w:shd w:val="clear" w:color="auto" w:fill="auto"/>
            <w:noWrap/>
            <w:hideMark/>
          </w:tcPr>
          <w:p w:rsidR="00870D38" w:rsidRDefault="00870D38">
            <w:pPr>
              <w:autoSpaceDE w:val="0"/>
              <w:autoSpaceDN w:val="0"/>
              <w:adjustRightInd w:val="0"/>
              <w:jc w:val="right"/>
              <w:rPr>
                <w:color w:val="000000"/>
              </w:rPr>
            </w:pPr>
            <w:r>
              <w:rPr>
                <w:color w:val="000000"/>
              </w:rPr>
              <w:t>6.20%</w:t>
            </w:r>
          </w:p>
        </w:tc>
      </w:tr>
      <w:tr w:rsidR="00870D38" w:rsidTr="000022C0">
        <w:trPr>
          <w:trHeight w:val="315"/>
        </w:trPr>
        <w:tc>
          <w:tcPr>
            <w:tcW w:w="1980" w:type="dxa"/>
            <w:tcBorders>
              <w:top w:val="nil"/>
              <w:left w:val="nil"/>
              <w:bottom w:val="nil"/>
              <w:right w:val="nil"/>
            </w:tcBorders>
            <w:shd w:val="clear" w:color="auto" w:fill="auto"/>
            <w:noWrap/>
            <w:hideMark/>
          </w:tcPr>
          <w:p w:rsidR="00870D38" w:rsidRDefault="00870D38" w:rsidP="00DA671D">
            <w:r w:rsidRPr="00F86AD3">
              <w:t>Noncore Trans</w:t>
            </w:r>
          </w:p>
        </w:tc>
        <w:tc>
          <w:tcPr>
            <w:tcW w:w="1710" w:type="dxa"/>
            <w:tcBorders>
              <w:left w:val="nil"/>
              <w:bottom w:val="single" w:sz="4" w:space="0" w:color="auto"/>
              <w:right w:val="nil"/>
            </w:tcBorders>
            <w:shd w:val="clear" w:color="auto" w:fill="auto"/>
            <w:noWrap/>
            <w:hideMark/>
          </w:tcPr>
          <w:p w:rsidR="00870D38" w:rsidRPr="00186FB6" w:rsidRDefault="00870D38" w:rsidP="00870D38">
            <w:pPr>
              <w:jc w:val="right"/>
            </w:pPr>
          </w:p>
        </w:tc>
        <w:tc>
          <w:tcPr>
            <w:tcW w:w="1980" w:type="dxa"/>
            <w:tcBorders>
              <w:left w:val="nil"/>
              <w:bottom w:val="single" w:sz="4" w:space="0" w:color="auto"/>
              <w:right w:val="nil"/>
            </w:tcBorders>
            <w:shd w:val="clear" w:color="auto" w:fill="auto"/>
            <w:noWrap/>
            <w:hideMark/>
          </w:tcPr>
          <w:p w:rsidR="00870D38" w:rsidRDefault="00870D38" w:rsidP="00870D38">
            <w:pPr>
              <w:jc w:val="right"/>
            </w:pPr>
            <w:r w:rsidRPr="00707338">
              <w:t>(0.00095)</w:t>
            </w:r>
          </w:p>
        </w:tc>
        <w:tc>
          <w:tcPr>
            <w:tcW w:w="1980" w:type="dxa"/>
            <w:tcBorders>
              <w:left w:val="nil"/>
              <w:bottom w:val="single" w:sz="4" w:space="0" w:color="auto"/>
              <w:right w:val="nil"/>
            </w:tcBorders>
            <w:shd w:val="clear" w:color="auto" w:fill="auto"/>
            <w:noWrap/>
            <w:hideMark/>
          </w:tcPr>
          <w:p w:rsidR="00870D38" w:rsidRDefault="00870D38">
            <w:pPr>
              <w:autoSpaceDE w:val="0"/>
              <w:autoSpaceDN w:val="0"/>
              <w:adjustRightInd w:val="0"/>
              <w:jc w:val="right"/>
              <w:rPr>
                <w:color w:val="000000"/>
              </w:rPr>
            </w:pPr>
            <w:r>
              <w:rPr>
                <w:color w:val="000000"/>
              </w:rPr>
              <w:t>(7,177)</w:t>
            </w:r>
          </w:p>
        </w:tc>
        <w:tc>
          <w:tcPr>
            <w:tcW w:w="1530" w:type="dxa"/>
            <w:tcBorders>
              <w:left w:val="nil"/>
              <w:bottom w:val="single" w:sz="4" w:space="0" w:color="auto"/>
              <w:right w:val="nil"/>
            </w:tcBorders>
            <w:shd w:val="clear" w:color="auto" w:fill="auto"/>
            <w:noWrap/>
            <w:hideMark/>
          </w:tcPr>
          <w:p w:rsidR="00870D38" w:rsidRDefault="00870D38">
            <w:pPr>
              <w:autoSpaceDE w:val="0"/>
              <w:autoSpaceDN w:val="0"/>
              <w:adjustRightInd w:val="0"/>
              <w:jc w:val="right"/>
              <w:rPr>
                <w:color w:val="000000"/>
              </w:rPr>
            </w:pPr>
            <w:r>
              <w:rPr>
                <w:color w:val="000000"/>
              </w:rPr>
              <w:t>-1.93%</w:t>
            </w:r>
          </w:p>
        </w:tc>
      </w:tr>
      <w:tr w:rsidR="00870D38" w:rsidTr="000022C0">
        <w:trPr>
          <w:trHeight w:val="330"/>
        </w:trPr>
        <w:tc>
          <w:tcPr>
            <w:tcW w:w="1980" w:type="dxa"/>
            <w:tcBorders>
              <w:top w:val="nil"/>
              <w:left w:val="nil"/>
              <w:bottom w:val="nil"/>
              <w:right w:val="nil"/>
            </w:tcBorders>
            <w:shd w:val="clear" w:color="auto" w:fill="auto"/>
            <w:noWrap/>
            <w:hideMark/>
          </w:tcPr>
          <w:p w:rsidR="00870D38" w:rsidRDefault="00870D38">
            <w:r>
              <w:t>TOTAL</w:t>
            </w:r>
          </w:p>
        </w:tc>
        <w:tc>
          <w:tcPr>
            <w:tcW w:w="1710" w:type="dxa"/>
            <w:tcBorders>
              <w:top w:val="nil"/>
              <w:left w:val="nil"/>
              <w:bottom w:val="nil"/>
              <w:right w:val="nil"/>
            </w:tcBorders>
            <w:shd w:val="clear" w:color="auto" w:fill="auto"/>
            <w:noWrap/>
            <w:hideMark/>
          </w:tcPr>
          <w:p w:rsidR="00870D38" w:rsidRDefault="00870D38">
            <w:pPr>
              <w:ind w:firstLineChars="300" w:firstLine="720"/>
            </w:pPr>
          </w:p>
        </w:tc>
        <w:tc>
          <w:tcPr>
            <w:tcW w:w="1980" w:type="dxa"/>
            <w:tcBorders>
              <w:top w:val="nil"/>
              <w:left w:val="nil"/>
              <w:bottom w:val="nil"/>
              <w:right w:val="nil"/>
            </w:tcBorders>
            <w:shd w:val="clear" w:color="auto" w:fill="auto"/>
            <w:noWrap/>
            <w:hideMark/>
          </w:tcPr>
          <w:p w:rsidR="00870D38" w:rsidRDefault="00870D38">
            <w:pPr>
              <w:ind w:firstLineChars="300" w:firstLine="720"/>
            </w:pPr>
          </w:p>
        </w:tc>
        <w:tc>
          <w:tcPr>
            <w:tcW w:w="1980" w:type="dxa"/>
            <w:tcBorders>
              <w:top w:val="nil"/>
              <w:left w:val="nil"/>
              <w:bottom w:val="double" w:sz="6" w:space="0" w:color="auto"/>
              <w:right w:val="nil"/>
            </w:tcBorders>
            <w:shd w:val="clear" w:color="auto" w:fill="auto"/>
            <w:noWrap/>
            <w:hideMark/>
          </w:tcPr>
          <w:p w:rsidR="00870D38" w:rsidRDefault="00870D38" w:rsidP="00870D38">
            <w:pPr>
              <w:ind w:firstLineChars="100" w:firstLine="241"/>
              <w:jc w:val="right"/>
            </w:pPr>
            <w:r>
              <w:rPr>
                <w:b/>
                <w:bCs/>
                <w:color w:val="000000"/>
              </w:rPr>
              <w:t>(23,105,275)</w:t>
            </w:r>
          </w:p>
        </w:tc>
        <w:tc>
          <w:tcPr>
            <w:tcW w:w="1530" w:type="dxa"/>
            <w:tcBorders>
              <w:top w:val="nil"/>
              <w:left w:val="nil"/>
              <w:bottom w:val="double" w:sz="6" w:space="0" w:color="auto"/>
              <w:right w:val="nil"/>
            </w:tcBorders>
            <w:shd w:val="clear" w:color="auto" w:fill="auto"/>
            <w:noWrap/>
            <w:hideMark/>
          </w:tcPr>
          <w:p w:rsidR="00870D38" w:rsidRDefault="00870D38">
            <w:pPr>
              <w:autoSpaceDE w:val="0"/>
              <w:autoSpaceDN w:val="0"/>
              <w:adjustRightInd w:val="0"/>
              <w:jc w:val="right"/>
              <w:rPr>
                <w:b/>
                <w:bCs/>
                <w:color w:val="000000"/>
              </w:rPr>
            </w:pPr>
            <w:r>
              <w:rPr>
                <w:b/>
                <w:bCs/>
                <w:color w:val="000000"/>
              </w:rPr>
              <w:t>-9.34%</w:t>
            </w:r>
          </w:p>
        </w:tc>
      </w:tr>
    </w:tbl>
    <w:p w:rsidR="00A94D25" w:rsidRDefault="00A94D25" w:rsidP="003F1F4B">
      <w:pPr>
        <w:spacing w:after="120"/>
      </w:pPr>
    </w:p>
    <w:p w:rsidR="00A94D25" w:rsidRDefault="00A94D25" w:rsidP="003F1F4B">
      <w:pPr>
        <w:spacing w:after="120"/>
      </w:pPr>
      <w:r>
        <w:t xml:space="preserve">The impact of </w:t>
      </w:r>
      <w:r w:rsidR="00216A96">
        <w:t xml:space="preserve">the </w:t>
      </w:r>
      <w:r w:rsidR="00937003">
        <w:t>c</w:t>
      </w:r>
      <w:r w:rsidR="00216A96">
        <w:t>ompany’s</w:t>
      </w:r>
      <w:r>
        <w:t xml:space="preserve"> two filings on </w:t>
      </w:r>
      <w:r w:rsidR="00216A96">
        <w:t>the average</w:t>
      </w:r>
      <w:r>
        <w:t xml:space="preserve"> monthly bill for a residential customer with </w:t>
      </w:r>
      <w:r w:rsidR="00047DD3">
        <w:t xml:space="preserve">monthly consumption of </w:t>
      </w:r>
      <w:r w:rsidR="00820C8B">
        <w:t>53</w:t>
      </w:r>
      <w:r>
        <w:t xml:space="preserve"> therms will be a </w:t>
      </w:r>
      <w:r w:rsidR="00047DD3">
        <w:t xml:space="preserve">net </w:t>
      </w:r>
      <w:r w:rsidR="009567B9">
        <w:t>decrease</w:t>
      </w:r>
      <w:r>
        <w:t xml:space="preserve"> of $</w:t>
      </w:r>
      <w:r w:rsidR="009567B9">
        <w:t>5</w:t>
      </w:r>
      <w:r w:rsidR="00471B80">
        <w:t>.</w:t>
      </w:r>
      <w:r w:rsidR="009567B9">
        <w:t>94</w:t>
      </w:r>
      <w:r w:rsidR="00047DD3">
        <w:t xml:space="preserve"> or</w:t>
      </w:r>
      <w:r w:rsidR="009567B9">
        <w:t xml:space="preserve"> </w:t>
      </w:r>
      <w:r w:rsidR="00D07DEC">
        <w:t>9</w:t>
      </w:r>
      <w:r w:rsidR="00047DD3">
        <w:t>.</w:t>
      </w:r>
      <w:r w:rsidR="00D07DEC">
        <w:t>8</w:t>
      </w:r>
      <w:r w:rsidR="00F16852">
        <w:t>2</w:t>
      </w:r>
      <w:r>
        <w:t xml:space="preserve"> percent.</w:t>
      </w:r>
    </w:p>
    <w:p w:rsidR="000022C0" w:rsidRDefault="000022C0" w:rsidP="00BC5607"/>
    <w:p w:rsidR="000022C0" w:rsidRPr="00883CAE" w:rsidRDefault="000022C0" w:rsidP="000022C0">
      <w:pPr>
        <w:spacing w:after="120"/>
        <w:rPr>
          <w:b/>
          <w:caps/>
          <w:u w:val="single"/>
        </w:rPr>
      </w:pPr>
      <w:r w:rsidRPr="00883CAE">
        <w:rPr>
          <w:b/>
          <w:u w:val="single"/>
        </w:rPr>
        <w:t>C</w:t>
      </w:r>
      <w:r>
        <w:rPr>
          <w:b/>
          <w:u w:val="single"/>
        </w:rPr>
        <w:t>ustomer Comments</w:t>
      </w:r>
    </w:p>
    <w:p w:rsidR="00BC5607" w:rsidRPr="00494940" w:rsidRDefault="00BC5607" w:rsidP="00BC5607">
      <w:r>
        <w:t>The company notified its customers by bill insert during the month of August 2010. The company explained the PGA process and the anticipated rate change. The commission did not receive any customer comments on this filing.</w:t>
      </w:r>
    </w:p>
    <w:p w:rsidR="00A94D25" w:rsidRDefault="00A94D25" w:rsidP="003F1F4B">
      <w:pPr>
        <w:spacing w:after="120"/>
      </w:pPr>
    </w:p>
    <w:p w:rsidR="00A94D25" w:rsidRPr="00883CAE" w:rsidRDefault="00883CAE" w:rsidP="003F1F4B">
      <w:pPr>
        <w:spacing w:after="120"/>
        <w:rPr>
          <w:b/>
          <w:caps/>
          <w:u w:val="single"/>
        </w:rPr>
      </w:pPr>
      <w:r w:rsidRPr="00883CAE">
        <w:rPr>
          <w:b/>
          <w:u w:val="single"/>
        </w:rPr>
        <w:t>Conclusion</w:t>
      </w:r>
    </w:p>
    <w:p w:rsidR="00A94D25" w:rsidRDefault="00A94D25" w:rsidP="003F1F4B">
      <w:pPr>
        <w:spacing w:after="120"/>
      </w:pPr>
      <w:r>
        <w:t xml:space="preserve">Staff has reviewed </w:t>
      </w:r>
      <w:r w:rsidR="00047DD3">
        <w:t>Cascade’s</w:t>
      </w:r>
      <w:r>
        <w:t xml:space="preserve"> prospective</w:t>
      </w:r>
      <w:r w:rsidR="00216A96">
        <w:t xml:space="preserve"> natural</w:t>
      </w:r>
      <w:r>
        <w:t xml:space="preserve"> gas costs and deferral </w:t>
      </w:r>
      <w:r w:rsidR="00216A96">
        <w:t>amortization filings an</w:t>
      </w:r>
      <w:r w:rsidR="00E46B12">
        <w:t xml:space="preserve">d found them to be reasonable. </w:t>
      </w:r>
      <w:r w:rsidR="00216A96">
        <w:t xml:space="preserve">Therefore, </w:t>
      </w:r>
      <w:r w:rsidR="00820C8B">
        <w:t>s</w:t>
      </w:r>
      <w:r>
        <w:t>ta</w:t>
      </w:r>
      <w:r w:rsidR="00820C8B">
        <w:t>ff recommends the c</w:t>
      </w:r>
      <w:r w:rsidR="00C36F82">
        <w:t xml:space="preserve">ommission </w:t>
      </w:r>
      <w:r>
        <w:t xml:space="preserve">take no action, </w:t>
      </w:r>
      <w:r w:rsidR="00386EEC">
        <w:t xml:space="preserve">thereby </w:t>
      </w:r>
      <w:r>
        <w:t>allowing the tariff filings in Dockets UG-</w:t>
      </w:r>
      <w:r w:rsidR="00820C8B">
        <w:t>101636</w:t>
      </w:r>
      <w:r>
        <w:t xml:space="preserve"> and UG-</w:t>
      </w:r>
      <w:r w:rsidR="00820C8B">
        <w:t>101637</w:t>
      </w:r>
      <w:r>
        <w:t xml:space="preserve"> to take effect </w:t>
      </w:r>
      <w:r w:rsidR="00047DD3">
        <w:t>November</w:t>
      </w:r>
      <w:r>
        <w:t xml:space="preserve"> 1, 20</w:t>
      </w:r>
      <w:r w:rsidR="00820C8B">
        <w:t>10</w:t>
      </w:r>
      <w:r>
        <w:t>, by operation of law.</w:t>
      </w:r>
    </w:p>
    <w:sectPr w:rsidR="00A94D25" w:rsidSect="00920F63">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A37" w:rsidRDefault="00DF6A37">
      <w:r>
        <w:separator/>
      </w:r>
    </w:p>
  </w:endnote>
  <w:endnote w:type="continuationSeparator" w:id="0">
    <w:p w:rsidR="00DF6A37" w:rsidRDefault="00DF6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A37" w:rsidRDefault="00DF6A37">
      <w:r>
        <w:separator/>
      </w:r>
    </w:p>
  </w:footnote>
  <w:footnote w:type="continuationSeparator" w:id="0">
    <w:p w:rsidR="00DF6A37" w:rsidRDefault="00DF6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AF" w:rsidRPr="003F1F4B" w:rsidRDefault="00BD2EAF">
    <w:pPr>
      <w:pStyle w:val="Header"/>
      <w:rPr>
        <w:sz w:val="20"/>
        <w:szCs w:val="20"/>
      </w:rPr>
    </w:pPr>
    <w:r w:rsidRPr="003F1F4B">
      <w:rPr>
        <w:sz w:val="20"/>
        <w:szCs w:val="20"/>
      </w:rPr>
      <w:t>Dockets UG-</w:t>
    </w:r>
    <w:r w:rsidR="000463AB">
      <w:rPr>
        <w:sz w:val="20"/>
        <w:szCs w:val="20"/>
      </w:rPr>
      <w:t>101636</w:t>
    </w:r>
    <w:r w:rsidRPr="003F1F4B">
      <w:rPr>
        <w:sz w:val="20"/>
        <w:szCs w:val="20"/>
      </w:rPr>
      <w:t xml:space="preserve"> and UG-</w:t>
    </w:r>
    <w:r w:rsidR="000463AB">
      <w:rPr>
        <w:sz w:val="20"/>
        <w:szCs w:val="20"/>
      </w:rPr>
      <w:t>101637</w:t>
    </w:r>
  </w:p>
  <w:p w:rsidR="00BD2EAF" w:rsidRPr="003F1F4B" w:rsidRDefault="00BD2EAF">
    <w:pPr>
      <w:pStyle w:val="Header"/>
      <w:rPr>
        <w:sz w:val="20"/>
        <w:szCs w:val="20"/>
      </w:rPr>
    </w:pPr>
    <w:r>
      <w:rPr>
        <w:sz w:val="20"/>
        <w:szCs w:val="20"/>
      </w:rPr>
      <w:t xml:space="preserve">October </w:t>
    </w:r>
    <w:r w:rsidR="00D72D11">
      <w:rPr>
        <w:sz w:val="20"/>
        <w:szCs w:val="20"/>
      </w:rPr>
      <w:t>28</w:t>
    </w:r>
    <w:r>
      <w:rPr>
        <w:sz w:val="20"/>
        <w:szCs w:val="20"/>
      </w:rPr>
      <w:t>, 2008</w:t>
    </w:r>
  </w:p>
  <w:p w:rsidR="00BD2EAF" w:rsidRDefault="00BD2EAF">
    <w:pPr>
      <w:pStyle w:val="Header"/>
      <w:rPr>
        <w:sz w:val="20"/>
        <w:szCs w:val="20"/>
      </w:rPr>
    </w:pPr>
    <w:r w:rsidRPr="003F1F4B">
      <w:rPr>
        <w:sz w:val="20"/>
        <w:szCs w:val="20"/>
      </w:rPr>
      <w:t xml:space="preserve">Page </w:t>
    </w:r>
    <w:r w:rsidR="00F21C13" w:rsidRPr="003F1F4B">
      <w:rPr>
        <w:sz w:val="20"/>
        <w:szCs w:val="20"/>
      </w:rPr>
      <w:fldChar w:fldCharType="begin"/>
    </w:r>
    <w:r w:rsidRPr="003F1F4B">
      <w:rPr>
        <w:sz w:val="20"/>
        <w:szCs w:val="20"/>
      </w:rPr>
      <w:instrText xml:space="preserve"> PAGE </w:instrText>
    </w:r>
    <w:r w:rsidR="00F21C13" w:rsidRPr="003F1F4B">
      <w:rPr>
        <w:sz w:val="20"/>
        <w:szCs w:val="20"/>
      </w:rPr>
      <w:fldChar w:fldCharType="separate"/>
    </w:r>
    <w:r w:rsidR="003A2A9F">
      <w:rPr>
        <w:noProof/>
        <w:sz w:val="20"/>
        <w:szCs w:val="20"/>
      </w:rPr>
      <w:t>2</w:t>
    </w:r>
    <w:r w:rsidR="00F21C13" w:rsidRPr="003F1F4B">
      <w:rPr>
        <w:sz w:val="20"/>
        <w:szCs w:val="20"/>
      </w:rPr>
      <w:fldChar w:fldCharType="end"/>
    </w:r>
    <w:r w:rsidRPr="003F1F4B">
      <w:rPr>
        <w:sz w:val="20"/>
        <w:szCs w:val="20"/>
      </w:rPr>
      <w:t xml:space="preserve"> of </w:t>
    </w:r>
    <w:r w:rsidR="00F21C13" w:rsidRPr="003F1F4B">
      <w:rPr>
        <w:sz w:val="20"/>
        <w:szCs w:val="20"/>
      </w:rPr>
      <w:fldChar w:fldCharType="begin"/>
    </w:r>
    <w:r w:rsidRPr="003F1F4B">
      <w:rPr>
        <w:sz w:val="20"/>
        <w:szCs w:val="20"/>
      </w:rPr>
      <w:instrText xml:space="preserve"> NUMPAGES </w:instrText>
    </w:r>
    <w:r w:rsidR="00F21C13" w:rsidRPr="003F1F4B">
      <w:rPr>
        <w:sz w:val="20"/>
        <w:szCs w:val="20"/>
      </w:rPr>
      <w:fldChar w:fldCharType="separate"/>
    </w:r>
    <w:r w:rsidR="003A2A9F">
      <w:rPr>
        <w:noProof/>
        <w:sz w:val="20"/>
        <w:szCs w:val="20"/>
      </w:rPr>
      <w:t>2</w:t>
    </w:r>
    <w:r w:rsidR="00F21C13" w:rsidRPr="003F1F4B">
      <w:rPr>
        <w:sz w:val="20"/>
        <w:szCs w:val="20"/>
      </w:rPr>
      <w:fldChar w:fldCharType="end"/>
    </w:r>
  </w:p>
  <w:p w:rsidR="00BD2EAF" w:rsidRDefault="00BD2EAF">
    <w:pPr>
      <w:pStyle w:val="Header"/>
      <w:rPr>
        <w:sz w:val="20"/>
        <w:szCs w:val="20"/>
      </w:rPr>
    </w:pPr>
  </w:p>
  <w:p w:rsidR="00BD2EAF" w:rsidRPr="003F1F4B" w:rsidRDefault="00BD2EAF">
    <w:pPr>
      <w:pStyle w:val="Heade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characterSpacingControl w:val="doNotCompress"/>
  <w:footnotePr>
    <w:footnote w:id="-1"/>
    <w:footnote w:id="0"/>
  </w:footnotePr>
  <w:endnotePr>
    <w:endnote w:id="-1"/>
    <w:endnote w:id="0"/>
  </w:endnotePr>
  <w:compat/>
  <w:rsids>
    <w:rsidRoot w:val="00A94D25"/>
    <w:rsid w:val="000022C0"/>
    <w:rsid w:val="000463AB"/>
    <w:rsid w:val="00047DD3"/>
    <w:rsid w:val="000E369A"/>
    <w:rsid w:val="00102D4C"/>
    <w:rsid w:val="0010327C"/>
    <w:rsid w:val="00127089"/>
    <w:rsid w:val="001574A6"/>
    <w:rsid w:val="00161634"/>
    <w:rsid w:val="00190E3F"/>
    <w:rsid w:val="001A33FB"/>
    <w:rsid w:val="001B3AE3"/>
    <w:rsid w:val="001D262E"/>
    <w:rsid w:val="001D3BE3"/>
    <w:rsid w:val="001E0527"/>
    <w:rsid w:val="001E5E48"/>
    <w:rsid w:val="001F46AF"/>
    <w:rsid w:val="0020447B"/>
    <w:rsid w:val="002065E2"/>
    <w:rsid w:val="00216A96"/>
    <w:rsid w:val="0021749C"/>
    <w:rsid w:val="00227214"/>
    <w:rsid w:val="002344C7"/>
    <w:rsid w:val="00242E57"/>
    <w:rsid w:val="0026151D"/>
    <w:rsid w:val="002650E1"/>
    <w:rsid w:val="0028485F"/>
    <w:rsid w:val="002D2D87"/>
    <w:rsid w:val="002D61D4"/>
    <w:rsid w:val="002F3021"/>
    <w:rsid w:val="003320A0"/>
    <w:rsid w:val="00351D29"/>
    <w:rsid w:val="00386EEC"/>
    <w:rsid w:val="0039614F"/>
    <w:rsid w:val="003A1CC0"/>
    <w:rsid w:val="003A2A9F"/>
    <w:rsid w:val="003E5E18"/>
    <w:rsid w:val="003F1F4B"/>
    <w:rsid w:val="00411E6B"/>
    <w:rsid w:val="00466E61"/>
    <w:rsid w:val="00471B80"/>
    <w:rsid w:val="00484A29"/>
    <w:rsid w:val="00494122"/>
    <w:rsid w:val="00494D94"/>
    <w:rsid w:val="004A3482"/>
    <w:rsid w:val="004A7E6A"/>
    <w:rsid w:val="004B3160"/>
    <w:rsid w:val="004C6F97"/>
    <w:rsid w:val="004D4908"/>
    <w:rsid w:val="004E362B"/>
    <w:rsid w:val="0050543B"/>
    <w:rsid w:val="00511B59"/>
    <w:rsid w:val="00520449"/>
    <w:rsid w:val="00544EA2"/>
    <w:rsid w:val="005564BF"/>
    <w:rsid w:val="005671AA"/>
    <w:rsid w:val="00582CEB"/>
    <w:rsid w:val="00590F16"/>
    <w:rsid w:val="005C2DB1"/>
    <w:rsid w:val="005D69EB"/>
    <w:rsid w:val="005D7C93"/>
    <w:rsid w:val="005E13B4"/>
    <w:rsid w:val="006160F0"/>
    <w:rsid w:val="006243E4"/>
    <w:rsid w:val="00673861"/>
    <w:rsid w:val="00687DBE"/>
    <w:rsid w:val="006A1556"/>
    <w:rsid w:val="006A58DC"/>
    <w:rsid w:val="006B1BB2"/>
    <w:rsid w:val="006B21DB"/>
    <w:rsid w:val="006B35CB"/>
    <w:rsid w:val="006D6A33"/>
    <w:rsid w:val="006E6370"/>
    <w:rsid w:val="0070692A"/>
    <w:rsid w:val="007142B2"/>
    <w:rsid w:val="0073553A"/>
    <w:rsid w:val="0074584B"/>
    <w:rsid w:val="00763714"/>
    <w:rsid w:val="007867CC"/>
    <w:rsid w:val="007B0E82"/>
    <w:rsid w:val="007C7EB7"/>
    <w:rsid w:val="007E3B22"/>
    <w:rsid w:val="007E4BA2"/>
    <w:rsid w:val="00816918"/>
    <w:rsid w:val="00820334"/>
    <w:rsid w:val="00820C8B"/>
    <w:rsid w:val="00846123"/>
    <w:rsid w:val="00870D38"/>
    <w:rsid w:val="00870DCA"/>
    <w:rsid w:val="00883CAE"/>
    <w:rsid w:val="00886359"/>
    <w:rsid w:val="008D3519"/>
    <w:rsid w:val="008D3D67"/>
    <w:rsid w:val="008D6EAE"/>
    <w:rsid w:val="008F6DD7"/>
    <w:rsid w:val="00920F63"/>
    <w:rsid w:val="00931A33"/>
    <w:rsid w:val="00937003"/>
    <w:rsid w:val="00943689"/>
    <w:rsid w:val="009567B9"/>
    <w:rsid w:val="00962822"/>
    <w:rsid w:val="00982E90"/>
    <w:rsid w:val="00991C76"/>
    <w:rsid w:val="009A0318"/>
    <w:rsid w:val="009B62D8"/>
    <w:rsid w:val="009C5C61"/>
    <w:rsid w:val="009C79DA"/>
    <w:rsid w:val="009E46A8"/>
    <w:rsid w:val="00A2383E"/>
    <w:rsid w:val="00A556C1"/>
    <w:rsid w:val="00A85FC6"/>
    <w:rsid w:val="00A94D25"/>
    <w:rsid w:val="00AC1528"/>
    <w:rsid w:val="00AC4E48"/>
    <w:rsid w:val="00AE6443"/>
    <w:rsid w:val="00B07A43"/>
    <w:rsid w:val="00B1449C"/>
    <w:rsid w:val="00B15BE1"/>
    <w:rsid w:val="00B174AA"/>
    <w:rsid w:val="00B27AE1"/>
    <w:rsid w:val="00B44389"/>
    <w:rsid w:val="00B53E37"/>
    <w:rsid w:val="00B67271"/>
    <w:rsid w:val="00B83E33"/>
    <w:rsid w:val="00BC2BB2"/>
    <w:rsid w:val="00BC2D2A"/>
    <w:rsid w:val="00BC5607"/>
    <w:rsid w:val="00BD2EAF"/>
    <w:rsid w:val="00BF5236"/>
    <w:rsid w:val="00BF6557"/>
    <w:rsid w:val="00C36F82"/>
    <w:rsid w:val="00C46833"/>
    <w:rsid w:val="00CC6681"/>
    <w:rsid w:val="00CF7E31"/>
    <w:rsid w:val="00D07DEC"/>
    <w:rsid w:val="00D2468A"/>
    <w:rsid w:val="00D4003C"/>
    <w:rsid w:val="00D41EEB"/>
    <w:rsid w:val="00D72D11"/>
    <w:rsid w:val="00D96E85"/>
    <w:rsid w:val="00DA70BD"/>
    <w:rsid w:val="00DB0152"/>
    <w:rsid w:val="00DE1014"/>
    <w:rsid w:val="00DE2317"/>
    <w:rsid w:val="00DF6A37"/>
    <w:rsid w:val="00E03490"/>
    <w:rsid w:val="00E1203E"/>
    <w:rsid w:val="00E46B12"/>
    <w:rsid w:val="00E85FB0"/>
    <w:rsid w:val="00E94E7E"/>
    <w:rsid w:val="00EA7CBD"/>
    <w:rsid w:val="00EB0597"/>
    <w:rsid w:val="00EB5E9F"/>
    <w:rsid w:val="00EE41A8"/>
    <w:rsid w:val="00EF7AA6"/>
    <w:rsid w:val="00F16852"/>
    <w:rsid w:val="00F21C13"/>
    <w:rsid w:val="00F24119"/>
    <w:rsid w:val="00F5144D"/>
    <w:rsid w:val="00F66888"/>
    <w:rsid w:val="00FC1C2C"/>
    <w:rsid w:val="00FC7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1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BA2"/>
    <w:rPr>
      <w:rFonts w:ascii="Tahoma" w:hAnsi="Tahoma" w:cs="Tahoma"/>
      <w:sz w:val="16"/>
      <w:szCs w:val="16"/>
    </w:rPr>
  </w:style>
  <w:style w:type="paragraph" w:styleId="Header">
    <w:name w:val="header"/>
    <w:basedOn w:val="Normal"/>
    <w:rsid w:val="00920F63"/>
    <w:pPr>
      <w:tabs>
        <w:tab w:val="center" w:pos="4320"/>
        <w:tab w:val="right" w:pos="8640"/>
      </w:tabs>
    </w:pPr>
  </w:style>
  <w:style w:type="paragraph" w:styleId="Footer">
    <w:name w:val="footer"/>
    <w:basedOn w:val="Normal"/>
    <w:rsid w:val="00920F63"/>
    <w:pPr>
      <w:tabs>
        <w:tab w:val="center" w:pos="4320"/>
        <w:tab w:val="right" w:pos="8640"/>
      </w:tabs>
    </w:pPr>
  </w:style>
  <w:style w:type="character" w:styleId="CommentReference">
    <w:name w:val="annotation reference"/>
    <w:basedOn w:val="DefaultParagraphFont"/>
    <w:rsid w:val="000022C0"/>
    <w:rPr>
      <w:sz w:val="16"/>
      <w:szCs w:val="16"/>
    </w:rPr>
  </w:style>
  <w:style w:type="paragraph" w:styleId="CommentText">
    <w:name w:val="annotation text"/>
    <w:basedOn w:val="Normal"/>
    <w:link w:val="CommentTextChar"/>
    <w:rsid w:val="000022C0"/>
    <w:rPr>
      <w:sz w:val="20"/>
      <w:szCs w:val="20"/>
    </w:rPr>
  </w:style>
  <w:style w:type="character" w:customStyle="1" w:styleId="CommentTextChar">
    <w:name w:val="Comment Text Char"/>
    <w:basedOn w:val="DefaultParagraphFont"/>
    <w:link w:val="CommentText"/>
    <w:rsid w:val="000022C0"/>
  </w:style>
  <w:style w:type="paragraph" w:styleId="CommentSubject">
    <w:name w:val="annotation subject"/>
    <w:basedOn w:val="CommentText"/>
    <w:next w:val="CommentText"/>
    <w:link w:val="CommentSubjectChar"/>
    <w:rsid w:val="000022C0"/>
    <w:rPr>
      <w:b/>
      <w:bCs/>
    </w:rPr>
  </w:style>
  <w:style w:type="character" w:customStyle="1" w:styleId="CommentSubjectChar">
    <w:name w:val="Comment Subject Char"/>
    <w:basedOn w:val="CommentTextChar"/>
    <w:link w:val="CommentSubject"/>
    <w:rsid w:val="000022C0"/>
    <w:rPr>
      <w:b/>
      <w:bCs/>
    </w:rPr>
  </w:style>
</w:styles>
</file>

<file path=word/webSettings.xml><?xml version="1.0" encoding="utf-8"?>
<w:webSettings xmlns:r="http://schemas.openxmlformats.org/officeDocument/2006/relationships" xmlns:w="http://schemas.openxmlformats.org/wordprocessingml/2006/main">
  <w:divs>
    <w:div w:id="1026833330">
      <w:bodyDiv w:val="1"/>
      <w:marLeft w:val="0"/>
      <w:marRight w:val="0"/>
      <w:marTop w:val="0"/>
      <w:marBottom w:val="0"/>
      <w:divBdr>
        <w:top w:val="none" w:sz="0" w:space="0" w:color="auto"/>
        <w:left w:val="none" w:sz="0" w:space="0" w:color="auto"/>
        <w:bottom w:val="none" w:sz="0" w:space="0" w:color="auto"/>
        <w:right w:val="none" w:sz="0" w:space="0" w:color="auto"/>
      </w:divBdr>
    </w:div>
    <w:div w:id="12302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2010-10-01T07:00:00+00:00</OpenedDate>
    <Date1 xmlns="dc463f71-b30c-4ab2-9473-d307f9d35888">2010-10-28T07:00:00+00:00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101637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E794BFFA2F964E9725B02EFD5FD1A1" ma:contentTypeVersion="131" ma:contentTypeDescription="" ma:contentTypeScope="" ma:versionID="2e60f51ff9dd23cc4074f8d26952e1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AEAEAB-94C4-4BD9-B950-A83D49E52340}"/>
</file>

<file path=customXml/itemProps2.xml><?xml version="1.0" encoding="utf-8"?>
<ds:datastoreItem xmlns:ds="http://schemas.openxmlformats.org/officeDocument/2006/customXml" ds:itemID="{B0D68BC3-BE9E-4575-AEC0-D4FA48FA91B7}"/>
</file>

<file path=customXml/itemProps3.xml><?xml version="1.0" encoding="utf-8"?>
<ds:datastoreItem xmlns:ds="http://schemas.openxmlformats.org/officeDocument/2006/customXml" ds:itemID="{1FCDBE9C-2924-4069-8F6C-9E143BFBE848}"/>
</file>

<file path=customXml/itemProps4.xml><?xml version="1.0" encoding="utf-8"?>
<ds:datastoreItem xmlns:ds="http://schemas.openxmlformats.org/officeDocument/2006/customXml" ds:itemID="{81BA1EE6-5976-499E-812A-8D65644141EB}"/>
</file>

<file path=customXml/itemProps5.xml><?xml version="1.0" encoding="utf-8"?>
<ds:datastoreItem xmlns:ds="http://schemas.openxmlformats.org/officeDocument/2006/customXml" ds:itemID="{7F38C978-81F3-4B81-A59A-015FFE0CCC6B}"/>
</file>

<file path=customXml/itemProps6.xml><?xml version="1.0" encoding="utf-8"?>
<ds:datastoreItem xmlns:ds="http://schemas.openxmlformats.org/officeDocument/2006/customXml" ds:itemID="{F5072416-2C03-4A46-9C16-9DF133FA80BB}"/>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UG-101636 and UG-101637 Memo</dc:title>
  <dc:subject/>
  <dc:creator>Ann LaRue</dc:creator>
  <cp:keywords/>
  <dc:description/>
  <cp:lastModifiedBy>Lisa Wyse, Records Manager</cp:lastModifiedBy>
  <cp:revision>2</cp:revision>
  <cp:lastPrinted>2010-10-25T17:37:00Z</cp:lastPrinted>
  <dcterms:created xsi:type="dcterms:W3CDTF">2010-10-25T22:00:00Z</dcterms:created>
  <dcterms:modified xsi:type="dcterms:W3CDTF">2010-10-25T22:00:00Z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Item">
    <vt:lpwstr>0</vt:lpwstr>
  </property>
  <property fmtid="{D5CDD505-2E9C-101B-9397-08002B2CF9AE}" pid="3" name="ContentType">
    <vt:lpwstr>Document</vt:lpwstr>
  </property>
  <property fmtid="{D5CDD505-2E9C-101B-9397-08002B2CF9AE}" pid="4" name="Move To0">
    <vt:lpwstr/>
  </property>
  <property fmtid="{D5CDD505-2E9C-101B-9397-08002B2CF9AE}" pid="5" name="Item ID0">
    <vt:lpwstr/>
  </property>
  <property fmtid="{D5CDD505-2E9C-101B-9397-08002B2CF9AE}" pid="6" name="ContentTypeId">
    <vt:lpwstr>0x0101006E56B4D1795A2E4DB2F0B01679ED314A005BE794BFFA2F964E9725B02EFD5FD1A1</vt:lpwstr>
  </property>
  <property fmtid="{D5CDD505-2E9C-101B-9397-08002B2CF9AE}" pid="7" name="_docset_NoMedatataSyncRequired">
    <vt:lpwstr>False</vt:lpwstr>
  </property>
</Properties>
</file>