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B15BED" w:rsidRDefault="00B15BED" w:rsidP="00B15BED">
      <w:pPr>
        <w:tabs>
          <w:tab w:val="left" w:pos="1260"/>
        </w:tabs>
        <w:spacing w:line="480" w:lineRule="auto"/>
        <w:ind w:left="-270"/>
        <w:jc w:val="center"/>
      </w:pPr>
    </w:p>
    <w:p w:rsidR="00B15BED" w:rsidRDefault="00914F08" w:rsidP="00B15BED">
      <w:pPr>
        <w:tabs>
          <w:tab w:val="left" w:pos="1260"/>
        </w:tabs>
        <w:spacing w:line="480" w:lineRule="auto"/>
        <w:ind w:left="-270"/>
        <w:jc w:val="center"/>
      </w:pPr>
      <w:r w:rsidRPr="005540EB">
        <w:t>DOCKET NO</w:t>
      </w:r>
      <w:r w:rsidR="0046767F">
        <w:t>S</w:t>
      </w:r>
      <w:r w:rsidRPr="005540EB">
        <w:t xml:space="preserve">. </w:t>
      </w:r>
      <w:r w:rsidR="00B15BED" w:rsidRPr="005540EB">
        <w:t>UE-</w:t>
      </w:r>
      <w:r w:rsidR="00B15BED">
        <w:t>120436 &amp;</w:t>
      </w:r>
      <w:r w:rsidR="00B15BED" w:rsidRPr="005540EB">
        <w:t xml:space="preserve"> UG-</w:t>
      </w:r>
      <w:r w:rsidR="00B15BED">
        <w:t>120437</w:t>
      </w:r>
    </w:p>
    <w:p w:rsidR="0046767F" w:rsidRPr="005540EB" w:rsidRDefault="0046767F" w:rsidP="0046767F">
      <w:pPr>
        <w:tabs>
          <w:tab w:val="left" w:pos="1260"/>
        </w:tabs>
        <w:spacing w:line="480" w:lineRule="auto"/>
        <w:ind w:left="-270"/>
        <w:jc w:val="center"/>
      </w:pPr>
      <w:r w:rsidRPr="005540EB">
        <w:t>DOCKET NO</w:t>
      </w:r>
      <w:r>
        <w:t>S</w:t>
      </w:r>
      <w:r w:rsidRPr="005540EB">
        <w:t xml:space="preserve">. </w:t>
      </w:r>
      <w:r w:rsidR="00B15BED" w:rsidRPr="005540EB">
        <w:t>UE-</w:t>
      </w:r>
      <w:r w:rsidR="00B15BED">
        <w:t>110876 &amp;</w:t>
      </w:r>
      <w:r w:rsidR="00B15BED" w:rsidRPr="005540EB">
        <w:t xml:space="preserve"> UG-</w:t>
      </w:r>
      <w:r w:rsidR="00B15BED">
        <w:t>110877</w:t>
      </w:r>
    </w:p>
    <w:p w:rsidR="0046767F" w:rsidRPr="005540EB" w:rsidRDefault="0046767F"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p>
    <w:p w:rsidR="00914F08" w:rsidRPr="005540EB" w:rsidRDefault="0046767F" w:rsidP="000F6CFB">
      <w:pPr>
        <w:tabs>
          <w:tab w:val="left" w:pos="1260"/>
        </w:tabs>
        <w:spacing w:line="480" w:lineRule="auto"/>
        <w:ind w:left="-270"/>
        <w:jc w:val="center"/>
      </w:pPr>
      <w:r>
        <w:t>CROSS-ANSWERING</w:t>
      </w:r>
      <w:r w:rsidR="00914F08" w:rsidRPr="005540EB">
        <w:t xml:space="preserve"> TESTIMONY OF</w:t>
      </w:r>
    </w:p>
    <w:p w:rsidR="00914F08" w:rsidRPr="005540EB" w:rsidRDefault="00376502" w:rsidP="000F6CFB">
      <w:pPr>
        <w:tabs>
          <w:tab w:val="left" w:pos="1260"/>
        </w:tabs>
        <w:spacing w:line="480" w:lineRule="auto"/>
        <w:ind w:left="-270"/>
        <w:jc w:val="center"/>
      </w:pPr>
      <w:r>
        <w:t>KELLY O. NORWOOD</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376502" w:rsidRPr="00B952E0" w:rsidRDefault="00376502" w:rsidP="00376502">
      <w:pPr>
        <w:pStyle w:val="TestBody"/>
        <w:tabs>
          <w:tab w:val="left" w:pos="1440"/>
        </w:tabs>
        <w:spacing w:line="480" w:lineRule="auto"/>
        <w:ind w:left="0" w:firstLine="720"/>
        <w:rPr>
          <w:rFonts w:ascii="Times New Roman" w:hAnsi="Times New Roman" w:cs="Times New Roman"/>
          <w:b/>
          <w:bCs/>
        </w:rPr>
      </w:pPr>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376502" w:rsidRPr="00B952E0" w:rsidRDefault="00376502" w:rsidP="00376502">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rPr>
        <w:t>A.</w:t>
      </w:r>
      <w:r>
        <w:rPr>
          <w:rFonts w:ascii="Times New Roman" w:hAnsi="Times New Roman" w:cs="Times New Roman"/>
        </w:rPr>
        <w:tab/>
      </w:r>
      <w:r w:rsidRPr="00B952E0">
        <w:rPr>
          <w:rFonts w:ascii="Times New Roman" w:hAnsi="Times New Roman" w:cs="Times New Roman"/>
        </w:rPr>
        <w:t>My name is Kelly O. Norwood and I am employed as the Vice President of State and Federal Regulation for Avista Utilities (Company or Avista), at 1411 East Mission Avenue, Spokane, Washington.</w:t>
      </w:r>
    </w:p>
    <w:p w:rsidR="00127C71" w:rsidRDefault="00127C71" w:rsidP="008E6A73">
      <w:pPr>
        <w:pStyle w:val="Heading1"/>
        <w:tabs>
          <w:tab w:val="clear" w:pos="720"/>
          <w:tab w:val="clear" w:pos="5040"/>
          <w:tab w:val="clear" w:pos="6480"/>
          <w:tab w:val="clear" w:pos="7920"/>
        </w:tabs>
        <w:suppressAutoHyphens/>
        <w:ind w:firstLine="720"/>
      </w:pPr>
      <w:r>
        <w:t>Q.</w:t>
      </w:r>
      <w:r>
        <w:tab/>
        <w:t>Have you previously provided direct testimony in th</w:t>
      </w:r>
      <w:r w:rsidR="0046767F">
        <w:t>e</w:t>
      </w:r>
      <w:r>
        <w:t>s</w:t>
      </w:r>
      <w:r w:rsidR="0046767F">
        <w:t>e</w:t>
      </w:r>
      <w:r>
        <w:t xml:space="preserve"> </w:t>
      </w:r>
      <w:r w:rsidR="0046767F">
        <w:t>Dockets</w:t>
      </w:r>
      <w:r>
        <w:t>?</w:t>
      </w:r>
    </w:p>
    <w:p w:rsidR="0046767F" w:rsidRPr="00726FE9" w:rsidRDefault="00127C71" w:rsidP="008E6A73">
      <w:pPr>
        <w:suppressAutoHyphens/>
        <w:spacing w:line="480" w:lineRule="auto"/>
        <w:ind w:firstLine="720"/>
        <w:jc w:val="both"/>
      </w:pPr>
      <w:r>
        <w:t>A.</w:t>
      </w:r>
      <w:r>
        <w:tab/>
        <w:t xml:space="preserve">Yes.  </w:t>
      </w:r>
      <w:r w:rsidR="00376502">
        <w:t>I have sponsored Exhibit Nos.__</w:t>
      </w:r>
      <w:proofErr w:type="gramStart"/>
      <w:r w:rsidR="00376502">
        <w:t>_(</w:t>
      </w:r>
      <w:proofErr w:type="gramEnd"/>
      <w:r w:rsidR="00376502">
        <w:t xml:space="preserve">KON-1T) through (KON-5).  My testimony relates to, among other things, the Company’s </w:t>
      </w:r>
      <w:r w:rsidR="00FD002E">
        <w:t xml:space="preserve">proposed </w:t>
      </w:r>
      <w:r w:rsidR="00376502">
        <w:t>Attrition Adjustment.</w:t>
      </w:r>
    </w:p>
    <w:p w:rsidR="005540EB" w:rsidRPr="00726FE9" w:rsidRDefault="005540EB" w:rsidP="000B6A29">
      <w:pPr>
        <w:pStyle w:val="P106"/>
        <w:jc w:val="both"/>
        <w:rPr>
          <w:rFonts w:ascii="Times New Roman" w:hAnsi="Times New Roman" w:cs="Times New Roman"/>
        </w:rPr>
      </w:pPr>
      <w:r w:rsidRPr="00726FE9">
        <w:rPr>
          <w:rStyle w:val="T11"/>
          <w:rFonts w:ascii="Times New Roman" w:hAnsi="Times New Roman" w:cs="Times New Roman"/>
        </w:rPr>
        <w:t>Q.</w:t>
      </w:r>
      <w:r w:rsidRPr="00726FE9">
        <w:rPr>
          <w:rStyle w:val="T11"/>
          <w:rFonts w:ascii="Times New Roman" w:hAnsi="Times New Roman" w:cs="Times New Roman"/>
        </w:rPr>
        <w:tab/>
        <w:t xml:space="preserve">Are you sponsoring any Exhibits </w:t>
      </w:r>
      <w:r w:rsidR="007D06E5">
        <w:rPr>
          <w:rStyle w:val="T11"/>
          <w:rFonts w:ascii="Times New Roman" w:hAnsi="Times New Roman" w:cs="Times New Roman"/>
        </w:rPr>
        <w:t>with this</w:t>
      </w:r>
      <w:r w:rsidRPr="00726FE9">
        <w:rPr>
          <w:rStyle w:val="T11"/>
          <w:rFonts w:ascii="Times New Roman" w:hAnsi="Times New Roman" w:cs="Times New Roman"/>
        </w:rPr>
        <w:t xml:space="preserve"> testimony?</w:t>
      </w:r>
    </w:p>
    <w:p w:rsidR="00B312FA" w:rsidRPr="00936BE1" w:rsidRDefault="005540EB" w:rsidP="001B0FE3">
      <w:pPr>
        <w:spacing w:line="480" w:lineRule="auto"/>
        <w:ind w:firstLine="720"/>
        <w:jc w:val="both"/>
      </w:pPr>
      <w:r w:rsidRPr="00726FE9">
        <w:t>A.</w:t>
      </w:r>
      <w:r w:rsidRPr="00726FE9">
        <w:tab/>
      </w:r>
      <w:r w:rsidR="00EC3F4F">
        <w:t>No, I am not.</w:t>
      </w:r>
    </w:p>
    <w:p w:rsidR="005540EB" w:rsidRPr="005540EB" w:rsidRDefault="008E6A73" w:rsidP="008E6A73">
      <w:pPr>
        <w:pStyle w:val="P84"/>
        <w:ind w:left="0" w:firstLine="720"/>
        <w:jc w:val="both"/>
        <w:rPr>
          <w:rFonts w:ascii="Times New Roman" w:hAnsi="Times New Roman" w:cs="Times New Roman"/>
        </w:rPr>
      </w:pPr>
      <w:r>
        <w:rPr>
          <w:rFonts w:ascii="Times New Roman" w:hAnsi="Times New Roman" w:cs="Times New Roman"/>
        </w:rPr>
        <w:t>Q.</w:t>
      </w:r>
      <w:r w:rsidR="005A20F8">
        <w:rPr>
          <w:rFonts w:ascii="Times New Roman" w:hAnsi="Times New Roman" w:cs="Times New Roman"/>
        </w:rPr>
        <w:tab/>
      </w:r>
      <w:r w:rsidR="005540EB" w:rsidRPr="005540EB">
        <w:rPr>
          <w:rFonts w:ascii="Times New Roman" w:hAnsi="Times New Roman" w:cs="Times New Roman"/>
        </w:rPr>
        <w:t xml:space="preserve">What is the </w:t>
      </w:r>
      <w:r w:rsidR="005A20F8">
        <w:rPr>
          <w:rFonts w:ascii="Times New Roman" w:hAnsi="Times New Roman" w:cs="Times New Roman"/>
        </w:rPr>
        <w:t>purpose of your testimony in this matter</w:t>
      </w:r>
      <w:r w:rsidR="005540EB" w:rsidRPr="005540EB">
        <w:rPr>
          <w:rFonts w:ascii="Times New Roman" w:hAnsi="Times New Roman" w:cs="Times New Roman"/>
        </w:rPr>
        <w:t>?</w:t>
      </w:r>
    </w:p>
    <w:p w:rsidR="00EC3F4F" w:rsidRDefault="005A20F8" w:rsidP="008E6A73">
      <w:pPr>
        <w:pStyle w:val="P31"/>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The purpose of my testimony is to provide the Company’s </w:t>
      </w:r>
      <w:r w:rsidR="0046767F">
        <w:rPr>
          <w:rFonts w:ascii="Times New Roman" w:hAnsi="Times New Roman" w:cs="Times New Roman"/>
        </w:rPr>
        <w:t>Cross-Answering</w:t>
      </w:r>
      <w:r>
        <w:rPr>
          <w:rFonts w:ascii="Times New Roman" w:hAnsi="Times New Roman" w:cs="Times New Roman"/>
        </w:rPr>
        <w:t xml:space="preserve"> </w:t>
      </w:r>
      <w:r w:rsidR="0046767F">
        <w:rPr>
          <w:rFonts w:ascii="Times New Roman" w:hAnsi="Times New Roman" w:cs="Times New Roman"/>
        </w:rPr>
        <w:t xml:space="preserve">testimony </w:t>
      </w:r>
      <w:r w:rsidR="00376502">
        <w:rPr>
          <w:rFonts w:ascii="Times New Roman" w:hAnsi="Times New Roman" w:cs="Times New Roman"/>
        </w:rPr>
        <w:t xml:space="preserve">to </w:t>
      </w:r>
      <w:r w:rsidR="0046767F">
        <w:rPr>
          <w:rFonts w:ascii="Times New Roman" w:hAnsi="Times New Roman" w:cs="Times New Roman"/>
        </w:rPr>
        <w:t xml:space="preserve">the </w:t>
      </w:r>
      <w:r>
        <w:rPr>
          <w:rFonts w:ascii="Times New Roman" w:hAnsi="Times New Roman" w:cs="Times New Roman"/>
        </w:rPr>
        <w:t>testimon</w:t>
      </w:r>
      <w:r w:rsidR="00EC3F4F">
        <w:rPr>
          <w:rFonts w:ascii="Times New Roman" w:hAnsi="Times New Roman" w:cs="Times New Roman"/>
        </w:rPr>
        <w:t xml:space="preserve">ies filed by the Staff of the Washington Utilities </w:t>
      </w:r>
      <w:r w:rsidR="00D91E3B">
        <w:rPr>
          <w:rFonts w:ascii="Times New Roman" w:hAnsi="Times New Roman" w:cs="Times New Roman"/>
        </w:rPr>
        <w:t xml:space="preserve">and Transportation Commission (“UTC </w:t>
      </w:r>
      <w:r w:rsidR="00EC3F4F">
        <w:rPr>
          <w:rFonts w:ascii="Times New Roman" w:hAnsi="Times New Roman" w:cs="Times New Roman"/>
        </w:rPr>
        <w:t xml:space="preserve">Staff”), the Public Counsel Section of the </w:t>
      </w:r>
      <w:r w:rsidR="00AF1A24">
        <w:rPr>
          <w:rFonts w:ascii="Times New Roman" w:hAnsi="Times New Roman" w:cs="Times New Roman"/>
        </w:rPr>
        <w:t>Washington Office of Attorney General</w:t>
      </w:r>
      <w:r w:rsidR="00EC3F4F">
        <w:rPr>
          <w:rFonts w:ascii="Times New Roman" w:hAnsi="Times New Roman" w:cs="Times New Roman"/>
        </w:rPr>
        <w:t xml:space="preserve"> (“Public Counsel”), and the </w:t>
      </w:r>
      <w:r w:rsidR="00EC3F4F" w:rsidRPr="00EC3F4F">
        <w:rPr>
          <w:rFonts w:ascii="Times New Roman" w:hAnsi="Times New Roman" w:cs="Times New Roman"/>
        </w:rPr>
        <w:t>Industrial Customers of Northwest Utilities</w:t>
      </w:r>
      <w:r w:rsidR="00EC3F4F">
        <w:rPr>
          <w:rFonts w:ascii="Times New Roman" w:hAnsi="Times New Roman" w:cs="Times New Roman"/>
        </w:rPr>
        <w:t xml:space="preserve"> (“ICNU</w:t>
      </w:r>
      <w:r w:rsidR="00AF1A24">
        <w:rPr>
          <w:rFonts w:ascii="Times New Roman" w:hAnsi="Times New Roman" w:cs="Times New Roman"/>
        </w:rPr>
        <w:t>”), regarding</w:t>
      </w:r>
      <w:r w:rsidR="00376502">
        <w:rPr>
          <w:rFonts w:ascii="Times New Roman" w:hAnsi="Times New Roman" w:cs="Times New Roman"/>
        </w:rPr>
        <w:t xml:space="preserve"> the decoupling mechanism</w:t>
      </w:r>
      <w:r w:rsidR="00AF1A24">
        <w:rPr>
          <w:rFonts w:ascii="Times New Roman" w:hAnsi="Times New Roman" w:cs="Times New Roman"/>
        </w:rPr>
        <w:t xml:space="preserve"> the Northwest Energy Coalition</w:t>
      </w:r>
      <w:r w:rsidR="00376502">
        <w:rPr>
          <w:rFonts w:ascii="Times New Roman" w:hAnsi="Times New Roman" w:cs="Times New Roman"/>
        </w:rPr>
        <w:t xml:space="preserve"> (NWEC) proposed for Avista.</w:t>
      </w:r>
    </w:p>
    <w:p w:rsidR="002132EC" w:rsidRPr="005540EB" w:rsidRDefault="008E6A73" w:rsidP="008E6A73">
      <w:pPr>
        <w:pStyle w:val="P84"/>
        <w:ind w:left="0" w:firstLine="720"/>
        <w:jc w:val="both"/>
        <w:rPr>
          <w:rFonts w:ascii="Times New Roman" w:hAnsi="Times New Roman" w:cs="Times New Roman"/>
        </w:rPr>
      </w:pPr>
      <w:r>
        <w:rPr>
          <w:rFonts w:ascii="Times New Roman" w:hAnsi="Times New Roman" w:cs="Times New Roman"/>
        </w:rPr>
        <w:t>Q.</w:t>
      </w:r>
      <w:r w:rsidR="00BC2511">
        <w:rPr>
          <w:rFonts w:ascii="Times New Roman" w:hAnsi="Times New Roman" w:cs="Times New Roman"/>
        </w:rPr>
        <w:tab/>
        <w:t>D</w:t>
      </w:r>
      <w:r w:rsidR="00B25E1F">
        <w:rPr>
          <w:rFonts w:ascii="Times New Roman" w:hAnsi="Times New Roman" w:cs="Times New Roman"/>
        </w:rPr>
        <w:t>o you have any general observations</w:t>
      </w:r>
      <w:r w:rsidR="00BC2511">
        <w:rPr>
          <w:rFonts w:ascii="Times New Roman" w:hAnsi="Times New Roman" w:cs="Times New Roman"/>
        </w:rPr>
        <w:t xml:space="preserve"> related to the testimony</w:t>
      </w:r>
      <w:r w:rsidR="00757717">
        <w:rPr>
          <w:rFonts w:ascii="Times New Roman" w:hAnsi="Times New Roman" w:cs="Times New Roman"/>
        </w:rPr>
        <w:t xml:space="preserve"> filed by the three parties</w:t>
      </w:r>
      <w:r w:rsidR="00B25E1F">
        <w:rPr>
          <w:rFonts w:ascii="Times New Roman" w:hAnsi="Times New Roman" w:cs="Times New Roman"/>
        </w:rPr>
        <w:t xml:space="preserve">, before you begin addressing some of the </w:t>
      </w:r>
      <w:r w:rsidR="00BC2511">
        <w:rPr>
          <w:rFonts w:ascii="Times New Roman" w:hAnsi="Times New Roman" w:cs="Times New Roman"/>
        </w:rPr>
        <w:t>specific</w:t>
      </w:r>
      <w:r w:rsidR="00B25E1F">
        <w:rPr>
          <w:rFonts w:ascii="Times New Roman" w:hAnsi="Times New Roman" w:cs="Times New Roman"/>
        </w:rPr>
        <w:t xml:space="preserve"> iss</w:t>
      </w:r>
      <w:r w:rsidR="00757717">
        <w:rPr>
          <w:rFonts w:ascii="Times New Roman" w:hAnsi="Times New Roman" w:cs="Times New Roman"/>
        </w:rPr>
        <w:t>ues</w:t>
      </w:r>
      <w:r w:rsidR="002132EC" w:rsidRPr="005540EB">
        <w:rPr>
          <w:rFonts w:ascii="Times New Roman" w:hAnsi="Times New Roman" w:cs="Times New Roman"/>
        </w:rPr>
        <w:t>?</w:t>
      </w:r>
    </w:p>
    <w:p w:rsidR="00CC05C0" w:rsidRDefault="008E6A73" w:rsidP="008E6A73">
      <w:pPr>
        <w:pStyle w:val="P84"/>
        <w:ind w:left="0" w:firstLine="720"/>
        <w:jc w:val="both"/>
        <w:rPr>
          <w:rFonts w:ascii="Times New Roman" w:hAnsi="Times New Roman" w:cs="Times New Roman"/>
          <w:b w:val="0"/>
        </w:rPr>
      </w:pPr>
      <w:r>
        <w:rPr>
          <w:rFonts w:ascii="Times New Roman" w:hAnsi="Times New Roman" w:cs="Times New Roman"/>
          <w:b w:val="0"/>
        </w:rPr>
        <w:t>A.</w:t>
      </w:r>
      <w:r w:rsidR="002132EC" w:rsidRPr="00376502">
        <w:rPr>
          <w:rFonts w:ascii="Times New Roman" w:hAnsi="Times New Roman" w:cs="Times New Roman"/>
          <w:b w:val="0"/>
        </w:rPr>
        <w:tab/>
      </w:r>
      <w:r w:rsidR="00B25E1F">
        <w:rPr>
          <w:rFonts w:ascii="Times New Roman" w:hAnsi="Times New Roman" w:cs="Times New Roman"/>
          <w:b w:val="0"/>
        </w:rPr>
        <w:t>Yes</w:t>
      </w:r>
      <w:r w:rsidR="009327D0">
        <w:rPr>
          <w:rFonts w:ascii="Times New Roman" w:hAnsi="Times New Roman" w:cs="Times New Roman"/>
          <w:b w:val="0"/>
        </w:rPr>
        <w:t>.</w:t>
      </w:r>
      <w:r w:rsidR="00BC2511">
        <w:rPr>
          <w:rFonts w:ascii="Times New Roman" w:hAnsi="Times New Roman" w:cs="Times New Roman"/>
          <w:b w:val="0"/>
        </w:rPr>
        <w:t xml:space="preserve">  In reading the Commission’s Policy Statement </w:t>
      </w:r>
      <w:r w:rsidR="002D18BE">
        <w:rPr>
          <w:rFonts w:ascii="Times New Roman" w:hAnsi="Times New Roman" w:cs="Times New Roman"/>
          <w:b w:val="0"/>
        </w:rPr>
        <w:t>on Decoupling issued November 4, 2010 in Docket U-100522,</w:t>
      </w:r>
      <w:r w:rsidR="00BC2511">
        <w:rPr>
          <w:rFonts w:ascii="Times New Roman" w:hAnsi="Times New Roman" w:cs="Times New Roman"/>
          <w:b w:val="0"/>
        </w:rPr>
        <w:t xml:space="preserve"> and the Commission’s recent Order No. </w:t>
      </w:r>
      <w:r w:rsidR="007D534F">
        <w:rPr>
          <w:rFonts w:ascii="Times New Roman" w:hAnsi="Times New Roman" w:cs="Times New Roman"/>
          <w:b w:val="0"/>
        </w:rPr>
        <w:t>08</w:t>
      </w:r>
      <w:r w:rsidR="00BC2511">
        <w:rPr>
          <w:rFonts w:ascii="Times New Roman" w:hAnsi="Times New Roman" w:cs="Times New Roman"/>
          <w:b w:val="0"/>
        </w:rPr>
        <w:t xml:space="preserve"> in </w:t>
      </w:r>
      <w:r w:rsidR="002D18BE">
        <w:rPr>
          <w:rFonts w:ascii="Times New Roman" w:hAnsi="Times New Roman" w:cs="Times New Roman"/>
          <w:b w:val="0"/>
        </w:rPr>
        <w:t>Puget Sound Energy’s Dockets</w:t>
      </w:r>
      <w:r w:rsidR="007D534F">
        <w:rPr>
          <w:rFonts w:ascii="Times New Roman" w:hAnsi="Times New Roman" w:cs="Times New Roman"/>
          <w:b w:val="0"/>
        </w:rPr>
        <w:t xml:space="preserve"> UE-111048 and UG-111049</w:t>
      </w:r>
      <w:r w:rsidR="00BC2511">
        <w:rPr>
          <w:rFonts w:ascii="Times New Roman" w:hAnsi="Times New Roman" w:cs="Times New Roman"/>
          <w:b w:val="0"/>
        </w:rPr>
        <w:t xml:space="preserve">, I believe the Commission is interested in seriously considering some form of decoupling.  And we are too if the </w:t>
      </w:r>
      <w:r w:rsidR="00BC2511">
        <w:rPr>
          <w:rFonts w:ascii="Times New Roman" w:hAnsi="Times New Roman" w:cs="Times New Roman"/>
          <w:b w:val="0"/>
        </w:rPr>
        <w:lastRenderedPageBreak/>
        <w:t>decoupling mechanism</w:t>
      </w:r>
      <w:r w:rsidR="00550C0E">
        <w:rPr>
          <w:rFonts w:ascii="Times New Roman" w:hAnsi="Times New Roman" w:cs="Times New Roman"/>
          <w:b w:val="0"/>
        </w:rPr>
        <w:t>, and other ratemaking treatment,</w:t>
      </w:r>
      <w:r w:rsidR="00BC2511">
        <w:rPr>
          <w:rFonts w:ascii="Times New Roman" w:hAnsi="Times New Roman" w:cs="Times New Roman"/>
          <w:b w:val="0"/>
        </w:rPr>
        <w:t xml:space="preserve"> is designed in a way that is fair to both customers and the Company.  </w:t>
      </w:r>
      <w:r w:rsidR="009C20BC">
        <w:rPr>
          <w:rFonts w:ascii="Times New Roman" w:hAnsi="Times New Roman" w:cs="Times New Roman"/>
          <w:b w:val="0"/>
        </w:rPr>
        <w:t>None of the three parties (UTC Staff, Public Counsel, or ICNU)</w:t>
      </w:r>
      <w:r w:rsidR="000A2966">
        <w:rPr>
          <w:rFonts w:ascii="Times New Roman" w:hAnsi="Times New Roman" w:cs="Times New Roman"/>
          <w:b w:val="0"/>
        </w:rPr>
        <w:t>, however,</w:t>
      </w:r>
      <w:r w:rsidR="009C20BC">
        <w:rPr>
          <w:rFonts w:ascii="Times New Roman" w:hAnsi="Times New Roman" w:cs="Times New Roman"/>
          <w:b w:val="0"/>
        </w:rPr>
        <w:t xml:space="preserve"> have been constructive in assisting the Commission with a specific, fleshed-out electric decoupling proposal that could be acted upon by the Commission in this Docket.  Much of the focus of their testimony is on why decoupling should not be adopted, </w:t>
      </w:r>
      <w:r w:rsidR="000F1A99">
        <w:rPr>
          <w:rFonts w:ascii="Times New Roman" w:hAnsi="Times New Roman" w:cs="Times New Roman"/>
          <w:b w:val="0"/>
        </w:rPr>
        <w:t>identifying alleged shortcomings</w:t>
      </w:r>
      <w:r w:rsidR="009C20BC">
        <w:rPr>
          <w:rFonts w:ascii="Times New Roman" w:hAnsi="Times New Roman" w:cs="Times New Roman"/>
          <w:b w:val="0"/>
        </w:rPr>
        <w:t xml:space="preserve"> with the NWEC’s proposal, and/or </w:t>
      </w:r>
      <w:r w:rsidR="006860C4">
        <w:rPr>
          <w:rFonts w:ascii="Times New Roman" w:hAnsi="Times New Roman" w:cs="Times New Roman"/>
          <w:b w:val="0"/>
        </w:rPr>
        <w:t xml:space="preserve">recommending conditions related to adoption of decoupling that would cause the mechanism to be of </w:t>
      </w:r>
      <w:r w:rsidR="00E430E1">
        <w:rPr>
          <w:rFonts w:ascii="Times New Roman" w:hAnsi="Times New Roman" w:cs="Times New Roman"/>
          <w:b w:val="0"/>
        </w:rPr>
        <w:t xml:space="preserve">little or </w:t>
      </w:r>
      <w:r w:rsidR="006860C4">
        <w:rPr>
          <w:rFonts w:ascii="Times New Roman" w:hAnsi="Times New Roman" w:cs="Times New Roman"/>
          <w:b w:val="0"/>
        </w:rPr>
        <w:t>no value</w:t>
      </w:r>
      <w:r w:rsidR="00B41CE9">
        <w:rPr>
          <w:rFonts w:ascii="Times New Roman" w:hAnsi="Times New Roman" w:cs="Times New Roman"/>
          <w:b w:val="0"/>
        </w:rPr>
        <w:t>,</w:t>
      </w:r>
      <w:r w:rsidR="006860C4">
        <w:rPr>
          <w:rFonts w:ascii="Times New Roman" w:hAnsi="Times New Roman" w:cs="Times New Roman"/>
          <w:b w:val="0"/>
        </w:rPr>
        <w:t xml:space="preserve"> or even </w:t>
      </w:r>
      <w:proofErr w:type="spellStart"/>
      <w:r w:rsidR="00B41CE9">
        <w:rPr>
          <w:rFonts w:ascii="Times New Roman" w:hAnsi="Times New Roman" w:cs="Times New Roman"/>
          <w:b w:val="0"/>
        </w:rPr>
        <w:t>harmful</w:t>
      </w:r>
      <w:r w:rsidR="006860C4">
        <w:rPr>
          <w:rFonts w:ascii="Times New Roman" w:hAnsi="Times New Roman" w:cs="Times New Roman"/>
          <w:b w:val="0"/>
        </w:rPr>
        <w:t>l</w:t>
      </w:r>
      <w:proofErr w:type="spellEnd"/>
      <w:r w:rsidR="00B41CE9">
        <w:rPr>
          <w:rFonts w:ascii="Times New Roman" w:hAnsi="Times New Roman" w:cs="Times New Roman"/>
          <w:b w:val="0"/>
        </w:rPr>
        <w:t>,</w:t>
      </w:r>
      <w:r w:rsidR="006860C4">
        <w:rPr>
          <w:rFonts w:ascii="Times New Roman" w:hAnsi="Times New Roman" w:cs="Times New Roman"/>
          <w:b w:val="0"/>
        </w:rPr>
        <w:t xml:space="preserve"> to the utility if adopted by the Commission.  </w:t>
      </w:r>
    </w:p>
    <w:p w:rsidR="002132EC" w:rsidRDefault="00CC05C0" w:rsidP="00A11FAB">
      <w:pPr>
        <w:pStyle w:val="P84"/>
        <w:tabs>
          <w:tab w:val="clear" w:pos="90"/>
          <w:tab w:val="clear" w:pos="720"/>
          <w:tab w:val="left" w:pos="1440"/>
        </w:tabs>
        <w:ind w:left="0" w:firstLine="720"/>
        <w:jc w:val="both"/>
        <w:rPr>
          <w:rFonts w:ascii="Times New Roman" w:hAnsi="Times New Roman" w:cs="Times New Roman"/>
          <w:b w:val="0"/>
        </w:rPr>
      </w:pPr>
      <w:r>
        <w:rPr>
          <w:rFonts w:ascii="Times New Roman" w:hAnsi="Times New Roman" w:cs="Times New Roman"/>
          <w:b w:val="0"/>
        </w:rPr>
        <w:t xml:space="preserve">Although some of the arguments presented by the three parties may initially make intuitive sense, a closer examination </w:t>
      </w:r>
      <w:r w:rsidR="00A11FAB">
        <w:rPr>
          <w:rFonts w:ascii="Times New Roman" w:hAnsi="Times New Roman" w:cs="Times New Roman"/>
          <w:b w:val="0"/>
        </w:rPr>
        <w:t xml:space="preserve">of the facts shows that they are </w:t>
      </w:r>
      <w:r w:rsidR="00F909DC">
        <w:rPr>
          <w:rFonts w:ascii="Times New Roman" w:hAnsi="Times New Roman" w:cs="Times New Roman"/>
          <w:b w:val="0"/>
        </w:rPr>
        <w:t xml:space="preserve">simply </w:t>
      </w:r>
      <w:r w:rsidR="00A11FAB">
        <w:rPr>
          <w:rFonts w:ascii="Times New Roman" w:hAnsi="Times New Roman" w:cs="Times New Roman"/>
          <w:b w:val="0"/>
        </w:rPr>
        <w:t>not true.  I will provide</w:t>
      </w:r>
      <w:r w:rsidR="00D83D56">
        <w:rPr>
          <w:rFonts w:ascii="Times New Roman" w:hAnsi="Times New Roman" w:cs="Times New Roman"/>
          <w:b w:val="0"/>
        </w:rPr>
        <w:t xml:space="preserve"> </w:t>
      </w:r>
      <w:r w:rsidR="006860C4">
        <w:rPr>
          <w:rFonts w:ascii="Times New Roman" w:hAnsi="Times New Roman" w:cs="Times New Roman"/>
          <w:b w:val="0"/>
        </w:rPr>
        <w:t>specific examples later in my testimony.</w:t>
      </w:r>
    </w:p>
    <w:p w:rsidR="000A2966" w:rsidRDefault="000A2966" w:rsidP="00A11FAB">
      <w:pPr>
        <w:pStyle w:val="P84"/>
        <w:tabs>
          <w:tab w:val="clear" w:pos="90"/>
          <w:tab w:val="clear" w:pos="720"/>
          <w:tab w:val="left" w:pos="1440"/>
        </w:tabs>
        <w:ind w:left="0" w:firstLine="720"/>
        <w:jc w:val="both"/>
        <w:rPr>
          <w:rFonts w:ascii="Times New Roman" w:hAnsi="Times New Roman" w:cs="Times New Roman"/>
          <w:b w:val="0"/>
        </w:rPr>
      </w:pPr>
      <w:r>
        <w:rPr>
          <w:rFonts w:ascii="Times New Roman" w:hAnsi="Times New Roman" w:cs="Times New Roman"/>
          <w:b w:val="0"/>
        </w:rPr>
        <w:t xml:space="preserve">In Avista’s responsive testimony sponsored by Mr. Ehrbar in this </w:t>
      </w:r>
      <w:r w:rsidR="00F909DC">
        <w:rPr>
          <w:rFonts w:ascii="Times New Roman" w:hAnsi="Times New Roman" w:cs="Times New Roman"/>
          <w:b w:val="0"/>
        </w:rPr>
        <w:t>Docket</w:t>
      </w:r>
      <w:r>
        <w:rPr>
          <w:rFonts w:ascii="Times New Roman" w:hAnsi="Times New Roman" w:cs="Times New Roman"/>
          <w:b w:val="0"/>
        </w:rPr>
        <w:t xml:space="preserve"> related to decoupling, we provided specific details that flesh</w:t>
      </w:r>
      <w:r w:rsidR="00311C21">
        <w:rPr>
          <w:rFonts w:ascii="Times New Roman" w:hAnsi="Times New Roman" w:cs="Times New Roman"/>
          <w:b w:val="0"/>
        </w:rPr>
        <w:t>ed</w:t>
      </w:r>
      <w:r>
        <w:rPr>
          <w:rFonts w:ascii="Times New Roman" w:hAnsi="Times New Roman" w:cs="Times New Roman"/>
          <w:b w:val="0"/>
        </w:rPr>
        <w:t>-out the decoup</w:t>
      </w:r>
      <w:r w:rsidR="00311C21">
        <w:rPr>
          <w:rFonts w:ascii="Times New Roman" w:hAnsi="Times New Roman" w:cs="Times New Roman"/>
          <w:b w:val="0"/>
        </w:rPr>
        <w:t>ling proposal presented by NWEC</w:t>
      </w:r>
      <w:r w:rsidR="00461B70">
        <w:rPr>
          <w:rFonts w:ascii="Times New Roman" w:hAnsi="Times New Roman" w:cs="Times New Roman"/>
          <w:b w:val="0"/>
        </w:rPr>
        <w:t xml:space="preserve">, in a form that, if approved </w:t>
      </w:r>
      <w:r w:rsidR="00F909DC">
        <w:rPr>
          <w:rFonts w:ascii="Times New Roman" w:hAnsi="Times New Roman" w:cs="Times New Roman"/>
          <w:b w:val="0"/>
        </w:rPr>
        <w:t>by the Commission</w:t>
      </w:r>
      <w:r w:rsidR="00461B70">
        <w:rPr>
          <w:rFonts w:ascii="Times New Roman" w:hAnsi="Times New Roman" w:cs="Times New Roman"/>
          <w:b w:val="0"/>
        </w:rPr>
        <w:t>, would be fair to both customers and the Company.</w:t>
      </w:r>
      <w:r w:rsidR="00F909DC">
        <w:rPr>
          <w:rFonts w:ascii="Times New Roman" w:hAnsi="Times New Roman" w:cs="Times New Roman"/>
          <w:b w:val="0"/>
        </w:rPr>
        <w:t xml:space="preserve">  We also explained the importance of addressing the regulatory lag, or attrition, issue along with </w:t>
      </w:r>
      <w:proofErr w:type="gramStart"/>
      <w:r w:rsidR="00F909DC">
        <w:rPr>
          <w:rFonts w:ascii="Times New Roman" w:hAnsi="Times New Roman" w:cs="Times New Roman"/>
          <w:b w:val="0"/>
        </w:rPr>
        <w:t>decoupling,</w:t>
      </w:r>
      <w:proofErr w:type="gramEnd"/>
      <w:r w:rsidR="00F909DC">
        <w:rPr>
          <w:rFonts w:ascii="Times New Roman" w:hAnsi="Times New Roman" w:cs="Times New Roman"/>
          <w:b w:val="0"/>
        </w:rPr>
        <w:t xml:space="preserve"> otherwise the Company would be even worse-off with decoupling than without it.</w:t>
      </w:r>
    </w:p>
    <w:p w:rsidR="00B15BED" w:rsidRPr="00B15BED" w:rsidRDefault="00F909DC" w:rsidP="00B15BED">
      <w:pPr>
        <w:pStyle w:val="P84"/>
        <w:tabs>
          <w:tab w:val="clear" w:pos="90"/>
          <w:tab w:val="clear" w:pos="720"/>
          <w:tab w:val="left" w:pos="1440"/>
        </w:tabs>
        <w:ind w:left="0" w:firstLine="720"/>
        <w:jc w:val="both"/>
        <w:rPr>
          <w:rFonts w:ascii="Times New Roman" w:hAnsi="Times New Roman" w:cs="Times New Roman"/>
          <w:b w:val="0"/>
        </w:rPr>
      </w:pPr>
      <w:r>
        <w:rPr>
          <w:rFonts w:ascii="Times New Roman" w:hAnsi="Times New Roman" w:cs="Times New Roman"/>
          <w:b w:val="0"/>
        </w:rPr>
        <w:t xml:space="preserve">In presenting its decoupling proposal, NWEC essentially had </w:t>
      </w:r>
      <w:r w:rsidR="00995452">
        <w:rPr>
          <w:rFonts w:ascii="Times New Roman" w:hAnsi="Times New Roman" w:cs="Times New Roman"/>
          <w:b w:val="0"/>
        </w:rPr>
        <w:t xml:space="preserve">two </w:t>
      </w:r>
      <w:r>
        <w:rPr>
          <w:rFonts w:ascii="Times New Roman" w:hAnsi="Times New Roman" w:cs="Times New Roman"/>
          <w:b w:val="0"/>
        </w:rPr>
        <w:t xml:space="preserve">primary </w:t>
      </w:r>
      <w:r w:rsidR="0023416C">
        <w:rPr>
          <w:rFonts w:ascii="Times New Roman" w:hAnsi="Times New Roman" w:cs="Times New Roman"/>
          <w:b w:val="0"/>
        </w:rPr>
        <w:t xml:space="preserve">objectives related to decoupling; 1) remove the disincentive to the utility related to the acquisition of energy efficiency, and 2) remove the direct link between sales of </w:t>
      </w:r>
      <w:r w:rsidR="007D534F">
        <w:rPr>
          <w:rFonts w:ascii="Times New Roman" w:hAnsi="Times New Roman" w:cs="Times New Roman"/>
          <w:b w:val="0"/>
        </w:rPr>
        <w:t>k</w:t>
      </w:r>
      <w:r w:rsidR="0023416C">
        <w:rPr>
          <w:rFonts w:ascii="Times New Roman" w:hAnsi="Times New Roman" w:cs="Times New Roman"/>
          <w:b w:val="0"/>
        </w:rPr>
        <w:t>W</w:t>
      </w:r>
      <w:r w:rsidR="007D534F">
        <w:rPr>
          <w:rFonts w:ascii="Times New Roman" w:hAnsi="Times New Roman" w:cs="Times New Roman"/>
          <w:b w:val="0"/>
        </w:rPr>
        <w:t>h</w:t>
      </w:r>
      <w:r w:rsidR="0023416C">
        <w:rPr>
          <w:rFonts w:ascii="Times New Roman" w:hAnsi="Times New Roman" w:cs="Times New Roman"/>
          <w:b w:val="0"/>
        </w:rPr>
        <w:t>s and profits.</w:t>
      </w:r>
      <w:r w:rsidR="005E7228">
        <w:rPr>
          <w:rFonts w:ascii="Times New Roman" w:hAnsi="Times New Roman" w:cs="Times New Roman"/>
          <w:b w:val="0"/>
        </w:rPr>
        <w:t xml:space="preserve">  </w:t>
      </w:r>
      <w:r w:rsidR="0023416C">
        <w:rPr>
          <w:rFonts w:ascii="Times New Roman" w:hAnsi="Times New Roman" w:cs="Times New Roman"/>
          <w:b w:val="0"/>
        </w:rPr>
        <w:t>I will circle back to these later in my testimony.</w:t>
      </w:r>
      <w:r w:rsidR="00B15BED">
        <w:rPr>
          <w:rFonts w:ascii="Times New Roman" w:hAnsi="Times New Roman" w:cs="Times New Roman"/>
          <w:b w:val="0"/>
        </w:rPr>
        <w:br w:type="page"/>
      </w:r>
    </w:p>
    <w:p w:rsidR="0023416C" w:rsidRPr="00673CC2" w:rsidRDefault="00673CC2" w:rsidP="00A11FAB">
      <w:pPr>
        <w:pStyle w:val="P84"/>
        <w:tabs>
          <w:tab w:val="clear" w:pos="90"/>
          <w:tab w:val="clear" w:pos="720"/>
          <w:tab w:val="left" w:pos="1440"/>
        </w:tabs>
        <w:ind w:left="0" w:firstLine="720"/>
        <w:jc w:val="both"/>
        <w:rPr>
          <w:rFonts w:ascii="Times New Roman" w:hAnsi="Times New Roman" w:cs="Times New Roman"/>
        </w:rPr>
      </w:pPr>
      <w:r w:rsidRPr="00673CC2">
        <w:rPr>
          <w:rFonts w:ascii="Times New Roman" w:hAnsi="Times New Roman" w:cs="Times New Roman"/>
        </w:rPr>
        <w:lastRenderedPageBreak/>
        <w:t>Q.</w:t>
      </w:r>
      <w:r w:rsidRPr="00673CC2">
        <w:rPr>
          <w:rFonts w:ascii="Times New Roman" w:hAnsi="Times New Roman" w:cs="Times New Roman"/>
        </w:rPr>
        <w:tab/>
        <w:t xml:space="preserve">What is the first concern you </w:t>
      </w:r>
      <w:r w:rsidR="000F1A99">
        <w:rPr>
          <w:rFonts w:ascii="Times New Roman" w:hAnsi="Times New Roman" w:cs="Times New Roman"/>
        </w:rPr>
        <w:t>have</w:t>
      </w:r>
      <w:r w:rsidRPr="00673CC2">
        <w:rPr>
          <w:rFonts w:ascii="Times New Roman" w:hAnsi="Times New Roman" w:cs="Times New Roman"/>
        </w:rPr>
        <w:t xml:space="preserve"> from the testimony of the three parties?</w:t>
      </w:r>
    </w:p>
    <w:p w:rsidR="00952579" w:rsidRDefault="00673CC2" w:rsidP="00A11FAB">
      <w:pPr>
        <w:pStyle w:val="P84"/>
        <w:tabs>
          <w:tab w:val="clear" w:pos="90"/>
          <w:tab w:val="clear" w:pos="720"/>
          <w:tab w:val="left" w:pos="144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00952579">
        <w:rPr>
          <w:rFonts w:ascii="Times New Roman" w:hAnsi="Times New Roman" w:cs="Times New Roman"/>
          <w:b w:val="0"/>
        </w:rPr>
        <w:t xml:space="preserve">On page 19 of the direct testimony of </w:t>
      </w:r>
      <w:r w:rsidR="00952579" w:rsidRPr="00952579">
        <w:rPr>
          <w:rFonts w:ascii="Times New Roman" w:hAnsi="Times New Roman" w:cs="Times New Roman"/>
          <w:b w:val="0"/>
        </w:rPr>
        <w:t>Dr. Dismukes</w:t>
      </w:r>
      <w:r w:rsidR="00EB17E5">
        <w:rPr>
          <w:rFonts w:ascii="Times New Roman" w:hAnsi="Times New Roman" w:cs="Times New Roman"/>
          <w:b w:val="0"/>
        </w:rPr>
        <w:t xml:space="preserve"> (Exhibit No.</w:t>
      </w:r>
      <w:r w:rsidR="00DC7876">
        <w:rPr>
          <w:rFonts w:ascii="Times New Roman" w:hAnsi="Times New Roman" w:cs="Times New Roman"/>
          <w:b w:val="0"/>
        </w:rPr>
        <w:t>_</w:t>
      </w:r>
      <w:r w:rsidR="00EB17E5">
        <w:rPr>
          <w:rFonts w:ascii="Times New Roman" w:hAnsi="Times New Roman" w:cs="Times New Roman"/>
          <w:b w:val="0"/>
        </w:rPr>
        <w:t>____ (DED-1T)</w:t>
      </w:r>
      <w:r w:rsidR="00E430E1">
        <w:rPr>
          <w:rFonts w:ascii="Times New Roman" w:hAnsi="Times New Roman" w:cs="Times New Roman"/>
          <w:b w:val="0"/>
        </w:rPr>
        <w:t>)</w:t>
      </w:r>
      <w:r w:rsidR="00EB17E5">
        <w:rPr>
          <w:rFonts w:ascii="Times New Roman" w:hAnsi="Times New Roman" w:cs="Times New Roman"/>
          <w:b w:val="0"/>
        </w:rPr>
        <w:t>, he included</w:t>
      </w:r>
      <w:r w:rsidR="00952579">
        <w:rPr>
          <w:rFonts w:ascii="Times New Roman" w:hAnsi="Times New Roman" w:cs="Times New Roman"/>
          <w:b w:val="0"/>
        </w:rPr>
        <w:t xml:space="preserve"> the following question and answer:</w:t>
      </w:r>
    </w:p>
    <w:p w:rsidR="00952579" w:rsidRPr="006920D0" w:rsidRDefault="00952579" w:rsidP="006920D0">
      <w:pPr>
        <w:pStyle w:val="P84"/>
        <w:tabs>
          <w:tab w:val="clear" w:pos="90"/>
          <w:tab w:val="clear" w:pos="720"/>
          <w:tab w:val="left" w:pos="1440"/>
        </w:tabs>
        <w:spacing w:line="240" w:lineRule="auto"/>
        <w:ind w:left="1440" w:hanging="360"/>
        <w:jc w:val="both"/>
        <w:rPr>
          <w:rFonts w:ascii="Times New Roman" w:hAnsi="Times New Roman" w:cs="Times New Roman"/>
          <w:b w:val="0"/>
          <w:i/>
        </w:rPr>
      </w:pPr>
      <w:r w:rsidRPr="006920D0">
        <w:rPr>
          <w:rFonts w:ascii="Times New Roman" w:hAnsi="Times New Roman" w:cs="Times New Roman"/>
          <w:b w:val="0"/>
          <w:i/>
        </w:rPr>
        <w:t>Q.</w:t>
      </w:r>
      <w:r w:rsidRPr="006920D0">
        <w:rPr>
          <w:rFonts w:ascii="Times New Roman" w:hAnsi="Times New Roman" w:cs="Times New Roman"/>
          <w:b w:val="0"/>
          <w:i/>
        </w:rPr>
        <w:tab/>
        <w:t xml:space="preserve">Even if NWEC’s assertions were correct, </w:t>
      </w:r>
      <w:r w:rsidRPr="00DB4001">
        <w:rPr>
          <w:rFonts w:ascii="Times New Roman" w:hAnsi="Times New Roman" w:cs="Times New Roman"/>
          <w:b w:val="0"/>
          <w:i/>
          <w:u w:val="single"/>
        </w:rPr>
        <w:t>do utilities have a remedy should earnings become compromised by its energy efficiency efforts</w:t>
      </w:r>
      <w:r w:rsidRPr="006920D0">
        <w:rPr>
          <w:rFonts w:ascii="Times New Roman" w:hAnsi="Times New Roman" w:cs="Times New Roman"/>
          <w:b w:val="0"/>
          <w:i/>
        </w:rPr>
        <w:t>?</w:t>
      </w:r>
      <w:r w:rsidR="00DB4001">
        <w:rPr>
          <w:rFonts w:ascii="Times New Roman" w:hAnsi="Times New Roman" w:cs="Times New Roman"/>
          <w:b w:val="0"/>
          <w:i/>
        </w:rPr>
        <w:t xml:space="preserve"> (</w:t>
      </w:r>
      <w:proofErr w:type="gramStart"/>
      <w:r w:rsidR="00DB4001">
        <w:rPr>
          <w:rFonts w:ascii="Times New Roman" w:hAnsi="Times New Roman" w:cs="Times New Roman"/>
          <w:b w:val="0"/>
          <w:i/>
        </w:rPr>
        <w:t>emphasis</w:t>
      </w:r>
      <w:proofErr w:type="gramEnd"/>
      <w:r w:rsidR="00DB4001">
        <w:rPr>
          <w:rFonts w:ascii="Times New Roman" w:hAnsi="Times New Roman" w:cs="Times New Roman"/>
          <w:b w:val="0"/>
          <w:i/>
        </w:rPr>
        <w:t xml:space="preserve"> added)</w:t>
      </w:r>
    </w:p>
    <w:p w:rsidR="002D18BE" w:rsidRPr="006920D0" w:rsidRDefault="00952579" w:rsidP="006920D0">
      <w:pPr>
        <w:pStyle w:val="P84"/>
        <w:tabs>
          <w:tab w:val="clear" w:pos="90"/>
          <w:tab w:val="clear" w:pos="720"/>
          <w:tab w:val="left" w:pos="1440"/>
        </w:tabs>
        <w:spacing w:line="240" w:lineRule="auto"/>
        <w:ind w:left="1440" w:hanging="360"/>
        <w:jc w:val="both"/>
        <w:rPr>
          <w:rFonts w:ascii="Times New Roman" w:hAnsi="Times New Roman" w:cs="Times New Roman"/>
          <w:b w:val="0"/>
          <w:i/>
        </w:rPr>
      </w:pPr>
      <w:r w:rsidRPr="006920D0">
        <w:rPr>
          <w:rFonts w:ascii="Times New Roman" w:hAnsi="Times New Roman" w:cs="Times New Roman"/>
          <w:b w:val="0"/>
          <w:i/>
        </w:rPr>
        <w:t>A.</w:t>
      </w:r>
      <w:r w:rsidRPr="006920D0">
        <w:rPr>
          <w:rFonts w:ascii="Times New Roman" w:hAnsi="Times New Roman" w:cs="Times New Roman"/>
          <w:b w:val="0"/>
          <w:i/>
        </w:rPr>
        <w:tab/>
        <w:t>Yes.  Utilities have the ability to file a rate case should they believe their opportunity to earn a return on and of their prudently incurred investments and expenses are compromised.  Avista has consistently taken advantage of this rate case opportunity over the past several years.  The pursuit of energy efficiency, even aggressive energy efficiency, does not change that fundamental fact of utility regulation.</w:t>
      </w:r>
    </w:p>
    <w:p w:rsidR="002132EC" w:rsidRDefault="002132EC" w:rsidP="00E23A2B">
      <w:pPr>
        <w:pStyle w:val="P84"/>
        <w:tabs>
          <w:tab w:val="clear" w:pos="90"/>
          <w:tab w:val="clear" w:pos="720"/>
          <w:tab w:val="left" w:pos="1440"/>
        </w:tabs>
        <w:ind w:left="0" w:firstLine="720"/>
        <w:jc w:val="both"/>
        <w:rPr>
          <w:rFonts w:ascii="Times New Roman" w:hAnsi="Times New Roman" w:cs="Times New Roman"/>
          <w:b w:val="0"/>
        </w:rPr>
      </w:pPr>
    </w:p>
    <w:p w:rsidR="002132EC" w:rsidRDefault="00DB4001" w:rsidP="00DB4001">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One of the primary objectives of entertaining decoupling in the first place is to </w:t>
      </w:r>
      <w:r w:rsidRPr="00076FAD">
        <w:rPr>
          <w:rFonts w:ascii="Times New Roman" w:hAnsi="Times New Roman" w:cs="Times New Roman"/>
          <w:b w:val="0"/>
        </w:rPr>
        <w:t xml:space="preserve">address the impacts of energy efficiency savings </w:t>
      </w:r>
      <w:r w:rsidRPr="00DB4001">
        <w:rPr>
          <w:rFonts w:ascii="Times New Roman" w:hAnsi="Times New Roman" w:cs="Times New Roman"/>
          <w:b w:val="0"/>
          <w:u w:val="single"/>
        </w:rPr>
        <w:t>in between</w:t>
      </w:r>
      <w:r w:rsidR="00076FAD">
        <w:rPr>
          <w:rFonts w:ascii="Times New Roman" w:hAnsi="Times New Roman" w:cs="Times New Roman"/>
          <w:b w:val="0"/>
          <w:u w:val="single"/>
        </w:rPr>
        <w:t xml:space="preserve"> general</w:t>
      </w:r>
      <w:r w:rsidRPr="00DB4001">
        <w:rPr>
          <w:rFonts w:ascii="Times New Roman" w:hAnsi="Times New Roman" w:cs="Times New Roman"/>
          <w:b w:val="0"/>
          <w:u w:val="single"/>
        </w:rPr>
        <w:t xml:space="preserve"> rate cases</w:t>
      </w:r>
      <w:r>
        <w:rPr>
          <w:rFonts w:ascii="Times New Roman" w:hAnsi="Times New Roman" w:cs="Times New Roman"/>
          <w:b w:val="0"/>
        </w:rPr>
        <w:t xml:space="preserve">.  </w:t>
      </w:r>
      <w:r w:rsidR="00B41CE9">
        <w:rPr>
          <w:rFonts w:ascii="Times New Roman" w:hAnsi="Times New Roman" w:cs="Times New Roman"/>
          <w:b w:val="0"/>
        </w:rPr>
        <w:t>S</w:t>
      </w:r>
      <w:r w:rsidR="006920D0">
        <w:rPr>
          <w:rFonts w:ascii="Times New Roman" w:hAnsi="Times New Roman" w:cs="Times New Roman"/>
          <w:b w:val="0"/>
        </w:rPr>
        <w:t xml:space="preserve">uch a statement </w:t>
      </w:r>
      <w:r w:rsidR="00B41CE9">
        <w:rPr>
          <w:rFonts w:ascii="Times New Roman" w:hAnsi="Times New Roman" w:cs="Times New Roman"/>
          <w:b w:val="0"/>
        </w:rPr>
        <w:t>suggests that he does not fully appreciate</w:t>
      </w:r>
      <w:r w:rsidR="006920D0">
        <w:rPr>
          <w:rFonts w:ascii="Times New Roman" w:hAnsi="Times New Roman" w:cs="Times New Roman"/>
          <w:b w:val="0"/>
        </w:rPr>
        <w:t xml:space="preserve"> the ratemaking </w:t>
      </w:r>
      <w:r w:rsidR="00B41CE9">
        <w:rPr>
          <w:rFonts w:ascii="Times New Roman" w:hAnsi="Times New Roman" w:cs="Times New Roman"/>
          <w:b w:val="0"/>
        </w:rPr>
        <w:t>e</w:t>
      </w:r>
      <w:r w:rsidR="006920D0">
        <w:rPr>
          <w:rFonts w:ascii="Times New Roman" w:hAnsi="Times New Roman" w:cs="Times New Roman"/>
          <w:b w:val="0"/>
        </w:rPr>
        <w:t xml:space="preserve">ffect that energy </w:t>
      </w:r>
      <w:r w:rsidR="00E00FBA">
        <w:rPr>
          <w:rFonts w:ascii="Times New Roman" w:hAnsi="Times New Roman" w:cs="Times New Roman"/>
          <w:b w:val="0"/>
        </w:rPr>
        <w:t>efficiency savings</w:t>
      </w:r>
      <w:r w:rsidR="00C75C3E">
        <w:rPr>
          <w:rFonts w:ascii="Times New Roman" w:hAnsi="Times New Roman" w:cs="Times New Roman"/>
          <w:b w:val="0"/>
        </w:rPr>
        <w:t xml:space="preserve"> have on a utility</w:t>
      </w:r>
      <w:r w:rsidR="00E00FBA">
        <w:rPr>
          <w:rFonts w:ascii="Times New Roman" w:hAnsi="Times New Roman" w:cs="Times New Roman"/>
          <w:b w:val="0"/>
        </w:rPr>
        <w:t xml:space="preserve"> </w:t>
      </w:r>
      <w:r w:rsidR="00E00FBA" w:rsidRPr="00DB4001">
        <w:rPr>
          <w:rFonts w:ascii="Times New Roman" w:hAnsi="Times New Roman" w:cs="Times New Roman"/>
          <w:b w:val="0"/>
          <w:u w:val="single"/>
        </w:rPr>
        <w:t>between rate</w:t>
      </w:r>
      <w:r w:rsidR="006920D0" w:rsidRPr="00DB4001">
        <w:rPr>
          <w:rFonts w:ascii="Times New Roman" w:hAnsi="Times New Roman" w:cs="Times New Roman"/>
          <w:b w:val="0"/>
          <w:u w:val="single"/>
        </w:rPr>
        <w:t xml:space="preserve"> cases</w:t>
      </w:r>
      <w:r w:rsidR="00B41CE9">
        <w:rPr>
          <w:rFonts w:ascii="Times New Roman" w:hAnsi="Times New Roman" w:cs="Times New Roman"/>
          <w:b w:val="0"/>
        </w:rPr>
        <w:t>, i.e., filing a new general rate case would not address the earnings short-fall associated with energy efficiency savings, unless the case were to include a specific adjustment or mechanism, such as decoupling, to address the short-fall between rate cases.</w:t>
      </w:r>
    </w:p>
    <w:p w:rsidR="001B74AA" w:rsidRDefault="00F54932" w:rsidP="00F54932">
      <w:pPr>
        <w:pStyle w:val="P84"/>
        <w:tabs>
          <w:tab w:val="clear" w:pos="90"/>
          <w:tab w:val="clear" w:pos="720"/>
        </w:tabs>
        <w:ind w:left="0" w:firstLine="720"/>
        <w:jc w:val="both"/>
        <w:rPr>
          <w:rFonts w:ascii="Times New Roman" w:hAnsi="Times New Roman" w:cs="Times New Roman"/>
          <w:b w:val="0"/>
        </w:rPr>
      </w:pPr>
      <w:proofErr w:type="gramStart"/>
      <w:r>
        <w:rPr>
          <w:rFonts w:ascii="Times New Roman" w:hAnsi="Times New Roman" w:cs="Times New Roman"/>
          <w:b w:val="0"/>
        </w:rPr>
        <w:t>As Mr. Ehrbar explained in his dir</w:t>
      </w:r>
      <w:r w:rsidR="00C401B2">
        <w:rPr>
          <w:rFonts w:ascii="Times New Roman" w:hAnsi="Times New Roman" w:cs="Times New Roman"/>
          <w:b w:val="0"/>
        </w:rPr>
        <w:t>ect testimony (Exhibit No.</w:t>
      </w:r>
      <w:proofErr w:type="gramEnd"/>
      <w:r w:rsidR="00C401B2">
        <w:rPr>
          <w:rFonts w:ascii="Times New Roman" w:hAnsi="Times New Roman" w:cs="Times New Roman"/>
          <w:b w:val="0"/>
        </w:rPr>
        <w:t xml:space="preserve"> ___</w:t>
      </w:r>
      <w:r>
        <w:rPr>
          <w:rFonts w:ascii="Times New Roman" w:hAnsi="Times New Roman" w:cs="Times New Roman"/>
          <w:b w:val="0"/>
        </w:rPr>
        <w:t xml:space="preserve"> (PDE-9T)</w:t>
      </w:r>
      <w:r w:rsidR="00E430E1">
        <w:rPr>
          <w:rFonts w:ascii="Times New Roman" w:hAnsi="Times New Roman" w:cs="Times New Roman"/>
          <w:b w:val="0"/>
        </w:rPr>
        <w:t>)</w:t>
      </w:r>
      <w:r w:rsidR="00840046">
        <w:rPr>
          <w:rFonts w:ascii="Times New Roman" w:hAnsi="Times New Roman" w:cs="Times New Roman"/>
          <w:b w:val="0"/>
        </w:rPr>
        <w:t>, beginning on page 4, rates are</w:t>
      </w:r>
      <w:r>
        <w:rPr>
          <w:rFonts w:ascii="Times New Roman" w:hAnsi="Times New Roman" w:cs="Times New Roman"/>
          <w:b w:val="0"/>
        </w:rPr>
        <w:t xml:space="preserve"> established in a general rate case </w:t>
      </w:r>
      <w:r w:rsidR="00457948">
        <w:rPr>
          <w:rFonts w:ascii="Times New Roman" w:hAnsi="Times New Roman" w:cs="Times New Roman"/>
          <w:b w:val="0"/>
        </w:rPr>
        <w:t>using historical test-</w:t>
      </w:r>
      <w:r>
        <w:rPr>
          <w:rFonts w:ascii="Times New Roman" w:hAnsi="Times New Roman" w:cs="Times New Roman"/>
          <w:b w:val="0"/>
        </w:rPr>
        <w:t xml:space="preserve">period loads.  At the same time, Avista is obligated by law to assist its customers to </w:t>
      </w:r>
      <w:r w:rsidRPr="00F54932">
        <w:rPr>
          <w:rFonts w:ascii="Times New Roman" w:hAnsi="Times New Roman" w:cs="Times New Roman"/>
          <w:b w:val="0"/>
          <w:u w:val="single"/>
        </w:rPr>
        <w:t xml:space="preserve">use less energy </w:t>
      </w:r>
      <w:r w:rsidR="00457948">
        <w:rPr>
          <w:rFonts w:ascii="Times New Roman" w:hAnsi="Times New Roman" w:cs="Times New Roman"/>
          <w:b w:val="0"/>
          <w:u w:val="single"/>
        </w:rPr>
        <w:t>following the test-</w:t>
      </w:r>
      <w:r w:rsidRPr="00F54932">
        <w:rPr>
          <w:rFonts w:ascii="Times New Roman" w:hAnsi="Times New Roman" w:cs="Times New Roman"/>
          <w:b w:val="0"/>
          <w:u w:val="single"/>
        </w:rPr>
        <w:t>period</w:t>
      </w:r>
      <w:r w:rsidR="0067113A">
        <w:rPr>
          <w:rFonts w:ascii="Times New Roman" w:hAnsi="Times New Roman" w:cs="Times New Roman"/>
          <w:b w:val="0"/>
          <w:u w:val="single"/>
        </w:rPr>
        <w:t xml:space="preserve"> (in between rate cases)</w:t>
      </w:r>
      <w:r>
        <w:rPr>
          <w:rFonts w:ascii="Times New Roman" w:hAnsi="Times New Roman" w:cs="Times New Roman"/>
          <w:b w:val="0"/>
        </w:rPr>
        <w:t xml:space="preserve">, through its energy efficiency programs.  </w:t>
      </w:r>
      <w:r w:rsidR="005E16DE">
        <w:rPr>
          <w:rFonts w:ascii="Times New Roman" w:hAnsi="Times New Roman" w:cs="Times New Roman"/>
          <w:b w:val="0"/>
        </w:rPr>
        <w:t xml:space="preserve">Therefore, after new retail rates are established in a rate case, all other things being equal, Avista’s customers will, in fact, consume a lower volume of </w:t>
      </w:r>
      <w:r w:rsidR="00DC7876">
        <w:rPr>
          <w:rFonts w:ascii="Times New Roman" w:hAnsi="Times New Roman" w:cs="Times New Roman"/>
          <w:b w:val="0"/>
        </w:rPr>
        <w:t>k</w:t>
      </w:r>
      <w:r w:rsidR="005E16DE">
        <w:rPr>
          <w:rFonts w:ascii="Times New Roman" w:hAnsi="Times New Roman" w:cs="Times New Roman"/>
          <w:b w:val="0"/>
        </w:rPr>
        <w:t>Wh</w:t>
      </w:r>
      <w:r w:rsidR="00DC7876">
        <w:rPr>
          <w:rFonts w:ascii="Times New Roman" w:hAnsi="Times New Roman" w:cs="Times New Roman"/>
          <w:b w:val="0"/>
        </w:rPr>
        <w:t>s</w:t>
      </w:r>
      <w:r w:rsidR="005E16DE">
        <w:rPr>
          <w:rFonts w:ascii="Times New Roman" w:hAnsi="Times New Roman" w:cs="Times New Roman"/>
          <w:b w:val="0"/>
        </w:rPr>
        <w:t xml:space="preserve"> than that included in designing the rates, and the resulting revenues will not be sufficient to cover </w:t>
      </w:r>
      <w:r w:rsidR="005E16DE">
        <w:rPr>
          <w:rFonts w:ascii="Times New Roman" w:hAnsi="Times New Roman" w:cs="Times New Roman"/>
          <w:b w:val="0"/>
        </w:rPr>
        <w:lastRenderedPageBreak/>
        <w:t xml:space="preserve">Avista’s costs and </w:t>
      </w:r>
      <w:r w:rsidR="00E430E1">
        <w:rPr>
          <w:rFonts w:ascii="Times New Roman" w:hAnsi="Times New Roman" w:cs="Times New Roman"/>
          <w:b w:val="0"/>
        </w:rPr>
        <w:t>provide the opportunity to earn the</w:t>
      </w:r>
      <w:r w:rsidR="005E16DE">
        <w:rPr>
          <w:rFonts w:ascii="Times New Roman" w:hAnsi="Times New Roman" w:cs="Times New Roman"/>
          <w:b w:val="0"/>
        </w:rPr>
        <w:t xml:space="preserve"> authorized return.</w:t>
      </w:r>
      <w:r w:rsidR="00F31766">
        <w:rPr>
          <w:rFonts w:ascii="Times New Roman" w:hAnsi="Times New Roman" w:cs="Times New Roman"/>
          <w:b w:val="0"/>
        </w:rPr>
        <w:t xml:space="preserve">  </w:t>
      </w:r>
    </w:p>
    <w:p w:rsidR="002132EC" w:rsidRDefault="00F31766"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Furthermore, the presumption in Washington using “modified test-period” ratemaking is that </w:t>
      </w:r>
      <w:r w:rsidRPr="0022193D">
        <w:rPr>
          <w:rFonts w:ascii="Times New Roman" w:hAnsi="Times New Roman" w:cs="Times New Roman"/>
          <w:b w:val="0"/>
          <w:u w:val="single"/>
        </w:rPr>
        <w:t>revenue growth following the historical test-period should be available to offset growth in costs</w:t>
      </w:r>
      <w:r>
        <w:rPr>
          <w:rFonts w:ascii="Times New Roman" w:hAnsi="Times New Roman" w:cs="Times New Roman"/>
          <w:b w:val="0"/>
        </w:rPr>
        <w:t xml:space="preserve"> to maintain a proper matching of revenues and expenses over time.</w:t>
      </w:r>
      <w:r w:rsidR="006B4A9B">
        <w:rPr>
          <w:rStyle w:val="FootnoteReference"/>
          <w:rFonts w:ascii="Times New Roman" w:hAnsi="Times New Roman"/>
          <w:b w:val="0"/>
        </w:rPr>
        <w:footnoteReference w:id="1"/>
      </w:r>
      <w:r w:rsidR="001B74AA">
        <w:rPr>
          <w:rFonts w:ascii="Times New Roman" w:hAnsi="Times New Roman" w:cs="Times New Roman"/>
          <w:b w:val="0"/>
        </w:rPr>
        <w:t xml:space="preserve">  Any proposal to use “found margins” from higher retail sales following the historical test-period, either from </w:t>
      </w:r>
      <w:r w:rsidR="001D1861">
        <w:rPr>
          <w:rFonts w:ascii="Times New Roman" w:hAnsi="Times New Roman" w:cs="Times New Roman"/>
          <w:b w:val="0"/>
        </w:rPr>
        <w:t xml:space="preserve">an </w:t>
      </w:r>
      <w:r w:rsidR="001B74AA">
        <w:rPr>
          <w:rFonts w:ascii="Times New Roman" w:hAnsi="Times New Roman" w:cs="Times New Roman"/>
          <w:b w:val="0"/>
        </w:rPr>
        <w:t>increased number of customer</w:t>
      </w:r>
      <w:r w:rsidR="001D1861">
        <w:rPr>
          <w:rFonts w:ascii="Times New Roman" w:hAnsi="Times New Roman" w:cs="Times New Roman"/>
          <w:b w:val="0"/>
        </w:rPr>
        <w:t>s or increased use-per-customer</w:t>
      </w:r>
      <w:r w:rsidR="001B74AA">
        <w:rPr>
          <w:rFonts w:ascii="Times New Roman" w:hAnsi="Times New Roman" w:cs="Times New Roman"/>
          <w:b w:val="0"/>
        </w:rPr>
        <w:t xml:space="preserve">, would violate this fundamental matching principle, unless </w:t>
      </w:r>
      <w:r w:rsidR="00E430E1">
        <w:rPr>
          <w:rFonts w:ascii="Times New Roman" w:hAnsi="Times New Roman" w:cs="Times New Roman"/>
          <w:b w:val="0"/>
        </w:rPr>
        <w:t>other ratemaking</w:t>
      </w:r>
      <w:r w:rsidR="001B74AA">
        <w:rPr>
          <w:rFonts w:ascii="Times New Roman" w:hAnsi="Times New Roman" w:cs="Times New Roman"/>
          <w:b w:val="0"/>
        </w:rPr>
        <w:t xml:space="preserve"> adjustment</w:t>
      </w:r>
      <w:r w:rsidR="00E430E1">
        <w:rPr>
          <w:rFonts w:ascii="Times New Roman" w:hAnsi="Times New Roman" w:cs="Times New Roman"/>
          <w:b w:val="0"/>
        </w:rPr>
        <w:t>s</w:t>
      </w:r>
      <w:r w:rsidR="001B74AA">
        <w:rPr>
          <w:rFonts w:ascii="Times New Roman" w:hAnsi="Times New Roman" w:cs="Times New Roman"/>
          <w:b w:val="0"/>
        </w:rPr>
        <w:t xml:space="preserve"> </w:t>
      </w:r>
      <w:r w:rsidR="00E430E1">
        <w:rPr>
          <w:rFonts w:ascii="Times New Roman" w:hAnsi="Times New Roman" w:cs="Times New Roman"/>
          <w:b w:val="0"/>
        </w:rPr>
        <w:t>are</w:t>
      </w:r>
      <w:r w:rsidR="001B74AA">
        <w:rPr>
          <w:rFonts w:ascii="Times New Roman" w:hAnsi="Times New Roman" w:cs="Times New Roman"/>
          <w:b w:val="0"/>
        </w:rPr>
        <w:t xml:space="preserve"> made to pr</w:t>
      </w:r>
      <w:r w:rsidR="001D1861">
        <w:rPr>
          <w:rFonts w:ascii="Times New Roman" w:hAnsi="Times New Roman" w:cs="Times New Roman"/>
          <w:b w:val="0"/>
        </w:rPr>
        <w:t>operly reflect in rates</w:t>
      </w:r>
      <w:r w:rsidR="001B74AA">
        <w:rPr>
          <w:rFonts w:ascii="Times New Roman" w:hAnsi="Times New Roman" w:cs="Times New Roman"/>
          <w:b w:val="0"/>
        </w:rPr>
        <w:t xml:space="preserve"> the growth in costs for the future rate period, such as additional pro forma adjustments or an attrition adjustment.</w:t>
      </w:r>
      <w:r w:rsidR="008C42D1">
        <w:rPr>
          <w:rFonts w:ascii="Times New Roman" w:hAnsi="Times New Roman" w:cs="Times New Roman"/>
          <w:b w:val="0"/>
        </w:rPr>
        <w:t xml:space="preserve">  </w:t>
      </w:r>
      <w:r w:rsidR="00442107">
        <w:rPr>
          <w:rFonts w:ascii="Times New Roman" w:hAnsi="Times New Roman" w:cs="Times New Roman"/>
          <w:b w:val="0"/>
        </w:rPr>
        <w:t>Mr. Ehrbar explained this in some detail in his testimony, along with supporting analysis.</w:t>
      </w:r>
    </w:p>
    <w:p w:rsidR="0037279B" w:rsidRPr="00362DE1" w:rsidRDefault="0037279B" w:rsidP="00F54932">
      <w:pPr>
        <w:pStyle w:val="P84"/>
        <w:tabs>
          <w:tab w:val="clear" w:pos="90"/>
          <w:tab w:val="clear" w:pos="720"/>
        </w:tabs>
        <w:ind w:left="0" w:firstLine="720"/>
        <w:jc w:val="both"/>
        <w:rPr>
          <w:rFonts w:ascii="Times New Roman" w:hAnsi="Times New Roman" w:cs="Times New Roman"/>
        </w:rPr>
      </w:pPr>
      <w:r w:rsidRPr="00362DE1">
        <w:rPr>
          <w:rFonts w:ascii="Times New Roman" w:hAnsi="Times New Roman" w:cs="Times New Roman"/>
        </w:rPr>
        <w:t>Q.</w:t>
      </w:r>
      <w:r w:rsidRPr="00362DE1">
        <w:rPr>
          <w:rFonts w:ascii="Times New Roman" w:hAnsi="Times New Roman" w:cs="Times New Roman"/>
        </w:rPr>
        <w:tab/>
        <w:t xml:space="preserve">Continuing along the same vein of growth in revenues following the historical test-period, Mr. Deen, on behalf of ICNU, recommends the use of </w:t>
      </w:r>
      <w:r w:rsidRPr="00362DE1">
        <w:rPr>
          <w:rFonts w:ascii="Times New Roman" w:hAnsi="Times New Roman" w:cs="Times New Roman"/>
          <w:u w:val="single"/>
        </w:rPr>
        <w:t xml:space="preserve">revenue per </w:t>
      </w:r>
      <w:r w:rsidR="00442107">
        <w:rPr>
          <w:rFonts w:ascii="Times New Roman" w:hAnsi="Times New Roman" w:cs="Times New Roman"/>
          <w:u w:val="single"/>
        </w:rPr>
        <w:t xml:space="preserve">customer </w:t>
      </w:r>
      <w:r w:rsidRPr="00362DE1">
        <w:rPr>
          <w:rFonts w:ascii="Times New Roman" w:hAnsi="Times New Roman" w:cs="Times New Roman"/>
          <w:u w:val="single"/>
        </w:rPr>
        <w:t>clas</w:t>
      </w:r>
      <w:r w:rsidR="00442107">
        <w:rPr>
          <w:rFonts w:ascii="Times New Roman" w:hAnsi="Times New Roman" w:cs="Times New Roman"/>
          <w:u w:val="single"/>
        </w:rPr>
        <w:t>s</w:t>
      </w:r>
      <w:r w:rsidRPr="00362DE1">
        <w:rPr>
          <w:rFonts w:ascii="Times New Roman" w:hAnsi="Times New Roman" w:cs="Times New Roman"/>
        </w:rPr>
        <w:t xml:space="preserve"> rather than </w:t>
      </w:r>
      <w:r w:rsidRPr="00362DE1">
        <w:rPr>
          <w:rFonts w:ascii="Times New Roman" w:hAnsi="Times New Roman" w:cs="Times New Roman"/>
          <w:u w:val="single"/>
        </w:rPr>
        <w:t>revenue per customer</w:t>
      </w:r>
      <w:r w:rsidRPr="00362DE1">
        <w:rPr>
          <w:rFonts w:ascii="Times New Roman" w:hAnsi="Times New Roman" w:cs="Times New Roman"/>
        </w:rPr>
        <w:t xml:space="preserve"> in any decoupling mechanism adopted by the Commission.  How would this recommendation affect ratemaking?</w:t>
      </w:r>
    </w:p>
    <w:p w:rsidR="00B15BED" w:rsidRPr="00B15BED" w:rsidRDefault="0037279B" w:rsidP="00B15BED">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00310B65">
        <w:rPr>
          <w:rFonts w:ascii="Times New Roman" w:hAnsi="Times New Roman" w:cs="Times New Roman"/>
          <w:b w:val="0"/>
        </w:rPr>
        <w:t>Mr. Deen included</w:t>
      </w:r>
      <w:r w:rsidR="00FD403A">
        <w:rPr>
          <w:rFonts w:ascii="Times New Roman" w:hAnsi="Times New Roman" w:cs="Times New Roman"/>
          <w:b w:val="0"/>
        </w:rPr>
        <w:t xml:space="preserve"> the following question and answer on page 9 of his responsive testimony (Exhibit No. _____ (MCD-1T):</w:t>
      </w:r>
      <w:r w:rsidR="00B15BED">
        <w:rPr>
          <w:rFonts w:ascii="Times New Roman" w:hAnsi="Times New Roman" w:cs="Times New Roman"/>
          <w:b w:val="0"/>
        </w:rPr>
        <w:br w:type="page"/>
      </w:r>
    </w:p>
    <w:p w:rsidR="00442107" w:rsidRDefault="00310B65" w:rsidP="00310B65">
      <w:pPr>
        <w:pStyle w:val="P84"/>
        <w:tabs>
          <w:tab w:val="clear" w:pos="90"/>
          <w:tab w:val="clear" w:pos="720"/>
          <w:tab w:val="left" w:pos="1440"/>
        </w:tabs>
        <w:spacing w:line="240" w:lineRule="auto"/>
        <w:ind w:left="1440" w:hanging="360"/>
        <w:jc w:val="both"/>
        <w:rPr>
          <w:rFonts w:ascii="Times New Roman" w:hAnsi="Times New Roman" w:cs="Times New Roman"/>
          <w:b w:val="0"/>
          <w:i/>
        </w:rPr>
      </w:pPr>
      <w:r w:rsidRPr="006920D0">
        <w:rPr>
          <w:rFonts w:ascii="Times New Roman" w:hAnsi="Times New Roman" w:cs="Times New Roman"/>
          <w:b w:val="0"/>
          <w:i/>
        </w:rPr>
        <w:lastRenderedPageBreak/>
        <w:t>Q.</w:t>
      </w:r>
      <w:r w:rsidRPr="006920D0">
        <w:rPr>
          <w:rFonts w:ascii="Times New Roman" w:hAnsi="Times New Roman" w:cs="Times New Roman"/>
          <w:b w:val="0"/>
          <w:i/>
        </w:rPr>
        <w:tab/>
      </w:r>
      <w:r>
        <w:rPr>
          <w:rFonts w:ascii="Times New Roman" w:hAnsi="Times New Roman" w:cs="Times New Roman"/>
          <w:b w:val="0"/>
          <w:i/>
        </w:rPr>
        <w:t>How do you recommend NWEC’s mechanism be adjusted</w:t>
      </w:r>
      <w:r w:rsidRPr="006920D0">
        <w:rPr>
          <w:rFonts w:ascii="Times New Roman" w:hAnsi="Times New Roman" w:cs="Times New Roman"/>
          <w:b w:val="0"/>
          <w:i/>
        </w:rPr>
        <w:t>?</w:t>
      </w:r>
      <w:r>
        <w:rPr>
          <w:rFonts w:ascii="Times New Roman" w:hAnsi="Times New Roman" w:cs="Times New Roman"/>
          <w:b w:val="0"/>
          <w:i/>
        </w:rPr>
        <w:t xml:space="preserve"> </w:t>
      </w:r>
    </w:p>
    <w:p w:rsidR="00310B65" w:rsidRDefault="00310B65" w:rsidP="00310B65">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A.</w:t>
      </w:r>
      <w:r>
        <w:rPr>
          <w:rFonts w:ascii="Times New Roman" w:hAnsi="Times New Roman" w:cs="Times New Roman"/>
          <w:b w:val="0"/>
          <w:i/>
        </w:rPr>
        <w:tab/>
      </w:r>
      <w:proofErr w:type="gramStart"/>
      <w:r>
        <w:rPr>
          <w:rFonts w:ascii="Times New Roman" w:hAnsi="Times New Roman" w:cs="Times New Roman"/>
          <w:b w:val="0"/>
          <w:i/>
        </w:rPr>
        <w:t>Under</w:t>
      </w:r>
      <w:proofErr w:type="gramEnd"/>
      <w:r>
        <w:rPr>
          <w:rFonts w:ascii="Times New Roman" w:hAnsi="Times New Roman" w:cs="Times New Roman"/>
          <w:b w:val="0"/>
          <w:i/>
        </w:rPr>
        <w:t xml:space="preserve"> the WUTC standards, a utility’s revenue requirement is established in a GRC, and that revenue is allocated by class according to accepted ratemaking principles.  This would maintain current practice during the GRC.</w:t>
      </w:r>
    </w:p>
    <w:p w:rsidR="00310B65" w:rsidRPr="006920D0" w:rsidRDefault="00310B65" w:rsidP="00310B65">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ab/>
        <w:t>One year after the GRC, the utility would calculate the difference, per included class, between the revenue projected by the adjusted historic test year and the actual revenue attributable to each class.  Subject to a conservation test and an earnings test, any over collection would be returned to the customer class over the following rate year and any under collection would be charged to the customer class over the following rate year.</w:t>
      </w:r>
    </w:p>
    <w:p w:rsidR="00FD403A" w:rsidRDefault="00FD403A" w:rsidP="00F54932">
      <w:pPr>
        <w:pStyle w:val="P84"/>
        <w:tabs>
          <w:tab w:val="clear" w:pos="90"/>
          <w:tab w:val="clear" w:pos="720"/>
        </w:tabs>
        <w:ind w:left="0" w:firstLine="720"/>
        <w:jc w:val="both"/>
        <w:rPr>
          <w:rFonts w:ascii="Times New Roman" w:hAnsi="Times New Roman" w:cs="Times New Roman"/>
          <w:b w:val="0"/>
        </w:rPr>
      </w:pPr>
    </w:p>
    <w:p w:rsidR="00240534" w:rsidRDefault="00650F39"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Mr. Deen is recommending that </w:t>
      </w:r>
      <w:r w:rsidRPr="00B41CE9">
        <w:rPr>
          <w:rFonts w:ascii="Times New Roman" w:hAnsi="Times New Roman" w:cs="Times New Roman"/>
          <w:b w:val="0"/>
          <w:u w:val="single"/>
        </w:rPr>
        <w:t xml:space="preserve">any growth in revenue </w:t>
      </w:r>
      <w:r w:rsidR="00240534" w:rsidRPr="00B41CE9">
        <w:rPr>
          <w:rFonts w:ascii="Times New Roman" w:hAnsi="Times New Roman" w:cs="Times New Roman"/>
          <w:b w:val="0"/>
          <w:u w:val="single"/>
        </w:rPr>
        <w:t xml:space="preserve">for each customer class </w:t>
      </w:r>
      <w:r w:rsidRPr="00B41CE9">
        <w:rPr>
          <w:rFonts w:ascii="Times New Roman" w:hAnsi="Times New Roman" w:cs="Times New Roman"/>
          <w:b w:val="0"/>
          <w:u w:val="single"/>
        </w:rPr>
        <w:t>following the historical test-period be refunded to customers</w:t>
      </w:r>
      <w:r>
        <w:rPr>
          <w:rFonts w:ascii="Times New Roman" w:hAnsi="Times New Roman" w:cs="Times New Roman"/>
          <w:b w:val="0"/>
        </w:rPr>
        <w:t xml:space="preserve"> (and any decrease in revenue </w:t>
      </w:r>
      <w:proofErr w:type="gramStart"/>
      <w:r>
        <w:rPr>
          <w:rFonts w:ascii="Times New Roman" w:hAnsi="Times New Roman" w:cs="Times New Roman"/>
          <w:b w:val="0"/>
        </w:rPr>
        <w:t>be</w:t>
      </w:r>
      <w:proofErr w:type="gramEnd"/>
      <w:r>
        <w:rPr>
          <w:rFonts w:ascii="Times New Roman" w:hAnsi="Times New Roman" w:cs="Times New Roman"/>
          <w:b w:val="0"/>
        </w:rPr>
        <w:t xml:space="preserve"> surcharged).  This would be okay if </w:t>
      </w:r>
      <w:r w:rsidRPr="00650F39">
        <w:rPr>
          <w:rFonts w:ascii="Times New Roman" w:hAnsi="Times New Roman" w:cs="Times New Roman"/>
          <w:b w:val="0"/>
          <w:u w:val="single"/>
        </w:rPr>
        <w:t>all of the growth in costs</w:t>
      </w:r>
      <w:r w:rsidR="00B41CE9">
        <w:rPr>
          <w:rFonts w:ascii="Times New Roman" w:hAnsi="Times New Roman" w:cs="Times New Roman"/>
          <w:b w:val="0"/>
          <w:u w:val="single"/>
        </w:rPr>
        <w:t xml:space="preserve"> and investment</w:t>
      </w:r>
      <w:r w:rsidRPr="00650F39">
        <w:rPr>
          <w:rFonts w:ascii="Times New Roman" w:hAnsi="Times New Roman" w:cs="Times New Roman"/>
          <w:b w:val="0"/>
          <w:u w:val="single"/>
        </w:rPr>
        <w:t xml:space="preserve"> following the historical test period</w:t>
      </w:r>
      <w:r w:rsidRPr="00650F39">
        <w:rPr>
          <w:rFonts w:ascii="Times New Roman" w:hAnsi="Times New Roman" w:cs="Times New Roman"/>
          <w:b w:val="0"/>
        </w:rPr>
        <w:t xml:space="preserve"> are also somehow reflected in</w:t>
      </w:r>
      <w:r w:rsidR="002F6314">
        <w:rPr>
          <w:rFonts w:ascii="Times New Roman" w:hAnsi="Times New Roman" w:cs="Times New Roman"/>
          <w:b w:val="0"/>
        </w:rPr>
        <w:t xml:space="preserve"> establishing base retail</w:t>
      </w:r>
      <w:r w:rsidRPr="00650F39">
        <w:rPr>
          <w:rFonts w:ascii="Times New Roman" w:hAnsi="Times New Roman" w:cs="Times New Roman"/>
          <w:b w:val="0"/>
        </w:rPr>
        <w:t xml:space="preserve"> rates.</w:t>
      </w:r>
      <w:r>
        <w:rPr>
          <w:rFonts w:ascii="Times New Roman" w:hAnsi="Times New Roman" w:cs="Times New Roman"/>
          <w:b w:val="0"/>
        </w:rPr>
        <w:t xml:space="preserve">  </w:t>
      </w:r>
      <w:r w:rsidR="00240534">
        <w:rPr>
          <w:rFonts w:ascii="Times New Roman" w:hAnsi="Times New Roman" w:cs="Times New Roman"/>
          <w:b w:val="0"/>
        </w:rPr>
        <w:t>Under current ratemaking practices in Washington, Mr. Deen’s recommendation would refund any growth in revenues following the historical test-period, but shareholders would bear any growth in costs</w:t>
      </w:r>
      <w:r w:rsidR="00B41CE9">
        <w:rPr>
          <w:rFonts w:ascii="Times New Roman" w:hAnsi="Times New Roman" w:cs="Times New Roman"/>
          <w:b w:val="0"/>
        </w:rPr>
        <w:t xml:space="preserve"> and investment</w:t>
      </w:r>
      <w:r w:rsidR="00240534">
        <w:rPr>
          <w:rFonts w:ascii="Times New Roman" w:hAnsi="Times New Roman" w:cs="Times New Roman"/>
          <w:b w:val="0"/>
        </w:rPr>
        <w:t xml:space="preserve"> that are not built into base retail rates, either through pro forma adjustments or an attrition adjustment.</w:t>
      </w:r>
    </w:p>
    <w:p w:rsidR="00F54932" w:rsidRDefault="00650F39"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This example helps illustrate how critically important it is for any decoupling mechanism adopted by the Commission </w:t>
      </w:r>
      <w:r w:rsidR="004F441C">
        <w:rPr>
          <w:rFonts w:ascii="Times New Roman" w:hAnsi="Times New Roman" w:cs="Times New Roman"/>
          <w:b w:val="0"/>
        </w:rPr>
        <w:t xml:space="preserve">to </w:t>
      </w:r>
      <w:r>
        <w:rPr>
          <w:rFonts w:ascii="Times New Roman" w:hAnsi="Times New Roman" w:cs="Times New Roman"/>
          <w:b w:val="0"/>
        </w:rPr>
        <w:t xml:space="preserve">be </w:t>
      </w:r>
      <w:r w:rsidR="004F441C">
        <w:rPr>
          <w:rFonts w:ascii="Times New Roman" w:hAnsi="Times New Roman" w:cs="Times New Roman"/>
          <w:b w:val="0"/>
        </w:rPr>
        <w:t>“</w:t>
      </w:r>
      <w:r>
        <w:rPr>
          <w:rFonts w:ascii="Times New Roman" w:hAnsi="Times New Roman" w:cs="Times New Roman"/>
          <w:b w:val="0"/>
        </w:rPr>
        <w:t>harmonized</w:t>
      </w:r>
      <w:r w:rsidR="004F441C">
        <w:rPr>
          <w:rFonts w:ascii="Times New Roman" w:hAnsi="Times New Roman" w:cs="Times New Roman"/>
          <w:b w:val="0"/>
        </w:rPr>
        <w:t>”</w:t>
      </w:r>
      <w:r>
        <w:rPr>
          <w:rFonts w:ascii="Times New Roman" w:hAnsi="Times New Roman" w:cs="Times New Roman"/>
          <w:b w:val="0"/>
        </w:rPr>
        <w:t xml:space="preserve"> with the ratemaking practices used to established base retail rates in a general rate case.  </w:t>
      </w:r>
    </w:p>
    <w:p w:rsidR="006B4A9B" w:rsidRPr="00655AEC" w:rsidRDefault="00655AEC" w:rsidP="00F54932">
      <w:pPr>
        <w:pStyle w:val="P84"/>
        <w:tabs>
          <w:tab w:val="clear" w:pos="90"/>
          <w:tab w:val="clear" w:pos="720"/>
        </w:tabs>
        <w:ind w:left="0" w:firstLine="720"/>
        <w:jc w:val="both"/>
        <w:rPr>
          <w:rFonts w:ascii="Times New Roman" w:hAnsi="Times New Roman" w:cs="Times New Roman"/>
        </w:rPr>
      </w:pPr>
      <w:r w:rsidRPr="00655AEC">
        <w:rPr>
          <w:rFonts w:ascii="Times New Roman" w:hAnsi="Times New Roman" w:cs="Times New Roman"/>
        </w:rPr>
        <w:t>Q.</w:t>
      </w:r>
      <w:r w:rsidRPr="00655AEC">
        <w:rPr>
          <w:rFonts w:ascii="Times New Roman" w:hAnsi="Times New Roman" w:cs="Times New Roman"/>
        </w:rPr>
        <w:tab/>
      </w:r>
      <w:r w:rsidR="00AD68B4">
        <w:rPr>
          <w:rFonts w:ascii="Times New Roman" w:hAnsi="Times New Roman" w:cs="Times New Roman"/>
        </w:rPr>
        <w:t>What response do you have</w:t>
      </w:r>
      <w:r w:rsidRPr="00655AEC">
        <w:rPr>
          <w:rFonts w:ascii="Times New Roman" w:hAnsi="Times New Roman" w:cs="Times New Roman"/>
        </w:rPr>
        <w:t xml:space="preserve"> related to the testimony of Ms. Deborah Reynolds?</w:t>
      </w:r>
    </w:p>
    <w:p w:rsidR="00655AEC" w:rsidRDefault="00AD68B4"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00362A26">
        <w:rPr>
          <w:rFonts w:ascii="Times New Roman" w:hAnsi="Times New Roman" w:cs="Times New Roman"/>
          <w:b w:val="0"/>
        </w:rPr>
        <w:t>Ms. Reynolds begins her decoupling-related testimony in this Avista Docket with the following questions and answers beginning on page 2:</w:t>
      </w:r>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sidRPr="006920D0">
        <w:rPr>
          <w:rFonts w:ascii="Times New Roman" w:hAnsi="Times New Roman" w:cs="Times New Roman"/>
          <w:b w:val="0"/>
          <w:i/>
        </w:rPr>
        <w:t>Q.</w:t>
      </w:r>
      <w:r w:rsidRPr="006920D0">
        <w:rPr>
          <w:rFonts w:ascii="Times New Roman" w:hAnsi="Times New Roman" w:cs="Times New Roman"/>
          <w:b w:val="0"/>
          <w:i/>
        </w:rPr>
        <w:tab/>
      </w:r>
      <w:r>
        <w:rPr>
          <w:rFonts w:ascii="Times New Roman" w:hAnsi="Times New Roman" w:cs="Times New Roman"/>
          <w:b w:val="0"/>
          <w:i/>
        </w:rPr>
        <w:t>What is the purpose of your testimony in this proceeding?</w:t>
      </w:r>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A.</w:t>
      </w:r>
      <w:r>
        <w:rPr>
          <w:rFonts w:ascii="Times New Roman" w:hAnsi="Times New Roman" w:cs="Times New Roman"/>
          <w:b w:val="0"/>
          <w:i/>
        </w:rPr>
        <w:tab/>
        <w:t xml:space="preserve">My testimony responds to the full electric decoupling proposal of the NW </w:t>
      </w:r>
      <w:r>
        <w:rPr>
          <w:rFonts w:ascii="Times New Roman" w:hAnsi="Times New Roman" w:cs="Times New Roman"/>
          <w:b w:val="0"/>
          <w:i/>
        </w:rPr>
        <w:lastRenderedPageBreak/>
        <w:t>Energy Coalition, presented by Mr. Ralph Cavanagh.</w:t>
      </w:r>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Q.</w:t>
      </w:r>
      <w:r>
        <w:rPr>
          <w:rFonts w:ascii="Times New Roman" w:hAnsi="Times New Roman" w:cs="Times New Roman"/>
          <w:b w:val="0"/>
          <w:i/>
        </w:rPr>
        <w:tab/>
        <w:t>Have you responded to a decoupling proposal by NWEC in another Commission docket?</w:t>
      </w:r>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A.</w:t>
      </w:r>
      <w:r>
        <w:rPr>
          <w:rFonts w:ascii="Times New Roman" w:hAnsi="Times New Roman" w:cs="Times New Roman"/>
          <w:b w:val="0"/>
          <w:i/>
        </w:rPr>
        <w:tab/>
        <w:t>Yes.  I filed and defended testimony on this issue in consolidated PSE Dockets UE-111048 and UG-111049.</w:t>
      </w:r>
    </w:p>
    <w:p w:rsidR="006B42DA" w:rsidRDefault="006B42DA"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p>
    <w:p w:rsidR="006B42DA" w:rsidRDefault="006B42DA"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Q.</w:t>
      </w:r>
      <w:r>
        <w:rPr>
          <w:rFonts w:ascii="Times New Roman" w:hAnsi="Times New Roman" w:cs="Times New Roman"/>
          <w:b w:val="0"/>
          <w:i/>
        </w:rPr>
        <w:tab/>
        <w:t>In those PSE dockets, did staff file a response to a Bench Request regarding decoupling?</w:t>
      </w:r>
    </w:p>
    <w:p w:rsidR="006B42DA" w:rsidRDefault="006B42DA"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A.</w:t>
      </w:r>
      <w:r>
        <w:rPr>
          <w:rFonts w:ascii="Times New Roman" w:hAnsi="Times New Roman" w:cs="Times New Roman"/>
          <w:b w:val="0"/>
          <w:i/>
        </w:rPr>
        <w:tab/>
        <w:t xml:space="preserve">Yes.  In those PSE dockets, the Commission issued the same (or substantially the same) decoupling-related Bench Request that the Commission issued in this general rate case.  Although the Commission relieved the Staff from filing a response in these Avista dockets, I am including a copy of the Bench Request response Staff filed in the PSE dockets so the Commission will have that information available here.  Staff’s response in my Exhibit No. </w:t>
      </w:r>
      <w:proofErr w:type="gramStart"/>
      <w:r>
        <w:rPr>
          <w:rFonts w:ascii="Times New Roman" w:hAnsi="Times New Roman" w:cs="Times New Roman"/>
          <w:b w:val="0"/>
          <w:i/>
        </w:rPr>
        <w:t>____ (DJR-2).</w:t>
      </w:r>
      <w:proofErr w:type="gramEnd"/>
    </w:p>
    <w:p w:rsidR="00362A26" w:rsidRDefault="00362A26" w:rsidP="00362A26">
      <w:pPr>
        <w:pStyle w:val="P84"/>
        <w:tabs>
          <w:tab w:val="clear" w:pos="90"/>
          <w:tab w:val="clear" w:pos="720"/>
          <w:tab w:val="left" w:pos="1440"/>
        </w:tabs>
        <w:spacing w:line="240" w:lineRule="auto"/>
        <w:ind w:left="1440" w:hanging="360"/>
        <w:jc w:val="both"/>
        <w:rPr>
          <w:rFonts w:ascii="Times New Roman" w:hAnsi="Times New Roman" w:cs="Times New Roman"/>
          <w:b w:val="0"/>
          <w:i/>
        </w:rPr>
      </w:pPr>
      <w:r>
        <w:rPr>
          <w:rFonts w:ascii="Times New Roman" w:hAnsi="Times New Roman" w:cs="Times New Roman"/>
          <w:b w:val="0"/>
          <w:i/>
        </w:rPr>
        <w:t xml:space="preserve"> </w:t>
      </w:r>
    </w:p>
    <w:p w:rsidR="00655AEC" w:rsidRDefault="006B42DA"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Then in Ms. Reynold</w:t>
      </w:r>
      <w:r w:rsidR="000729AE">
        <w:rPr>
          <w:rFonts w:ascii="Times New Roman" w:hAnsi="Times New Roman" w:cs="Times New Roman"/>
          <w:b w:val="0"/>
        </w:rPr>
        <w:t>s’</w:t>
      </w:r>
      <w:r>
        <w:rPr>
          <w:rFonts w:ascii="Times New Roman" w:hAnsi="Times New Roman" w:cs="Times New Roman"/>
          <w:b w:val="0"/>
        </w:rPr>
        <w:t xml:space="preserve"> response to her next question she states that, “The Commission should reject Mr. Cavanaugh’s decoupling proposal because it does not comply with the Commission’s Policy Statement.</w:t>
      </w:r>
      <w:r w:rsidR="00E61705">
        <w:rPr>
          <w:rFonts w:ascii="Times New Roman" w:hAnsi="Times New Roman" w:cs="Times New Roman"/>
          <w:b w:val="0"/>
        </w:rPr>
        <w:t>” (Exhibit No. _____ (DJR-1T), page 3, line 20)</w:t>
      </w:r>
    </w:p>
    <w:p w:rsidR="006B42DA" w:rsidRDefault="006B42DA"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The point is</w:t>
      </w:r>
      <w:proofErr w:type="gramStart"/>
      <w:r>
        <w:rPr>
          <w:rFonts w:ascii="Times New Roman" w:hAnsi="Times New Roman" w:cs="Times New Roman"/>
          <w:b w:val="0"/>
        </w:rPr>
        <w:t>,</w:t>
      </w:r>
      <w:proofErr w:type="gramEnd"/>
      <w:r>
        <w:rPr>
          <w:rFonts w:ascii="Times New Roman" w:hAnsi="Times New Roman" w:cs="Times New Roman"/>
          <w:b w:val="0"/>
        </w:rPr>
        <w:t xml:space="preserve"> the UTC Staff </w:t>
      </w:r>
      <w:r w:rsidR="00B41CE9">
        <w:rPr>
          <w:rFonts w:ascii="Times New Roman" w:hAnsi="Times New Roman" w:cs="Times New Roman"/>
          <w:b w:val="0"/>
        </w:rPr>
        <w:t xml:space="preserve">has, thus far, </w:t>
      </w:r>
      <w:r>
        <w:rPr>
          <w:rFonts w:ascii="Times New Roman" w:hAnsi="Times New Roman" w:cs="Times New Roman"/>
          <w:b w:val="0"/>
        </w:rPr>
        <w:t>passed up an opportunity to be constructive in assisting the Commission in developing a workable decoupling mechanism for Avista in this Docket, should the Commission desire to approve one.  Instead, the UTC Staff chose to provide</w:t>
      </w:r>
      <w:r w:rsidR="00835777">
        <w:rPr>
          <w:rFonts w:ascii="Times New Roman" w:hAnsi="Times New Roman" w:cs="Times New Roman"/>
          <w:b w:val="0"/>
        </w:rPr>
        <w:t xml:space="preserve"> the Commission an inc</w:t>
      </w:r>
      <w:r w:rsidR="001A6628">
        <w:rPr>
          <w:rFonts w:ascii="Times New Roman" w:hAnsi="Times New Roman" w:cs="Times New Roman"/>
          <w:b w:val="0"/>
        </w:rPr>
        <w:t>omplete assessment of a potential</w:t>
      </w:r>
      <w:r w:rsidR="00835777">
        <w:rPr>
          <w:rFonts w:ascii="Times New Roman" w:hAnsi="Times New Roman" w:cs="Times New Roman"/>
          <w:b w:val="0"/>
        </w:rPr>
        <w:t xml:space="preserve"> decoupling mechanism </w:t>
      </w:r>
      <w:r w:rsidR="001A6628">
        <w:rPr>
          <w:rFonts w:ascii="Times New Roman" w:hAnsi="Times New Roman" w:cs="Times New Roman"/>
          <w:b w:val="0"/>
        </w:rPr>
        <w:t xml:space="preserve">for another utility, </w:t>
      </w:r>
      <w:r w:rsidR="00835777">
        <w:rPr>
          <w:rFonts w:ascii="Times New Roman" w:hAnsi="Times New Roman" w:cs="Times New Roman"/>
          <w:b w:val="0"/>
        </w:rPr>
        <w:t>from another docket, in the form of a copy of their response to a Bench Request in the PSE docket.</w:t>
      </w:r>
      <w:r w:rsidR="00C913F5">
        <w:rPr>
          <w:rFonts w:ascii="Times New Roman" w:hAnsi="Times New Roman" w:cs="Times New Roman"/>
          <w:b w:val="0"/>
        </w:rPr>
        <w:t xml:space="preserve">  </w:t>
      </w:r>
      <w:r w:rsidR="007D6CAE">
        <w:rPr>
          <w:rFonts w:ascii="Times New Roman" w:hAnsi="Times New Roman" w:cs="Times New Roman"/>
          <w:b w:val="0"/>
        </w:rPr>
        <w:t>In</w:t>
      </w:r>
      <w:r w:rsidR="00C201E6">
        <w:rPr>
          <w:rFonts w:ascii="Times New Roman" w:hAnsi="Times New Roman" w:cs="Times New Roman"/>
          <w:b w:val="0"/>
        </w:rPr>
        <w:t xml:space="preserve"> </w:t>
      </w:r>
      <w:r w:rsidR="002F6314">
        <w:rPr>
          <w:rFonts w:ascii="Times New Roman" w:hAnsi="Times New Roman" w:cs="Times New Roman"/>
          <w:b w:val="0"/>
        </w:rPr>
        <w:t xml:space="preserve">the </w:t>
      </w:r>
      <w:r w:rsidR="00C201E6">
        <w:rPr>
          <w:rFonts w:ascii="Times New Roman" w:hAnsi="Times New Roman" w:cs="Times New Roman"/>
          <w:b w:val="0"/>
        </w:rPr>
        <w:t>UTC Staff’s response to the Bench Request in the PSE docket (Exhibit No. _____ (DJR-2)</w:t>
      </w:r>
      <w:r w:rsidR="007D6CAE">
        <w:rPr>
          <w:rFonts w:ascii="Times New Roman" w:hAnsi="Times New Roman" w:cs="Times New Roman"/>
          <w:b w:val="0"/>
        </w:rPr>
        <w:t>, page 5)</w:t>
      </w:r>
      <w:r w:rsidR="00C201E6">
        <w:rPr>
          <w:rFonts w:ascii="Times New Roman" w:hAnsi="Times New Roman" w:cs="Times New Roman"/>
          <w:b w:val="0"/>
        </w:rPr>
        <w:t>, Staff states</w:t>
      </w:r>
      <w:r w:rsidR="002F6314">
        <w:rPr>
          <w:rFonts w:ascii="Times New Roman" w:hAnsi="Times New Roman" w:cs="Times New Roman"/>
          <w:b w:val="0"/>
        </w:rPr>
        <w:t>,</w:t>
      </w:r>
      <w:r w:rsidR="00C201E6">
        <w:rPr>
          <w:rFonts w:ascii="Times New Roman" w:hAnsi="Times New Roman" w:cs="Times New Roman"/>
          <w:b w:val="0"/>
        </w:rPr>
        <w:t xml:space="preserve"> regarding their assessment of a potential decoupling mechanism for PSE, “While the Mechanism </w:t>
      </w:r>
      <w:r w:rsidR="00C201E6" w:rsidRPr="00705EF2">
        <w:rPr>
          <w:rFonts w:ascii="Times New Roman" w:hAnsi="Times New Roman" w:cs="Times New Roman"/>
          <w:b w:val="0"/>
          <w:u w:val="single"/>
        </w:rPr>
        <w:t>does not contain all of the details necessary for implementation</w:t>
      </w:r>
      <w:r w:rsidR="00C201E6">
        <w:rPr>
          <w:rFonts w:ascii="Times New Roman" w:hAnsi="Times New Roman" w:cs="Times New Roman"/>
          <w:b w:val="0"/>
        </w:rPr>
        <w:t>,</w:t>
      </w:r>
      <w:r w:rsidR="007D6CAE">
        <w:rPr>
          <w:rFonts w:ascii="Times New Roman" w:hAnsi="Times New Roman" w:cs="Times New Roman"/>
          <w:b w:val="0"/>
        </w:rPr>
        <w:t xml:space="preserve"> it is sufficiently concrete to</w:t>
      </w:r>
      <w:r w:rsidR="00C201E6">
        <w:rPr>
          <w:rFonts w:ascii="Times New Roman" w:hAnsi="Times New Roman" w:cs="Times New Roman"/>
          <w:b w:val="0"/>
        </w:rPr>
        <w:t xml:space="preserve"> permit a robust discussion of the key issues, and to identify the areas requiring further examination.”</w:t>
      </w:r>
      <w:r w:rsidR="00705EF2">
        <w:rPr>
          <w:rFonts w:ascii="Times New Roman" w:hAnsi="Times New Roman" w:cs="Times New Roman"/>
          <w:b w:val="0"/>
        </w:rPr>
        <w:t xml:space="preserve"> (</w:t>
      </w:r>
      <w:proofErr w:type="gramStart"/>
      <w:r w:rsidR="00705EF2">
        <w:rPr>
          <w:rFonts w:ascii="Times New Roman" w:hAnsi="Times New Roman" w:cs="Times New Roman"/>
          <w:b w:val="0"/>
        </w:rPr>
        <w:t>emphasis</w:t>
      </w:r>
      <w:proofErr w:type="gramEnd"/>
      <w:r w:rsidR="00705EF2">
        <w:rPr>
          <w:rFonts w:ascii="Times New Roman" w:hAnsi="Times New Roman" w:cs="Times New Roman"/>
          <w:b w:val="0"/>
        </w:rPr>
        <w:t xml:space="preserve"> added)</w:t>
      </w:r>
      <w:r w:rsidR="00AA4419">
        <w:rPr>
          <w:rFonts w:ascii="Times New Roman" w:hAnsi="Times New Roman" w:cs="Times New Roman"/>
          <w:b w:val="0"/>
        </w:rPr>
        <w:t xml:space="preserve">  And yet, she has not provided constructive solutions in </w:t>
      </w:r>
      <w:r w:rsidR="00AA4419">
        <w:rPr>
          <w:rFonts w:ascii="Times New Roman" w:hAnsi="Times New Roman" w:cs="Times New Roman"/>
          <w:b w:val="0"/>
        </w:rPr>
        <w:lastRenderedPageBreak/>
        <w:t>this docket, to build on the discussions in the prior PSE docket.</w:t>
      </w:r>
    </w:p>
    <w:p w:rsidR="00705EF2" w:rsidRPr="005436AC" w:rsidRDefault="005436AC" w:rsidP="00F54932">
      <w:pPr>
        <w:pStyle w:val="P84"/>
        <w:tabs>
          <w:tab w:val="clear" w:pos="90"/>
          <w:tab w:val="clear" w:pos="720"/>
        </w:tabs>
        <w:ind w:left="0" w:firstLine="720"/>
        <w:jc w:val="both"/>
        <w:rPr>
          <w:rFonts w:ascii="Times New Roman" w:hAnsi="Times New Roman" w:cs="Times New Roman"/>
        </w:rPr>
      </w:pPr>
      <w:r w:rsidRPr="005436AC">
        <w:rPr>
          <w:rFonts w:ascii="Times New Roman" w:hAnsi="Times New Roman" w:cs="Times New Roman"/>
        </w:rPr>
        <w:t>Q.</w:t>
      </w:r>
      <w:r w:rsidRPr="005436AC">
        <w:rPr>
          <w:rFonts w:ascii="Times New Roman" w:hAnsi="Times New Roman" w:cs="Times New Roman"/>
        </w:rPr>
        <w:tab/>
        <w:t>On page 7, beginning on line 13</w:t>
      </w:r>
      <w:r w:rsidR="005E65E3">
        <w:rPr>
          <w:rFonts w:ascii="Times New Roman" w:hAnsi="Times New Roman" w:cs="Times New Roman"/>
        </w:rPr>
        <w:t>,</w:t>
      </w:r>
      <w:r w:rsidRPr="005436AC">
        <w:rPr>
          <w:rFonts w:ascii="Times New Roman" w:hAnsi="Times New Roman" w:cs="Times New Roman"/>
        </w:rPr>
        <w:t xml:space="preserve"> of Ms. Reynold</w:t>
      </w:r>
      <w:r w:rsidR="000729AE">
        <w:rPr>
          <w:rFonts w:ascii="Times New Roman" w:hAnsi="Times New Roman" w:cs="Times New Roman"/>
        </w:rPr>
        <w:t>s’</w:t>
      </w:r>
      <w:r w:rsidRPr="005436AC">
        <w:rPr>
          <w:rFonts w:ascii="Times New Roman" w:hAnsi="Times New Roman" w:cs="Times New Roman"/>
        </w:rPr>
        <w:t xml:space="preserve"> testimony</w:t>
      </w:r>
      <w:r w:rsidR="000729AE">
        <w:rPr>
          <w:rFonts w:ascii="Times New Roman" w:hAnsi="Times New Roman" w:cs="Times New Roman"/>
        </w:rPr>
        <w:t>,</w:t>
      </w:r>
      <w:r w:rsidRPr="005436AC">
        <w:rPr>
          <w:rFonts w:ascii="Times New Roman" w:hAnsi="Times New Roman" w:cs="Times New Roman"/>
        </w:rPr>
        <w:t xml:space="preserve"> she states</w:t>
      </w:r>
      <w:r w:rsidR="00807CA8">
        <w:rPr>
          <w:rFonts w:ascii="Times New Roman" w:hAnsi="Times New Roman" w:cs="Times New Roman"/>
        </w:rPr>
        <w:t>,</w:t>
      </w:r>
      <w:r w:rsidRPr="005436AC">
        <w:rPr>
          <w:rFonts w:ascii="Times New Roman" w:hAnsi="Times New Roman" w:cs="Times New Roman"/>
        </w:rPr>
        <w:t xml:space="preserve"> </w:t>
      </w:r>
      <w:r w:rsidR="00807CA8">
        <w:rPr>
          <w:rFonts w:ascii="Times New Roman" w:hAnsi="Times New Roman" w:cs="Times New Roman"/>
        </w:rPr>
        <w:t xml:space="preserve">regarding her interpretation of Mr. Cavanagh’s testimony, </w:t>
      </w:r>
      <w:r w:rsidRPr="005436AC">
        <w:rPr>
          <w:rFonts w:ascii="Times New Roman" w:hAnsi="Times New Roman" w:cs="Times New Roman"/>
        </w:rPr>
        <w:t>that, “If full decoupling were in effect, and Avista experienced lower retail sales due to conservation, Avista would be able to sell the unused power in the wholesale market, thus recovering much or all of this cost twice:  once through the decoupling mechanism, and once from wholesale customers.”  Do you have any comments on this part of her testimony?</w:t>
      </w:r>
    </w:p>
    <w:p w:rsidR="000F3F5E" w:rsidRDefault="005436AC"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 xml:space="preserve">Yes.  </w:t>
      </w:r>
      <w:r w:rsidR="005E65E3">
        <w:rPr>
          <w:rFonts w:ascii="Times New Roman" w:hAnsi="Times New Roman" w:cs="Times New Roman"/>
          <w:b w:val="0"/>
        </w:rPr>
        <w:t>Although Mr. Cavanagh’s decoupling presentation did not include all the details of the mechanics of NWEC’s decoupling proposal, I believe it was not his intention for the</w:t>
      </w:r>
      <w:r w:rsidR="002F6314">
        <w:rPr>
          <w:rFonts w:ascii="Times New Roman" w:hAnsi="Times New Roman" w:cs="Times New Roman"/>
          <w:b w:val="0"/>
        </w:rPr>
        <w:t xml:space="preserve"> ultimate</w:t>
      </w:r>
      <w:r w:rsidR="005E65E3">
        <w:rPr>
          <w:rFonts w:ascii="Times New Roman" w:hAnsi="Times New Roman" w:cs="Times New Roman"/>
          <w:b w:val="0"/>
        </w:rPr>
        <w:t xml:space="preserve"> design of the mechanism to provide for a double-recovery of power supply costs.  In fact, it is relatively straight-forward to adjust for this in the details of the design of the mechanism to ensure that it does not occur. </w:t>
      </w:r>
    </w:p>
    <w:p w:rsidR="00E61705" w:rsidRDefault="00C401B2"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T</w:t>
      </w:r>
      <w:r w:rsidR="004A509A">
        <w:rPr>
          <w:rFonts w:ascii="Times New Roman" w:hAnsi="Times New Roman" w:cs="Times New Roman"/>
          <w:b w:val="0"/>
        </w:rPr>
        <w:t>he decoupli</w:t>
      </w:r>
      <w:r>
        <w:rPr>
          <w:rFonts w:ascii="Times New Roman" w:hAnsi="Times New Roman" w:cs="Times New Roman"/>
          <w:b w:val="0"/>
        </w:rPr>
        <w:t>ng mechanism that Mr. Ehrbar</w:t>
      </w:r>
      <w:r w:rsidR="004A509A">
        <w:rPr>
          <w:rFonts w:ascii="Times New Roman" w:hAnsi="Times New Roman" w:cs="Times New Roman"/>
          <w:b w:val="0"/>
        </w:rPr>
        <w:t xml:space="preserve"> fleshed-out</w:t>
      </w:r>
      <w:r w:rsidR="00807CA8">
        <w:rPr>
          <w:rFonts w:ascii="Times New Roman" w:hAnsi="Times New Roman" w:cs="Times New Roman"/>
          <w:b w:val="0"/>
        </w:rPr>
        <w:t>,</w:t>
      </w:r>
      <w:r w:rsidR="004A509A">
        <w:rPr>
          <w:rFonts w:ascii="Times New Roman" w:hAnsi="Times New Roman" w:cs="Times New Roman"/>
          <w:b w:val="0"/>
        </w:rPr>
        <w:t xml:space="preserve"> in his responsive testimony </w:t>
      </w:r>
      <w:r>
        <w:rPr>
          <w:rFonts w:ascii="Times New Roman" w:hAnsi="Times New Roman" w:cs="Times New Roman"/>
          <w:b w:val="0"/>
        </w:rPr>
        <w:t>(Exhibit No. ___ (PDE-9T)</w:t>
      </w:r>
      <w:r w:rsidR="00A27BAA">
        <w:rPr>
          <w:rFonts w:ascii="Times New Roman" w:hAnsi="Times New Roman" w:cs="Times New Roman"/>
          <w:b w:val="0"/>
        </w:rPr>
        <w:t>)</w:t>
      </w:r>
      <w:r w:rsidR="00807CA8">
        <w:rPr>
          <w:rFonts w:ascii="Times New Roman" w:hAnsi="Times New Roman" w:cs="Times New Roman"/>
          <w:b w:val="0"/>
        </w:rPr>
        <w:t>,</w:t>
      </w:r>
      <w:r>
        <w:rPr>
          <w:rFonts w:ascii="Times New Roman" w:hAnsi="Times New Roman" w:cs="Times New Roman"/>
          <w:b w:val="0"/>
        </w:rPr>
        <w:t xml:space="preserve"> includes such an adjustment to remove power supply costs from any decoupling deferral</w:t>
      </w:r>
      <w:r w:rsidR="00A300C7">
        <w:rPr>
          <w:rFonts w:ascii="Times New Roman" w:hAnsi="Times New Roman" w:cs="Times New Roman"/>
          <w:b w:val="0"/>
        </w:rPr>
        <w:t xml:space="preserve">.  </w:t>
      </w:r>
      <w:r w:rsidR="000F3F5E">
        <w:rPr>
          <w:rFonts w:ascii="Times New Roman" w:hAnsi="Times New Roman" w:cs="Times New Roman"/>
          <w:b w:val="0"/>
        </w:rPr>
        <w:t>In fact, Avista spent a significant amount of time to develop</w:t>
      </w:r>
      <w:r w:rsidR="006A53F2">
        <w:rPr>
          <w:rFonts w:ascii="Times New Roman" w:hAnsi="Times New Roman" w:cs="Times New Roman"/>
          <w:b w:val="0"/>
        </w:rPr>
        <w:t>, and present,</w:t>
      </w:r>
      <w:r w:rsidR="000F3F5E">
        <w:rPr>
          <w:rFonts w:ascii="Times New Roman" w:hAnsi="Times New Roman" w:cs="Times New Roman"/>
          <w:b w:val="0"/>
        </w:rPr>
        <w:t xml:space="preserve"> the d</w:t>
      </w:r>
      <w:r w:rsidR="007275A4">
        <w:rPr>
          <w:rFonts w:ascii="Times New Roman" w:hAnsi="Times New Roman" w:cs="Times New Roman"/>
          <w:b w:val="0"/>
        </w:rPr>
        <w:t>etails of a decoupling proposal that, if approved by the Commission, would be fair to both customers and the Company.  The Avista decoupling proposal would also meet the two primary objectives of 1) eliminating the disincentive related to implementing energy efficiency, and 2) remove the direct linkage between the volume of KWh sales and recovery of costs/return on investment.</w:t>
      </w:r>
    </w:p>
    <w:p w:rsidR="00655AEC" w:rsidRPr="00252324" w:rsidRDefault="00252324" w:rsidP="00F54932">
      <w:pPr>
        <w:pStyle w:val="P84"/>
        <w:tabs>
          <w:tab w:val="clear" w:pos="90"/>
          <w:tab w:val="clear" w:pos="720"/>
        </w:tabs>
        <w:ind w:left="0" w:firstLine="720"/>
        <w:jc w:val="both"/>
        <w:rPr>
          <w:rFonts w:ascii="Times New Roman" w:hAnsi="Times New Roman" w:cs="Times New Roman"/>
        </w:rPr>
      </w:pPr>
      <w:r w:rsidRPr="00252324">
        <w:rPr>
          <w:rFonts w:ascii="Times New Roman" w:hAnsi="Times New Roman" w:cs="Times New Roman"/>
        </w:rPr>
        <w:t>Q.</w:t>
      </w:r>
      <w:r w:rsidRPr="00252324">
        <w:rPr>
          <w:rFonts w:ascii="Times New Roman" w:hAnsi="Times New Roman" w:cs="Times New Roman"/>
        </w:rPr>
        <w:tab/>
        <w:t>All of the three parties recommend</w:t>
      </w:r>
      <w:r w:rsidR="00653AFA">
        <w:rPr>
          <w:rFonts w:ascii="Times New Roman" w:hAnsi="Times New Roman" w:cs="Times New Roman"/>
        </w:rPr>
        <w:t>,</w:t>
      </w:r>
      <w:r w:rsidRPr="00252324">
        <w:rPr>
          <w:rFonts w:ascii="Times New Roman" w:hAnsi="Times New Roman" w:cs="Times New Roman"/>
        </w:rPr>
        <w:t xml:space="preserve"> or at least suggest</w:t>
      </w:r>
      <w:r w:rsidR="00653AFA">
        <w:rPr>
          <w:rFonts w:ascii="Times New Roman" w:hAnsi="Times New Roman" w:cs="Times New Roman"/>
        </w:rPr>
        <w:t>,</w:t>
      </w:r>
      <w:r w:rsidRPr="00252324">
        <w:rPr>
          <w:rFonts w:ascii="Times New Roman" w:hAnsi="Times New Roman" w:cs="Times New Roman"/>
        </w:rPr>
        <w:t xml:space="preserve"> that the Commission consider a reduction to return on equity (ROE), and/or a reduction to the equity layer in conjunction with the approval of a decoupling mechanism?</w:t>
      </w:r>
      <w:r>
        <w:rPr>
          <w:rFonts w:ascii="Times New Roman" w:hAnsi="Times New Roman" w:cs="Times New Roman"/>
        </w:rPr>
        <w:t xml:space="preserve">  What </w:t>
      </w:r>
      <w:r>
        <w:rPr>
          <w:rFonts w:ascii="Times New Roman" w:hAnsi="Times New Roman" w:cs="Times New Roman"/>
        </w:rPr>
        <w:lastRenderedPageBreak/>
        <w:t>is your response to this testimony?</w:t>
      </w:r>
    </w:p>
    <w:p w:rsidR="00252324" w:rsidRDefault="00252324"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r>
      <w:r w:rsidR="00DF24FB">
        <w:rPr>
          <w:rFonts w:ascii="Times New Roman" w:hAnsi="Times New Roman" w:cs="Times New Roman"/>
          <w:b w:val="0"/>
        </w:rPr>
        <w:t xml:space="preserve">Mr. Ehrbar has already addressed in his testimony (Exhibit No. ___ (PDE-9T)) our views on an ROE reduction associated with decoupling, and I will not belabor it here.  </w:t>
      </w:r>
      <w:r w:rsidR="00653AFA">
        <w:rPr>
          <w:rFonts w:ascii="Times New Roman" w:hAnsi="Times New Roman" w:cs="Times New Roman"/>
          <w:b w:val="0"/>
        </w:rPr>
        <w:t xml:space="preserve">If the Commission believes that an ROE reduction is necessary, then the Company respectfully requests that the Commission </w:t>
      </w:r>
      <w:r w:rsidR="00653AFA" w:rsidRPr="00AA4419">
        <w:rPr>
          <w:rFonts w:ascii="Times New Roman" w:hAnsi="Times New Roman" w:cs="Times New Roman"/>
          <w:b w:val="0"/>
          <w:u w:val="single"/>
        </w:rPr>
        <w:t>not</w:t>
      </w:r>
      <w:r w:rsidR="00653AFA">
        <w:rPr>
          <w:rFonts w:ascii="Times New Roman" w:hAnsi="Times New Roman" w:cs="Times New Roman"/>
          <w:b w:val="0"/>
        </w:rPr>
        <w:t xml:space="preserve"> approve a decoupling mechanism for Avista.  An ROE reduction of 25 basis points is equal to the amount of estimated </w:t>
      </w:r>
      <w:r w:rsidR="00BA3E02">
        <w:rPr>
          <w:rFonts w:ascii="Times New Roman" w:hAnsi="Times New Roman" w:cs="Times New Roman"/>
          <w:b w:val="0"/>
        </w:rPr>
        <w:t xml:space="preserve">annual </w:t>
      </w:r>
      <w:r w:rsidR="00653AFA">
        <w:rPr>
          <w:rFonts w:ascii="Times New Roman" w:hAnsi="Times New Roman" w:cs="Times New Roman"/>
          <w:b w:val="0"/>
        </w:rPr>
        <w:t>lost margin associated with Avista’s programmat</w:t>
      </w:r>
      <w:r w:rsidR="000F3A9D">
        <w:rPr>
          <w:rFonts w:ascii="Times New Roman" w:hAnsi="Times New Roman" w:cs="Times New Roman"/>
          <w:b w:val="0"/>
        </w:rPr>
        <w:t>ic energy efficiency programs</w:t>
      </w:r>
      <w:r w:rsidR="00BA3E02">
        <w:rPr>
          <w:rFonts w:ascii="Times New Roman" w:hAnsi="Times New Roman" w:cs="Times New Roman"/>
          <w:b w:val="0"/>
        </w:rPr>
        <w:t xml:space="preserve"> (</w:t>
      </w:r>
      <w:r w:rsidR="00CD3C5D">
        <w:rPr>
          <w:rFonts w:ascii="Times New Roman" w:hAnsi="Times New Roman" w:cs="Times New Roman"/>
          <w:b w:val="0"/>
        </w:rPr>
        <w:t xml:space="preserve">approximately </w:t>
      </w:r>
      <w:r w:rsidR="00BA3E02">
        <w:rPr>
          <w:rFonts w:ascii="Times New Roman" w:hAnsi="Times New Roman" w:cs="Times New Roman"/>
          <w:b w:val="0"/>
        </w:rPr>
        <w:t>$2 million/year)</w:t>
      </w:r>
      <w:r w:rsidR="000F3A9D">
        <w:rPr>
          <w:rFonts w:ascii="Times New Roman" w:hAnsi="Times New Roman" w:cs="Times New Roman"/>
          <w:b w:val="0"/>
        </w:rPr>
        <w:t>.</w:t>
      </w:r>
      <w:r w:rsidR="007E38E3">
        <w:rPr>
          <w:rFonts w:ascii="Times New Roman" w:hAnsi="Times New Roman" w:cs="Times New Roman"/>
          <w:b w:val="0"/>
        </w:rPr>
        <w:t xml:space="preserve">  Even if the Commission were to approve what Avista would consider </w:t>
      </w:r>
      <w:proofErr w:type="gramStart"/>
      <w:r w:rsidR="007E38E3">
        <w:rPr>
          <w:rFonts w:ascii="Times New Roman" w:hAnsi="Times New Roman" w:cs="Times New Roman"/>
          <w:b w:val="0"/>
        </w:rPr>
        <w:t>to be</w:t>
      </w:r>
      <w:proofErr w:type="gramEnd"/>
      <w:r w:rsidR="007E38E3">
        <w:rPr>
          <w:rFonts w:ascii="Times New Roman" w:hAnsi="Times New Roman" w:cs="Times New Roman"/>
          <w:b w:val="0"/>
        </w:rPr>
        <w:t xml:space="preserve"> an effective decoupling mechanism, all other things being equal, the Company would still be </w:t>
      </w:r>
      <w:r w:rsidR="007E38E3" w:rsidRPr="00AA4419">
        <w:rPr>
          <w:rFonts w:ascii="Times New Roman" w:hAnsi="Times New Roman" w:cs="Times New Roman"/>
          <w:b w:val="0"/>
          <w:u w:val="single"/>
        </w:rPr>
        <w:t>worse off</w:t>
      </w:r>
      <w:r w:rsidR="007E38E3">
        <w:rPr>
          <w:rFonts w:ascii="Times New Roman" w:hAnsi="Times New Roman" w:cs="Times New Roman"/>
          <w:b w:val="0"/>
        </w:rPr>
        <w:t xml:space="preserve"> for promoting energy efficiency, because the ROE reduction would offset any gains from the decoupling mechanism.</w:t>
      </w:r>
    </w:p>
    <w:p w:rsidR="00D02BF4" w:rsidRDefault="00BA3E02" w:rsidP="00D02BF4">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 reduction to the equity layer could also provide a similar result.  A reduction of the equity layer by 2% (e.g., from 48</w:t>
      </w:r>
      <w:r w:rsidR="00765A74">
        <w:rPr>
          <w:rFonts w:ascii="Times New Roman" w:hAnsi="Times New Roman" w:cs="Times New Roman"/>
          <w:b w:val="0"/>
        </w:rPr>
        <w:t>.4</w:t>
      </w:r>
      <w:r>
        <w:rPr>
          <w:rFonts w:ascii="Times New Roman" w:hAnsi="Times New Roman" w:cs="Times New Roman"/>
          <w:b w:val="0"/>
        </w:rPr>
        <w:t>% to 46</w:t>
      </w:r>
      <w:r w:rsidR="00765A74">
        <w:rPr>
          <w:rFonts w:ascii="Times New Roman" w:hAnsi="Times New Roman" w:cs="Times New Roman"/>
          <w:b w:val="0"/>
        </w:rPr>
        <w:t>.4</w:t>
      </w:r>
      <w:r>
        <w:rPr>
          <w:rFonts w:ascii="Times New Roman" w:hAnsi="Times New Roman" w:cs="Times New Roman"/>
          <w:b w:val="0"/>
        </w:rPr>
        <w:t xml:space="preserve">%) would reduce margin for the Company </w:t>
      </w:r>
      <w:r w:rsidR="005C57C9">
        <w:rPr>
          <w:rFonts w:ascii="Times New Roman" w:hAnsi="Times New Roman" w:cs="Times New Roman"/>
          <w:b w:val="0"/>
        </w:rPr>
        <w:t xml:space="preserve">even </w:t>
      </w:r>
      <w:r>
        <w:rPr>
          <w:rFonts w:ascii="Times New Roman" w:hAnsi="Times New Roman" w:cs="Times New Roman"/>
          <w:b w:val="0"/>
        </w:rPr>
        <w:t>more than the estimated lost margin associated with Avista’s programmatic energy efficiency programs</w:t>
      </w:r>
      <w:r w:rsidR="005C57C9">
        <w:rPr>
          <w:rFonts w:ascii="Times New Roman" w:hAnsi="Times New Roman" w:cs="Times New Roman"/>
          <w:b w:val="0"/>
        </w:rPr>
        <w:t>.</w:t>
      </w:r>
      <w:r w:rsidR="005B5EA7">
        <w:rPr>
          <w:rStyle w:val="FootnoteReference"/>
          <w:rFonts w:ascii="Times New Roman" w:hAnsi="Times New Roman"/>
          <w:b w:val="0"/>
        </w:rPr>
        <w:footnoteReference w:id="2"/>
      </w:r>
      <w:r w:rsidR="00765A74">
        <w:rPr>
          <w:rFonts w:ascii="Times New Roman" w:hAnsi="Times New Roman" w:cs="Times New Roman"/>
          <w:b w:val="0"/>
        </w:rPr>
        <w:t xml:space="preserve">  </w:t>
      </w:r>
      <w:r w:rsidR="00D02BF4" w:rsidRPr="00D02BF4">
        <w:rPr>
          <w:rFonts w:ascii="Times New Roman" w:hAnsi="Times New Roman" w:cs="Times New Roman"/>
          <w:b w:val="0"/>
        </w:rPr>
        <w:t xml:space="preserve">In reality, Avista would </w:t>
      </w:r>
      <w:r w:rsidR="00AA4419">
        <w:rPr>
          <w:rFonts w:ascii="Times New Roman" w:hAnsi="Times New Roman" w:cs="Times New Roman"/>
          <w:b w:val="0"/>
        </w:rPr>
        <w:t xml:space="preserve">likely </w:t>
      </w:r>
      <w:r w:rsidR="00D02BF4" w:rsidRPr="00D02BF4">
        <w:rPr>
          <w:rFonts w:ascii="Times New Roman" w:hAnsi="Times New Roman" w:cs="Times New Roman"/>
          <w:b w:val="0"/>
        </w:rPr>
        <w:t>be unable to reduce its equity layer</w:t>
      </w:r>
      <w:r w:rsidR="00AA4419">
        <w:rPr>
          <w:rFonts w:ascii="Times New Roman" w:hAnsi="Times New Roman" w:cs="Times New Roman"/>
          <w:b w:val="0"/>
        </w:rPr>
        <w:t xml:space="preserve">, </w:t>
      </w:r>
      <w:r w:rsidR="00D02BF4" w:rsidRPr="00D02BF4">
        <w:rPr>
          <w:rFonts w:ascii="Times New Roman" w:hAnsi="Times New Roman" w:cs="Times New Roman"/>
          <w:b w:val="0"/>
        </w:rPr>
        <w:t>given the importance of an adequate equity layer to accommodate Avista’s operating risks and the pressures of funding significant capital investments as explained by Company witness Mr. Avera in Exhibit No. _</w:t>
      </w:r>
      <w:proofErr w:type="gramStart"/>
      <w:r w:rsidR="00D02BF4" w:rsidRPr="00D02BF4">
        <w:rPr>
          <w:rFonts w:ascii="Times New Roman" w:hAnsi="Times New Roman" w:cs="Times New Roman"/>
          <w:b w:val="0"/>
        </w:rPr>
        <w:t>_(</w:t>
      </w:r>
      <w:proofErr w:type="gramEnd"/>
      <w:r w:rsidR="00D02BF4" w:rsidRPr="00D02BF4">
        <w:rPr>
          <w:rFonts w:ascii="Times New Roman" w:hAnsi="Times New Roman" w:cs="Times New Roman"/>
          <w:b w:val="0"/>
        </w:rPr>
        <w:t xml:space="preserve">WEA-IT), at page 6.  There should be no reduction to the equity layer or to the equity cost as a result of lost margin recovery.  Lost margin recovery simply restores revenue back to the Company that was assumed to exist when the capital structure and capital costs </w:t>
      </w:r>
      <w:r w:rsidR="00AA4419">
        <w:rPr>
          <w:rFonts w:ascii="Times New Roman" w:hAnsi="Times New Roman" w:cs="Times New Roman"/>
          <w:b w:val="0"/>
        </w:rPr>
        <w:t>we</w:t>
      </w:r>
      <w:r w:rsidR="00D02BF4" w:rsidRPr="00D02BF4">
        <w:rPr>
          <w:rFonts w:ascii="Times New Roman" w:hAnsi="Times New Roman" w:cs="Times New Roman"/>
          <w:b w:val="0"/>
        </w:rPr>
        <w:t xml:space="preserve">re determined in a general rate case.      </w:t>
      </w:r>
    </w:p>
    <w:p w:rsidR="00655AEC" w:rsidRPr="00564DA2" w:rsidRDefault="00564DA2" w:rsidP="00F54932">
      <w:pPr>
        <w:pStyle w:val="P84"/>
        <w:tabs>
          <w:tab w:val="clear" w:pos="90"/>
          <w:tab w:val="clear" w:pos="720"/>
        </w:tabs>
        <w:ind w:left="0" w:firstLine="720"/>
        <w:jc w:val="both"/>
        <w:rPr>
          <w:rFonts w:ascii="Times New Roman" w:hAnsi="Times New Roman" w:cs="Times New Roman"/>
        </w:rPr>
      </w:pPr>
      <w:r w:rsidRPr="00564DA2">
        <w:rPr>
          <w:rFonts w:ascii="Times New Roman" w:hAnsi="Times New Roman" w:cs="Times New Roman"/>
        </w:rPr>
        <w:t>Q.</w:t>
      </w:r>
      <w:r w:rsidRPr="00564DA2">
        <w:rPr>
          <w:rFonts w:ascii="Times New Roman" w:hAnsi="Times New Roman" w:cs="Times New Roman"/>
        </w:rPr>
        <w:tab/>
      </w:r>
      <w:proofErr w:type="gramStart"/>
      <w:r w:rsidRPr="00564DA2">
        <w:rPr>
          <w:rFonts w:ascii="Times New Roman" w:hAnsi="Times New Roman" w:cs="Times New Roman"/>
        </w:rPr>
        <w:t>On</w:t>
      </w:r>
      <w:proofErr w:type="gramEnd"/>
      <w:r w:rsidRPr="00564DA2">
        <w:rPr>
          <w:rFonts w:ascii="Times New Roman" w:hAnsi="Times New Roman" w:cs="Times New Roman"/>
        </w:rPr>
        <w:t xml:space="preserve"> page 5 of her testimony, beginning on line 10, Ms. Reynolds states </w:t>
      </w:r>
      <w:r w:rsidRPr="00564DA2">
        <w:rPr>
          <w:rFonts w:ascii="Times New Roman" w:hAnsi="Times New Roman" w:cs="Times New Roman"/>
        </w:rPr>
        <w:lastRenderedPageBreak/>
        <w:t>that, “. . . Avista alleges it is experiencing growth in costs that are not reflected in rates.  It is Staff’s view that an attrition adjustment is the best way to deal with this issue, including any lost revenues due to conservation.”  (</w:t>
      </w:r>
      <w:proofErr w:type="gramStart"/>
      <w:r w:rsidRPr="00564DA2">
        <w:rPr>
          <w:rFonts w:ascii="Times New Roman" w:hAnsi="Times New Roman" w:cs="Times New Roman"/>
        </w:rPr>
        <w:t>footnotes</w:t>
      </w:r>
      <w:proofErr w:type="gramEnd"/>
      <w:r w:rsidRPr="00564DA2">
        <w:rPr>
          <w:rFonts w:ascii="Times New Roman" w:hAnsi="Times New Roman" w:cs="Times New Roman"/>
        </w:rPr>
        <w:t xml:space="preserve"> omitted)  Do you have any comments on this testimony?</w:t>
      </w:r>
    </w:p>
    <w:p w:rsidR="00F54932" w:rsidRDefault="00564DA2"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 xml:space="preserve">Yes.  </w:t>
      </w:r>
      <w:r w:rsidR="00547BDC">
        <w:rPr>
          <w:rFonts w:ascii="Times New Roman" w:hAnsi="Times New Roman" w:cs="Times New Roman"/>
          <w:b w:val="0"/>
        </w:rPr>
        <w:t>We agree with UTC Staff that an attrition adjustment is the preferred approach to addressing the revenue short-fall related to increased costs following the historical test period</w:t>
      </w:r>
      <w:r w:rsidR="00C26656">
        <w:rPr>
          <w:rFonts w:ascii="Times New Roman" w:hAnsi="Times New Roman" w:cs="Times New Roman"/>
          <w:b w:val="0"/>
        </w:rPr>
        <w:t xml:space="preserve"> (regulatory lag)</w:t>
      </w:r>
      <w:r w:rsidR="00547BDC">
        <w:rPr>
          <w:rFonts w:ascii="Times New Roman" w:hAnsi="Times New Roman" w:cs="Times New Roman"/>
          <w:b w:val="0"/>
        </w:rPr>
        <w:t xml:space="preserve">, including the lost margin associated with energy efficiency.  </w:t>
      </w:r>
      <w:r w:rsidR="00C26656">
        <w:rPr>
          <w:rFonts w:ascii="Times New Roman" w:hAnsi="Times New Roman" w:cs="Times New Roman"/>
          <w:b w:val="0"/>
        </w:rPr>
        <w:t xml:space="preserve">Avista has proposed such an attrition adjustment in these consolidated dockets (see the direct testimony of Norwood (Exhibit No. </w:t>
      </w:r>
      <w:proofErr w:type="gramStart"/>
      <w:r w:rsidR="00C26656">
        <w:rPr>
          <w:rFonts w:ascii="Times New Roman" w:hAnsi="Times New Roman" w:cs="Times New Roman"/>
          <w:b w:val="0"/>
        </w:rPr>
        <w:t>___ (KON-</w:t>
      </w:r>
      <w:r w:rsidR="000729AE">
        <w:rPr>
          <w:rFonts w:ascii="Times New Roman" w:hAnsi="Times New Roman" w:cs="Times New Roman"/>
          <w:b w:val="0"/>
        </w:rPr>
        <w:t>1</w:t>
      </w:r>
      <w:r w:rsidR="00C26656">
        <w:rPr>
          <w:rFonts w:ascii="Times New Roman" w:hAnsi="Times New Roman" w:cs="Times New Roman"/>
          <w:b w:val="0"/>
        </w:rPr>
        <w:t>T)</w:t>
      </w:r>
      <w:r w:rsidR="000729AE">
        <w:rPr>
          <w:rFonts w:ascii="Times New Roman" w:hAnsi="Times New Roman" w:cs="Times New Roman"/>
          <w:b w:val="0"/>
        </w:rPr>
        <w:t>)</w:t>
      </w:r>
      <w:r w:rsidR="00C26656">
        <w:rPr>
          <w:rFonts w:ascii="Times New Roman" w:hAnsi="Times New Roman" w:cs="Times New Roman"/>
          <w:b w:val="0"/>
        </w:rPr>
        <w:t>, Andrews (Exhibit No.</w:t>
      </w:r>
      <w:proofErr w:type="gramEnd"/>
      <w:r w:rsidR="00C26656">
        <w:rPr>
          <w:rFonts w:ascii="Times New Roman" w:hAnsi="Times New Roman" w:cs="Times New Roman"/>
          <w:b w:val="0"/>
        </w:rPr>
        <w:t xml:space="preserve"> ___ (</w:t>
      </w:r>
      <w:r w:rsidR="000729AE">
        <w:rPr>
          <w:rFonts w:ascii="Times New Roman" w:hAnsi="Times New Roman" w:cs="Times New Roman"/>
          <w:b w:val="0"/>
        </w:rPr>
        <w:t>EMA-1</w:t>
      </w:r>
      <w:r w:rsidR="00C26656">
        <w:rPr>
          <w:rFonts w:ascii="Times New Roman" w:hAnsi="Times New Roman" w:cs="Times New Roman"/>
          <w:b w:val="0"/>
        </w:rPr>
        <w:t>T)</w:t>
      </w:r>
      <w:r w:rsidR="000729AE">
        <w:rPr>
          <w:rFonts w:ascii="Times New Roman" w:hAnsi="Times New Roman" w:cs="Times New Roman"/>
          <w:b w:val="0"/>
        </w:rPr>
        <w:t>)</w:t>
      </w:r>
      <w:r w:rsidR="00C26656">
        <w:rPr>
          <w:rFonts w:ascii="Times New Roman" w:hAnsi="Times New Roman" w:cs="Times New Roman"/>
          <w:b w:val="0"/>
        </w:rPr>
        <w:t xml:space="preserve">, and Lowry (Exhibit No. </w:t>
      </w:r>
      <w:proofErr w:type="gramStart"/>
      <w:r w:rsidR="00C26656">
        <w:rPr>
          <w:rFonts w:ascii="Times New Roman" w:hAnsi="Times New Roman" w:cs="Times New Roman"/>
          <w:b w:val="0"/>
        </w:rPr>
        <w:t>___ (</w:t>
      </w:r>
      <w:r w:rsidR="000729AE">
        <w:rPr>
          <w:rFonts w:ascii="Times New Roman" w:hAnsi="Times New Roman" w:cs="Times New Roman"/>
          <w:b w:val="0"/>
        </w:rPr>
        <w:t>MNL-1</w:t>
      </w:r>
      <w:r w:rsidR="00C26656">
        <w:rPr>
          <w:rFonts w:ascii="Times New Roman" w:hAnsi="Times New Roman" w:cs="Times New Roman"/>
          <w:b w:val="0"/>
        </w:rPr>
        <w:t>T)).</w:t>
      </w:r>
      <w:proofErr w:type="gramEnd"/>
    </w:p>
    <w:p w:rsidR="00C26656" w:rsidRDefault="00C26656"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However, a properly designed decoupling mechanism would also be an acceptable solution to the energy efficiency lost margin issue, as long as </w:t>
      </w:r>
      <w:r w:rsidR="008C5703">
        <w:rPr>
          <w:rFonts w:ascii="Times New Roman" w:hAnsi="Times New Roman" w:cs="Times New Roman"/>
          <w:b w:val="0"/>
        </w:rPr>
        <w:t xml:space="preserve">regulatory lag is </w:t>
      </w:r>
      <w:r w:rsidR="008C5703" w:rsidRPr="00AA4419">
        <w:rPr>
          <w:rFonts w:ascii="Times New Roman" w:hAnsi="Times New Roman" w:cs="Times New Roman"/>
          <w:b w:val="0"/>
          <w:u w:val="single"/>
        </w:rPr>
        <w:t>also</w:t>
      </w:r>
      <w:r w:rsidR="008C5703">
        <w:rPr>
          <w:rFonts w:ascii="Times New Roman" w:hAnsi="Times New Roman" w:cs="Times New Roman"/>
          <w:b w:val="0"/>
        </w:rPr>
        <w:t xml:space="preserve"> address</w:t>
      </w:r>
      <w:r w:rsidR="00A340E2">
        <w:rPr>
          <w:rFonts w:ascii="Times New Roman" w:hAnsi="Times New Roman" w:cs="Times New Roman"/>
          <w:b w:val="0"/>
        </w:rPr>
        <w:t>ed</w:t>
      </w:r>
      <w:r w:rsidR="008C5703">
        <w:rPr>
          <w:rFonts w:ascii="Times New Roman" w:hAnsi="Times New Roman" w:cs="Times New Roman"/>
          <w:b w:val="0"/>
        </w:rPr>
        <w:t xml:space="preserve"> (through an attrition adjustment, additional pro forma adjustments, or other means) along with the decoupling mechanism.  It is critically important that the regulatory lag issue be addressed for a number of reasons, but especially with the adoption of decoupling.  </w:t>
      </w:r>
      <w:r w:rsidR="002F6314">
        <w:rPr>
          <w:rFonts w:ascii="Times New Roman" w:hAnsi="Times New Roman" w:cs="Times New Roman"/>
          <w:b w:val="0"/>
        </w:rPr>
        <w:t>D</w:t>
      </w:r>
      <w:r w:rsidR="008C5703">
        <w:rPr>
          <w:rFonts w:ascii="Times New Roman" w:hAnsi="Times New Roman" w:cs="Times New Roman"/>
          <w:b w:val="0"/>
        </w:rPr>
        <w:t>ecoupling would rebate to customers the growth in revenues following the historical test period that is intended to be available to offset growth in costs, under the current historical</w:t>
      </w:r>
      <w:r w:rsidR="00A340E2">
        <w:rPr>
          <w:rFonts w:ascii="Times New Roman" w:hAnsi="Times New Roman" w:cs="Times New Roman"/>
          <w:b w:val="0"/>
        </w:rPr>
        <w:t xml:space="preserve"> test-year regulatory construct, i.e., growth in revenues are presumed to cover growth in costs following the historical test-year.</w:t>
      </w:r>
    </w:p>
    <w:p w:rsidR="00395932" w:rsidRDefault="00395932"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 xml:space="preserve">Therefore, </w:t>
      </w:r>
      <w:r w:rsidR="00AA4419">
        <w:rPr>
          <w:rFonts w:ascii="Times New Roman" w:hAnsi="Times New Roman" w:cs="Times New Roman"/>
          <w:b w:val="0"/>
        </w:rPr>
        <w:t>if the Commission were to adopt</w:t>
      </w:r>
      <w:r>
        <w:rPr>
          <w:rFonts w:ascii="Times New Roman" w:hAnsi="Times New Roman" w:cs="Times New Roman"/>
          <w:b w:val="0"/>
        </w:rPr>
        <w:t xml:space="preserve"> even a properly designed decoupling mechanism, but not address the regulatory lag issue, the Company would be worse off with the adoption of decoupling, which would compound the under-earning the Company is continuing to experience, as explained in detail in other Avista testimony in these </w:t>
      </w:r>
      <w:r>
        <w:rPr>
          <w:rFonts w:ascii="Times New Roman" w:hAnsi="Times New Roman" w:cs="Times New Roman"/>
          <w:b w:val="0"/>
        </w:rPr>
        <w:lastRenderedPageBreak/>
        <w:t xml:space="preserve">consolidated dockets (see Norwood testimony (Exhibit No. ___ (KON-1T), beginning on page </w:t>
      </w:r>
      <w:r w:rsidR="000729AE">
        <w:rPr>
          <w:rFonts w:ascii="Times New Roman" w:hAnsi="Times New Roman" w:cs="Times New Roman"/>
          <w:b w:val="0"/>
        </w:rPr>
        <w:t>10</w:t>
      </w:r>
      <w:r>
        <w:rPr>
          <w:rFonts w:ascii="Times New Roman" w:hAnsi="Times New Roman" w:cs="Times New Roman"/>
          <w:b w:val="0"/>
        </w:rPr>
        <w:t>).  And if the Commission were to adopt decoupling together with an ROE adjustment, without addressing regulatory lag, it would further compound the under-earning for Avista.</w:t>
      </w:r>
    </w:p>
    <w:p w:rsidR="00F17D0D" w:rsidRDefault="00F17D0D" w:rsidP="00F54932">
      <w:pPr>
        <w:pStyle w:val="P84"/>
        <w:tabs>
          <w:tab w:val="clear" w:pos="90"/>
          <w:tab w:val="clear" w:pos="720"/>
        </w:tabs>
        <w:ind w:left="0" w:firstLine="720"/>
        <w:jc w:val="both"/>
        <w:rPr>
          <w:rFonts w:ascii="Times New Roman" w:hAnsi="Times New Roman" w:cs="Times New Roman"/>
          <w:b w:val="0"/>
        </w:rPr>
      </w:pPr>
      <w:r>
        <w:rPr>
          <w:rFonts w:ascii="Times New Roman" w:hAnsi="Times New Roman" w:cs="Times New Roman"/>
          <w:b w:val="0"/>
        </w:rPr>
        <w:t>Thus, it is imperative that the Commission carefully consider the interrelationship and impact of any decoupling mechanism with all other aspects of ratemaking, as it entertains the possibility of approving a decoupling mechanism.</w:t>
      </w:r>
    </w:p>
    <w:p w:rsidR="00BF6CAC" w:rsidRPr="001C0BD0" w:rsidRDefault="00BF6CAC" w:rsidP="008E6A73">
      <w:pPr>
        <w:pStyle w:val="P84"/>
        <w:ind w:left="0" w:firstLine="720"/>
        <w:jc w:val="both"/>
        <w:rPr>
          <w:rFonts w:ascii="Times New Roman" w:hAnsi="Times New Roman" w:cs="Times New Roman"/>
        </w:rPr>
      </w:pPr>
      <w:r w:rsidRPr="001C0BD0">
        <w:rPr>
          <w:rFonts w:ascii="Times New Roman" w:hAnsi="Times New Roman" w:cs="Times New Roman"/>
        </w:rPr>
        <w:t xml:space="preserve">Q.  </w:t>
      </w:r>
      <w:r w:rsidRPr="001C0BD0">
        <w:rPr>
          <w:rFonts w:ascii="Times New Roman" w:hAnsi="Times New Roman" w:cs="Times New Roman"/>
        </w:rPr>
        <w:tab/>
        <w:t xml:space="preserve">Does this conclude your pre-filed, </w:t>
      </w:r>
      <w:r w:rsidR="008B4865" w:rsidRPr="001C0BD0">
        <w:rPr>
          <w:rFonts w:ascii="Times New Roman" w:hAnsi="Times New Roman" w:cs="Times New Roman"/>
        </w:rPr>
        <w:t>cross-answering</w:t>
      </w:r>
      <w:r w:rsidRPr="001C0BD0">
        <w:rPr>
          <w:rFonts w:ascii="Times New Roman" w:hAnsi="Times New Roman" w:cs="Times New Roman"/>
        </w:rPr>
        <w:t xml:space="preserve"> testimony</w:t>
      </w:r>
      <w:r w:rsidR="007546D1">
        <w:rPr>
          <w:rFonts w:ascii="Times New Roman" w:hAnsi="Times New Roman" w:cs="Times New Roman"/>
        </w:rPr>
        <w:t xml:space="preserve"> related to decoupling</w:t>
      </w:r>
      <w:r w:rsidRPr="001C0BD0">
        <w:rPr>
          <w:rFonts w:ascii="Times New Roman" w:hAnsi="Times New Roman" w:cs="Times New Roman"/>
        </w:rPr>
        <w:t>?</w:t>
      </w:r>
    </w:p>
    <w:p w:rsidR="00914F08" w:rsidRPr="00F72F9A" w:rsidRDefault="00BF6CAC" w:rsidP="00E90E6D">
      <w:pPr>
        <w:spacing w:line="480" w:lineRule="auto"/>
        <w:ind w:firstLine="720"/>
      </w:pPr>
      <w:r w:rsidRPr="0020672A">
        <w:t>A.</w:t>
      </w:r>
      <w:r w:rsidRPr="0020672A">
        <w:rPr>
          <w:b/>
        </w:rPr>
        <w:t xml:space="preserve">  </w:t>
      </w:r>
      <w:r>
        <w:rPr>
          <w:b/>
        </w:rPr>
        <w:tab/>
      </w:r>
      <w:r>
        <w:t>Yes</w:t>
      </w:r>
      <w:r w:rsidR="002D4E89">
        <w:t>,</w:t>
      </w:r>
      <w:r>
        <w:t xml:space="preserve"> it does. </w:t>
      </w:r>
    </w:p>
    <w:sectPr w:rsidR="00914F08" w:rsidRPr="00F72F9A" w:rsidSect="00B41CE9">
      <w:pgSz w:w="12240" w:h="15840" w:code="1"/>
      <w:pgMar w:top="1440" w:right="1584" w:bottom="1584" w:left="1872" w:header="720" w:footer="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E9" w:rsidRDefault="00B41CE9">
      <w:r>
        <w:separator/>
      </w:r>
    </w:p>
  </w:endnote>
  <w:endnote w:type="continuationSeparator" w:id="0">
    <w:p w:rsidR="00B41CE9" w:rsidRDefault="00B41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9" w:rsidRPr="00E92B3C" w:rsidRDefault="00B41CE9">
    <w:pPr>
      <w:pStyle w:val="Footer"/>
      <w:tabs>
        <w:tab w:val="clear" w:pos="4320"/>
        <w:tab w:val="clear" w:pos="8640"/>
        <w:tab w:val="left" w:pos="180"/>
        <w:tab w:val="right" w:pos="9360"/>
      </w:tabs>
    </w:pPr>
    <w:r>
      <w:t xml:space="preserve">Cross-Answering </w:t>
    </w:r>
    <w:r w:rsidRPr="00E92B3C">
      <w:t xml:space="preserve">Testimony of </w:t>
    </w:r>
    <w:r>
      <w:t>Kelly O</w:t>
    </w:r>
    <w:r w:rsidRPr="00E92B3C">
      <w:t xml:space="preserve">. </w:t>
    </w:r>
    <w:r>
      <w:t>Norwood</w:t>
    </w:r>
    <w:r w:rsidRPr="00E92B3C">
      <w:tab/>
    </w:r>
  </w:p>
  <w:p w:rsidR="00B41CE9" w:rsidRPr="00E92B3C" w:rsidRDefault="00B41CE9">
    <w:pPr>
      <w:pStyle w:val="Footer"/>
      <w:tabs>
        <w:tab w:val="clear" w:pos="4320"/>
        <w:tab w:val="clear" w:pos="8640"/>
        <w:tab w:val="left" w:pos="180"/>
        <w:tab w:val="right" w:pos="9360"/>
      </w:tabs>
    </w:pPr>
    <w:r w:rsidRPr="00E92B3C">
      <w:t>Avista Corporation</w:t>
    </w:r>
  </w:p>
  <w:p w:rsidR="00B41CE9" w:rsidRDefault="00B41CE9">
    <w:pPr>
      <w:pStyle w:val="Footer"/>
      <w:tabs>
        <w:tab w:val="clear" w:pos="4320"/>
        <w:tab w:val="clear" w:pos="8640"/>
        <w:tab w:val="left" w:pos="180"/>
        <w:tab w:val="right" w:pos="9360"/>
      </w:tabs>
    </w:pPr>
    <w:r w:rsidRPr="00E92B3C">
      <w:t>Docket Nos. UE-110876</w:t>
    </w:r>
    <w:r>
      <w:t xml:space="preserve"> &amp;</w:t>
    </w:r>
    <w:r w:rsidRPr="00E92B3C">
      <w:t xml:space="preserve"> UG-110877</w:t>
    </w:r>
  </w:p>
  <w:p w:rsidR="00B41CE9" w:rsidRDefault="00B41CE9">
    <w:pPr>
      <w:pStyle w:val="Footer"/>
      <w:tabs>
        <w:tab w:val="clear" w:pos="4320"/>
        <w:tab w:val="clear" w:pos="8640"/>
        <w:tab w:val="left" w:pos="180"/>
        <w:tab w:val="right" w:pos="9360"/>
      </w:tabs>
      <w:rPr>
        <w:rStyle w:val="PageNumber"/>
        <w:sz w:val="22"/>
        <w:szCs w:val="22"/>
      </w:rPr>
    </w:pPr>
    <w:r w:rsidRPr="00E92B3C">
      <w:t xml:space="preserve">Docket Nos. </w:t>
    </w:r>
    <w:r>
      <w:t>UE-120436 &amp; UG-120437</w:t>
    </w:r>
    <w:r w:rsidRPr="00C66B50">
      <w:rPr>
        <w:sz w:val="22"/>
        <w:szCs w:val="22"/>
      </w:rPr>
      <w:tab/>
      <w:t xml:space="preserve">Page </w:t>
    </w:r>
    <w:r w:rsidR="00FF6970" w:rsidRPr="00C66B50">
      <w:rPr>
        <w:rStyle w:val="PageNumber"/>
        <w:sz w:val="22"/>
        <w:szCs w:val="22"/>
      </w:rPr>
      <w:fldChar w:fldCharType="begin"/>
    </w:r>
    <w:r w:rsidRPr="00C66B50">
      <w:rPr>
        <w:rStyle w:val="PageNumber"/>
        <w:sz w:val="22"/>
        <w:szCs w:val="22"/>
      </w:rPr>
      <w:instrText xml:space="preserve"> PAGE </w:instrText>
    </w:r>
    <w:r w:rsidR="00FF6970" w:rsidRPr="00C66B50">
      <w:rPr>
        <w:rStyle w:val="PageNumber"/>
        <w:sz w:val="22"/>
        <w:szCs w:val="22"/>
      </w:rPr>
      <w:fldChar w:fldCharType="separate"/>
    </w:r>
    <w:r w:rsidR="008E6A73">
      <w:rPr>
        <w:rStyle w:val="PageNumber"/>
        <w:noProof/>
        <w:sz w:val="22"/>
        <w:szCs w:val="22"/>
      </w:rPr>
      <w:t>10</w:t>
    </w:r>
    <w:r w:rsidR="00FF6970" w:rsidRPr="00C66B50">
      <w:rPr>
        <w:rStyle w:val="PageNumber"/>
        <w:sz w:val="22"/>
        <w:szCs w:val="22"/>
      </w:rPr>
      <w:fldChar w:fldCharType="end"/>
    </w:r>
  </w:p>
  <w:p w:rsidR="00B41CE9" w:rsidRPr="00C66B50" w:rsidRDefault="00B41CE9">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9" w:rsidRDefault="00B41CE9">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E9" w:rsidRDefault="00B41CE9">
      <w:r>
        <w:separator/>
      </w:r>
    </w:p>
  </w:footnote>
  <w:footnote w:type="continuationSeparator" w:id="0">
    <w:p w:rsidR="00B41CE9" w:rsidRDefault="00B41CE9">
      <w:r>
        <w:continuationSeparator/>
      </w:r>
    </w:p>
  </w:footnote>
  <w:footnote w:id="1">
    <w:p w:rsidR="00B41CE9" w:rsidRDefault="00B41CE9" w:rsidP="000729AE">
      <w:pPr>
        <w:pStyle w:val="FootnoteText"/>
        <w:jc w:val="both"/>
      </w:pPr>
      <w:r>
        <w:rPr>
          <w:rStyle w:val="FootnoteReference"/>
        </w:rPr>
        <w:footnoteRef/>
      </w:r>
      <w:r>
        <w:t xml:space="preserve"> See Order No. 10 in Dockets UE-090134, UG-090135 and UG-060518 (consolidated), at </w:t>
      </w:r>
      <w:r w:rsidRPr="000729AE">
        <w:t>¶</w:t>
      </w:r>
      <w:r>
        <w:t xml:space="preserve"> 42 related to proper matching of revenues and expenses.  Specifically, the Commission states: “(t</w:t>
      </w:r>
      <w:proofErr w:type="gramStart"/>
      <w:r>
        <w:t>)</w:t>
      </w:r>
      <w:r w:rsidRPr="00B41CE9">
        <w:t>he</w:t>
      </w:r>
      <w:proofErr w:type="gramEnd"/>
      <w:r w:rsidRPr="00B41CE9">
        <w:t xml:space="preserve"> Commission recognizes that the test year is a snapshot in time.  The typical test year is the twelve month period preceding the rate filing, ended as of the most recent auditable results of </w:t>
      </w:r>
      <w:proofErr w:type="gramStart"/>
      <w:r w:rsidRPr="00B41CE9">
        <w:t>operations.</w:t>
      </w:r>
      <w:proofErr w:type="gramEnd"/>
      <w:r w:rsidRPr="00B41CE9">
        <w:t xml:space="preserve">   A utility, however, continues to operate, incur costs (including capital additions), achieve savings, and receive revenues during the pendency of its rate review subsequent to the test year that would carry over into the year in which the rates would be effective (known as the “rate year”) and beyond.  The theory, well supported by ratemaking theory and past commission practice</w:t>
      </w:r>
      <w:proofErr w:type="gramStart"/>
      <w:r w:rsidRPr="00B41CE9">
        <w:t>,  is</w:t>
      </w:r>
      <w:proofErr w:type="gramEnd"/>
      <w:r w:rsidRPr="00B41CE9">
        <w:t xml:space="preserve"> that once the relationship is set, it will continue to provide appropriate income to the company in the future.  If the utility hooks up new customers, the revenues and expenses will increase in the same proportion as existed in the test tear.  If new facilities are put into service to serve those customers, then the resulting revenues would not only cover the company’s added expenses, but also effectively provide a return </w:t>
      </w:r>
      <w:r>
        <w:t>on that new investment</w:t>
      </w:r>
      <w:r w:rsidRPr="000729AE">
        <w:t>”.</w:t>
      </w:r>
    </w:p>
  </w:footnote>
  <w:footnote w:id="2">
    <w:p w:rsidR="00B41CE9" w:rsidRDefault="00B41CE9" w:rsidP="005B5EA7">
      <w:pPr>
        <w:pStyle w:val="FootnoteText"/>
      </w:pPr>
      <w:r>
        <w:rPr>
          <w:rStyle w:val="FootnoteReference"/>
        </w:rPr>
        <w:footnoteRef/>
      </w:r>
      <w:r>
        <w:t xml:space="preserve"> $1.22 billion rate base x 2% x (after-tax equity return 10.9% - after-tax debt cost </w:t>
      </w:r>
      <w:r w:rsidR="00AA4419">
        <w:t>3.74</w:t>
      </w:r>
      <w:r>
        <w:t>%) divided by 0.65.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9" w:rsidRDefault="00B41CE9">
    <w:pPr>
      <w:pStyle w:val="Header"/>
      <w:jc w:val="right"/>
    </w:pPr>
    <w:r>
      <w:t>Exhibit No. __</w:t>
    </w:r>
    <w:proofErr w:type="gramStart"/>
    <w:r>
      <w:t>_(</w:t>
    </w:r>
    <w:proofErr w:type="gramEnd"/>
    <w:r>
      <w:t>KON-6T)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9" w:rsidRDefault="00B41CE9" w:rsidP="007B58C5">
    <w:pPr>
      <w:pStyle w:val="Header"/>
      <w:jc w:val="right"/>
    </w:pPr>
    <w:r>
      <w:t>Exhibit No. __</w:t>
    </w:r>
    <w:proofErr w:type="gramStart"/>
    <w:r>
      <w:t>_(</w:t>
    </w:r>
    <w:proofErr w:type="gramEnd"/>
    <w:r>
      <w:t>KON-6T)</w:t>
    </w:r>
  </w:p>
  <w:p w:rsidR="00B41CE9" w:rsidRDefault="00B41CE9"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2B0539"/>
    <w:multiLevelType w:val="hybridMultilevel"/>
    <w:tmpl w:val="FD00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5">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0C3609E"/>
    <w:multiLevelType w:val="hybridMultilevel"/>
    <w:tmpl w:val="481CBC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4">
    <w:nsid w:val="67B84C67"/>
    <w:multiLevelType w:val="hybridMultilevel"/>
    <w:tmpl w:val="A29C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6">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7">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8">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6"/>
  </w:num>
  <w:num w:numId="13">
    <w:abstractNumId w:val="43"/>
  </w:num>
  <w:num w:numId="14">
    <w:abstractNumId w:val="48"/>
  </w:num>
  <w:num w:numId="15">
    <w:abstractNumId w:val="13"/>
  </w:num>
  <w:num w:numId="16">
    <w:abstractNumId w:val="16"/>
  </w:num>
  <w:num w:numId="17">
    <w:abstractNumId w:val="23"/>
  </w:num>
  <w:num w:numId="18">
    <w:abstractNumId w:val="45"/>
  </w:num>
  <w:num w:numId="19">
    <w:abstractNumId w:val="18"/>
  </w:num>
  <w:num w:numId="20">
    <w:abstractNumId w:val="37"/>
  </w:num>
  <w:num w:numId="21">
    <w:abstractNumId w:val="1"/>
  </w:num>
  <w:num w:numId="22">
    <w:abstractNumId w:val="36"/>
  </w:num>
  <w:num w:numId="23">
    <w:abstractNumId w:val="28"/>
  </w:num>
  <w:num w:numId="24">
    <w:abstractNumId w:val="22"/>
  </w:num>
  <w:num w:numId="25">
    <w:abstractNumId w:val="4"/>
  </w:num>
  <w:num w:numId="26">
    <w:abstractNumId w:val="3"/>
  </w:num>
  <w:num w:numId="27">
    <w:abstractNumId w:val="12"/>
  </w:num>
  <w:num w:numId="28">
    <w:abstractNumId w:val="42"/>
  </w:num>
  <w:num w:numId="29">
    <w:abstractNumId w:val="11"/>
  </w:num>
  <w:num w:numId="30">
    <w:abstractNumId w:val="31"/>
  </w:num>
  <w:num w:numId="31">
    <w:abstractNumId w:val="38"/>
  </w:num>
  <w:num w:numId="32">
    <w:abstractNumId w:val="39"/>
  </w:num>
  <w:num w:numId="33">
    <w:abstractNumId w:val="32"/>
  </w:num>
  <w:num w:numId="34">
    <w:abstractNumId w:val="7"/>
  </w:num>
  <w:num w:numId="35">
    <w:abstractNumId w:val="34"/>
  </w:num>
  <w:num w:numId="36">
    <w:abstractNumId w:val="47"/>
  </w:num>
  <w:num w:numId="37">
    <w:abstractNumId w:val="5"/>
  </w:num>
  <w:num w:numId="38">
    <w:abstractNumId w:val="27"/>
  </w:num>
  <w:num w:numId="39">
    <w:abstractNumId w:val="15"/>
  </w:num>
  <w:num w:numId="40">
    <w:abstractNumId w:val="41"/>
  </w:num>
  <w:num w:numId="41">
    <w:abstractNumId w:val="25"/>
  </w:num>
  <w:num w:numId="42">
    <w:abstractNumId w:val="35"/>
  </w:num>
  <w:num w:numId="43">
    <w:abstractNumId w:val="0"/>
  </w:num>
  <w:num w:numId="44">
    <w:abstractNumId w:val="30"/>
  </w:num>
  <w:num w:numId="45">
    <w:abstractNumId w:val="9"/>
  </w:num>
  <w:num w:numId="46">
    <w:abstractNumId w:val="40"/>
  </w:num>
  <w:num w:numId="47">
    <w:abstractNumId w:val="20"/>
  </w:num>
  <w:num w:numId="48">
    <w:abstractNumId w:val="33"/>
  </w:num>
  <w:num w:numId="49">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7E94"/>
    <w:rsid w:val="00010D91"/>
    <w:rsid w:val="00010FB3"/>
    <w:rsid w:val="00012BE3"/>
    <w:rsid w:val="00013EB7"/>
    <w:rsid w:val="000146F7"/>
    <w:rsid w:val="0001498B"/>
    <w:rsid w:val="00016F05"/>
    <w:rsid w:val="00017B48"/>
    <w:rsid w:val="00024AC8"/>
    <w:rsid w:val="0003347A"/>
    <w:rsid w:val="0003620D"/>
    <w:rsid w:val="0003621B"/>
    <w:rsid w:val="00036918"/>
    <w:rsid w:val="000371EB"/>
    <w:rsid w:val="00041A81"/>
    <w:rsid w:val="00042739"/>
    <w:rsid w:val="00046323"/>
    <w:rsid w:val="000504EF"/>
    <w:rsid w:val="00051CF0"/>
    <w:rsid w:val="000526AD"/>
    <w:rsid w:val="00053024"/>
    <w:rsid w:val="00054A99"/>
    <w:rsid w:val="00063918"/>
    <w:rsid w:val="00064145"/>
    <w:rsid w:val="00066C73"/>
    <w:rsid w:val="0006733F"/>
    <w:rsid w:val="00067420"/>
    <w:rsid w:val="000708F3"/>
    <w:rsid w:val="00070A2E"/>
    <w:rsid w:val="000729AE"/>
    <w:rsid w:val="00075515"/>
    <w:rsid w:val="00075612"/>
    <w:rsid w:val="00076FAD"/>
    <w:rsid w:val="000831A6"/>
    <w:rsid w:val="00083483"/>
    <w:rsid w:val="0008527C"/>
    <w:rsid w:val="00090AC2"/>
    <w:rsid w:val="000925D0"/>
    <w:rsid w:val="000926CF"/>
    <w:rsid w:val="0009624A"/>
    <w:rsid w:val="0009730E"/>
    <w:rsid w:val="00097B0F"/>
    <w:rsid w:val="000A0894"/>
    <w:rsid w:val="000A204F"/>
    <w:rsid w:val="000A2244"/>
    <w:rsid w:val="000A232B"/>
    <w:rsid w:val="000A2966"/>
    <w:rsid w:val="000A2AD6"/>
    <w:rsid w:val="000A3548"/>
    <w:rsid w:val="000A4A15"/>
    <w:rsid w:val="000A4C44"/>
    <w:rsid w:val="000A502C"/>
    <w:rsid w:val="000A6665"/>
    <w:rsid w:val="000A6734"/>
    <w:rsid w:val="000A6BBC"/>
    <w:rsid w:val="000B339C"/>
    <w:rsid w:val="000B3869"/>
    <w:rsid w:val="000B567E"/>
    <w:rsid w:val="000B6A29"/>
    <w:rsid w:val="000C1F19"/>
    <w:rsid w:val="000C4A3C"/>
    <w:rsid w:val="000C5321"/>
    <w:rsid w:val="000C5D08"/>
    <w:rsid w:val="000C64E4"/>
    <w:rsid w:val="000D5132"/>
    <w:rsid w:val="000D6ABC"/>
    <w:rsid w:val="000D6BFD"/>
    <w:rsid w:val="000D7C83"/>
    <w:rsid w:val="000E0220"/>
    <w:rsid w:val="000E1227"/>
    <w:rsid w:val="000E2E27"/>
    <w:rsid w:val="000E6F31"/>
    <w:rsid w:val="000E7AAE"/>
    <w:rsid w:val="000F0B81"/>
    <w:rsid w:val="000F1A99"/>
    <w:rsid w:val="000F2A4D"/>
    <w:rsid w:val="000F3222"/>
    <w:rsid w:val="000F3263"/>
    <w:rsid w:val="000F3778"/>
    <w:rsid w:val="000F3897"/>
    <w:rsid w:val="000F3A9D"/>
    <w:rsid w:val="000F3DC4"/>
    <w:rsid w:val="000F3F5E"/>
    <w:rsid w:val="000F6CFB"/>
    <w:rsid w:val="000F6FA4"/>
    <w:rsid w:val="00100091"/>
    <w:rsid w:val="00101E61"/>
    <w:rsid w:val="001020C1"/>
    <w:rsid w:val="00102C9F"/>
    <w:rsid w:val="00102DA5"/>
    <w:rsid w:val="00102DCE"/>
    <w:rsid w:val="00103E4A"/>
    <w:rsid w:val="00106FF3"/>
    <w:rsid w:val="001121FA"/>
    <w:rsid w:val="00112801"/>
    <w:rsid w:val="001147F5"/>
    <w:rsid w:val="001155C8"/>
    <w:rsid w:val="001210ED"/>
    <w:rsid w:val="0012232D"/>
    <w:rsid w:val="00122BB9"/>
    <w:rsid w:val="0012369E"/>
    <w:rsid w:val="00123921"/>
    <w:rsid w:val="00125450"/>
    <w:rsid w:val="00125D14"/>
    <w:rsid w:val="001279B7"/>
    <w:rsid w:val="00127C71"/>
    <w:rsid w:val="00131A33"/>
    <w:rsid w:val="00131E05"/>
    <w:rsid w:val="00133769"/>
    <w:rsid w:val="00137989"/>
    <w:rsid w:val="001410A7"/>
    <w:rsid w:val="00141F88"/>
    <w:rsid w:val="00144549"/>
    <w:rsid w:val="00147D24"/>
    <w:rsid w:val="00150518"/>
    <w:rsid w:val="00150C19"/>
    <w:rsid w:val="00150DB0"/>
    <w:rsid w:val="00156D28"/>
    <w:rsid w:val="0015701E"/>
    <w:rsid w:val="00162D05"/>
    <w:rsid w:val="001634DE"/>
    <w:rsid w:val="00170A22"/>
    <w:rsid w:val="00171B4C"/>
    <w:rsid w:val="00174FCE"/>
    <w:rsid w:val="0017674C"/>
    <w:rsid w:val="00177866"/>
    <w:rsid w:val="00177CFC"/>
    <w:rsid w:val="00180519"/>
    <w:rsid w:val="00187B6A"/>
    <w:rsid w:val="0019267A"/>
    <w:rsid w:val="0019664D"/>
    <w:rsid w:val="001A02E8"/>
    <w:rsid w:val="001A3017"/>
    <w:rsid w:val="001A315C"/>
    <w:rsid w:val="001A4278"/>
    <w:rsid w:val="001A60D6"/>
    <w:rsid w:val="001A6628"/>
    <w:rsid w:val="001A72AC"/>
    <w:rsid w:val="001B0FE3"/>
    <w:rsid w:val="001B23F5"/>
    <w:rsid w:val="001B3BF7"/>
    <w:rsid w:val="001B74AA"/>
    <w:rsid w:val="001C0BD0"/>
    <w:rsid w:val="001C4645"/>
    <w:rsid w:val="001C57DE"/>
    <w:rsid w:val="001C5F10"/>
    <w:rsid w:val="001C6565"/>
    <w:rsid w:val="001D1861"/>
    <w:rsid w:val="001D224A"/>
    <w:rsid w:val="001D5262"/>
    <w:rsid w:val="001E12F2"/>
    <w:rsid w:val="001E38D1"/>
    <w:rsid w:val="001E427B"/>
    <w:rsid w:val="001E65B2"/>
    <w:rsid w:val="001F0D77"/>
    <w:rsid w:val="001F4EC4"/>
    <w:rsid w:val="00201063"/>
    <w:rsid w:val="00203679"/>
    <w:rsid w:val="002041A4"/>
    <w:rsid w:val="0020437B"/>
    <w:rsid w:val="00204C48"/>
    <w:rsid w:val="00207AD7"/>
    <w:rsid w:val="00207D6E"/>
    <w:rsid w:val="00210494"/>
    <w:rsid w:val="002112BF"/>
    <w:rsid w:val="002132EC"/>
    <w:rsid w:val="0021358A"/>
    <w:rsid w:val="00216493"/>
    <w:rsid w:val="0022193D"/>
    <w:rsid w:val="00221ACD"/>
    <w:rsid w:val="00232747"/>
    <w:rsid w:val="002336F1"/>
    <w:rsid w:val="00233F30"/>
    <w:rsid w:val="0023416C"/>
    <w:rsid w:val="00235C02"/>
    <w:rsid w:val="002369E0"/>
    <w:rsid w:val="00240534"/>
    <w:rsid w:val="0024205E"/>
    <w:rsid w:val="0025021B"/>
    <w:rsid w:val="00251072"/>
    <w:rsid w:val="00252324"/>
    <w:rsid w:val="002543B2"/>
    <w:rsid w:val="00257659"/>
    <w:rsid w:val="00261749"/>
    <w:rsid w:val="00265299"/>
    <w:rsid w:val="00265821"/>
    <w:rsid w:val="00266EF0"/>
    <w:rsid w:val="00272E6B"/>
    <w:rsid w:val="002734F6"/>
    <w:rsid w:val="00273884"/>
    <w:rsid w:val="002746C1"/>
    <w:rsid w:val="00280678"/>
    <w:rsid w:val="0028794F"/>
    <w:rsid w:val="0029101F"/>
    <w:rsid w:val="00292D6F"/>
    <w:rsid w:val="00294B78"/>
    <w:rsid w:val="0029596D"/>
    <w:rsid w:val="002A1F24"/>
    <w:rsid w:val="002A2752"/>
    <w:rsid w:val="002A433D"/>
    <w:rsid w:val="002B3F3E"/>
    <w:rsid w:val="002B6EA3"/>
    <w:rsid w:val="002B738D"/>
    <w:rsid w:val="002C0C2F"/>
    <w:rsid w:val="002C1940"/>
    <w:rsid w:val="002C60CB"/>
    <w:rsid w:val="002D18BE"/>
    <w:rsid w:val="002D2AB3"/>
    <w:rsid w:val="002D3A39"/>
    <w:rsid w:val="002D4728"/>
    <w:rsid w:val="002D4E89"/>
    <w:rsid w:val="002E3025"/>
    <w:rsid w:val="002E3552"/>
    <w:rsid w:val="002E458A"/>
    <w:rsid w:val="002F0D16"/>
    <w:rsid w:val="002F3BC3"/>
    <w:rsid w:val="002F6314"/>
    <w:rsid w:val="002F6688"/>
    <w:rsid w:val="00301EC5"/>
    <w:rsid w:val="003032FC"/>
    <w:rsid w:val="00307234"/>
    <w:rsid w:val="00310B65"/>
    <w:rsid w:val="00311C21"/>
    <w:rsid w:val="00315079"/>
    <w:rsid w:val="0031526F"/>
    <w:rsid w:val="003162C7"/>
    <w:rsid w:val="0031794F"/>
    <w:rsid w:val="00322D07"/>
    <w:rsid w:val="00325FB2"/>
    <w:rsid w:val="00327413"/>
    <w:rsid w:val="003279B2"/>
    <w:rsid w:val="003334E7"/>
    <w:rsid w:val="00333F2A"/>
    <w:rsid w:val="00334F95"/>
    <w:rsid w:val="00335265"/>
    <w:rsid w:val="00336AF4"/>
    <w:rsid w:val="00336CAF"/>
    <w:rsid w:val="00336FC6"/>
    <w:rsid w:val="003370D8"/>
    <w:rsid w:val="00337649"/>
    <w:rsid w:val="0034351E"/>
    <w:rsid w:val="00346019"/>
    <w:rsid w:val="00352B85"/>
    <w:rsid w:val="003538D4"/>
    <w:rsid w:val="00360347"/>
    <w:rsid w:val="00362A26"/>
    <w:rsid w:val="00362DE1"/>
    <w:rsid w:val="003668A7"/>
    <w:rsid w:val="0037016E"/>
    <w:rsid w:val="0037279B"/>
    <w:rsid w:val="00372D5E"/>
    <w:rsid w:val="00376502"/>
    <w:rsid w:val="00377EEA"/>
    <w:rsid w:val="0038513A"/>
    <w:rsid w:val="00390507"/>
    <w:rsid w:val="0039559D"/>
    <w:rsid w:val="00395932"/>
    <w:rsid w:val="003B05AD"/>
    <w:rsid w:val="003B133A"/>
    <w:rsid w:val="003B5F9D"/>
    <w:rsid w:val="003C3120"/>
    <w:rsid w:val="003C50D7"/>
    <w:rsid w:val="003D22B2"/>
    <w:rsid w:val="003D2E9A"/>
    <w:rsid w:val="003D716B"/>
    <w:rsid w:val="003E2C1F"/>
    <w:rsid w:val="003E52DF"/>
    <w:rsid w:val="003F11AC"/>
    <w:rsid w:val="003F5EB7"/>
    <w:rsid w:val="003F766B"/>
    <w:rsid w:val="0040013A"/>
    <w:rsid w:val="00404246"/>
    <w:rsid w:val="004072A5"/>
    <w:rsid w:val="00411FE6"/>
    <w:rsid w:val="004156BA"/>
    <w:rsid w:val="004163BA"/>
    <w:rsid w:val="00416D8E"/>
    <w:rsid w:val="004273E7"/>
    <w:rsid w:val="004276B9"/>
    <w:rsid w:val="0043473F"/>
    <w:rsid w:val="00434EE0"/>
    <w:rsid w:val="004372BF"/>
    <w:rsid w:val="004374DA"/>
    <w:rsid w:val="00442107"/>
    <w:rsid w:val="00444CC5"/>
    <w:rsid w:val="0044635D"/>
    <w:rsid w:val="00451B1C"/>
    <w:rsid w:val="004543BC"/>
    <w:rsid w:val="00454FB2"/>
    <w:rsid w:val="004568E4"/>
    <w:rsid w:val="00457948"/>
    <w:rsid w:val="00460A8B"/>
    <w:rsid w:val="00461B70"/>
    <w:rsid w:val="0046277C"/>
    <w:rsid w:val="0046767F"/>
    <w:rsid w:val="004713C9"/>
    <w:rsid w:val="00474CF8"/>
    <w:rsid w:val="00476E35"/>
    <w:rsid w:val="00482478"/>
    <w:rsid w:val="004868D1"/>
    <w:rsid w:val="004922F3"/>
    <w:rsid w:val="004940D3"/>
    <w:rsid w:val="00497EDA"/>
    <w:rsid w:val="004A3FBB"/>
    <w:rsid w:val="004A43E9"/>
    <w:rsid w:val="004A509A"/>
    <w:rsid w:val="004A5E75"/>
    <w:rsid w:val="004A5E9F"/>
    <w:rsid w:val="004B0045"/>
    <w:rsid w:val="004B1B0F"/>
    <w:rsid w:val="004B1D0C"/>
    <w:rsid w:val="004B23F1"/>
    <w:rsid w:val="004B4017"/>
    <w:rsid w:val="004B6A44"/>
    <w:rsid w:val="004B6F76"/>
    <w:rsid w:val="004B736D"/>
    <w:rsid w:val="004C1B9A"/>
    <w:rsid w:val="004C2025"/>
    <w:rsid w:val="004C58FC"/>
    <w:rsid w:val="004C5C79"/>
    <w:rsid w:val="004D081B"/>
    <w:rsid w:val="004D0E04"/>
    <w:rsid w:val="004D102F"/>
    <w:rsid w:val="004D1B1A"/>
    <w:rsid w:val="004D207D"/>
    <w:rsid w:val="004D28F2"/>
    <w:rsid w:val="004D772E"/>
    <w:rsid w:val="004E0430"/>
    <w:rsid w:val="004E4650"/>
    <w:rsid w:val="004E5181"/>
    <w:rsid w:val="004F441C"/>
    <w:rsid w:val="004F5E34"/>
    <w:rsid w:val="004F713F"/>
    <w:rsid w:val="0050216C"/>
    <w:rsid w:val="00506CF8"/>
    <w:rsid w:val="005141FE"/>
    <w:rsid w:val="00515008"/>
    <w:rsid w:val="00517717"/>
    <w:rsid w:val="00524793"/>
    <w:rsid w:val="00524EA6"/>
    <w:rsid w:val="00531D60"/>
    <w:rsid w:val="00541BEB"/>
    <w:rsid w:val="0054237D"/>
    <w:rsid w:val="005426B3"/>
    <w:rsid w:val="005436AC"/>
    <w:rsid w:val="005440E4"/>
    <w:rsid w:val="00545B95"/>
    <w:rsid w:val="00547BDC"/>
    <w:rsid w:val="00550C0E"/>
    <w:rsid w:val="005540EB"/>
    <w:rsid w:val="0055620C"/>
    <w:rsid w:val="00562193"/>
    <w:rsid w:val="0056366E"/>
    <w:rsid w:val="00564DA2"/>
    <w:rsid w:val="005678FA"/>
    <w:rsid w:val="00573D57"/>
    <w:rsid w:val="00577848"/>
    <w:rsid w:val="00580834"/>
    <w:rsid w:val="0058469D"/>
    <w:rsid w:val="00585860"/>
    <w:rsid w:val="00586CB3"/>
    <w:rsid w:val="00592BD1"/>
    <w:rsid w:val="00593603"/>
    <w:rsid w:val="00593B68"/>
    <w:rsid w:val="00596611"/>
    <w:rsid w:val="005A10A8"/>
    <w:rsid w:val="005A200C"/>
    <w:rsid w:val="005A20D4"/>
    <w:rsid w:val="005A20F8"/>
    <w:rsid w:val="005A6FF9"/>
    <w:rsid w:val="005B0B41"/>
    <w:rsid w:val="005B4C72"/>
    <w:rsid w:val="005B5994"/>
    <w:rsid w:val="005B5EA7"/>
    <w:rsid w:val="005B6FCD"/>
    <w:rsid w:val="005C1AB9"/>
    <w:rsid w:val="005C2C88"/>
    <w:rsid w:val="005C3EE2"/>
    <w:rsid w:val="005C4E2C"/>
    <w:rsid w:val="005C57C9"/>
    <w:rsid w:val="005D0943"/>
    <w:rsid w:val="005D45EC"/>
    <w:rsid w:val="005D77FF"/>
    <w:rsid w:val="005E16DE"/>
    <w:rsid w:val="005E25D7"/>
    <w:rsid w:val="005E35C7"/>
    <w:rsid w:val="005E5B68"/>
    <w:rsid w:val="005E65E3"/>
    <w:rsid w:val="005E7228"/>
    <w:rsid w:val="005F0B42"/>
    <w:rsid w:val="005F150F"/>
    <w:rsid w:val="005F1CE5"/>
    <w:rsid w:val="005F363C"/>
    <w:rsid w:val="00601C28"/>
    <w:rsid w:val="00603A2F"/>
    <w:rsid w:val="006057DA"/>
    <w:rsid w:val="0061080A"/>
    <w:rsid w:val="00611EEB"/>
    <w:rsid w:val="00612D84"/>
    <w:rsid w:val="0061401E"/>
    <w:rsid w:val="00614DB9"/>
    <w:rsid w:val="00615E1F"/>
    <w:rsid w:val="00625666"/>
    <w:rsid w:val="00633F02"/>
    <w:rsid w:val="00634835"/>
    <w:rsid w:val="0063530A"/>
    <w:rsid w:val="006368E0"/>
    <w:rsid w:val="00643147"/>
    <w:rsid w:val="006435B7"/>
    <w:rsid w:val="00643CE5"/>
    <w:rsid w:val="0064487F"/>
    <w:rsid w:val="00644E23"/>
    <w:rsid w:val="00645683"/>
    <w:rsid w:val="00646AA8"/>
    <w:rsid w:val="006470C2"/>
    <w:rsid w:val="00650F39"/>
    <w:rsid w:val="00653AFA"/>
    <w:rsid w:val="00655AEC"/>
    <w:rsid w:val="00656D03"/>
    <w:rsid w:val="006639DA"/>
    <w:rsid w:val="0066470D"/>
    <w:rsid w:val="00664B41"/>
    <w:rsid w:val="00667220"/>
    <w:rsid w:val="006676B9"/>
    <w:rsid w:val="0067113A"/>
    <w:rsid w:val="0067152D"/>
    <w:rsid w:val="00672D65"/>
    <w:rsid w:val="00673CC2"/>
    <w:rsid w:val="00675C4E"/>
    <w:rsid w:val="00676BCD"/>
    <w:rsid w:val="00680941"/>
    <w:rsid w:val="0068135D"/>
    <w:rsid w:val="0068497F"/>
    <w:rsid w:val="00685D0C"/>
    <w:rsid w:val="006860C4"/>
    <w:rsid w:val="00686872"/>
    <w:rsid w:val="00687DE2"/>
    <w:rsid w:val="00690866"/>
    <w:rsid w:val="006920D0"/>
    <w:rsid w:val="006A2A4B"/>
    <w:rsid w:val="006A2F58"/>
    <w:rsid w:val="006A53F2"/>
    <w:rsid w:val="006A7448"/>
    <w:rsid w:val="006B1DF5"/>
    <w:rsid w:val="006B4092"/>
    <w:rsid w:val="006B42DA"/>
    <w:rsid w:val="006B4A9B"/>
    <w:rsid w:val="006B6BC2"/>
    <w:rsid w:val="006C1681"/>
    <w:rsid w:val="006C2F60"/>
    <w:rsid w:val="006C3950"/>
    <w:rsid w:val="006C681F"/>
    <w:rsid w:val="006D1F2D"/>
    <w:rsid w:val="006D3C1A"/>
    <w:rsid w:val="006D49EC"/>
    <w:rsid w:val="006E11B2"/>
    <w:rsid w:val="006E2663"/>
    <w:rsid w:val="006E7E2A"/>
    <w:rsid w:val="006F42EC"/>
    <w:rsid w:val="006F730C"/>
    <w:rsid w:val="00702E30"/>
    <w:rsid w:val="00704982"/>
    <w:rsid w:val="00704EEB"/>
    <w:rsid w:val="007055A8"/>
    <w:rsid w:val="00705EF2"/>
    <w:rsid w:val="007077ED"/>
    <w:rsid w:val="00711833"/>
    <w:rsid w:val="007129E2"/>
    <w:rsid w:val="00712A9B"/>
    <w:rsid w:val="00716271"/>
    <w:rsid w:val="00716A1E"/>
    <w:rsid w:val="00716C13"/>
    <w:rsid w:val="007171D3"/>
    <w:rsid w:val="00722C0F"/>
    <w:rsid w:val="00726FE9"/>
    <w:rsid w:val="007275A4"/>
    <w:rsid w:val="00733E1C"/>
    <w:rsid w:val="007352B0"/>
    <w:rsid w:val="00736360"/>
    <w:rsid w:val="00737CA1"/>
    <w:rsid w:val="00740E95"/>
    <w:rsid w:val="00742B9F"/>
    <w:rsid w:val="00743B59"/>
    <w:rsid w:val="00744D65"/>
    <w:rsid w:val="0074529E"/>
    <w:rsid w:val="007465A4"/>
    <w:rsid w:val="00751B52"/>
    <w:rsid w:val="007546D1"/>
    <w:rsid w:val="00757717"/>
    <w:rsid w:val="007645E8"/>
    <w:rsid w:val="00765A74"/>
    <w:rsid w:val="00775966"/>
    <w:rsid w:val="00777ABD"/>
    <w:rsid w:val="007836C7"/>
    <w:rsid w:val="00786A12"/>
    <w:rsid w:val="0079049F"/>
    <w:rsid w:val="007917C5"/>
    <w:rsid w:val="007928C1"/>
    <w:rsid w:val="00793A4D"/>
    <w:rsid w:val="00794492"/>
    <w:rsid w:val="00796789"/>
    <w:rsid w:val="00797C30"/>
    <w:rsid w:val="007A5DCF"/>
    <w:rsid w:val="007B13A5"/>
    <w:rsid w:val="007B5316"/>
    <w:rsid w:val="007B5402"/>
    <w:rsid w:val="007B58C5"/>
    <w:rsid w:val="007B72D8"/>
    <w:rsid w:val="007B7C07"/>
    <w:rsid w:val="007C1D7F"/>
    <w:rsid w:val="007C32EE"/>
    <w:rsid w:val="007C48AE"/>
    <w:rsid w:val="007C57D8"/>
    <w:rsid w:val="007C65ED"/>
    <w:rsid w:val="007D06E5"/>
    <w:rsid w:val="007D078F"/>
    <w:rsid w:val="007D3E24"/>
    <w:rsid w:val="007D534F"/>
    <w:rsid w:val="007D6CAE"/>
    <w:rsid w:val="007E208F"/>
    <w:rsid w:val="007E38E3"/>
    <w:rsid w:val="007E74EA"/>
    <w:rsid w:val="007F042B"/>
    <w:rsid w:val="007F1945"/>
    <w:rsid w:val="007F38A5"/>
    <w:rsid w:val="007F6B5E"/>
    <w:rsid w:val="00804381"/>
    <w:rsid w:val="00806C7F"/>
    <w:rsid w:val="00807CA8"/>
    <w:rsid w:val="0081199D"/>
    <w:rsid w:val="00812DE4"/>
    <w:rsid w:val="00814123"/>
    <w:rsid w:val="008147B1"/>
    <w:rsid w:val="00815D50"/>
    <w:rsid w:val="008202A5"/>
    <w:rsid w:val="00820881"/>
    <w:rsid w:val="00822186"/>
    <w:rsid w:val="00822E81"/>
    <w:rsid w:val="0082656C"/>
    <w:rsid w:val="0082661B"/>
    <w:rsid w:val="00830886"/>
    <w:rsid w:val="00832132"/>
    <w:rsid w:val="00835777"/>
    <w:rsid w:val="00840046"/>
    <w:rsid w:val="00847CC8"/>
    <w:rsid w:val="008629E5"/>
    <w:rsid w:val="008703EC"/>
    <w:rsid w:val="0087366D"/>
    <w:rsid w:val="00874B82"/>
    <w:rsid w:val="0087590A"/>
    <w:rsid w:val="008779F0"/>
    <w:rsid w:val="00882549"/>
    <w:rsid w:val="008832F2"/>
    <w:rsid w:val="00886C9D"/>
    <w:rsid w:val="00886E4E"/>
    <w:rsid w:val="008918EA"/>
    <w:rsid w:val="00891D48"/>
    <w:rsid w:val="00892BAC"/>
    <w:rsid w:val="00894CE2"/>
    <w:rsid w:val="00897B8E"/>
    <w:rsid w:val="008A37F6"/>
    <w:rsid w:val="008A7469"/>
    <w:rsid w:val="008B3DFD"/>
    <w:rsid w:val="008B41AB"/>
    <w:rsid w:val="008B4398"/>
    <w:rsid w:val="008B4865"/>
    <w:rsid w:val="008B536F"/>
    <w:rsid w:val="008B5C02"/>
    <w:rsid w:val="008B6F30"/>
    <w:rsid w:val="008B744B"/>
    <w:rsid w:val="008C42D1"/>
    <w:rsid w:val="008C49C5"/>
    <w:rsid w:val="008C5703"/>
    <w:rsid w:val="008D183B"/>
    <w:rsid w:val="008D18B6"/>
    <w:rsid w:val="008D1B9E"/>
    <w:rsid w:val="008D308F"/>
    <w:rsid w:val="008D40F9"/>
    <w:rsid w:val="008D46DE"/>
    <w:rsid w:val="008D5C91"/>
    <w:rsid w:val="008E2FB7"/>
    <w:rsid w:val="008E48B0"/>
    <w:rsid w:val="008E5652"/>
    <w:rsid w:val="008E580F"/>
    <w:rsid w:val="008E6A73"/>
    <w:rsid w:val="008E7886"/>
    <w:rsid w:val="008F11DF"/>
    <w:rsid w:val="008F6E36"/>
    <w:rsid w:val="008F70B5"/>
    <w:rsid w:val="00902E70"/>
    <w:rsid w:val="0090528A"/>
    <w:rsid w:val="00905F79"/>
    <w:rsid w:val="0091181E"/>
    <w:rsid w:val="0091216A"/>
    <w:rsid w:val="00912DB2"/>
    <w:rsid w:val="00914F08"/>
    <w:rsid w:val="009167B4"/>
    <w:rsid w:val="00916D0F"/>
    <w:rsid w:val="0092267E"/>
    <w:rsid w:val="00925CE2"/>
    <w:rsid w:val="00926D2F"/>
    <w:rsid w:val="00930764"/>
    <w:rsid w:val="00931621"/>
    <w:rsid w:val="00931657"/>
    <w:rsid w:val="009327D0"/>
    <w:rsid w:val="009334AE"/>
    <w:rsid w:val="00934B30"/>
    <w:rsid w:val="0093530C"/>
    <w:rsid w:val="00935CE0"/>
    <w:rsid w:val="00936BE1"/>
    <w:rsid w:val="00942D55"/>
    <w:rsid w:val="00944313"/>
    <w:rsid w:val="009452FD"/>
    <w:rsid w:val="00952579"/>
    <w:rsid w:val="009605C7"/>
    <w:rsid w:val="00961303"/>
    <w:rsid w:val="00966A3C"/>
    <w:rsid w:val="00973290"/>
    <w:rsid w:val="00975FB9"/>
    <w:rsid w:val="0098231D"/>
    <w:rsid w:val="00983877"/>
    <w:rsid w:val="00987E07"/>
    <w:rsid w:val="0099079A"/>
    <w:rsid w:val="00995452"/>
    <w:rsid w:val="009A120C"/>
    <w:rsid w:val="009A1846"/>
    <w:rsid w:val="009B388A"/>
    <w:rsid w:val="009B6AD6"/>
    <w:rsid w:val="009C20BC"/>
    <w:rsid w:val="009C52C8"/>
    <w:rsid w:val="009C54AD"/>
    <w:rsid w:val="009C76A0"/>
    <w:rsid w:val="009D1A36"/>
    <w:rsid w:val="009E1E4A"/>
    <w:rsid w:val="009E29E5"/>
    <w:rsid w:val="009E62F0"/>
    <w:rsid w:val="009E6376"/>
    <w:rsid w:val="009E7ED7"/>
    <w:rsid w:val="009F186A"/>
    <w:rsid w:val="009F3201"/>
    <w:rsid w:val="009F3A16"/>
    <w:rsid w:val="009F6A4B"/>
    <w:rsid w:val="00A001E8"/>
    <w:rsid w:val="00A0337A"/>
    <w:rsid w:val="00A05EB6"/>
    <w:rsid w:val="00A07AB7"/>
    <w:rsid w:val="00A11C96"/>
    <w:rsid w:val="00A11FAB"/>
    <w:rsid w:val="00A152BC"/>
    <w:rsid w:val="00A23220"/>
    <w:rsid w:val="00A27BAA"/>
    <w:rsid w:val="00A300C7"/>
    <w:rsid w:val="00A30514"/>
    <w:rsid w:val="00A309B9"/>
    <w:rsid w:val="00A3375D"/>
    <w:rsid w:val="00A33792"/>
    <w:rsid w:val="00A340E2"/>
    <w:rsid w:val="00A34E0B"/>
    <w:rsid w:val="00A359BB"/>
    <w:rsid w:val="00A36295"/>
    <w:rsid w:val="00A4037C"/>
    <w:rsid w:val="00A41722"/>
    <w:rsid w:val="00A42AF9"/>
    <w:rsid w:val="00A42F19"/>
    <w:rsid w:val="00A44669"/>
    <w:rsid w:val="00A44B77"/>
    <w:rsid w:val="00A44EB0"/>
    <w:rsid w:val="00A525C2"/>
    <w:rsid w:val="00A539B1"/>
    <w:rsid w:val="00A54220"/>
    <w:rsid w:val="00A54298"/>
    <w:rsid w:val="00A55B51"/>
    <w:rsid w:val="00A55DC6"/>
    <w:rsid w:val="00A6021E"/>
    <w:rsid w:val="00A67FB6"/>
    <w:rsid w:val="00A75F4C"/>
    <w:rsid w:val="00A83C97"/>
    <w:rsid w:val="00A8627C"/>
    <w:rsid w:val="00A879CD"/>
    <w:rsid w:val="00A918B4"/>
    <w:rsid w:val="00A931A6"/>
    <w:rsid w:val="00A96264"/>
    <w:rsid w:val="00AA0324"/>
    <w:rsid w:val="00AA41A9"/>
    <w:rsid w:val="00AA4419"/>
    <w:rsid w:val="00AB4F8E"/>
    <w:rsid w:val="00AB59BB"/>
    <w:rsid w:val="00AC1B51"/>
    <w:rsid w:val="00AC3ADC"/>
    <w:rsid w:val="00AC6208"/>
    <w:rsid w:val="00AD03A5"/>
    <w:rsid w:val="00AD03EF"/>
    <w:rsid w:val="00AD1968"/>
    <w:rsid w:val="00AD2C96"/>
    <w:rsid w:val="00AD2FA3"/>
    <w:rsid w:val="00AD4C05"/>
    <w:rsid w:val="00AD68B4"/>
    <w:rsid w:val="00AE4671"/>
    <w:rsid w:val="00AE50FB"/>
    <w:rsid w:val="00AF0FEB"/>
    <w:rsid w:val="00AF12CC"/>
    <w:rsid w:val="00AF1A24"/>
    <w:rsid w:val="00AF2573"/>
    <w:rsid w:val="00B03C54"/>
    <w:rsid w:val="00B065DD"/>
    <w:rsid w:val="00B07C8E"/>
    <w:rsid w:val="00B10A70"/>
    <w:rsid w:val="00B10D5E"/>
    <w:rsid w:val="00B10EE8"/>
    <w:rsid w:val="00B15BED"/>
    <w:rsid w:val="00B17425"/>
    <w:rsid w:val="00B21F13"/>
    <w:rsid w:val="00B232F9"/>
    <w:rsid w:val="00B24DD8"/>
    <w:rsid w:val="00B25E1F"/>
    <w:rsid w:val="00B26158"/>
    <w:rsid w:val="00B265E5"/>
    <w:rsid w:val="00B312FA"/>
    <w:rsid w:val="00B313D9"/>
    <w:rsid w:val="00B34EAB"/>
    <w:rsid w:val="00B36F8C"/>
    <w:rsid w:val="00B41CE9"/>
    <w:rsid w:val="00B41F8F"/>
    <w:rsid w:val="00B44612"/>
    <w:rsid w:val="00B45036"/>
    <w:rsid w:val="00B5246C"/>
    <w:rsid w:val="00B54997"/>
    <w:rsid w:val="00B56F17"/>
    <w:rsid w:val="00B62488"/>
    <w:rsid w:val="00B6306E"/>
    <w:rsid w:val="00B632D5"/>
    <w:rsid w:val="00B6598F"/>
    <w:rsid w:val="00B73C8F"/>
    <w:rsid w:val="00B73EB1"/>
    <w:rsid w:val="00B85AB9"/>
    <w:rsid w:val="00B87281"/>
    <w:rsid w:val="00B87733"/>
    <w:rsid w:val="00B9227F"/>
    <w:rsid w:val="00B96F12"/>
    <w:rsid w:val="00B97E2F"/>
    <w:rsid w:val="00BA203F"/>
    <w:rsid w:val="00BA3E02"/>
    <w:rsid w:val="00BB1AEE"/>
    <w:rsid w:val="00BB4514"/>
    <w:rsid w:val="00BB4B20"/>
    <w:rsid w:val="00BC2511"/>
    <w:rsid w:val="00BC395A"/>
    <w:rsid w:val="00BC5C99"/>
    <w:rsid w:val="00BD4FCB"/>
    <w:rsid w:val="00BD5DFB"/>
    <w:rsid w:val="00BE3812"/>
    <w:rsid w:val="00BE592C"/>
    <w:rsid w:val="00BE710C"/>
    <w:rsid w:val="00BF220C"/>
    <w:rsid w:val="00BF36C1"/>
    <w:rsid w:val="00BF6CAC"/>
    <w:rsid w:val="00BF7A34"/>
    <w:rsid w:val="00C01292"/>
    <w:rsid w:val="00C01F0D"/>
    <w:rsid w:val="00C0218F"/>
    <w:rsid w:val="00C05050"/>
    <w:rsid w:val="00C057A2"/>
    <w:rsid w:val="00C05B48"/>
    <w:rsid w:val="00C06F9C"/>
    <w:rsid w:val="00C07A93"/>
    <w:rsid w:val="00C10845"/>
    <w:rsid w:val="00C11597"/>
    <w:rsid w:val="00C120DA"/>
    <w:rsid w:val="00C14052"/>
    <w:rsid w:val="00C14E85"/>
    <w:rsid w:val="00C17302"/>
    <w:rsid w:val="00C201E6"/>
    <w:rsid w:val="00C21346"/>
    <w:rsid w:val="00C22D33"/>
    <w:rsid w:val="00C26656"/>
    <w:rsid w:val="00C33829"/>
    <w:rsid w:val="00C401B2"/>
    <w:rsid w:val="00C42FEB"/>
    <w:rsid w:val="00C464CA"/>
    <w:rsid w:val="00C53F95"/>
    <w:rsid w:val="00C55F2A"/>
    <w:rsid w:val="00C611B2"/>
    <w:rsid w:val="00C62791"/>
    <w:rsid w:val="00C66B50"/>
    <w:rsid w:val="00C67525"/>
    <w:rsid w:val="00C73089"/>
    <w:rsid w:val="00C75C3E"/>
    <w:rsid w:val="00C86EA5"/>
    <w:rsid w:val="00C86EB1"/>
    <w:rsid w:val="00C91091"/>
    <w:rsid w:val="00C913F5"/>
    <w:rsid w:val="00C92E0A"/>
    <w:rsid w:val="00C9379A"/>
    <w:rsid w:val="00C93AF1"/>
    <w:rsid w:val="00C94D90"/>
    <w:rsid w:val="00C951DC"/>
    <w:rsid w:val="00CA1321"/>
    <w:rsid w:val="00CA394A"/>
    <w:rsid w:val="00CA4CC3"/>
    <w:rsid w:val="00CB03C2"/>
    <w:rsid w:val="00CB3A2C"/>
    <w:rsid w:val="00CB4B74"/>
    <w:rsid w:val="00CB6133"/>
    <w:rsid w:val="00CB616E"/>
    <w:rsid w:val="00CB6730"/>
    <w:rsid w:val="00CB6B66"/>
    <w:rsid w:val="00CC05C0"/>
    <w:rsid w:val="00CC6FB3"/>
    <w:rsid w:val="00CC74FB"/>
    <w:rsid w:val="00CD3B0C"/>
    <w:rsid w:val="00CD3C5D"/>
    <w:rsid w:val="00CD4936"/>
    <w:rsid w:val="00CD62BE"/>
    <w:rsid w:val="00CD7389"/>
    <w:rsid w:val="00CE5121"/>
    <w:rsid w:val="00CE6A59"/>
    <w:rsid w:val="00CF134C"/>
    <w:rsid w:val="00CF1C5E"/>
    <w:rsid w:val="00CF4396"/>
    <w:rsid w:val="00CF6646"/>
    <w:rsid w:val="00D00A5C"/>
    <w:rsid w:val="00D01E7B"/>
    <w:rsid w:val="00D02BF4"/>
    <w:rsid w:val="00D05465"/>
    <w:rsid w:val="00D05A0A"/>
    <w:rsid w:val="00D05FDA"/>
    <w:rsid w:val="00D07D43"/>
    <w:rsid w:val="00D114C4"/>
    <w:rsid w:val="00D126B7"/>
    <w:rsid w:val="00D13BAA"/>
    <w:rsid w:val="00D211CA"/>
    <w:rsid w:val="00D211EE"/>
    <w:rsid w:val="00D21EC3"/>
    <w:rsid w:val="00D23105"/>
    <w:rsid w:val="00D23716"/>
    <w:rsid w:val="00D2392C"/>
    <w:rsid w:val="00D26BFF"/>
    <w:rsid w:val="00D3297A"/>
    <w:rsid w:val="00D33F64"/>
    <w:rsid w:val="00D408D9"/>
    <w:rsid w:val="00D469C0"/>
    <w:rsid w:val="00D503E1"/>
    <w:rsid w:val="00D602F1"/>
    <w:rsid w:val="00D60C38"/>
    <w:rsid w:val="00D6449A"/>
    <w:rsid w:val="00D64945"/>
    <w:rsid w:val="00D65965"/>
    <w:rsid w:val="00D65F38"/>
    <w:rsid w:val="00D665C6"/>
    <w:rsid w:val="00D73BA3"/>
    <w:rsid w:val="00D7592A"/>
    <w:rsid w:val="00D81685"/>
    <w:rsid w:val="00D83D56"/>
    <w:rsid w:val="00D84EFB"/>
    <w:rsid w:val="00D84FF1"/>
    <w:rsid w:val="00D8699E"/>
    <w:rsid w:val="00D8771A"/>
    <w:rsid w:val="00D90764"/>
    <w:rsid w:val="00D9150B"/>
    <w:rsid w:val="00D91E3B"/>
    <w:rsid w:val="00D951AB"/>
    <w:rsid w:val="00D95326"/>
    <w:rsid w:val="00D956CD"/>
    <w:rsid w:val="00D9742D"/>
    <w:rsid w:val="00DA1FA5"/>
    <w:rsid w:val="00DA3323"/>
    <w:rsid w:val="00DA4A2B"/>
    <w:rsid w:val="00DB02B8"/>
    <w:rsid w:val="00DB4001"/>
    <w:rsid w:val="00DB68BA"/>
    <w:rsid w:val="00DB780C"/>
    <w:rsid w:val="00DB7F95"/>
    <w:rsid w:val="00DC2E66"/>
    <w:rsid w:val="00DC7876"/>
    <w:rsid w:val="00DD0A5E"/>
    <w:rsid w:val="00DD1C2C"/>
    <w:rsid w:val="00DD318C"/>
    <w:rsid w:val="00DE3E13"/>
    <w:rsid w:val="00DE624F"/>
    <w:rsid w:val="00DE62CA"/>
    <w:rsid w:val="00DE6F92"/>
    <w:rsid w:val="00DF1AB0"/>
    <w:rsid w:val="00DF24FB"/>
    <w:rsid w:val="00DF771A"/>
    <w:rsid w:val="00DF77E6"/>
    <w:rsid w:val="00E00FBA"/>
    <w:rsid w:val="00E0406D"/>
    <w:rsid w:val="00E10C3E"/>
    <w:rsid w:val="00E13701"/>
    <w:rsid w:val="00E14F63"/>
    <w:rsid w:val="00E15C86"/>
    <w:rsid w:val="00E16771"/>
    <w:rsid w:val="00E204C6"/>
    <w:rsid w:val="00E212EA"/>
    <w:rsid w:val="00E228B0"/>
    <w:rsid w:val="00E23A0A"/>
    <w:rsid w:val="00E23A2B"/>
    <w:rsid w:val="00E23F70"/>
    <w:rsid w:val="00E24E2A"/>
    <w:rsid w:val="00E252B9"/>
    <w:rsid w:val="00E25FC6"/>
    <w:rsid w:val="00E2663D"/>
    <w:rsid w:val="00E35B37"/>
    <w:rsid w:val="00E369DF"/>
    <w:rsid w:val="00E408BE"/>
    <w:rsid w:val="00E426C2"/>
    <w:rsid w:val="00E42AAE"/>
    <w:rsid w:val="00E430E1"/>
    <w:rsid w:val="00E50228"/>
    <w:rsid w:val="00E5022E"/>
    <w:rsid w:val="00E50FA4"/>
    <w:rsid w:val="00E54BA8"/>
    <w:rsid w:val="00E5738A"/>
    <w:rsid w:val="00E61705"/>
    <w:rsid w:val="00E61794"/>
    <w:rsid w:val="00E64A57"/>
    <w:rsid w:val="00E657FC"/>
    <w:rsid w:val="00E759B3"/>
    <w:rsid w:val="00E81689"/>
    <w:rsid w:val="00E86487"/>
    <w:rsid w:val="00E90E6D"/>
    <w:rsid w:val="00E92B3C"/>
    <w:rsid w:val="00EA2588"/>
    <w:rsid w:val="00EB082C"/>
    <w:rsid w:val="00EB17E5"/>
    <w:rsid w:val="00EB1E66"/>
    <w:rsid w:val="00EB338C"/>
    <w:rsid w:val="00EB4421"/>
    <w:rsid w:val="00EB681F"/>
    <w:rsid w:val="00EB6F55"/>
    <w:rsid w:val="00EC11AD"/>
    <w:rsid w:val="00EC26D8"/>
    <w:rsid w:val="00EC3F4F"/>
    <w:rsid w:val="00EE36AE"/>
    <w:rsid w:val="00EE41C9"/>
    <w:rsid w:val="00EE6D9F"/>
    <w:rsid w:val="00EF07BA"/>
    <w:rsid w:val="00EF09CC"/>
    <w:rsid w:val="00EF34F6"/>
    <w:rsid w:val="00EF50E8"/>
    <w:rsid w:val="00EF723C"/>
    <w:rsid w:val="00F02AD8"/>
    <w:rsid w:val="00F043CB"/>
    <w:rsid w:val="00F04603"/>
    <w:rsid w:val="00F05529"/>
    <w:rsid w:val="00F10C1F"/>
    <w:rsid w:val="00F10E61"/>
    <w:rsid w:val="00F161AD"/>
    <w:rsid w:val="00F16DBE"/>
    <w:rsid w:val="00F17A6C"/>
    <w:rsid w:val="00F17D0D"/>
    <w:rsid w:val="00F17ED7"/>
    <w:rsid w:val="00F20CDF"/>
    <w:rsid w:val="00F22C45"/>
    <w:rsid w:val="00F31766"/>
    <w:rsid w:val="00F318AD"/>
    <w:rsid w:val="00F31A4E"/>
    <w:rsid w:val="00F31BEF"/>
    <w:rsid w:val="00F32F59"/>
    <w:rsid w:val="00F33810"/>
    <w:rsid w:val="00F34427"/>
    <w:rsid w:val="00F34EA0"/>
    <w:rsid w:val="00F40195"/>
    <w:rsid w:val="00F40EED"/>
    <w:rsid w:val="00F4142D"/>
    <w:rsid w:val="00F41773"/>
    <w:rsid w:val="00F449F0"/>
    <w:rsid w:val="00F459BA"/>
    <w:rsid w:val="00F46CE8"/>
    <w:rsid w:val="00F47801"/>
    <w:rsid w:val="00F47ADD"/>
    <w:rsid w:val="00F50FF3"/>
    <w:rsid w:val="00F51504"/>
    <w:rsid w:val="00F539AB"/>
    <w:rsid w:val="00F54932"/>
    <w:rsid w:val="00F557D5"/>
    <w:rsid w:val="00F57F54"/>
    <w:rsid w:val="00F71538"/>
    <w:rsid w:val="00F72F9A"/>
    <w:rsid w:val="00F7412B"/>
    <w:rsid w:val="00F765C1"/>
    <w:rsid w:val="00F76726"/>
    <w:rsid w:val="00F76CF8"/>
    <w:rsid w:val="00F820B5"/>
    <w:rsid w:val="00F829AF"/>
    <w:rsid w:val="00F82C76"/>
    <w:rsid w:val="00F84743"/>
    <w:rsid w:val="00F85036"/>
    <w:rsid w:val="00F909DC"/>
    <w:rsid w:val="00F957E5"/>
    <w:rsid w:val="00F97D0D"/>
    <w:rsid w:val="00FA475C"/>
    <w:rsid w:val="00FA7F94"/>
    <w:rsid w:val="00FB30C0"/>
    <w:rsid w:val="00FB789D"/>
    <w:rsid w:val="00FC2878"/>
    <w:rsid w:val="00FC3CEF"/>
    <w:rsid w:val="00FD002E"/>
    <w:rsid w:val="00FD0FCC"/>
    <w:rsid w:val="00FD403A"/>
    <w:rsid w:val="00FD5ADD"/>
    <w:rsid w:val="00FE07FB"/>
    <w:rsid w:val="00FE0C74"/>
    <w:rsid w:val="00FE19A9"/>
    <w:rsid w:val="00FE31C3"/>
    <w:rsid w:val="00FF02B4"/>
    <w:rsid w:val="00FF0BFF"/>
    <w:rsid w:val="00FF2A84"/>
    <w:rsid w:val="00FF5068"/>
    <w:rsid w:val="00FF5805"/>
    <w:rsid w:val="00FF69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paragraph" w:styleId="PlainText">
    <w:name w:val="Plain Text"/>
    <w:basedOn w:val="Normal"/>
    <w:link w:val="PlainTextChar"/>
    <w:uiPriority w:val="99"/>
    <w:unhideWhenUsed/>
    <w:rsid w:val="004543BC"/>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43BC"/>
    <w:rPr>
      <w:rFonts w:ascii="Consolas" w:eastAsiaTheme="minorHAnsi" w:hAnsi="Consolas" w:cstheme="minorBidi"/>
      <w:sz w:val="21"/>
      <w:szCs w:val="21"/>
    </w:rPr>
  </w:style>
  <w:style w:type="character" w:styleId="CommentReference">
    <w:name w:val="annotation reference"/>
    <w:basedOn w:val="DefaultParagraphFont"/>
    <w:rsid w:val="00B24DD8"/>
    <w:rPr>
      <w:sz w:val="16"/>
      <w:szCs w:val="16"/>
    </w:rPr>
  </w:style>
  <w:style w:type="paragraph" w:styleId="CommentText">
    <w:name w:val="annotation text"/>
    <w:basedOn w:val="Normal"/>
    <w:link w:val="CommentTextChar"/>
    <w:rsid w:val="00B24DD8"/>
    <w:rPr>
      <w:sz w:val="20"/>
      <w:szCs w:val="20"/>
    </w:rPr>
  </w:style>
  <w:style w:type="character" w:customStyle="1" w:styleId="CommentTextChar">
    <w:name w:val="Comment Text Char"/>
    <w:basedOn w:val="DefaultParagraphFont"/>
    <w:link w:val="CommentText"/>
    <w:rsid w:val="00B24DD8"/>
  </w:style>
  <w:style w:type="paragraph" w:styleId="CommentSubject">
    <w:name w:val="annotation subject"/>
    <w:basedOn w:val="CommentText"/>
    <w:next w:val="CommentText"/>
    <w:link w:val="CommentSubjectChar"/>
    <w:rsid w:val="00B24DD8"/>
    <w:rPr>
      <w:b/>
      <w:bCs/>
    </w:rPr>
  </w:style>
  <w:style w:type="character" w:customStyle="1" w:styleId="CommentSubjectChar">
    <w:name w:val="Comment Subject Char"/>
    <w:basedOn w:val="CommentTextChar"/>
    <w:link w:val="CommentSubject"/>
    <w:rsid w:val="00B24DD8"/>
    <w:rPr>
      <w:b/>
      <w:bCs/>
    </w:rPr>
  </w:style>
  <w:style w:type="character" w:styleId="Strong">
    <w:name w:val="Strong"/>
    <w:basedOn w:val="DefaultParagraphFont"/>
    <w:uiPriority w:val="22"/>
    <w:qFormat/>
    <w:rsid w:val="000729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183711230">
      <w:bodyDiv w:val="1"/>
      <w:marLeft w:val="0"/>
      <w:marRight w:val="0"/>
      <w:marTop w:val="0"/>
      <w:marBottom w:val="0"/>
      <w:divBdr>
        <w:top w:val="none" w:sz="0" w:space="0" w:color="auto"/>
        <w:left w:val="none" w:sz="0" w:space="0" w:color="auto"/>
        <w:bottom w:val="none" w:sz="0" w:space="0" w:color="auto"/>
        <w:right w:val="none" w:sz="0" w:space="0" w:color="auto"/>
      </w:divBdr>
    </w:div>
    <w:div w:id="975836945">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04B2E09-8769-4412-BF21-1671D5D2CA1D}"/>
</file>

<file path=customXml/itemProps2.xml><?xml version="1.0" encoding="utf-8"?>
<ds:datastoreItem xmlns:ds="http://schemas.openxmlformats.org/officeDocument/2006/customXml" ds:itemID="{DE7D1A4D-554A-47EE-A782-BE3DA70E773F}"/>
</file>

<file path=customXml/itemProps3.xml><?xml version="1.0" encoding="utf-8"?>
<ds:datastoreItem xmlns:ds="http://schemas.openxmlformats.org/officeDocument/2006/customXml" ds:itemID="{82ECB4F2-46FE-496A-A86B-01D3C53B3E5D}"/>
</file>

<file path=customXml/itemProps4.xml><?xml version="1.0" encoding="utf-8"?>
<ds:datastoreItem xmlns:ds="http://schemas.openxmlformats.org/officeDocument/2006/customXml" ds:itemID="{A79A5F15-3081-44C0-A8F5-82A6032A65F8}"/>
</file>

<file path=customXml/itemProps5.xml><?xml version="1.0" encoding="utf-8"?>
<ds:datastoreItem xmlns:ds="http://schemas.openxmlformats.org/officeDocument/2006/customXml" ds:itemID="{7D04925C-D3F3-48BB-998F-7D69B39C2375}"/>
</file>

<file path=docProps/app.xml><?xml version="1.0" encoding="utf-8"?>
<Properties xmlns="http://schemas.openxmlformats.org/officeDocument/2006/extended-properties" xmlns:vt="http://schemas.openxmlformats.org/officeDocument/2006/docPropsVTypes">
  <Template>Normal.dotm</Template>
  <TotalTime>565</TotalTime>
  <Pages>11</Pages>
  <Words>2627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106</cp:revision>
  <cp:lastPrinted>2012-09-10T20:59:00Z</cp:lastPrinted>
  <dcterms:created xsi:type="dcterms:W3CDTF">2012-09-08T04:20:00Z</dcterms:created>
  <dcterms:modified xsi:type="dcterms:W3CDTF">2012-09-14T15:07:00Z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