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D7E" w:rsidRPr="00D67D7E" w:rsidRDefault="00E52319">
      <w:pPr>
        <w:pStyle w:val="LetterDate"/>
        <w:spacing w:after="720"/>
      </w:pPr>
      <w:r>
        <w:rPr>
          <w:noProof/>
        </w:rPr>
        <w:t>August 1</w:t>
      </w:r>
      <w:r w:rsidR="00D67D7E" w:rsidRPr="00D67D7E">
        <w:rPr>
          <w:noProof/>
        </w:rPr>
        <w:t>, 201</w:t>
      </w:r>
      <w:r w:rsidR="00837A9E">
        <w:rPr>
          <w:noProof/>
        </w:rPr>
        <w:t>8</w:t>
      </w:r>
    </w:p>
    <w:p w:rsidR="00D67D7E" w:rsidRPr="00D67D7E" w:rsidRDefault="00D67D7E">
      <w:pPr>
        <w:pStyle w:val="Addressee"/>
      </w:pPr>
      <w:r w:rsidRPr="00D67D7E">
        <w:t xml:space="preserve">Mr. </w:t>
      </w:r>
      <w:r w:rsidR="00221376">
        <w:t>Mark L. Johnson</w:t>
      </w:r>
    </w:p>
    <w:p w:rsidR="00D67D7E" w:rsidRDefault="00D67D7E">
      <w:pPr>
        <w:pStyle w:val="Addressee"/>
      </w:pPr>
      <w:r>
        <w:t>Executive Director and Secretary</w:t>
      </w:r>
    </w:p>
    <w:p w:rsidR="00D67D7E" w:rsidRDefault="00D67D7E">
      <w:pPr>
        <w:pStyle w:val="Addressee"/>
      </w:pPr>
      <w:r>
        <w:t>Washington Utilities and Transportation Commission</w:t>
      </w:r>
    </w:p>
    <w:p w:rsidR="00D67D7E" w:rsidRDefault="00D67D7E">
      <w:pPr>
        <w:pStyle w:val="Addressee"/>
      </w:pPr>
      <w:r>
        <w:t>P.O. Box 47250</w:t>
      </w:r>
    </w:p>
    <w:p w:rsidR="00D67D7E" w:rsidRPr="00D67D7E" w:rsidRDefault="00D67D7E">
      <w:pPr>
        <w:pStyle w:val="Addressee"/>
      </w:pPr>
      <w:r>
        <w:t>Olympia, Washington 98504-7250</w:t>
      </w:r>
    </w:p>
    <w:p w:rsidR="00D67D7E" w:rsidRPr="00D67D7E" w:rsidRDefault="00D67D7E">
      <w:pPr>
        <w:pStyle w:val="ReLine"/>
      </w:pPr>
      <w:r w:rsidRPr="00D67D7E">
        <w:t>Re:</w:t>
      </w:r>
      <w:r w:rsidRPr="00D67D7E">
        <w:tab/>
        <w:t>Docket A-1</w:t>
      </w:r>
      <w:r w:rsidR="00C1619B">
        <w:t>30355</w:t>
      </w:r>
      <w:r w:rsidRPr="00D67D7E">
        <w:t>, R</w:t>
      </w:r>
      <w:r w:rsidR="00C1619B" w:rsidRPr="00C1619B">
        <w:t xml:space="preserve">ulemaking to Make Corrections and Changes in Rules in WAC 480-07, Relating to Procedural Rules, </w:t>
      </w:r>
    </w:p>
    <w:p w:rsidR="00D67D7E" w:rsidRPr="00D67D7E" w:rsidRDefault="00D67D7E">
      <w:pPr>
        <w:pStyle w:val="Salutation"/>
      </w:pPr>
      <w:r w:rsidRPr="00D67D7E">
        <w:t xml:space="preserve">Dear Mr. </w:t>
      </w:r>
      <w:r w:rsidR="00221376">
        <w:t>Johnson</w:t>
      </w:r>
      <w:r w:rsidRPr="00D67D7E">
        <w:t>:</w:t>
      </w:r>
    </w:p>
    <w:p w:rsidR="00D67D7E" w:rsidRDefault="0056248E" w:rsidP="00C1619B">
      <w:pPr>
        <w:pStyle w:val="BodyText"/>
      </w:pPr>
      <w:r>
        <w:t>These comments are submitted on behalf of Puget Sound Energy (“</w:t>
      </w:r>
      <w:r w:rsidR="00D67D7E">
        <w:t>PSE</w:t>
      </w:r>
      <w:r>
        <w:t>”)</w:t>
      </w:r>
      <w:r w:rsidR="00D67D7E">
        <w:t xml:space="preserve"> in response to the Commission’s Notice of Opportunity to </w:t>
      </w:r>
      <w:r w:rsidR="00F5774E">
        <w:t>Submit</w:t>
      </w:r>
      <w:r w:rsidR="00D67D7E">
        <w:t xml:space="preserve"> Written Comments dated </w:t>
      </w:r>
      <w:r w:rsidR="00C1619B">
        <w:t>July 2</w:t>
      </w:r>
      <w:r w:rsidR="00D67D7E">
        <w:t>, 201</w:t>
      </w:r>
      <w:r w:rsidR="00221376">
        <w:t>8</w:t>
      </w:r>
      <w:r w:rsidR="00D67D7E">
        <w:t xml:space="preserve"> regarding proposed amendments to </w:t>
      </w:r>
      <w:r w:rsidR="00221376">
        <w:t>the Washington Administrative Code (“</w:t>
      </w:r>
      <w:r w:rsidR="00837A9E">
        <w:t>WAC</w:t>
      </w:r>
      <w:r w:rsidR="00221376">
        <w:t>”) Chapter</w:t>
      </w:r>
      <w:r w:rsidR="00837A9E">
        <w:t xml:space="preserve"> 480-0</w:t>
      </w:r>
      <w:r w:rsidR="00C1619B">
        <w:t xml:space="preserve">7, </w:t>
      </w:r>
      <w:r w:rsidR="00C1619B" w:rsidRPr="00C1619B">
        <w:t>Parts III B through IV</w:t>
      </w:r>
      <w:r w:rsidR="00837A9E">
        <w:t xml:space="preserve">.  </w:t>
      </w:r>
      <w:r w:rsidR="000A4730">
        <w:t>As this appears to be the final</w:t>
      </w:r>
      <w:r w:rsidR="004524FD">
        <w:t xml:space="preserve"> opportunity for written</w:t>
      </w:r>
      <w:r w:rsidR="000A4730">
        <w:t xml:space="preserve"> comment, </w:t>
      </w:r>
      <w:r w:rsidR="00221376">
        <w:t xml:space="preserve">PSE </w:t>
      </w:r>
      <w:r w:rsidR="000A4730">
        <w:t xml:space="preserve">renews certain of its </w:t>
      </w:r>
      <w:r w:rsidR="00950337">
        <w:t>previously stated</w:t>
      </w:r>
      <w:r w:rsidR="000A4730">
        <w:t xml:space="preserve"> concerns about the proposed rules. </w:t>
      </w:r>
    </w:p>
    <w:p w:rsidR="005B4D8D" w:rsidRDefault="00826237" w:rsidP="005B4D8D">
      <w:pPr>
        <w:pStyle w:val="BodyText"/>
        <w:rPr>
          <w:b/>
        </w:rPr>
      </w:pPr>
      <w:r>
        <w:rPr>
          <w:b/>
        </w:rPr>
        <w:t>WAC 480-</w:t>
      </w:r>
      <w:r w:rsidR="006E5741">
        <w:rPr>
          <w:b/>
        </w:rPr>
        <w:t>07-505</w:t>
      </w:r>
      <w:r w:rsidR="008718F5">
        <w:rPr>
          <w:b/>
        </w:rPr>
        <w:t>(1)(</w:t>
      </w:r>
      <w:r w:rsidR="003337BA">
        <w:rPr>
          <w:b/>
        </w:rPr>
        <w:t>b</w:t>
      </w:r>
      <w:r w:rsidR="008718F5">
        <w:rPr>
          <w:b/>
        </w:rPr>
        <w:t>)</w:t>
      </w:r>
      <w:r w:rsidR="00C910EA">
        <w:rPr>
          <w:b/>
        </w:rPr>
        <w:t xml:space="preserve"> </w:t>
      </w:r>
      <w:r w:rsidR="00663122">
        <w:rPr>
          <w:b/>
        </w:rPr>
        <w:t>Definition of General Rate Proceeding</w:t>
      </w:r>
      <w:r w:rsidR="00C910EA">
        <w:rPr>
          <w:b/>
        </w:rPr>
        <w:t>.</w:t>
      </w:r>
    </w:p>
    <w:p w:rsidR="003337BA" w:rsidRDefault="00F2088C" w:rsidP="00A72A3C">
      <w:pPr>
        <w:pStyle w:val="BodyText"/>
      </w:pPr>
      <w:r>
        <w:t>PSE a</w:t>
      </w:r>
      <w:r w:rsidR="000A4730">
        <w:t xml:space="preserve">gain renews its concern that the rules, as revised, would trigger a general rate case when a company files for a rate increase of less than three percent </w:t>
      </w:r>
      <w:r w:rsidR="00950337">
        <w:t>if it</w:t>
      </w:r>
      <w:r w:rsidR="000A4730">
        <w:t xml:space="preserve"> proposes to change or lower its cost of debt in the filing. </w:t>
      </w:r>
      <w:r>
        <w:t xml:space="preserve">PSE continues to believe that a change in the cost of debt, by itself, should not trigger a general rate case, if </w:t>
      </w:r>
      <w:r w:rsidR="00E52319">
        <w:t xml:space="preserve">there is no other change in the capital structure or cost of equity.  </w:t>
      </w:r>
      <w:r w:rsidR="003337BA">
        <w:t>PSE proposes the following change to the proposed rule:</w:t>
      </w:r>
    </w:p>
    <w:p w:rsidR="003337BA" w:rsidRDefault="003337BA" w:rsidP="00FD3267">
      <w:pPr>
        <w:pStyle w:val="BodyText"/>
        <w:ind w:left="720" w:right="720"/>
      </w:pPr>
      <w:r w:rsidRPr="003337BA">
        <w:t>Except as otherwise provided in this rule or RCW 80.04.130 (2)(a) (governing rate decreases for telecommunications companies), the commission will initiate a general rate proceeding in response to a filing by any public service company identified in WAC 480-07-500 requesting to change its rates if that filing meets any of the following criteria:</w:t>
      </w:r>
    </w:p>
    <w:p w:rsidR="003337BA" w:rsidRDefault="003337BA" w:rsidP="00FD3267">
      <w:pPr>
        <w:pStyle w:val="BodyText"/>
        <w:ind w:left="720" w:right="720"/>
      </w:pPr>
      <w:r>
        <w:t xml:space="preserve">(b) </w:t>
      </w:r>
      <w:r w:rsidRPr="003337BA">
        <w:t xml:space="preserve">The company requests a change in its authorized </w:t>
      </w:r>
      <w:r w:rsidRPr="003337BA">
        <w:rPr>
          <w:strike/>
        </w:rPr>
        <w:t>rate of</w:t>
      </w:r>
      <w:r w:rsidRPr="003337BA">
        <w:t xml:space="preserve"> return </w:t>
      </w:r>
      <w:r w:rsidRPr="00844C8C">
        <w:rPr>
          <w:u w:val="single"/>
        </w:rPr>
        <w:t>on common equity</w:t>
      </w:r>
      <w:r w:rsidRPr="003337BA">
        <w:t xml:space="preserve"> or a change in its capital structure.</w:t>
      </w:r>
    </w:p>
    <w:p w:rsidR="008475CE" w:rsidRDefault="00E52319" w:rsidP="00A72A3C">
      <w:pPr>
        <w:pStyle w:val="BodyText"/>
      </w:pPr>
      <w:r>
        <w:t xml:space="preserve">This is consistent with the Commission’s decision in PSE’s 2013 ERF, in which </w:t>
      </w:r>
      <w:r w:rsidR="00484810">
        <w:t>the Commission approved</w:t>
      </w:r>
      <w:r w:rsidR="00FD3267">
        <w:t>,</w:t>
      </w:r>
      <w:r w:rsidR="00484810">
        <w:t xml:space="preserve"> </w:t>
      </w:r>
      <w:r w:rsidR="00FD3267">
        <w:t xml:space="preserve">outside of a general rate case, </w:t>
      </w:r>
      <w:r w:rsidR="00484810">
        <w:t>a rate increase of l</w:t>
      </w:r>
      <w:r>
        <w:t xml:space="preserve">ess </w:t>
      </w:r>
      <w:r w:rsidR="00B2259B">
        <w:t>than three percent</w:t>
      </w:r>
      <w:r w:rsidR="00FD3267">
        <w:t xml:space="preserve"> and a reduction in the</w:t>
      </w:r>
      <w:r>
        <w:t xml:space="preserve"> cost of debt.</w:t>
      </w:r>
      <w:r w:rsidR="00484810">
        <w:rPr>
          <w:rStyle w:val="FootnoteReference"/>
        </w:rPr>
        <w:footnoteReference w:id="1"/>
      </w:r>
      <w:r>
        <w:t xml:space="preserve">  It is also consistent with the settlement agreement executed by ten parties in the </w:t>
      </w:r>
      <w:r w:rsidR="00484810">
        <w:t xml:space="preserve">PSE </w:t>
      </w:r>
      <w:r>
        <w:t>2017 general rate case</w:t>
      </w:r>
      <w:r w:rsidR="00991991">
        <w:t xml:space="preserve"> and approved by the Commission</w:t>
      </w:r>
      <w:r>
        <w:t>.</w:t>
      </w:r>
      <w:r w:rsidR="00991991" w:rsidRPr="00991991">
        <w:rPr>
          <w:vertAlign w:val="superscript"/>
        </w:rPr>
        <w:footnoteReference w:id="2"/>
      </w:r>
      <w:r>
        <w:t xml:space="preserve">  In that case the parties agreed that PSE could file an expedited rate filing, requesting a rate increase of less than three percent</w:t>
      </w:r>
      <w:r w:rsidR="00484810">
        <w:t xml:space="preserve"> outside of a general rate case</w:t>
      </w:r>
      <w:r>
        <w:t>, and that PSE could up</w:t>
      </w:r>
      <w:r w:rsidR="00484810">
        <w:t>date its cost of debt in that proceeding.</w:t>
      </w:r>
      <w:r w:rsidR="00844C8C">
        <w:rPr>
          <w:rStyle w:val="FootnoteReference"/>
        </w:rPr>
        <w:footnoteReference w:id="3"/>
      </w:r>
      <w:r w:rsidR="00484810">
        <w:t xml:space="preserve"> </w:t>
      </w:r>
      <w:r w:rsidR="00332914">
        <w:t xml:space="preserve"> </w:t>
      </w:r>
      <w:r w:rsidR="00991991">
        <w:t>A</w:t>
      </w:r>
      <w:r w:rsidR="00950337">
        <w:t xml:space="preserve">lthough the </w:t>
      </w:r>
      <w:r w:rsidR="00991991">
        <w:t xml:space="preserve">proposed </w:t>
      </w:r>
      <w:r w:rsidR="00950337">
        <w:t>rules give the Commission discretion not to treat such a filing as a general rate case</w:t>
      </w:r>
      <w:r w:rsidR="00991991">
        <w:t>,</w:t>
      </w:r>
      <w:r w:rsidR="00844C8C">
        <w:rPr>
          <w:rStyle w:val="FootnoteReference"/>
        </w:rPr>
        <w:footnoteReference w:id="4"/>
      </w:r>
      <w:r w:rsidR="00991991">
        <w:t xml:space="preserve"> which PSE finds helpful, </w:t>
      </w:r>
      <w:r w:rsidR="003337BA">
        <w:t>it would be</w:t>
      </w:r>
      <w:r w:rsidR="00950337">
        <w:t xml:space="preserve"> preferable to remove the requirement that any change in the rate of return</w:t>
      </w:r>
      <w:r w:rsidR="008718F5" w:rsidRPr="008718F5">
        <w:t>—</w:t>
      </w:r>
      <w:r w:rsidR="00950337">
        <w:t>including a change in the cost of debt only</w:t>
      </w:r>
      <w:r w:rsidR="008718F5" w:rsidRPr="008718F5">
        <w:t>—</w:t>
      </w:r>
      <w:r w:rsidR="00950337">
        <w:t xml:space="preserve">would trigger a general rate case.  </w:t>
      </w:r>
      <w:r w:rsidR="002156A2" w:rsidRPr="002156A2">
        <w:t>This change would provide companies and intervenors more certainty regarding how a submission will be treated</w:t>
      </w:r>
      <w:r w:rsidR="002156A2">
        <w:t>,</w:t>
      </w:r>
      <w:r w:rsidR="002156A2" w:rsidRPr="002156A2">
        <w:t xml:space="preserve"> rather than having to wait for the Commission to exercise its discretion.</w:t>
      </w:r>
    </w:p>
    <w:p w:rsidR="00516447" w:rsidRDefault="00516447" w:rsidP="00A72A3C">
      <w:pPr>
        <w:pStyle w:val="BodyText"/>
      </w:pPr>
      <w:r>
        <w:rPr>
          <w:b/>
        </w:rPr>
        <w:t>WAC 480-07-510(3)</w:t>
      </w:r>
      <w:r w:rsidR="00844C8C">
        <w:rPr>
          <w:b/>
        </w:rPr>
        <w:t>(a)</w:t>
      </w:r>
    </w:p>
    <w:p w:rsidR="00516447" w:rsidRDefault="00516447" w:rsidP="00A72A3C">
      <w:pPr>
        <w:pStyle w:val="BodyText"/>
      </w:pPr>
      <w:r>
        <w:t xml:space="preserve">PSE renews its concern regarding the </w:t>
      </w:r>
      <w:r w:rsidR="00991991">
        <w:t xml:space="preserve">wording of the </w:t>
      </w:r>
      <w:r>
        <w:t xml:space="preserve">requirement to file </w:t>
      </w:r>
      <w:r w:rsidR="00950337">
        <w:t>“</w:t>
      </w:r>
      <w:r>
        <w:t xml:space="preserve">all </w:t>
      </w:r>
      <w:r w:rsidR="0082423F">
        <w:t xml:space="preserve">detail </w:t>
      </w:r>
      <w:r w:rsidR="00490944">
        <w:t xml:space="preserve">. . . </w:t>
      </w:r>
      <w:r w:rsidR="0082423F">
        <w:t>necessary to support</w:t>
      </w:r>
      <w:r w:rsidR="00950337">
        <w:t xml:space="preserve"> </w:t>
      </w:r>
      <w:r w:rsidR="007423E5">
        <w:t>[the company’s] requests and proposals</w:t>
      </w:r>
      <w:r w:rsidR="0082423F">
        <w:t>.</w:t>
      </w:r>
      <w:r w:rsidR="00970CB8">
        <w:t>”</w:t>
      </w:r>
      <w:r w:rsidR="00950337">
        <w:t xml:space="preserve">  This </w:t>
      </w:r>
      <w:r w:rsidR="00991991">
        <w:t xml:space="preserve">language is </w:t>
      </w:r>
      <w:r w:rsidR="00950337">
        <w:t>over inclusive</w:t>
      </w:r>
      <w:r w:rsidR="00210B18">
        <w:t>;</w:t>
      </w:r>
      <w:r w:rsidR="00991991">
        <w:t xml:space="preserve"> it </w:t>
      </w:r>
      <w:r w:rsidR="007423E5">
        <w:t>would require</w:t>
      </w:r>
      <w:r w:rsidR="00950337">
        <w:t xml:space="preserve"> </w:t>
      </w:r>
      <w:r w:rsidR="007423E5">
        <w:t xml:space="preserve">a company to file </w:t>
      </w:r>
      <w:r w:rsidR="00950337">
        <w:t>supporting workpaper</w:t>
      </w:r>
      <w:r w:rsidR="007423E5">
        <w:t>s</w:t>
      </w:r>
      <w:r w:rsidR="00950337">
        <w:t xml:space="preserve"> </w:t>
      </w:r>
      <w:r w:rsidR="00C301FD">
        <w:t>as evidence because the workpapers fall within the category of “all detail, calculations</w:t>
      </w:r>
      <w:r w:rsidR="000F7619">
        <w:t xml:space="preserve">, information and descriptions </w:t>
      </w:r>
      <w:r w:rsidR="00C301FD">
        <w:t xml:space="preserve">necessary </w:t>
      </w:r>
      <w:r w:rsidR="00075872">
        <w:t xml:space="preserve">to </w:t>
      </w:r>
      <w:r w:rsidR="00C301FD">
        <w:t>support its requests</w:t>
      </w:r>
      <w:r w:rsidR="005B1D48">
        <w:t xml:space="preserve"> and proposals</w:t>
      </w:r>
      <w:r w:rsidR="007423E5">
        <w:t>.</w:t>
      </w:r>
      <w:r w:rsidR="00C301FD">
        <w:t xml:space="preserve">”  Alternatively, </w:t>
      </w:r>
      <w:r w:rsidR="00075872">
        <w:t>if as Staff suggests, the proposed rule requires a company to file “only the amount needed to prove the company’s case”</w:t>
      </w:r>
      <w:r w:rsidR="00954975">
        <w:rPr>
          <w:rStyle w:val="FootnoteReference"/>
        </w:rPr>
        <w:footnoteReference w:id="5"/>
      </w:r>
      <w:r w:rsidR="00075872">
        <w:t xml:space="preserve"> then the rule</w:t>
      </w:r>
      <w:r w:rsidR="00C301FD">
        <w:t xml:space="preserve"> is ambiguous as to what </w:t>
      </w:r>
      <w:r w:rsidR="00944C33">
        <w:t xml:space="preserve">level less than “all” is </w:t>
      </w:r>
      <w:r w:rsidR="00075872">
        <w:t>required</w:t>
      </w:r>
      <w:r w:rsidR="00944C33">
        <w:t xml:space="preserve">.  </w:t>
      </w:r>
      <w:r w:rsidR="0082423F">
        <w:t>PSE proposes the following change</w:t>
      </w:r>
      <w:r w:rsidR="005B1D48">
        <w:t xml:space="preserve">, which addresses Staff’s concern with respect to </w:t>
      </w:r>
      <w:r w:rsidR="000F7619">
        <w:t xml:space="preserve">companies </w:t>
      </w:r>
      <w:r w:rsidR="005B1D48">
        <w:t>filing sufficient evidence to meet the</w:t>
      </w:r>
      <w:r w:rsidR="002776E3">
        <w:t>ir</w:t>
      </w:r>
      <w:r w:rsidR="005B1D48">
        <w:t xml:space="preserve"> burden of proof, while also </w:t>
      </w:r>
      <w:r w:rsidR="007423E5">
        <w:t xml:space="preserve">lessening PSE’s concern that the rule would ultimately require all information in workpapers to be filed as evidence.  </w:t>
      </w:r>
      <w:r w:rsidR="005B1D48">
        <w:t xml:space="preserve">   </w:t>
      </w:r>
    </w:p>
    <w:p w:rsidR="0082423F" w:rsidRPr="0082423F" w:rsidRDefault="0082423F" w:rsidP="00FD3267">
      <w:pPr>
        <w:pStyle w:val="BodyText"/>
        <w:ind w:left="720" w:right="720"/>
      </w:pPr>
      <w:r>
        <w:t xml:space="preserve">The company must include in its initial testimony and exhibits, including those addressing accounting adjustments, </w:t>
      </w:r>
      <w:r>
        <w:rPr>
          <w:u w:val="single"/>
        </w:rPr>
        <w:t>sufficient</w:t>
      </w:r>
      <w:r w:rsidRPr="0082423F">
        <w:t xml:space="preserve"> </w:t>
      </w:r>
      <w:r w:rsidRPr="0082423F">
        <w:rPr>
          <w:strike/>
        </w:rPr>
        <w:t>all</w:t>
      </w:r>
      <w:r>
        <w:t xml:space="preserve"> detail, calculations, information, and descriptions necessary to </w:t>
      </w:r>
      <w:r w:rsidRPr="00C301FD">
        <w:rPr>
          <w:strike/>
        </w:rPr>
        <w:t xml:space="preserve">support its requests and proposals and </w:t>
      </w:r>
      <w:r>
        <w:t>meet its burden of proof. Any party responding to the company’s proposal also mu</w:t>
      </w:r>
      <w:r w:rsidR="00D9782A">
        <w:t>st</w:t>
      </w:r>
      <w:r>
        <w:t xml:space="preserve"> include in that party’s testimony and exhibits </w:t>
      </w:r>
      <w:r>
        <w:rPr>
          <w:u w:val="single"/>
        </w:rPr>
        <w:t>sufficient</w:t>
      </w:r>
      <w:r>
        <w:t xml:space="preserve"> </w:t>
      </w:r>
      <w:r w:rsidRPr="0082423F">
        <w:rPr>
          <w:strike/>
        </w:rPr>
        <w:t>all</w:t>
      </w:r>
      <w:r>
        <w:t xml:space="preserve"> </w:t>
      </w:r>
      <w:r w:rsidRPr="0082423F">
        <w:t>detail</w:t>
      </w:r>
      <w:r>
        <w:t>, calculation, information, and descriptions necessary to support its</w:t>
      </w:r>
      <w:r w:rsidR="00E50753">
        <w:t xml:space="preserve"> </w:t>
      </w:r>
      <w:r w:rsidR="00E50753">
        <w:rPr>
          <w:u w:val="single"/>
        </w:rPr>
        <w:t>filed case</w:t>
      </w:r>
      <w:r>
        <w:t xml:space="preserve"> </w:t>
      </w:r>
      <w:r w:rsidRPr="00E50753">
        <w:rPr>
          <w:strike/>
        </w:rPr>
        <w:t>proposals</w:t>
      </w:r>
      <w:r>
        <w:t xml:space="preserve">.  </w:t>
      </w:r>
    </w:p>
    <w:p w:rsidR="00844C8C" w:rsidRDefault="00844C8C" w:rsidP="00A72A3C">
      <w:pPr>
        <w:pStyle w:val="BodyText"/>
        <w:rPr>
          <w:b/>
        </w:rPr>
      </w:pPr>
    </w:p>
    <w:p w:rsidR="001752C0" w:rsidRDefault="001752C0" w:rsidP="00A72A3C">
      <w:pPr>
        <w:pStyle w:val="BodyText"/>
        <w:rPr>
          <w:b/>
        </w:rPr>
      </w:pPr>
      <w:r w:rsidRPr="001752C0">
        <w:rPr>
          <w:b/>
        </w:rPr>
        <w:t>WAC 480-07-510</w:t>
      </w:r>
      <w:r w:rsidR="00844C8C">
        <w:rPr>
          <w:b/>
        </w:rPr>
        <w:t>(4)(a)</w:t>
      </w:r>
      <w:r w:rsidRPr="001752C0">
        <w:rPr>
          <w:b/>
        </w:rPr>
        <w:t xml:space="preserve"> Timing of Workpaper Filing</w:t>
      </w:r>
    </w:p>
    <w:p w:rsidR="001752C0" w:rsidRPr="001752C0" w:rsidRDefault="001752C0" w:rsidP="00A72A3C">
      <w:pPr>
        <w:pStyle w:val="BodyText"/>
      </w:pPr>
      <w:r>
        <w:t>PSE disagrees with the change to the proposed revised rule that would allow parties to wait five days after a filing</w:t>
      </w:r>
      <w:r w:rsidR="00944C33" w:rsidRPr="00944C33">
        <w:t xml:space="preserve"> </w:t>
      </w:r>
      <w:r w:rsidR="00844C8C">
        <w:t>to provide</w:t>
      </w:r>
      <w:r w:rsidR="00944C33">
        <w:t xml:space="preserve"> workpapers</w:t>
      </w:r>
      <w:r w:rsidR="00844C8C">
        <w:t xml:space="preserve"> to other parties</w:t>
      </w:r>
      <w:r>
        <w:t xml:space="preserve">.  This </w:t>
      </w:r>
      <w:r w:rsidR="00B2259B">
        <w:t xml:space="preserve">delay in receiving work papers would </w:t>
      </w:r>
      <w:r>
        <w:t>harm regulated companies such as PSE</w:t>
      </w:r>
      <w:r w:rsidR="00944C33">
        <w:t xml:space="preserve">, particularly </w:t>
      </w:r>
      <w:r w:rsidR="00075872">
        <w:t>during the rebuttal phase of the case</w:t>
      </w:r>
      <w:r w:rsidR="00B2259B">
        <w:t xml:space="preserve">.  </w:t>
      </w:r>
      <w:r w:rsidR="005E3265">
        <w:t>The time for preparation of rebuttal testimony is typically short</w:t>
      </w:r>
      <w:r w:rsidR="008718F5">
        <w:t>—</w:t>
      </w:r>
      <w:r w:rsidR="005E3265">
        <w:t xml:space="preserve">approximately </w:t>
      </w:r>
      <w:r w:rsidR="00075872">
        <w:t xml:space="preserve">four or </w:t>
      </w:r>
      <w:r w:rsidR="005E3265">
        <w:t>five weeks</w:t>
      </w:r>
      <w:bookmarkStart w:id="1" w:name="_Hlk520790527"/>
      <w:r w:rsidR="008718F5">
        <w:t>—</w:t>
      </w:r>
      <w:bookmarkEnd w:id="1"/>
      <w:r w:rsidR="005E3265">
        <w:t xml:space="preserve">and if a regulated company does not receive </w:t>
      </w:r>
      <w:r w:rsidR="00944C33">
        <w:t xml:space="preserve">other parties’ supporting </w:t>
      </w:r>
      <w:r w:rsidR="005E3265">
        <w:t xml:space="preserve">workpapers for </w:t>
      </w:r>
      <w:r w:rsidR="00944C33">
        <w:t xml:space="preserve">a </w:t>
      </w:r>
      <w:r w:rsidR="005E3265">
        <w:t xml:space="preserve">week </w:t>
      </w:r>
      <w:r w:rsidR="008363F8">
        <w:t xml:space="preserve">after response testimony is filed, </w:t>
      </w:r>
      <w:r w:rsidR="005E3265">
        <w:t xml:space="preserve">the company will </w:t>
      </w:r>
      <w:r w:rsidR="00944C33">
        <w:t xml:space="preserve">lose valuable time needed to understand and respond to other parties’ testimony.  </w:t>
      </w:r>
      <w:r w:rsidR="00A35B95">
        <w:t>The use of w</w:t>
      </w:r>
      <w:r w:rsidR="002156A2">
        <w:t xml:space="preserve">orkpapers to understand other parties’ submissions </w:t>
      </w:r>
      <w:r w:rsidR="00A35B95">
        <w:t>is</w:t>
      </w:r>
      <w:r w:rsidR="002156A2">
        <w:t xml:space="preserve"> a fundamental necessity </w:t>
      </w:r>
      <w:r w:rsidR="00A35B95">
        <w:t xml:space="preserve">for companies to allow </w:t>
      </w:r>
      <w:r w:rsidR="002B1FD5">
        <w:t>them to uphold their burden of proof by responding to and rebutting issues raised by other parties</w:t>
      </w:r>
      <w:r w:rsidR="00E146CC">
        <w:t xml:space="preserve">; a </w:t>
      </w:r>
      <w:r w:rsidR="002B1FD5">
        <w:t xml:space="preserve">delay in receipt of work papers puts companies at a distinct disadvantage. </w:t>
      </w:r>
      <w:r w:rsidR="002156A2">
        <w:t>Companies</w:t>
      </w:r>
      <w:r w:rsidR="00944C33">
        <w:t xml:space="preserve"> will be harmed by this delay, and the quality of rebuttal testimony may suffer if PSE is not able to work through other parties’ filings for the first week after they are filed</w:t>
      </w:r>
      <w:r w:rsidR="005E3265">
        <w:t xml:space="preserve">.  </w:t>
      </w:r>
      <w:r w:rsidR="004E12BE" w:rsidRPr="004E12BE">
        <w:t xml:space="preserve">This </w:t>
      </w:r>
      <w:r w:rsidR="00844C8C">
        <w:t xml:space="preserve">can be expected to </w:t>
      </w:r>
      <w:r w:rsidR="004E12BE" w:rsidRPr="004E12BE">
        <w:t xml:space="preserve">result in </w:t>
      </w:r>
      <w:r w:rsidR="0021506F">
        <w:t>c</w:t>
      </w:r>
      <w:r w:rsidR="004E12BE" w:rsidRPr="004E12BE">
        <w:t xml:space="preserve">ompanies requesting </w:t>
      </w:r>
      <w:r w:rsidR="003B4B13">
        <w:t xml:space="preserve">that </w:t>
      </w:r>
      <w:r w:rsidR="004E12BE" w:rsidRPr="004E12BE">
        <w:t xml:space="preserve">an extra week be added to the procedural schedule between </w:t>
      </w:r>
      <w:r w:rsidR="00844C8C">
        <w:t>response testimony</w:t>
      </w:r>
      <w:r w:rsidR="004E12BE" w:rsidRPr="004E12BE">
        <w:t xml:space="preserve"> and the </w:t>
      </w:r>
      <w:r w:rsidR="00844C8C">
        <w:t>c</w:t>
      </w:r>
      <w:r w:rsidR="004E12BE" w:rsidRPr="004E12BE">
        <w:t>ompan</w:t>
      </w:r>
      <w:r w:rsidR="00844C8C">
        <w:t>y’s</w:t>
      </w:r>
      <w:r w:rsidR="004E12BE" w:rsidRPr="004E12BE">
        <w:t xml:space="preserve"> rebuttal testimony. </w:t>
      </w:r>
      <w:r w:rsidR="009E4D68">
        <w:t xml:space="preserve">PSE respectfully requests the Commission return to the earlier version of this proposed draft rule and require workpapers to be </w:t>
      </w:r>
      <w:r w:rsidR="00844C8C">
        <w:t>provide</w:t>
      </w:r>
      <w:r w:rsidR="009E4D68">
        <w:t>d no later than three business days following a filing</w:t>
      </w:r>
      <w:r w:rsidR="00944C33">
        <w:t>, or in the alternative,</w:t>
      </w:r>
      <w:r w:rsidR="00FD3267">
        <w:t xml:space="preserve"> that workpapers be provided a</w:t>
      </w:r>
      <w:r w:rsidR="00944C33">
        <w:t>t the time of filing</w:t>
      </w:r>
      <w:r w:rsidR="009E4D68">
        <w:t>.</w:t>
      </w:r>
    </w:p>
    <w:p w:rsidR="00745587" w:rsidRDefault="00745587" w:rsidP="00A72A3C">
      <w:pPr>
        <w:pStyle w:val="BodyText"/>
      </w:pPr>
      <w:r w:rsidRPr="00745587">
        <w:rPr>
          <w:b/>
        </w:rPr>
        <w:t>WAC 480-07-5</w:t>
      </w:r>
      <w:r>
        <w:rPr>
          <w:b/>
        </w:rPr>
        <w:t>1</w:t>
      </w:r>
      <w:r w:rsidRPr="00745587">
        <w:rPr>
          <w:b/>
        </w:rPr>
        <w:t>5 Definition of General Rate Proceeding</w:t>
      </w:r>
      <w:r w:rsidRPr="00745587">
        <w:t xml:space="preserve"> </w:t>
      </w:r>
    </w:p>
    <w:p w:rsidR="00037F3B" w:rsidRDefault="00037F3B" w:rsidP="00A72A3C">
      <w:pPr>
        <w:pStyle w:val="BodyText"/>
      </w:pPr>
      <w:r>
        <w:t xml:space="preserve">PSE wishes to again express its concern that the limited rate proceeding rules </w:t>
      </w:r>
      <w:r w:rsidRPr="00037F3B">
        <w:t>that had been proposed in WAC 480-07-515</w:t>
      </w:r>
      <w:r>
        <w:t>, were removed from the rulemaking last year.  The proposed rules, as drafted, would have allowed a company to file up to two successive limited rate proceeding</w:t>
      </w:r>
      <w:r w:rsidR="00CF6058">
        <w:t>s</w:t>
      </w:r>
      <w:r>
        <w:t>, the first within one year after the rate effective date of a general rate case, and the second within one year after the rate effective date of a first limited rate proceeding.  There was no requirement for a showing of exceptional circumstances for a utility to file</w:t>
      </w:r>
      <w:r w:rsidR="00FD3267">
        <w:t xml:space="preserve"> a limited rate proceeding</w:t>
      </w:r>
      <w:r>
        <w:t xml:space="preserve">, and power costs were to be removed as part of the filing.  In the </w:t>
      </w:r>
      <w:r w:rsidR="00A32B3D">
        <w:t xml:space="preserve">November 16, 2017 </w:t>
      </w:r>
      <w:r>
        <w:t xml:space="preserve">draft of the proposed rules, </w:t>
      </w:r>
      <w:r w:rsidR="00A32B3D">
        <w:t xml:space="preserve">the limited rate case proceeding </w:t>
      </w:r>
      <w:r>
        <w:t xml:space="preserve">section was removed, and the explanation given was that </w:t>
      </w:r>
      <w:r w:rsidR="00A32B3D">
        <w:t>“Staff believes a rule establishing limited rate proceedings would be premature</w:t>
      </w:r>
      <w:r>
        <w:t>.</w:t>
      </w:r>
      <w:r w:rsidR="00A32B3D">
        <w:t>”</w:t>
      </w:r>
      <w:r w:rsidR="003B4B13">
        <w:rPr>
          <w:rStyle w:val="FootnoteReference"/>
        </w:rPr>
        <w:footnoteReference w:id="6"/>
      </w:r>
      <w:r w:rsidR="00A32B3D">
        <w:t xml:space="preserve">  </w:t>
      </w:r>
      <w:r>
        <w:t xml:space="preserve">  </w:t>
      </w:r>
    </w:p>
    <w:p w:rsidR="00C6478D" w:rsidRDefault="00037F3B" w:rsidP="003A4E4E">
      <w:pPr>
        <w:pStyle w:val="BodyText"/>
        <w:rPr>
          <w:b/>
        </w:rPr>
      </w:pPr>
      <w:r>
        <w:t xml:space="preserve">PSE respectfully </w:t>
      </w:r>
      <w:r w:rsidR="004C545B">
        <w:t xml:space="preserve">disagrees that it is premature to </w:t>
      </w:r>
      <w:r w:rsidR="00A32B3D">
        <w:t xml:space="preserve">establish </w:t>
      </w:r>
      <w:r w:rsidR="00F34E21">
        <w:t xml:space="preserve">rules addressing </w:t>
      </w:r>
      <w:r w:rsidR="004C545B">
        <w:t>limited rate proceedings.  As the recent PSE ERF filing demonstrates, there are differing views as to (i) the format of a limited rate proceeding/ERF, (ii) how power costs should be treated/removed in the filing, and (iii) the standard to be met for such a filing</w:t>
      </w:r>
      <w:r w:rsidR="00516447">
        <w:t xml:space="preserve"> (i.e., whether a showing of exceptional need is required</w:t>
      </w:r>
      <w:r w:rsidR="003A4E4E">
        <w:t xml:space="preserve"> for an ERF</w:t>
      </w:r>
      <w:r w:rsidR="00516447">
        <w:t>)</w:t>
      </w:r>
      <w:r w:rsidR="004C545B">
        <w:t>.</w:t>
      </w:r>
      <w:r w:rsidR="003313AE">
        <w:rPr>
          <w:rStyle w:val="FootnoteReference"/>
        </w:rPr>
        <w:footnoteReference w:id="7"/>
      </w:r>
      <w:r w:rsidR="004C545B">
        <w:t xml:space="preserve">  </w:t>
      </w:r>
      <w:r w:rsidR="00A32B3D">
        <w:t>Limited rate proceedings have been used periodically for several years,</w:t>
      </w:r>
      <w:r w:rsidR="008718F5">
        <w:rPr>
          <w:rStyle w:val="FootnoteReference"/>
        </w:rPr>
        <w:footnoteReference w:id="8"/>
      </w:r>
      <w:r w:rsidR="00A32B3D">
        <w:t xml:space="preserve"> and the Commission has acknowledged a utility’s ability to file such cases.</w:t>
      </w:r>
      <w:r w:rsidR="008718F5">
        <w:rPr>
          <w:rStyle w:val="FootnoteReference"/>
        </w:rPr>
        <w:footnoteReference w:id="9"/>
      </w:r>
      <w:r w:rsidR="00A32B3D">
        <w:t xml:space="preserve">  Establishing rules for such proceedings would promote certainty and efficiency in the ratemaking process.  </w:t>
      </w:r>
      <w:r w:rsidR="004C545B">
        <w:t xml:space="preserve">For this reason, PSE respectfully requests that the Commission either reinstate </w:t>
      </w:r>
      <w:r w:rsidR="00F34E21">
        <w:t xml:space="preserve">and allow further comment on </w:t>
      </w:r>
      <w:r w:rsidR="004C545B">
        <w:t>the limited rate proceeding rules that were withdrawn</w:t>
      </w:r>
      <w:r w:rsidR="00F34E21">
        <w:t>,</w:t>
      </w:r>
      <w:r w:rsidR="004C545B">
        <w:t xml:space="preserve"> or promulgate updated rules addressing limited rate proceedings and allow comment on th</w:t>
      </w:r>
      <w:r w:rsidR="003A4E4E">
        <w:t>e updated</w:t>
      </w:r>
      <w:r w:rsidR="00A32B3D">
        <w:t xml:space="preserve"> rules.  </w:t>
      </w:r>
    </w:p>
    <w:p w:rsidR="00D67D7E" w:rsidRDefault="00D67D7E" w:rsidP="00A52BAB">
      <w:r>
        <w:t>Thank you for the opportunity to file comments</w:t>
      </w:r>
      <w:r w:rsidR="0032554F">
        <w:t xml:space="preserve"> on behalf of PSE</w:t>
      </w:r>
      <w:r>
        <w:t>.  If we can be of any further assistance, please contact Donna L. Barnett or Sheree Strom Carson at 425-635-1400.</w:t>
      </w:r>
    </w:p>
    <w:p w:rsidR="00D67D7E" w:rsidRDefault="00D67D7E" w:rsidP="00D67D7E">
      <w:pPr>
        <w:pStyle w:val="BodyText"/>
      </w:pPr>
    </w:p>
    <w:p w:rsidR="00D67D7E" w:rsidRDefault="00D67D7E" w:rsidP="00D67D7E">
      <w:pPr>
        <w:pStyle w:val="BodyText"/>
      </w:pPr>
      <w:r>
        <w:t>Sincerely,</w:t>
      </w:r>
      <w:r w:rsidR="0073479D">
        <w:br/>
      </w:r>
    </w:p>
    <w:p w:rsidR="00D67D7E" w:rsidRDefault="00561EE4" w:rsidP="00D67D7E">
      <w:pPr>
        <w:pStyle w:val="BodyText"/>
      </w:pPr>
      <w:r>
        <w:t xml:space="preserve">Sheree S. Carson </w:t>
      </w:r>
    </w:p>
    <w:p w:rsidR="00D206D5" w:rsidRDefault="00D206D5" w:rsidP="00D67D7E">
      <w:pPr>
        <w:pStyle w:val="BodyText"/>
      </w:pPr>
    </w:p>
    <w:sectPr w:rsidR="00D206D5" w:rsidSect="00D67D7E">
      <w:headerReference w:type="default" r:id="rId8"/>
      <w:footerReference w:type="default" r:id="rId9"/>
      <w:headerReference w:type="first" r:id="rId10"/>
      <w:footerReference w:type="first" r:id="rId11"/>
      <w:pgSz w:w="12240" w:h="15840" w:code="1"/>
      <w:pgMar w:top="2520" w:right="1440" w:bottom="1800" w:left="1440" w:header="1440" w:footer="1152"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623" w:rsidRDefault="005F0623" w:rsidP="00D67D7E">
      <w:r>
        <w:separator/>
      </w:r>
    </w:p>
  </w:endnote>
  <w:endnote w:type="continuationSeparator" w:id="0">
    <w:p w:rsidR="005F0623" w:rsidRDefault="005F0623" w:rsidP="00D6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473" w:rsidRPr="00713751" w:rsidRDefault="00713751" w:rsidP="00713751">
    <w:pPr>
      <w:pStyle w:val="Footer"/>
      <w:spacing w:line="200" w:lineRule="exact"/>
    </w:pPr>
    <w:r w:rsidRPr="00713751">
      <w:rPr>
        <w:rStyle w:val="zzmpTrailerItem"/>
      </w:rPr>
      <w:t>140486313.1</w:t>
    </w:r>
    <w:r w:rsidRPr="0071375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473" w:rsidRPr="00713751" w:rsidRDefault="00713751" w:rsidP="00713751">
    <w:pPr>
      <w:pStyle w:val="Footer"/>
      <w:spacing w:line="200" w:lineRule="exact"/>
    </w:pPr>
    <w:r w:rsidRPr="00713751">
      <w:rPr>
        <w:rStyle w:val="zzmpTrailerItem"/>
      </w:rPr>
      <w:t>140486313.1</w:t>
    </w:r>
    <w:r w:rsidRPr="0071375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623" w:rsidRDefault="005F0623" w:rsidP="00D67D7E">
      <w:r>
        <w:separator/>
      </w:r>
    </w:p>
  </w:footnote>
  <w:footnote w:type="continuationSeparator" w:id="0">
    <w:p w:rsidR="005F0623" w:rsidRDefault="005F0623" w:rsidP="00D67D7E">
      <w:r>
        <w:continuationSeparator/>
      </w:r>
    </w:p>
  </w:footnote>
  <w:footnote w:id="1">
    <w:p w:rsidR="00484810" w:rsidRDefault="00484810">
      <w:pPr>
        <w:pStyle w:val="FootnoteText"/>
      </w:pPr>
      <w:r>
        <w:rPr>
          <w:rStyle w:val="FootnoteReference"/>
        </w:rPr>
        <w:footnoteRef/>
      </w:r>
      <w:r>
        <w:t xml:space="preserve"> </w:t>
      </w:r>
      <w:r w:rsidR="003A4E4E" w:rsidRPr="007F6BB4">
        <w:rPr>
          <w:i/>
        </w:rPr>
        <w:t>WUTC v. PSE</w:t>
      </w:r>
      <w:r w:rsidR="003A4E4E">
        <w:t xml:space="preserve">, Dockets </w:t>
      </w:r>
      <w:r w:rsidR="004B7A16">
        <w:t xml:space="preserve">UE-130137 &amp; UG-130138, Order 07, </w:t>
      </w:r>
      <w:bookmarkStart w:id="0" w:name="_Hlk520800738"/>
      <w:r w:rsidR="004B7A16">
        <w:t>¶¶</w:t>
      </w:r>
      <w:bookmarkEnd w:id="0"/>
      <w:r w:rsidR="004B7A16">
        <w:t xml:space="preserve"> 63-65 (</w:t>
      </w:r>
      <w:r w:rsidR="00DD01EC">
        <w:t>June 25, 2013)</w:t>
      </w:r>
      <w:r w:rsidR="004B7A16">
        <w:t xml:space="preserve"> (noting Staff’s suggestion that</w:t>
      </w:r>
      <w:r w:rsidR="00DD01EC">
        <w:t>,</w:t>
      </w:r>
      <w:r w:rsidR="004B7A16">
        <w:t xml:space="preserve"> in an ERF, PSE should be allowed to update debt costs for known changes, and </w:t>
      </w:r>
      <w:r w:rsidR="00DD01EC">
        <w:t>accepting</w:t>
      </w:r>
      <w:r w:rsidR="004B7A16">
        <w:t xml:space="preserve"> this “sensible recommendation”)</w:t>
      </w:r>
      <w:r w:rsidR="00954975">
        <w:t>.</w:t>
      </w:r>
    </w:p>
  </w:footnote>
  <w:footnote w:id="2">
    <w:p w:rsidR="00991991" w:rsidRDefault="00991991" w:rsidP="00991991">
      <w:pPr>
        <w:pStyle w:val="FootnoteText"/>
      </w:pPr>
      <w:r>
        <w:rPr>
          <w:rStyle w:val="FootnoteReference"/>
        </w:rPr>
        <w:footnoteRef/>
      </w:r>
      <w:r>
        <w:t xml:space="preserve"> </w:t>
      </w:r>
      <w:r w:rsidRPr="00FA10A3">
        <w:rPr>
          <w:i/>
        </w:rPr>
        <w:t>WUTC v. PSE</w:t>
      </w:r>
      <w:r>
        <w:t xml:space="preserve">, Dockets UE-170033 &amp; UG-170034, Order </w:t>
      </w:r>
      <w:r w:rsidR="00DD01EC">
        <w:t xml:space="preserve">08, </w:t>
      </w:r>
      <w:r w:rsidR="00DD01EC" w:rsidRPr="00DD01EC">
        <w:t>¶¶</w:t>
      </w:r>
      <w:r w:rsidR="00DD01EC">
        <w:t xml:space="preserve"> 214-221 (Dec. 5, 2017)</w:t>
      </w:r>
      <w:r w:rsidR="00954975">
        <w:t>.</w:t>
      </w:r>
    </w:p>
  </w:footnote>
  <w:footnote w:id="3">
    <w:p w:rsidR="00844C8C" w:rsidRPr="00844C8C" w:rsidRDefault="00844C8C">
      <w:pPr>
        <w:pStyle w:val="FootnoteText"/>
        <w:rPr>
          <w:i/>
        </w:rPr>
      </w:pPr>
      <w:r>
        <w:rPr>
          <w:rStyle w:val="FootnoteReference"/>
        </w:rPr>
        <w:footnoteRef/>
      </w:r>
      <w:r>
        <w:t xml:space="preserve"> </w:t>
      </w:r>
      <w:r>
        <w:rPr>
          <w:i/>
        </w:rPr>
        <w:t>Id.</w:t>
      </w:r>
    </w:p>
  </w:footnote>
  <w:footnote w:id="4">
    <w:p w:rsidR="00844C8C" w:rsidRPr="00844C8C" w:rsidRDefault="00844C8C">
      <w:pPr>
        <w:pStyle w:val="FootnoteText"/>
      </w:pPr>
      <w:r>
        <w:rPr>
          <w:rStyle w:val="FootnoteReference"/>
        </w:rPr>
        <w:footnoteRef/>
      </w:r>
      <w:r>
        <w:t xml:space="preserve"> </w:t>
      </w:r>
      <w:r>
        <w:rPr>
          <w:i/>
        </w:rPr>
        <w:t xml:space="preserve">See </w:t>
      </w:r>
      <w:r>
        <w:t>Proposed Rules at WAC 480-07-505(4).</w:t>
      </w:r>
    </w:p>
  </w:footnote>
  <w:footnote w:id="5">
    <w:p w:rsidR="00954975" w:rsidRDefault="00954975">
      <w:pPr>
        <w:pStyle w:val="FootnoteText"/>
      </w:pPr>
      <w:r>
        <w:rPr>
          <w:rStyle w:val="FootnoteReference"/>
        </w:rPr>
        <w:footnoteRef/>
      </w:r>
      <w:r>
        <w:t xml:space="preserve"> Matrix of 5-11-18 Comments on </w:t>
      </w:r>
      <w:r w:rsidR="00D9782A">
        <w:t xml:space="preserve">Proposed Revisions to Parts </w:t>
      </w:r>
      <w:r>
        <w:t>III B</w:t>
      </w:r>
      <w:r w:rsidR="00D9782A">
        <w:t xml:space="preserve"> through IV.</w:t>
      </w:r>
    </w:p>
  </w:footnote>
  <w:footnote w:id="6">
    <w:p w:rsidR="003B4B13" w:rsidRPr="003B4B13" w:rsidRDefault="003B4B13">
      <w:pPr>
        <w:pStyle w:val="FootnoteText"/>
      </w:pPr>
      <w:r>
        <w:rPr>
          <w:rStyle w:val="FootnoteReference"/>
        </w:rPr>
        <w:footnoteRef/>
      </w:r>
      <w:r>
        <w:t xml:space="preserve"> </w:t>
      </w:r>
      <w:r>
        <w:rPr>
          <w:i/>
        </w:rPr>
        <w:t xml:space="preserve">See </w:t>
      </w:r>
      <w:r>
        <w:t>Revised Summary of Initial Comments on Proposed Revisions to GRC Rules, October 16, 2017, p. 7-8.</w:t>
      </w:r>
    </w:p>
  </w:footnote>
  <w:footnote w:id="7">
    <w:p w:rsidR="003313AE" w:rsidRPr="005A2A06" w:rsidRDefault="003313AE">
      <w:pPr>
        <w:pStyle w:val="FootnoteText"/>
      </w:pPr>
      <w:r>
        <w:rPr>
          <w:rStyle w:val="FootnoteReference"/>
        </w:rPr>
        <w:footnoteRef/>
      </w:r>
      <w:r w:rsidR="005A2A06">
        <w:rPr>
          <w:i/>
        </w:rPr>
        <w:t xml:space="preserve">WUTC v. PSE, </w:t>
      </w:r>
      <w:r w:rsidR="005A2A06">
        <w:t xml:space="preserve">Dockets UE-180532 &amp; UG-180533, Order 03 (July 2, 2018) (noting Staff’s </w:t>
      </w:r>
      <w:r w:rsidR="00731E47">
        <w:t>alleg</w:t>
      </w:r>
      <w:r w:rsidR="0021506F">
        <w:t xml:space="preserve">ations of </w:t>
      </w:r>
      <w:r w:rsidR="00731E47">
        <w:t>deficiencies in</w:t>
      </w:r>
      <w:r w:rsidR="005A2A06">
        <w:t xml:space="preserve"> the filing and PSE’s disagreement with Staff’s </w:t>
      </w:r>
      <w:r w:rsidR="00731E47">
        <w:t xml:space="preserve">viewpoint). </w:t>
      </w:r>
    </w:p>
  </w:footnote>
  <w:footnote w:id="8">
    <w:p w:rsidR="008718F5" w:rsidRDefault="008718F5">
      <w:pPr>
        <w:pStyle w:val="FootnoteText"/>
      </w:pPr>
      <w:r>
        <w:rPr>
          <w:rStyle w:val="FootnoteReference"/>
        </w:rPr>
        <w:footnoteRef/>
      </w:r>
      <w:r>
        <w:t xml:space="preserve"> </w:t>
      </w:r>
      <w:r w:rsidR="00991991">
        <w:rPr>
          <w:i/>
        </w:rPr>
        <w:t>See, e.g.,</w:t>
      </w:r>
      <w:r w:rsidR="00FA10A3">
        <w:rPr>
          <w:i/>
        </w:rPr>
        <w:t xml:space="preserve"> WUTC v. PSE,</w:t>
      </w:r>
      <w:r w:rsidR="00FA10A3">
        <w:t xml:space="preserve"> Dockets UE-130137 &amp; UG-130138, Order 07 </w:t>
      </w:r>
      <w:r w:rsidR="00FA10A3" w:rsidRPr="00FA10A3">
        <w:t xml:space="preserve">¶¶ </w:t>
      </w:r>
      <w:r w:rsidR="00FA10A3">
        <w:t>78-80 (June 25, 2013</w:t>
      </w:r>
      <w:r w:rsidR="00FA10A3" w:rsidRPr="00E146CC">
        <w:t xml:space="preserve">); </w:t>
      </w:r>
      <w:r w:rsidR="00E146CC">
        <w:rPr>
          <w:i/>
        </w:rPr>
        <w:t>WUTC v. PSE</w:t>
      </w:r>
      <w:r w:rsidR="00E146CC">
        <w:t>, Docket UG-101644, Order 04 (March 15, 2011) (approving settlement of PSE’s gas tariff increase filing</w:t>
      </w:r>
      <w:r w:rsidR="00AE0CA6">
        <w:t>).</w:t>
      </w:r>
      <w:r w:rsidR="00991991">
        <w:t xml:space="preserve"> </w:t>
      </w:r>
    </w:p>
  </w:footnote>
  <w:footnote w:id="9">
    <w:p w:rsidR="008718F5" w:rsidRPr="00FD3267" w:rsidRDefault="008718F5">
      <w:pPr>
        <w:pStyle w:val="FootnoteText"/>
      </w:pPr>
      <w:r>
        <w:rPr>
          <w:rStyle w:val="FootnoteReference"/>
        </w:rPr>
        <w:footnoteRef/>
      </w:r>
      <w:r>
        <w:t xml:space="preserve"> </w:t>
      </w:r>
      <w:r w:rsidR="00FD3267">
        <w:rPr>
          <w:i/>
        </w:rPr>
        <w:t xml:space="preserve">See, e.g., WUTC v. PSE, </w:t>
      </w:r>
      <w:r w:rsidR="00FD3267">
        <w:t xml:space="preserve">Dockets UE-060266 &amp; UG-060267, Order </w:t>
      </w:r>
      <w:r w:rsidR="00CE1AF6">
        <w:t>08</w:t>
      </w:r>
      <w:r w:rsidR="00FD3267">
        <w:t xml:space="preserve">, ¶ </w:t>
      </w:r>
      <w:r w:rsidR="00CE1AF6">
        <w:t>51</w:t>
      </w:r>
      <w:r w:rsidR="00FD3267">
        <w:t xml:space="preserve"> (Jan. </w:t>
      </w:r>
      <w:r w:rsidR="00CE1AF6">
        <w:t xml:space="preserve">5, </w:t>
      </w:r>
      <w:r w:rsidR="00FD3267">
        <w:t>2007)</w:t>
      </w:r>
      <w:r w:rsidR="00CE1AF6">
        <w:t xml:space="preserve"> (noting that </w:t>
      </w:r>
      <w:r w:rsidR="00CE1AF6" w:rsidRPr="00CE1AF6">
        <w:t xml:space="preserve">nothing </w:t>
      </w:r>
      <w:r w:rsidR="00CE1AF6">
        <w:t>“</w:t>
      </w:r>
      <w:r w:rsidR="00CE1AF6" w:rsidRPr="00CE1AF6">
        <w:t>precludes PSE from seeking additions to rate base between rate cases so long as the amounts are not so large as to trigger</w:t>
      </w:r>
      <w:r w:rsidR="00CE1AF6" w:rsidRPr="00CE1AF6">
        <w:rPr>
          <w:i/>
        </w:rPr>
        <w:t xml:space="preserve"> </w:t>
      </w:r>
      <w:r w:rsidR="00CE1AF6" w:rsidRPr="00CE1AF6">
        <w:t>a general rate proceeding under our rules.</w:t>
      </w:r>
      <w:r w:rsidR="00CE1AF6">
        <w:t>”)</w:t>
      </w:r>
      <w:r w:rsidR="00FD326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6A9" w:rsidRPr="00D67D7E" w:rsidRDefault="00D67D7E">
    <w:pPr>
      <w:pStyle w:val="Header"/>
    </w:pPr>
    <w:r w:rsidRPr="00D67D7E">
      <w:t xml:space="preserve">Mr. </w:t>
    </w:r>
    <w:r w:rsidR="004A5CD3">
      <w:t>Mark L. Johnson</w:t>
    </w:r>
  </w:p>
  <w:p w:rsidR="00A166A9" w:rsidRDefault="00731E47">
    <w:pPr>
      <w:pStyle w:val="Header"/>
    </w:pPr>
    <w:fldSimple w:instr=" STYLEREF &quot;Letter Date&quot; \* MERGEFORMAT ">
      <w:r w:rsidR="00970CB8">
        <w:rPr>
          <w:noProof/>
        </w:rPr>
        <w:t>August 1, 2018</w:t>
      </w:r>
    </w:fldSimple>
  </w:p>
  <w:p w:rsidR="00A166A9" w:rsidRDefault="00D67D7E">
    <w:pPr>
      <w:pStyle w:val="Header"/>
      <w:spacing w:after="480"/>
    </w:pPr>
    <w:r>
      <w:t xml:space="preserve">Page </w:t>
    </w:r>
    <w:r>
      <w:fldChar w:fldCharType="begin"/>
    </w:r>
    <w:r>
      <w:instrText xml:space="preserve"> PAGE \* MERGEFORMAT </w:instrText>
    </w:r>
    <w:r>
      <w:fldChar w:fldCharType="separate"/>
    </w:r>
    <w:r w:rsidR="00970CB8">
      <w:rPr>
        <w:noProof/>
      </w:rPr>
      <w:t>2</w:t>
    </w:r>
    <w:r>
      <w:fldChar w:fldCharType="end"/>
    </w:r>
  </w:p>
  <w:p w:rsidR="00091BA8" w:rsidRDefault="002C0ED2">
    <w:r>
      <w:rPr>
        <w:noProof/>
      </w:rPr>
      <mc:AlternateContent>
        <mc:Choice Requires="wps">
          <w:drawing>
            <wp:anchor distT="0" distB="0" distL="114300" distR="114300" simplePos="0" relativeHeight="251659264" behindDoc="1" locked="0" layoutInCell="1" allowOverlap="1" wp14:anchorId="6F3CE7BE" wp14:editId="0E936281">
              <wp:simplePos x="0" y="0"/>
              <wp:positionH relativeFrom="page">
                <wp:posOffset>914400</wp:posOffset>
              </wp:positionH>
              <wp:positionV relativeFrom="page">
                <wp:posOffset>9372600</wp:posOffset>
              </wp:positionV>
              <wp:extent cx="518160" cy="127000"/>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4BD" w:rsidRDefault="002C0ED2">
                          <w:pPr>
                            <w:spacing w:line="200" w:lineRule="exact"/>
                            <w:rPr>
                              <w:sz w:val="16"/>
                              <w:szCs w:val="16"/>
                            </w:rPr>
                          </w:pPr>
                          <w:r>
                            <w:rPr>
                              <w:noProof/>
                            </w:rPr>
                            <w:drawing>
                              <wp:inline distT="0" distB="0" distL="0" distR="0" wp14:anchorId="14EBAE5C" wp14:editId="308CC315">
                                <wp:extent cx="514350" cy="95250"/>
                                <wp:effectExtent l="0" t="0" r="0" b="0"/>
                                <wp:docPr id="2" name="Picture 2" descr="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952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F3CE7BE" id="_x0000_t202" coordsize="21600,21600" o:spt="202" path="m,l,21600r21600,l21600,xe">
              <v:stroke joinstyle="miter"/>
              <v:path gradientshapeok="t" o:connecttype="rect"/>
            </v:shapetype>
            <v:shape id="Text Box 2" o:spid="_x0000_s1026" type="#_x0000_t202" style="position:absolute;margin-left:1in;margin-top:738pt;width:40.8pt;height:10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" stroked="f">
              <v:textbox style="mso-fit-shape-to-text:t" inset="0,0,0,0">
                <w:txbxContent>
                  <w:p w:rsidR="003414BD" w:rsidRDefault="002C0ED2">
                    <w:pPr>
                      <w:spacing w:line="200" w:lineRule="exact"/>
                      <w:rPr>
                        <w:sz w:val="16"/>
                        <w:szCs w:val="16"/>
                      </w:rPr>
                    </w:pPr>
                    <w:r>
                      <w:rPr>
                        <w:noProof/>
                      </w:rPr>
                      <w:drawing>
                        <wp:inline distT="0" distB="0" distL="0" distR="0" wp14:anchorId="14EBAE5C" wp14:editId="308CC315">
                          <wp:extent cx="514350" cy="95250"/>
                          <wp:effectExtent l="0" t="0" r="0" b="0"/>
                          <wp:docPr id="2" name="Picture 2" descr="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95250"/>
                                  </a:xfrm>
                                  <a:prstGeom prst="rect">
                                    <a:avLst/>
                                  </a:prstGeom>
                                  <a:noFill/>
                                  <a:ln>
                                    <a:noFill/>
                                  </a:ln>
                                </pic:spPr>
                              </pic:pic>
                            </a:graphicData>
                          </a:graphic>
                        </wp:inline>
                      </w:drawing>
                    </w:r>
                  </w:p>
                </w:txbxContent>
              </v:textbox>
              <w10:wrap anchorx="page" anchory="page"/>
            </v:shape>
          </w:pict>
        </mc:Fallback>
      </mc:AlternateContent>
    </w:r>
    <w:r>
      <w:rPr>
        <w:noProof/>
      </w:rPr>
      <w:drawing>
        <wp:anchor distT="0" distB="0" distL="114300" distR="114300" simplePos="0" relativeHeight="251657216" behindDoc="1" locked="0" layoutInCell="1" allowOverlap="1" wp14:anchorId="4736B9B7" wp14:editId="197F8CEE">
          <wp:simplePos x="0" y="0"/>
          <wp:positionH relativeFrom="page">
            <wp:posOffset>8229600</wp:posOffset>
          </wp:positionH>
          <wp:positionV relativeFrom="page">
            <wp:posOffset>457200</wp:posOffset>
          </wp:positionV>
          <wp:extent cx="510540" cy="95250"/>
          <wp:effectExtent l="0" t="0" r="3810" b="0"/>
          <wp:wrapNone/>
          <wp:docPr id="3" name="Picture 3" descr="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L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952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E17" w:rsidRPr="004D0E17" w:rsidRDefault="004D0E17" w:rsidP="004D0E17">
    <w:pPr>
      <w:pStyle w:val="Header"/>
      <w:rPr>
        <w:sz w:val="32"/>
        <w:szCs w:val="32"/>
      </w:rPr>
    </w:pPr>
    <w:r w:rsidRPr="004D0E17">
      <w:rPr>
        <w:sz w:val="32"/>
        <w:szCs w:val="32"/>
      </w:rPr>
      <w:tab/>
    </w:r>
    <w:r w:rsidRPr="004D0E17">
      <w:rPr>
        <w:sz w:val="32"/>
        <w:szCs w:val="32"/>
      </w:rPr>
      <w:tab/>
    </w:r>
  </w:p>
  <w:p w:rsidR="004D0E17" w:rsidRPr="004D0E17" w:rsidRDefault="004D0E17" w:rsidP="004D0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A82C9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35EEB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96B0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A9E59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3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38D3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1A0D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3EE6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FC3B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84B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297F88"/>
    <w:multiLevelType w:val="hybridMultilevel"/>
    <w:tmpl w:val="CFB4B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8160F9"/>
    <w:multiLevelType w:val="hybridMultilevel"/>
    <w:tmpl w:val="FCD8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42D1C"/>
    <w:multiLevelType w:val="hybridMultilevel"/>
    <w:tmpl w:val="938A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DF14DB"/>
    <w:multiLevelType w:val="hybridMultilevel"/>
    <w:tmpl w:val="774C17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0A2E31"/>
    <w:multiLevelType w:val="hybridMultilevel"/>
    <w:tmpl w:val="4924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03A2D"/>
    <w:multiLevelType w:val="hybridMultilevel"/>
    <w:tmpl w:val="523C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E4B2B"/>
    <w:multiLevelType w:val="hybridMultilevel"/>
    <w:tmpl w:val="D3840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727B4"/>
    <w:multiLevelType w:val="hybridMultilevel"/>
    <w:tmpl w:val="3DE27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F0B1F"/>
    <w:multiLevelType w:val="hybridMultilevel"/>
    <w:tmpl w:val="052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8"/>
  </w:num>
  <w:num w:numId="14">
    <w:abstractNumId w:val="17"/>
  </w:num>
  <w:num w:numId="15">
    <w:abstractNumId w:val="10"/>
  </w:num>
  <w:num w:numId="16">
    <w:abstractNumId w:val="13"/>
  </w:num>
  <w:num w:numId="17">
    <w:abstractNumId w:val="15"/>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D7E"/>
    <w:rsid w:val="00002DCB"/>
    <w:rsid w:val="0002293D"/>
    <w:rsid w:val="00025D8B"/>
    <w:rsid w:val="00037B8C"/>
    <w:rsid w:val="00037F3B"/>
    <w:rsid w:val="00041DF2"/>
    <w:rsid w:val="00051971"/>
    <w:rsid w:val="000522CE"/>
    <w:rsid w:val="00053AB6"/>
    <w:rsid w:val="00053F9E"/>
    <w:rsid w:val="00054C74"/>
    <w:rsid w:val="00061379"/>
    <w:rsid w:val="0006275D"/>
    <w:rsid w:val="000664F6"/>
    <w:rsid w:val="00071A6D"/>
    <w:rsid w:val="00075872"/>
    <w:rsid w:val="000845E1"/>
    <w:rsid w:val="00091BA8"/>
    <w:rsid w:val="00097B39"/>
    <w:rsid w:val="000A3B15"/>
    <w:rsid w:val="000A4730"/>
    <w:rsid w:val="000A4A23"/>
    <w:rsid w:val="000A4AC9"/>
    <w:rsid w:val="000A584E"/>
    <w:rsid w:val="000A65C0"/>
    <w:rsid w:val="000B7094"/>
    <w:rsid w:val="000C0DE3"/>
    <w:rsid w:val="000C37B4"/>
    <w:rsid w:val="000C530B"/>
    <w:rsid w:val="000C541E"/>
    <w:rsid w:val="000D4CEB"/>
    <w:rsid w:val="000D5618"/>
    <w:rsid w:val="000D7729"/>
    <w:rsid w:val="000E0A97"/>
    <w:rsid w:val="000F0380"/>
    <w:rsid w:val="000F09FB"/>
    <w:rsid w:val="000F7619"/>
    <w:rsid w:val="00101963"/>
    <w:rsid w:val="00102D1A"/>
    <w:rsid w:val="00105DCE"/>
    <w:rsid w:val="001109C0"/>
    <w:rsid w:val="00116096"/>
    <w:rsid w:val="001166CA"/>
    <w:rsid w:val="00116707"/>
    <w:rsid w:val="00117568"/>
    <w:rsid w:val="001269A0"/>
    <w:rsid w:val="00133616"/>
    <w:rsid w:val="00135435"/>
    <w:rsid w:val="0013794B"/>
    <w:rsid w:val="00161474"/>
    <w:rsid w:val="00166DEF"/>
    <w:rsid w:val="001710EF"/>
    <w:rsid w:val="001752C0"/>
    <w:rsid w:val="001816FD"/>
    <w:rsid w:val="00181F5C"/>
    <w:rsid w:val="001A40F6"/>
    <w:rsid w:val="001A4CEA"/>
    <w:rsid w:val="001B69B5"/>
    <w:rsid w:val="001D4DA8"/>
    <w:rsid w:val="001D6A74"/>
    <w:rsid w:val="001E01EB"/>
    <w:rsid w:val="0020217E"/>
    <w:rsid w:val="00207992"/>
    <w:rsid w:val="00210B18"/>
    <w:rsid w:val="0021299A"/>
    <w:rsid w:val="0021506F"/>
    <w:rsid w:val="002156A2"/>
    <w:rsid w:val="002174D3"/>
    <w:rsid w:val="0022127A"/>
    <w:rsid w:val="00221376"/>
    <w:rsid w:val="00233552"/>
    <w:rsid w:val="00252F04"/>
    <w:rsid w:val="00254E3C"/>
    <w:rsid w:val="002578FC"/>
    <w:rsid w:val="002605E1"/>
    <w:rsid w:val="00262B53"/>
    <w:rsid w:val="002776E3"/>
    <w:rsid w:val="00284EFD"/>
    <w:rsid w:val="0029315E"/>
    <w:rsid w:val="002960E6"/>
    <w:rsid w:val="00297214"/>
    <w:rsid w:val="00297465"/>
    <w:rsid w:val="002A45D1"/>
    <w:rsid w:val="002B1FD5"/>
    <w:rsid w:val="002B5612"/>
    <w:rsid w:val="002C0ED2"/>
    <w:rsid w:val="002C222A"/>
    <w:rsid w:val="002C3123"/>
    <w:rsid w:val="002C3895"/>
    <w:rsid w:val="002C476D"/>
    <w:rsid w:val="002D026C"/>
    <w:rsid w:val="002E0152"/>
    <w:rsid w:val="002E3C74"/>
    <w:rsid w:val="002E6D8A"/>
    <w:rsid w:val="002F1BA1"/>
    <w:rsid w:val="002F30F4"/>
    <w:rsid w:val="002F3E7A"/>
    <w:rsid w:val="002F54CF"/>
    <w:rsid w:val="002F5BE5"/>
    <w:rsid w:val="002F7315"/>
    <w:rsid w:val="00320C4D"/>
    <w:rsid w:val="0032554F"/>
    <w:rsid w:val="00327036"/>
    <w:rsid w:val="003313AE"/>
    <w:rsid w:val="003319F5"/>
    <w:rsid w:val="00332914"/>
    <w:rsid w:val="003337BA"/>
    <w:rsid w:val="00344136"/>
    <w:rsid w:val="003459D1"/>
    <w:rsid w:val="00346367"/>
    <w:rsid w:val="00351AC5"/>
    <w:rsid w:val="00360A7C"/>
    <w:rsid w:val="003715F0"/>
    <w:rsid w:val="003742B4"/>
    <w:rsid w:val="00387347"/>
    <w:rsid w:val="003A4E4E"/>
    <w:rsid w:val="003B014F"/>
    <w:rsid w:val="003B087D"/>
    <w:rsid w:val="003B093B"/>
    <w:rsid w:val="003B133C"/>
    <w:rsid w:val="003B4B13"/>
    <w:rsid w:val="003C7B86"/>
    <w:rsid w:val="003D5B25"/>
    <w:rsid w:val="003E2CD0"/>
    <w:rsid w:val="003F5CD1"/>
    <w:rsid w:val="003F7276"/>
    <w:rsid w:val="00401EA4"/>
    <w:rsid w:val="00404AB7"/>
    <w:rsid w:val="00411AB2"/>
    <w:rsid w:val="00417544"/>
    <w:rsid w:val="004209CB"/>
    <w:rsid w:val="00421651"/>
    <w:rsid w:val="00424BF4"/>
    <w:rsid w:val="004335FA"/>
    <w:rsid w:val="00442A17"/>
    <w:rsid w:val="004524FD"/>
    <w:rsid w:val="00460CDA"/>
    <w:rsid w:val="00460D82"/>
    <w:rsid w:val="00461AC4"/>
    <w:rsid w:val="00470831"/>
    <w:rsid w:val="004730CB"/>
    <w:rsid w:val="00475E3A"/>
    <w:rsid w:val="0048116E"/>
    <w:rsid w:val="00484810"/>
    <w:rsid w:val="00490944"/>
    <w:rsid w:val="00493F9A"/>
    <w:rsid w:val="00497570"/>
    <w:rsid w:val="00497950"/>
    <w:rsid w:val="00497CD3"/>
    <w:rsid w:val="004A5CD3"/>
    <w:rsid w:val="004B7A16"/>
    <w:rsid w:val="004C545B"/>
    <w:rsid w:val="004C5AAD"/>
    <w:rsid w:val="004C6CD2"/>
    <w:rsid w:val="004D0E17"/>
    <w:rsid w:val="004E12BE"/>
    <w:rsid w:val="004F228B"/>
    <w:rsid w:val="004F546E"/>
    <w:rsid w:val="004F7E83"/>
    <w:rsid w:val="00504B42"/>
    <w:rsid w:val="005060FA"/>
    <w:rsid w:val="00514822"/>
    <w:rsid w:val="00516447"/>
    <w:rsid w:val="00525FC3"/>
    <w:rsid w:val="00531D8C"/>
    <w:rsid w:val="00537A9A"/>
    <w:rsid w:val="005402A4"/>
    <w:rsid w:val="005479F1"/>
    <w:rsid w:val="005533CC"/>
    <w:rsid w:val="00555173"/>
    <w:rsid w:val="00555EE1"/>
    <w:rsid w:val="00560558"/>
    <w:rsid w:val="00560A20"/>
    <w:rsid w:val="00561EE4"/>
    <w:rsid w:val="0056248E"/>
    <w:rsid w:val="00574D7E"/>
    <w:rsid w:val="005838C4"/>
    <w:rsid w:val="0059549A"/>
    <w:rsid w:val="005976FF"/>
    <w:rsid w:val="005A27A6"/>
    <w:rsid w:val="005A2A06"/>
    <w:rsid w:val="005B065E"/>
    <w:rsid w:val="005B1D48"/>
    <w:rsid w:val="005B4D8D"/>
    <w:rsid w:val="005B6531"/>
    <w:rsid w:val="005B66C6"/>
    <w:rsid w:val="005B707B"/>
    <w:rsid w:val="005C5064"/>
    <w:rsid w:val="005C5502"/>
    <w:rsid w:val="005C7F7D"/>
    <w:rsid w:val="005D15D8"/>
    <w:rsid w:val="005D56C9"/>
    <w:rsid w:val="005D74CD"/>
    <w:rsid w:val="005E1AF4"/>
    <w:rsid w:val="005E3265"/>
    <w:rsid w:val="005F0623"/>
    <w:rsid w:val="005F3BF3"/>
    <w:rsid w:val="005F45C2"/>
    <w:rsid w:val="005F6A7D"/>
    <w:rsid w:val="00601BF3"/>
    <w:rsid w:val="006020CB"/>
    <w:rsid w:val="00603FDA"/>
    <w:rsid w:val="006068DE"/>
    <w:rsid w:val="006164EC"/>
    <w:rsid w:val="00617B4D"/>
    <w:rsid w:val="00626AE3"/>
    <w:rsid w:val="006351D9"/>
    <w:rsid w:val="006375A1"/>
    <w:rsid w:val="006433C1"/>
    <w:rsid w:val="00645459"/>
    <w:rsid w:val="00652621"/>
    <w:rsid w:val="00654E8E"/>
    <w:rsid w:val="00661937"/>
    <w:rsid w:val="00663122"/>
    <w:rsid w:val="00674F80"/>
    <w:rsid w:val="006A1EEF"/>
    <w:rsid w:val="006A497C"/>
    <w:rsid w:val="006A6DBE"/>
    <w:rsid w:val="006B3F59"/>
    <w:rsid w:val="006C2CB5"/>
    <w:rsid w:val="006C31DD"/>
    <w:rsid w:val="006E3075"/>
    <w:rsid w:val="006E3C54"/>
    <w:rsid w:val="006E5741"/>
    <w:rsid w:val="00711250"/>
    <w:rsid w:val="00713751"/>
    <w:rsid w:val="00715A83"/>
    <w:rsid w:val="007255F9"/>
    <w:rsid w:val="00731E47"/>
    <w:rsid w:val="00733750"/>
    <w:rsid w:val="0073479D"/>
    <w:rsid w:val="00741C5E"/>
    <w:rsid w:val="007423E5"/>
    <w:rsid w:val="0074453E"/>
    <w:rsid w:val="00745587"/>
    <w:rsid w:val="00747007"/>
    <w:rsid w:val="007501E7"/>
    <w:rsid w:val="00753D8F"/>
    <w:rsid w:val="0076220B"/>
    <w:rsid w:val="00771C04"/>
    <w:rsid w:val="007775DB"/>
    <w:rsid w:val="0078022F"/>
    <w:rsid w:val="00784A2F"/>
    <w:rsid w:val="00791092"/>
    <w:rsid w:val="00797B30"/>
    <w:rsid w:val="007A38DD"/>
    <w:rsid w:val="007A4A8D"/>
    <w:rsid w:val="007B05F8"/>
    <w:rsid w:val="007C4AE6"/>
    <w:rsid w:val="007E2AE2"/>
    <w:rsid w:val="007F1425"/>
    <w:rsid w:val="007F4646"/>
    <w:rsid w:val="007F6BB4"/>
    <w:rsid w:val="007F719C"/>
    <w:rsid w:val="00800831"/>
    <w:rsid w:val="0081000E"/>
    <w:rsid w:val="00815AFC"/>
    <w:rsid w:val="008203CE"/>
    <w:rsid w:val="008218A0"/>
    <w:rsid w:val="0082280F"/>
    <w:rsid w:val="0082423F"/>
    <w:rsid w:val="00826237"/>
    <w:rsid w:val="00826D1C"/>
    <w:rsid w:val="00827BC8"/>
    <w:rsid w:val="00830881"/>
    <w:rsid w:val="00832FB7"/>
    <w:rsid w:val="008363F8"/>
    <w:rsid w:val="00837A9E"/>
    <w:rsid w:val="008421FE"/>
    <w:rsid w:val="00844C8C"/>
    <w:rsid w:val="008475CE"/>
    <w:rsid w:val="00851BBC"/>
    <w:rsid w:val="0085445F"/>
    <w:rsid w:val="00862E31"/>
    <w:rsid w:val="00867236"/>
    <w:rsid w:val="008718F5"/>
    <w:rsid w:val="00872958"/>
    <w:rsid w:val="008910B4"/>
    <w:rsid w:val="00893EB5"/>
    <w:rsid w:val="008A1628"/>
    <w:rsid w:val="008A21C3"/>
    <w:rsid w:val="008A519B"/>
    <w:rsid w:val="008C3288"/>
    <w:rsid w:val="008D100F"/>
    <w:rsid w:val="008D19AF"/>
    <w:rsid w:val="008D1A83"/>
    <w:rsid w:val="008D1FBC"/>
    <w:rsid w:val="008D5307"/>
    <w:rsid w:val="008E15D1"/>
    <w:rsid w:val="008E3CD1"/>
    <w:rsid w:val="008E3D1E"/>
    <w:rsid w:val="008E4167"/>
    <w:rsid w:val="008E62AD"/>
    <w:rsid w:val="008E6BBE"/>
    <w:rsid w:val="008F67E9"/>
    <w:rsid w:val="008F7988"/>
    <w:rsid w:val="009142B5"/>
    <w:rsid w:val="009142B7"/>
    <w:rsid w:val="00914997"/>
    <w:rsid w:val="0091523B"/>
    <w:rsid w:val="00935656"/>
    <w:rsid w:val="00937F5C"/>
    <w:rsid w:val="00944C33"/>
    <w:rsid w:val="00950337"/>
    <w:rsid w:val="00954975"/>
    <w:rsid w:val="00955D77"/>
    <w:rsid w:val="00964816"/>
    <w:rsid w:val="00964D9D"/>
    <w:rsid w:val="0096514C"/>
    <w:rsid w:val="00970CB8"/>
    <w:rsid w:val="00975DC8"/>
    <w:rsid w:val="00981954"/>
    <w:rsid w:val="0098206C"/>
    <w:rsid w:val="00982281"/>
    <w:rsid w:val="00986CCB"/>
    <w:rsid w:val="00990534"/>
    <w:rsid w:val="00991991"/>
    <w:rsid w:val="009A01D1"/>
    <w:rsid w:val="009A3483"/>
    <w:rsid w:val="009B2AE7"/>
    <w:rsid w:val="009B6655"/>
    <w:rsid w:val="009B7787"/>
    <w:rsid w:val="009B7A96"/>
    <w:rsid w:val="009C76C0"/>
    <w:rsid w:val="009E1708"/>
    <w:rsid w:val="009E2F1E"/>
    <w:rsid w:val="009E4D68"/>
    <w:rsid w:val="009E6684"/>
    <w:rsid w:val="009F19BF"/>
    <w:rsid w:val="009F208D"/>
    <w:rsid w:val="009F48D5"/>
    <w:rsid w:val="009F7C16"/>
    <w:rsid w:val="00A03F39"/>
    <w:rsid w:val="00A059B0"/>
    <w:rsid w:val="00A11707"/>
    <w:rsid w:val="00A127A8"/>
    <w:rsid w:val="00A20880"/>
    <w:rsid w:val="00A24958"/>
    <w:rsid w:val="00A25E31"/>
    <w:rsid w:val="00A322A9"/>
    <w:rsid w:val="00A32B3D"/>
    <w:rsid w:val="00A35B95"/>
    <w:rsid w:val="00A35FE4"/>
    <w:rsid w:val="00A37B44"/>
    <w:rsid w:val="00A52BAB"/>
    <w:rsid w:val="00A6176B"/>
    <w:rsid w:val="00A63A72"/>
    <w:rsid w:val="00A67B29"/>
    <w:rsid w:val="00A72A3C"/>
    <w:rsid w:val="00A77015"/>
    <w:rsid w:val="00A773F5"/>
    <w:rsid w:val="00AA40B1"/>
    <w:rsid w:val="00AA6F95"/>
    <w:rsid w:val="00AB13F8"/>
    <w:rsid w:val="00AB36EF"/>
    <w:rsid w:val="00AB4B4F"/>
    <w:rsid w:val="00AB4B9E"/>
    <w:rsid w:val="00AB7371"/>
    <w:rsid w:val="00AD0AFB"/>
    <w:rsid w:val="00AD4198"/>
    <w:rsid w:val="00AD6F2A"/>
    <w:rsid w:val="00AE0CA6"/>
    <w:rsid w:val="00AE23C2"/>
    <w:rsid w:val="00AE3FAC"/>
    <w:rsid w:val="00AE536A"/>
    <w:rsid w:val="00B10598"/>
    <w:rsid w:val="00B14D01"/>
    <w:rsid w:val="00B1743C"/>
    <w:rsid w:val="00B2259B"/>
    <w:rsid w:val="00B228E1"/>
    <w:rsid w:val="00B26D3A"/>
    <w:rsid w:val="00B34FDC"/>
    <w:rsid w:val="00B35B1F"/>
    <w:rsid w:val="00B35EA9"/>
    <w:rsid w:val="00B40798"/>
    <w:rsid w:val="00B53216"/>
    <w:rsid w:val="00B571D2"/>
    <w:rsid w:val="00B61105"/>
    <w:rsid w:val="00B83336"/>
    <w:rsid w:val="00BA086E"/>
    <w:rsid w:val="00BA3EA1"/>
    <w:rsid w:val="00BA6533"/>
    <w:rsid w:val="00BD199B"/>
    <w:rsid w:val="00BD7796"/>
    <w:rsid w:val="00BE0610"/>
    <w:rsid w:val="00BE1E4B"/>
    <w:rsid w:val="00BE37B0"/>
    <w:rsid w:val="00BF058C"/>
    <w:rsid w:val="00BF5369"/>
    <w:rsid w:val="00C141F7"/>
    <w:rsid w:val="00C1619B"/>
    <w:rsid w:val="00C20772"/>
    <w:rsid w:val="00C2323D"/>
    <w:rsid w:val="00C301FD"/>
    <w:rsid w:val="00C465E6"/>
    <w:rsid w:val="00C47090"/>
    <w:rsid w:val="00C55473"/>
    <w:rsid w:val="00C6478D"/>
    <w:rsid w:val="00C64F50"/>
    <w:rsid w:val="00C679E0"/>
    <w:rsid w:val="00C73B05"/>
    <w:rsid w:val="00C777DC"/>
    <w:rsid w:val="00C8408B"/>
    <w:rsid w:val="00C870BA"/>
    <w:rsid w:val="00C910EA"/>
    <w:rsid w:val="00C916FD"/>
    <w:rsid w:val="00C91957"/>
    <w:rsid w:val="00C95954"/>
    <w:rsid w:val="00CB07FE"/>
    <w:rsid w:val="00CC46C7"/>
    <w:rsid w:val="00CC51B2"/>
    <w:rsid w:val="00CD1EE6"/>
    <w:rsid w:val="00CD5141"/>
    <w:rsid w:val="00CD5DE2"/>
    <w:rsid w:val="00CE1AF6"/>
    <w:rsid w:val="00CF5C36"/>
    <w:rsid w:val="00CF6058"/>
    <w:rsid w:val="00CF6F30"/>
    <w:rsid w:val="00D01680"/>
    <w:rsid w:val="00D11268"/>
    <w:rsid w:val="00D13E29"/>
    <w:rsid w:val="00D206D5"/>
    <w:rsid w:val="00D23D59"/>
    <w:rsid w:val="00D24235"/>
    <w:rsid w:val="00D30E79"/>
    <w:rsid w:val="00D43D32"/>
    <w:rsid w:val="00D47180"/>
    <w:rsid w:val="00D51211"/>
    <w:rsid w:val="00D533DD"/>
    <w:rsid w:val="00D53DCA"/>
    <w:rsid w:val="00D63115"/>
    <w:rsid w:val="00D65786"/>
    <w:rsid w:val="00D67D7E"/>
    <w:rsid w:val="00D74575"/>
    <w:rsid w:val="00D76B69"/>
    <w:rsid w:val="00D77480"/>
    <w:rsid w:val="00D82005"/>
    <w:rsid w:val="00D91720"/>
    <w:rsid w:val="00D9782A"/>
    <w:rsid w:val="00DB63E3"/>
    <w:rsid w:val="00DD01EC"/>
    <w:rsid w:val="00DD1C92"/>
    <w:rsid w:val="00DD3CD6"/>
    <w:rsid w:val="00DE1070"/>
    <w:rsid w:val="00DF6B8E"/>
    <w:rsid w:val="00E01672"/>
    <w:rsid w:val="00E06DCD"/>
    <w:rsid w:val="00E146CC"/>
    <w:rsid w:val="00E1511F"/>
    <w:rsid w:val="00E22436"/>
    <w:rsid w:val="00E23A06"/>
    <w:rsid w:val="00E40AF6"/>
    <w:rsid w:val="00E4433A"/>
    <w:rsid w:val="00E47542"/>
    <w:rsid w:val="00E50753"/>
    <w:rsid w:val="00E52319"/>
    <w:rsid w:val="00E66CEF"/>
    <w:rsid w:val="00E73DD3"/>
    <w:rsid w:val="00E7622E"/>
    <w:rsid w:val="00E82F38"/>
    <w:rsid w:val="00E85780"/>
    <w:rsid w:val="00E938CB"/>
    <w:rsid w:val="00E97743"/>
    <w:rsid w:val="00EA081C"/>
    <w:rsid w:val="00EA0F39"/>
    <w:rsid w:val="00EA4906"/>
    <w:rsid w:val="00EA52A6"/>
    <w:rsid w:val="00EA5DE4"/>
    <w:rsid w:val="00EB0051"/>
    <w:rsid w:val="00EB2464"/>
    <w:rsid w:val="00EB7469"/>
    <w:rsid w:val="00EC48FF"/>
    <w:rsid w:val="00EC5E12"/>
    <w:rsid w:val="00ED226C"/>
    <w:rsid w:val="00EE2FEF"/>
    <w:rsid w:val="00EE6AB5"/>
    <w:rsid w:val="00EE7AD4"/>
    <w:rsid w:val="00EF338D"/>
    <w:rsid w:val="00EF3909"/>
    <w:rsid w:val="00EF535F"/>
    <w:rsid w:val="00EF59FB"/>
    <w:rsid w:val="00F14F25"/>
    <w:rsid w:val="00F17307"/>
    <w:rsid w:val="00F2088C"/>
    <w:rsid w:val="00F244A4"/>
    <w:rsid w:val="00F34E21"/>
    <w:rsid w:val="00F418BF"/>
    <w:rsid w:val="00F468EB"/>
    <w:rsid w:val="00F54AEB"/>
    <w:rsid w:val="00F5635E"/>
    <w:rsid w:val="00F5774E"/>
    <w:rsid w:val="00F6171E"/>
    <w:rsid w:val="00F7195B"/>
    <w:rsid w:val="00F80051"/>
    <w:rsid w:val="00F80585"/>
    <w:rsid w:val="00F81606"/>
    <w:rsid w:val="00F840CD"/>
    <w:rsid w:val="00F84BEA"/>
    <w:rsid w:val="00F85782"/>
    <w:rsid w:val="00F900DC"/>
    <w:rsid w:val="00FA10A3"/>
    <w:rsid w:val="00FA1692"/>
    <w:rsid w:val="00FA3BB4"/>
    <w:rsid w:val="00FB02D0"/>
    <w:rsid w:val="00FB371E"/>
    <w:rsid w:val="00FC34AB"/>
    <w:rsid w:val="00FD2944"/>
    <w:rsid w:val="00FD3267"/>
    <w:rsid w:val="00FD579A"/>
    <w:rsid w:val="00FD5E9A"/>
    <w:rsid w:val="00FD6815"/>
    <w:rsid w:val="00FE4426"/>
    <w:rsid w:val="00FE74A6"/>
    <w:rsid w:val="00FE773B"/>
    <w:rsid w:val="00FF1645"/>
    <w:rsid w:val="00FF3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9BBA9"/>
  <w15:docId w15:val="{B817365B-C214-44FD-BDBD-8DEDFD5D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D7E"/>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qFormat/>
    <w:rsid w:val="00D67D7E"/>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qFormat/>
    <w:rsid w:val="00D67D7E"/>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qFormat/>
    <w:rsid w:val="00D67D7E"/>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D7E"/>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D67D7E"/>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D67D7E"/>
    <w:rPr>
      <w:rFonts w:ascii="Times New Roman Bold" w:eastAsia="Times New Roman" w:hAnsi="Times New Roman Bold" w:cs="Arial"/>
      <w:b/>
      <w:bCs/>
      <w:sz w:val="24"/>
      <w:szCs w:val="26"/>
      <w:lang w:eastAsia="en-US"/>
    </w:rPr>
  </w:style>
  <w:style w:type="paragraph" w:styleId="BodyText">
    <w:name w:val="Body Text"/>
    <w:basedOn w:val="Normal"/>
    <w:link w:val="BodyTextChar"/>
    <w:rsid w:val="00D67D7E"/>
    <w:pPr>
      <w:spacing w:after="240"/>
    </w:pPr>
  </w:style>
  <w:style w:type="character" w:customStyle="1" w:styleId="BodyTextChar">
    <w:name w:val="Body Text Char"/>
    <w:link w:val="BodyText"/>
    <w:rsid w:val="00D67D7E"/>
    <w:rPr>
      <w:rFonts w:ascii="Times New Roman" w:eastAsia="Times New Roman" w:hAnsi="Times New Roman" w:cs="Times New Roman"/>
      <w:sz w:val="24"/>
      <w:szCs w:val="20"/>
      <w:lang w:eastAsia="en-US"/>
    </w:rPr>
  </w:style>
  <w:style w:type="paragraph" w:styleId="Footer">
    <w:name w:val="footer"/>
    <w:basedOn w:val="Normal"/>
    <w:link w:val="FooterChar"/>
    <w:rsid w:val="00D67D7E"/>
    <w:pPr>
      <w:tabs>
        <w:tab w:val="center" w:pos="4680"/>
        <w:tab w:val="right" w:pos="9360"/>
      </w:tabs>
    </w:pPr>
  </w:style>
  <w:style w:type="character" w:customStyle="1" w:styleId="FooterChar">
    <w:name w:val="Footer Char"/>
    <w:basedOn w:val="DefaultParagraphFont"/>
    <w:link w:val="Footer"/>
    <w:rsid w:val="00D67D7E"/>
    <w:rPr>
      <w:rFonts w:ascii="Times New Roman" w:eastAsia="Times New Roman" w:hAnsi="Times New Roman" w:cs="Times New Roman"/>
      <w:sz w:val="24"/>
      <w:szCs w:val="20"/>
      <w:lang w:eastAsia="en-US"/>
    </w:rPr>
  </w:style>
  <w:style w:type="paragraph" w:styleId="Header">
    <w:name w:val="header"/>
    <w:basedOn w:val="Normal"/>
    <w:link w:val="HeaderChar"/>
    <w:rsid w:val="00D67D7E"/>
    <w:pPr>
      <w:tabs>
        <w:tab w:val="center" w:pos="4680"/>
      </w:tabs>
    </w:pPr>
  </w:style>
  <w:style w:type="character" w:customStyle="1" w:styleId="HeaderChar">
    <w:name w:val="Header Char"/>
    <w:basedOn w:val="DefaultParagraphFont"/>
    <w:link w:val="Header"/>
    <w:rsid w:val="00D67D7E"/>
    <w:rPr>
      <w:rFonts w:ascii="Times New Roman" w:eastAsia="Times New Roman" w:hAnsi="Times New Roman" w:cs="Times New Roman"/>
      <w:sz w:val="24"/>
      <w:szCs w:val="20"/>
      <w:lang w:eastAsia="en-US"/>
    </w:rPr>
  </w:style>
  <w:style w:type="paragraph" w:customStyle="1" w:styleId="LetterDate">
    <w:name w:val="Letter Date"/>
    <w:basedOn w:val="Normal"/>
    <w:next w:val="BodyText"/>
    <w:rsid w:val="00D67D7E"/>
  </w:style>
  <w:style w:type="paragraph" w:customStyle="1" w:styleId="Addressee">
    <w:name w:val="Addressee"/>
    <w:basedOn w:val="Normal"/>
    <w:rsid w:val="00D67D7E"/>
  </w:style>
  <w:style w:type="paragraph" w:customStyle="1" w:styleId="LetterSignature">
    <w:name w:val="Letter Signature"/>
    <w:basedOn w:val="Normal"/>
    <w:rsid w:val="00D67D7E"/>
    <w:pPr>
      <w:keepNext/>
      <w:keepLines/>
    </w:pPr>
  </w:style>
  <w:style w:type="paragraph" w:customStyle="1" w:styleId="ReLine">
    <w:name w:val="ReLine"/>
    <w:basedOn w:val="Normal"/>
    <w:next w:val="Normal"/>
    <w:rsid w:val="00D67D7E"/>
    <w:pPr>
      <w:spacing w:before="240"/>
      <w:ind w:left="720" w:hanging="720"/>
    </w:pPr>
    <w:rPr>
      <w:b/>
    </w:rPr>
  </w:style>
  <w:style w:type="paragraph" w:styleId="Salutation">
    <w:name w:val="Salutation"/>
    <w:basedOn w:val="Normal"/>
    <w:next w:val="BodyText"/>
    <w:link w:val="SalutationChar"/>
    <w:rsid w:val="00D67D7E"/>
    <w:pPr>
      <w:spacing w:before="240" w:after="240"/>
    </w:pPr>
  </w:style>
  <w:style w:type="character" w:customStyle="1" w:styleId="SalutationChar">
    <w:name w:val="Salutation Char"/>
    <w:basedOn w:val="DefaultParagraphFont"/>
    <w:link w:val="Salutation"/>
    <w:rsid w:val="00D67D7E"/>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D67D7E"/>
    <w:pPr>
      <w:spacing w:after="240"/>
    </w:pPr>
    <w:rPr>
      <w:b/>
      <w:caps/>
    </w:rPr>
  </w:style>
  <w:style w:type="paragraph" w:customStyle="1" w:styleId="Letterhead">
    <w:name w:val="Letterhead"/>
    <w:rsid w:val="00D67D7E"/>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LetterheadAuthor">
    <w:name w:val="Letterhead Author"/>
    <w:basedOn w:val="Letterhead"/>
    <w:rsid w:val="00D67D7E"/>
    <w:pPr>
      <w:spacing w:after="60"/>
      <w:jc w:val="left"/>
    </w:pPr>
    <w:rPr>
      <w:rFonts w:ascii="Times New Roman" w:hAnsi="Times New Roman"/>
      <w:caps w:val="0"/>
    </w:rPr>
  </w:style>
  <w:style w:type="paragraph" w:customStyle="1" w:styleId="LetterSignatureSub">
    <w:name w:val="Letter Signature Sub"/>
    <w:basedOn w:val="LetterSignature"/>
    <w:rsid w:val="00D67D7E"/>
    <w:pPr>
      <w:spacing w:before="240"/>
      <w:ind w:left="720" w:hanging="720"/>
    </w:pPr>
  </w:style>
  <w:style w:type="paragraph" w:styleId="Quote">
    <w:name w:val="Quote"/>
    <w:basedOn w:val="Normal"/>
    <w:next w:val="BodyTextContinued"/>
    <w:link w:val="QuoteChar"/>
    <w:qFormat/>
    <w:rsid w:val="00D67D7E"/>
    <w:pPr>
      <w:spacing w:after="240"/>
      <w:ind w:left="1440" w:right="1440"/>
    </w:pPr>
  </w:style>
  <w:style w:type="character" w:customStyle="1" w:styleId="QuoteChar">
    <w:name w:val="Quote Char"/>
    <w:basedOn w:val="DefaultParagraphFont"/>
    <w:link w:val="Quote"/>
    <w:rsid w:val="00D67D7E"/>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D67D7E"/>
  </w:style>
  <w:style w:type="paragraph" w:customStyle="1" w:styleId="CarrierReLine">
    <w:name w:val="Carrier ReLine"/>
    <w:basedOn w:val="ReLine"/>
    <w:next w:val="Normal"/>
    <w:rsid w:val="00D67D7E"/>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D67D7E"/>
    <w:pPr>
      <w:ind w:left="0" w:firstLine="0"/>
      <w:jc w:val="center"/>
    </w:pPr>
    <w:rPr>
      <w:i/>
      <w:szCs w:val="24"/>
    </w:rPr>
  </w:style>
  <w:style w:type="table" w:styleId="TableGrid">
    <w:name w:val="Table Grid"/>
    <w:basedOn w:val="TableNormal"/>
    <w:rsid w:val="00D67D7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D67D7E"/>
    <w:pPr>
      <w:spacing w:before="60" w:after="60" w:line="240" w:lineRule="exact"/>
    </w:pPr>
    <w:rPr>
      <w:szCs w:val="24"/>
    </w:rPr>
  </w:style>
  <w:style w:type="paragraph" w:styleId="Title">
    <w:name w:val="Title"/>
    <w:basedOn w:val="Normal"/>
    <w:next w:val="BodyText"/>
    <w:link w:val="TitleChar"/>
    <w:qFormat/>
    <w:rsid w:val="00D67D7E"/>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D67D7E"/>
    <w:rPr>
      <w:rFonts w:ascii="Times New Roman Bold" w:eastAsia="Times New Roman" w:hAnsi="Times New Roman Bold" w:cs="Arial"/>
      <w:b/>
      <w:bCs/>
      <w:sz w:val="24"/>
      <w:szCs w:val="32"/>
      <w:lang w:eastAsia="en-US"/>
    </w:rPr>
  </w:style>
  <w:style w:type="paragraph" w:styleId="BalloonText">
    <w:name w:val="Balloon Text"/>
    <w:basedOn w:val="Normal"/>
    <w:link w:val="BalloonTextChar"/>
    <w:rsid w:val="00D67D7E"/>
    <w:rPr>
      <w:rFonts w:ascii="Tahoma" w:hAnsi="Tahoma" w:cs="Tahoma"/>
      <w:sz w:val="16"/>
      <w:szCs w:val="16"/>
    </w:rPr>
  </w:style>
  <w:style w:type="character" w:customStyle="1" w:styleId="BalloonTextChar">
    <w:name w:val="Balloon Text Char"/>
    <w:link w:val="BalloonText"/>
    <w:rsid w:val="00D67D7E"/>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D67D7E"/>
    <w:pPr>
      <w:keepNext/>
      <w:spacing w:before="240"/>
      <w:ind w:left="720" w:hanging="720"/>
    </w:pPr>
    <w:rPr>
      <w:vanish/>
    </w:rPr>
  </w:style>
  <w:style w:type="character" w:customStyle="1" w:styleId="zzmpTrailerItem">
    <w:name w:val="zzmpTrailerItem"/>
    <w:rsid w:val="00713751"/>
    <w:rPr>
      <w:rFonts w:ascii="Times New Roman" w:hAnsi="Times New Roman" w:cs="Times New Roman"/>
      <w:dstrike w:val="0"/>
      <w:noProof/>
      <w:color w:val="auto"/>
      <w:spacing w:val="0"/>
      <w:position w:val="0"/>
      <w:sz w:val="16"/>
      <w:szCs w:val="16"/>
      <w:u w:val="none"/>
      <w:effect w:val="none"/>
      <w:vertAlign w:val="baseline"/>
    </w:rPr>
  </w:style>
  <w:style w:type="paragraph" w:styleId="FootnoteText">
    <w:name w:val="footnote text"/>
    <w:basedOn w:val="Normal"/>
    <w:link w:val="FootnoteTextChar"/>
    <w:uiPriority w:val="99"/>
    <w:semiHidden/>
    <w:unhideWhenUsed/>
    <w:rsid w:val="00A127A8"/>
    <w:rPr>
      <w:sz w:val="20"/>
    </w:rPr>
  </w:style>
  <w:style w:type="character" w:customStyle="1" w:styleId="FootnoteTextChar">
    <w:name w:val="Footnote Text Char"/>
    <w:basedOn w:val="DefaultParagraphFont"/>
    <w:link w:val="FootnoteText"/>
    <w:uiPriority w:val="99"/>
    <w:semiHidden/>
    <w:rsid w:val="00A127A8"/>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A127A8"/>
    <w:rPr>
      <w:vertAlign w:val="superscript"/>
    </w:rPr>
  </w:style>
  <w:style w:type="character" w:styleId="CommentReference">
    <w:name w:val="annotation reference"/>
    <w:basedOn w:val="DefaultParagraphFont"/>
    <w:uiPriority w:val="99"/>
    <w:semiHidden/>
    <w:unhideWhenUsed/>
    <w:rsid w:val="002C476D"/>
    <w:rPr>
      <w:sz w:val="16"/>
      <w:szCs w:val="16"/>
    </w:rPr>
  </w:style>
  <w:style w:type="paragraph" w:styleId="CommentText">
    <w:name w:val="annotation text"/>
    <w:basedOn w:val="Normal"/>
    <w:link w:val="CommentTextChar"/>
    <w:uiPriority w:val="99"/>
    <w:semiHidden/>
    <w:unhideWhenUsed/>
    <w:rsid w:val="002C476D"/>
    <w:rPr>
      <w:sz w:val="20"/>
    </w:rPr>
  </w:style>
  <w:style w:type="character" w:customStyle="1" w:styleId="CommentTextChar">
    <w:name w:val="Comment Text Char"/>
    <w:basedOn w:val="DefaultParagraphFont"/>
    <w:link w:val="CommentText"/>
    <w:uiPriority w:val="99"/>
    <w:semiHidden/>
    <w:rsid w:val="002C476D"/>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C476D"/>
    <w:rPr>
      <w:b/>
      <w:bCs/>
    </w:rPr>
  </w:style>
  <w:style w:type="character" w:customStyle="1" w:styleId="CommentSubjectChar">
    <w:name w:val="Comment Subject Char"/>
    <w:basedOn w:val="CommentTextChar"/>
    <w:link w:val="CommentSubject"/>
    <w:uiPriority w:val="99"/>
    <w:semiHidden/>
    <w:rsid w:val="002C476D"/>
    <w:rPr>
      <w:rFonts w:ascii="Times New Roman" w:eastAsia="Times New Roman" w:hAnsi="Times New Roman" w:cs="Times New Roman"/>
      <w:b/>
      <w:bCs/>
      <w:sz w:val="20"/>
      <w:szCs w:val="20"/>
      <w:lang w:eastAsia="en-US"/>
    </w:rPr>
  </w:style>
  <w:style w:type="paragraph" w:customStyle="1" w:styleId="righthalf">
    <w:name w:val="right half"/>
    <w:basedOn w:val="Normal"/>
    <w:rsid w:val="00955D77"/>
    <w:pPr>
      <w:keepLines/>
      <w:tabs>
        <w:tab w:val="left" w:pos="4860"/>
        <w:tab w:val="right" w:pos="9090"/>
      </w:tabs>
      <w:spacing w:before="480" w:line="240" w:lineRule="atLeast"/>
      <w:ind w:left="4320" w:right="18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78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SignificantOrder xmlns="dc463f71-b30c-4ab2-9473-d307f9d35888">false</SignificantOrder>
    <Date1 xmlns="dc463f71-b30c-4ab2-9473-d307f9d35888">2018-08-01T07:00:00+00:00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DocketNumber xmlns="dc463f71-b30c-4ab2-9473-d307f9d35888">130355</DocketNumber>
    <DelegatedOrder xmlns="dc463f71-b30c-4ab2-9473-d307f9d35888">false</DelegatedOrder>
  </documentManagement>
</p:properties>
</file>

<file path=customXml/itemProps1.xml><?xml version="1.0" encoding="utf-8"?>
<ds:datastoreItem xmlns:ds="http://schemas.openxmlformats.org/officeDocument/2006/customXml" ds:itemID="{1EC64736-6AF0-4E57-A5AA-328B713F7705}">
  <ds:schemaRefs>
    <ds:schemaRef ds:uri="http://schemas.openxmlformats.org/officeDocument/2006/bibliography"/>
  </ds:schemaRefs>
</ds:datastoreItem>
</file>

<file path=customXml/itemProps2.xml><?xml version="1.0" encoding="utf-8"?>
<ds:datastoreItem xmlns:ds="http://schemas.openxmlformats.org/officeDocument/2006/customXml" ds:itemID="{7622B6BD-FE46-497D-ADD6-DA093AB84046}"/>
</file>

<file path=customXml/itemProps3.xml><?xml version="1.0" encoding="utf-8"?>
<ds:datastoreItem xmlns:ds="http://schemas.openxmlformats.org/officeDocument/2006/customXml" ds:itemID="{73EF17E9-87E6-48C2-AD1D-343D9C99D77E}"/>
</file>

<file path=customXml/itemProps4.xml><?xml version="1.0" encoding="utf-8"?>
<ds:datastoreItem xmlns:ds="http://schemas.openxmlformats.org/officeDocument/2006/customXml" ds:itemID="{7F574EEC-1656-4964-A1F9-086A817A9B82}"/>
</file>

<file path=customXml/itemProps5.xml><?xml version="1.0" encoding="utf-8"?>
<ds:datastoreItem xmlns:ds="http://schemas.openxmlformats.org/officeDocument/2006/customXml" ds:itemID="{9E1CC98A-9FD7-4E3F-94BC-F4EB5DB6B262}"/>
</file>

<file path=docProps/app.xml><?xml version="1.0" encoding="utf-8"?>
<Properties xmlns="http://schemas.openxmlformats.org/officeDocument/2006/extended-properties" xmlns:vt="http://schemas.openxmlformats.org/officeDocument/2006/docPropsVTypes">
  <Template>Letter</Template>
  <TotalTime>30</TotalTime>
  <Pages>1</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Carson, Sheree S. (BEL)</dc:creator>
  <cp:lastModifiedBy>Carson, Sheree S. (BEL)</cp:lastModifiedBy>
  <cp:revision>2</cp:revision>
  <cp:lastPrinted>2018-08-01T20:48:00Z</cp:lastPrinted>
  <dcterms:created xsi:type="dcterms:W3CDTF">2018-08-01T20:40:00Z</dcterms:created>
  <dcterms:modified xsi:type="dcterms:W3CDTF">2018-08-01T20:40:00Z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y fmtid="{D5CDD505-2E9C-101B-9397-08002B2CF9AE}" pid="4" name="IsEFSEC">
    <vt:bool>false</vt:bool>
  </property>
</Properties>
</file>