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p>
    <w:p w:rsidR="00B13CF3" w:rsidRDefault="00B13CF3">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UTILITIES AND TRANSPORTATION COMMISSION</w:t>
      </w:r>
    </w:p>
    <w:p w:rsidR="00B13CF3" w:rsidRDefault="00B13CF3">
      <w:pPr>
        <w:pStyle w:val="CourtName"/>
        <w:spacing w:line="240" w:lineRule="auto"/>
        <w:rPr>
          <w:szCs w:val="24"/>
        </w:rPr>
      </w:pPr>
    </w:p>
    <w:p w:rsidR="00B13CF3" w:rsidRDefault="00B13CF3">
      <w:pPr>
        <w:pStyle w:val="CourtName"/>
        <w:spacing w:line="240" w:lineRule="auto"/>
        <w:rPr>
          <w:szCs w:val="24"/>
        </w:rPr>
      </w:pPr>
    </w:p>
    <w:tbl>
      <w:tblPr>
        <w:tblW w:w="0" w:type="auto"/>
        <w:tblInd w:w="648" w:type="dxa"/>
        <w:tblLayout w:type="fixed"/>
        <w:tblLook w:val="00BF"/>
      </w:tblPr>
      <w:tblGrid>
        <w:gridCol w:w="4264"/>
        <w:gridCol w:w="236"/>
        <w:gridCol w:w="4320"/>
      </w:tblGrid>
      <w:tr w:rsidR="00B13CF3">
        <w:tc>
          <w:tcPr>
            <w:tcW w:w="4264" w:type="dxa"/>
            <w:tcBorders>
              <w:bottom w:val="single" w:sz="4" w:space="0" w:color="auto"/>
              <w:right w:val="single" w:sz="4" w:space="0" w:color="auto"/>
            </w:tcBorders>
          </w:tcPr>
          <w:p w:rsidR="00B13CF3" w:rsidRDefault="00B13CF3">
            <w:pPr>
              <w:tabs>
                <w:tab w:val="left" w:pos="2160"/>
              </w:tabs>
              <w:spacing w:line="264" w:lineRule="auto"/>
              <w:rPr>
                <w:rFonts w:ascii="Times New Roman" w:hAnsi="Times New Roman"/>
                <w:bCs/>
              </w:rPr>
            </w:pPr>
            <w:r>
              <w:rPr>
                <w:rFonts w:ascii="Times New Roman" w:hAnsi="Times New Roman"/>
                <w:bCs/>
              </w:rPr>
              <w:t>In the Matter of the Joint Application of</w:t>
            </w:r>
          </w:p>
          <w:p w:rsidR="00B13CF3" w:rsidRDefault="00B13CF3">
            <w:pPr>
              <w:tabs>
                <w:tab w:val="left" w:pos="2160"/>
              </w:tabs>
              <w:spacing w:line="264" w:lineRule="auto"/>
              <w:rPr>
                <w:rFonts w:ascii="Times New Roman" w:hAnsi="Times New Roman"/>
                <w:bCs/>
              </w:rPr>
            </w:pPr>
          </w:p>
          <w:p w:rsidR="00B13CF3" w:rsidRDefault="00B13CF3">
            <w:pPr>
              <w:tabs>
                <w:tab w:val="left" w:pos="2160"/>
              </w:tabs>
              <w:spacing w:line="264" w:lineRule="auto"/>
              <w:rPr>
                <w:rFonts w:ascii="Times New Roman" w:hAnsi="Times New Roman"/>
                <w:bCs/>
              </w:rPr>
            </w:pPr>
            <w:r>
              <w:rPr>
                <w:rFonts w:ascii="Times New Roman" w:hAnsi="Times New Roman"/>
                <w:bCs/>
              </w:rPr>
              <w:t>QWEST COMMUNICATIONS INTERNATIONAL INC. AND CENTURYTEL, INC.</w:t>
            </w:r>
          </w:p>
          <w:p w:rsidR="00B13CF3" w:rsidRDefault="00B13CF3">
            <w:pPr>
              <w:tabs>
                <w:tab w:val="left" w:pos="2160"/>
              </w:tabs>
              <w:spacing w:line="264" w:lineRule="auto"/>
              <w:rPr>
                <w:rFonts w:ascii="Times New Roman" w:hAnsi="Times New Roman"/>
                <w:bCs/>
              </w:rPr>
            </w:pPr>
          </w:p>
          <w:p w:rsidR="00B13CF3" w:rsidRDefault="00B13CF3">
            <w:pPr>
              <w:tabs>
                <w:tab w:val="left" w:pos="2160"/>
              </w:tabs>
              <w:spacing w:line="264" w:lineRule="auto"/>
              <w:rPr>
                <w:rFonts w:ascii="Times New Roman" w:hAnsi="Times New Roman"/>
                <w:bCs/>
              </w:rPr>
            </w:pPr>
            <w:r>
              <w:rPr>
                <w:rFonts w:ascii="Times New Roman" w:hAnsi="Times New Roman"/>
                <w:bCs/>
              </w:rPr>
              <w:t>For Approval of Indirect Transfer of Control of Qwest Corporation, Qwest Communications Company LLC, and Qwest LD Corp.</w:t>
            </w:r>
          </w:p>
          <w:p w:rsidR="00B13CF3" w:rsidRDefault="00B13CF3">
            <w:pPr>
              <w:pStyle w:val="CourtName"/>
              <w:spacing w:line="240" w:lineRule="auto"/>
              <w:jc w:val="left"/>
              <w:rPr>
                <w:szCs w:val="24"/>
              </w:rPr>
            </w:pPr>
          </w:p>
        </w:tc>
        <w:tc>
          <w:tcPr>
            <w:tcW w:w="236" w:type="dxa"/>
            <w:tcBorders>
              <w:left w:val="single" w:sz="4" w:space="0" w:color="auto"/>
            </w:tcBorders>
          </w:tcPr>
          <w:p w:rsidR="00B13CF3" w:rsidRDefault="00B13CF3">
            <w:pPr>
              <w:pStyle w:val="CourtName"/>
              <w:spacing w:line="240" w:lineRule="auto"/>
              <w:rPr>
                <w:szCs w:val="24"/>
              </w:rPr>
            </w:pPr>
          </w:p>
        </w:tc>
        <w:tc>
          <w:tcPr>
            <w:tcW w:w="4320" w:type="dxa"/>
          </w:tcPr>
          <w:p w:rsidR="00B13CF3" w:rsidRDefault="00B13CF3">
            <w:pPr>
              <w:pStyle w:val="CourtName"/>
              <w:spacing w:line="240" w:lineRule="auto"/>
              <w:jc w:val="left"/>
              <w:rPr>
                <w:szCs w:val="24"/>
              </w:rPr>
            </w:pPr>
          </w:p>
          <w:p w:rsidR="00B13CF3" w:rsidRDefault="00B13CF3">
            <w:pPr>
              <w:pStyle w:val="CourtName"/>
              <w:spacing w:line="240" w:lineRule="auto"/>
              <w:jc w:val="left"/>
              <w:rPr>
                <w:szCs w:val="24"/>
              </w:rPr>
            </w:pPr>
            <w:r>
              <w:rPr>
                <w:szCs w:val="24"/>
              </w:rPr>
              <w:t>DOCKET NO. UT-100820</w:t>
            </w:r>
          </w:p>
          <w:p w:rsidR="00B13CF3" w:rsidRDefault="00B13CF3">
            <w:pPr>
              <w:pStyle w:val="CourtName"/>
              <w:spacing w:line="240" w:lineRule="auto"/>
              <w:jc w:val="left"/>
              <w:rPr>
                <w:szCs w:val="24"/>
              </w:rPr>
            </w:pPr>
          </w:p>
          <w:p w:rsidR="00B13CF3" w:rsidRDefault="00B13CF3">
            <w:pPr>
              <w:pStyle w:val="CourtName"/>
              <w:spacing w:line="240" w:lineRule="auto"/>
              <w:jc w:val="left"/>
              <w:rPr>
                <w:szCs w:val="24"/>
              </w:rPr>
            </w:pPr>
            <w:r>
              <w:rPr>
                <w:szCs w:val="24"/>
              </w:rPr>
              <w:t>QWEST’S AND CENTURYLINK’S MOTION TO EXCLUDE ACCESS TO HIGHLY CONFIDENTIAL INFORMATON UNDER THE PROTECTIVE ORDER</w:t>
            </w:r>
          </w:p>
          <w:p w:rsidR="00B13CF3" w:rsidRDefault="00B13CF3">
            <w:pPr>
              <w:pStyle w:val="CourtName"/>
              <w:spacing w:line="240" w:lineRule="auto"/>
              <w:jc w:val="left"/>
              <w:rPr>
                <w:szCs w:val="24"/>
              </w:rPr>
            </w:pPr>
          </w:p>
        </w:tc>
      </w:tr>
    </w:tbl>
    <w:p w:rsidR="00B13CF3" w:rsidRDefault="00B13CF3">
      <w:pPr>
        <w:jc w:val="center"/>
        <w:rPr>
          <w:rFonts w:ascii="Times New Roman" w:hAnsi="Times New Roman"/>
        </w:rPr>
      </w:pP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 xml:space="preserve">On August 23, 2010, Joint Applicants </w:t>
      </w:r>
      <w:r>
        <w:rPr>
          <w:rFonts w:ascii="Times New Roman" w:hAnsi="Times New Roman"/>
        </w:rPr>
        <w:t>Qwest Communications International, Inc. (“Qwest”) and CenturyTel, Inc. (“CenturyLink”) (collectively, “Joint Applicants”)</w:t>
      </w:r>
      <w:r>
        <w:rPr>
          <w:rFonts w:ascii="Times New Roman" w:hAnsi="Times New Roman"/>
          <w:sz w:val="25"/>
          <w:szCs w:val="25"/>
        </w:rPr>
        <w:t xml:space="preserve"> received a submission by the Department of Defense/Federal Executive Agencies (“DOD”) including the signed Exhibit C to the protective order for several outside consultants and for DOD’s in-house attorney.  Exhibit C is the agreement regarding access to Highly Confidential information.</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Counsel for Qwest immediately contacted counsel for DOD, and asked that DOD withdraw the Exhibit C signed by counsel, as in-house personnel are not permitted under the terms of the protective order to request or access Highly Confidential Information.  DOD refused to do so.</w:t>
      </w:r>
      <w:r>
        <w:rPr>
          <w:rFonts w:ascii="Times New Roman" w:hAnsi="Times New Roman"/>
        </w:rPr>
        <w:t xml:space="preserve"> </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rPr>
        <w:t xml:space="preserve">The Joint Applicants </w:t>
      </w:r>
      <w:r>
        <w:rPr>
          <w:rFonts w:ascii="Times New Roman" w:hAnsi="Times New Roman"/>
          <w:sz w:val="25"/>
          <w:szCs w:val="25"/>
        </w:rPr>
        <w:t xml:space="preserve">state that they object to any in-house counsel having access to Highly Confidential Information contrary to the terms of the protective order.  </w:t>
      </w:r>
    </w:p>
    <w:p w:rsidR="00B13CF3" w:rsidRDefault="00B13CF3">
      <w:pPr>
        <w:numPr>
          <w:ilvl w:val="0"/>
          <w:numId w:val="21"/>
        </w:numPr>
        <w:tabs>
          <w:tab w:val="clear" w:pos="1080"/>
          <w:tab w:val="num" w:pos="720"/>
        </w:tabs>
        <w:spacing w:line="480" w:lineRule="exact"/>
        <w:ind w:left="720" w:hanging="720"/>
        <w:rPr>
          <w:rFonts w:ascii="Times New Roman" w:hAnsi="Times New Roman"/>
        </w:rPr>
      </w:pPr>
      <w:r>
        <w:rPr>
          <w:rFonts w:ascii="Times New Roman" w:hAnsi="Times New Roman"/>
          <w:sz w:val="25"/>
          <w:szCs w:val="25"/>
        </w:rPr>
        <w:t xml:space="preserve">Joint Applicants therefore file this motion with the Commission, supported by affidavit, setting forth the basis for their objection to access to Highly Confidential Information under the protective order, and asking exclusion of the person from </w:t>
      </w:r>
      <w:r>
        <w:rPr>
          <w:rFonts w:ascii="Times New Roman" w:hAnsi="Times New Roman"/>
        </w:rPr>
        <w:t xml:space="preserve">access to Highly Confidential Information. </w:t>
      </w:r>
    </w:p>
    <w:p w:rsidR="00B13CF3" w:rsidRDefault="00B13CF3">
      <w:pPr>
        <w:numPr>
          <w:ilvl w:val="0"/>
          <w:numId w:val="21"/>
        </w:numPr>
        <w:tabs>
          <w:tab w:val="clear" w:pos="1080"/>
          <w:tab w:val="num" w:pos="720"/>
        </w:tabs>
        <w:spacing w:line="480" w:lineRule="exact"/>
        <w:ind w:left="720" w:hanging="720"/>
        <w:rPr>
          <w:rFonts w:ascii="Times New Roman" w:hAnsi="Times New Roman"/>
        </w:rPr>
      </w:pPr>
      <w:r>
        <w:rPr>
          <w:rFonts w:ascii="Times New Roman" w:hAnsi="Times New Roman"/>
        </w:rPr>
        <w:t>Attached hereto is the Declaration of Lisa A. Anderl, in support of this motion.</w:t>
      </w:r>
    </w:p>
    <w:p w:rsidR="00B13CF3" w:rsidRDefault="00B13CF3">
      <w:pPr>
        <w:numPr>
          <w:ilvl w:val="0"/>
          <w:numId w:val="21"/>
        </w:numPr>
        <w:tabs>
          <w:tab w:val="clear" w:pos="1080"/>
          <w:tab w:val="num" w:pos="720"/>
        </w:tabs>
        <w:spacing w:line="480" w:lineRule="exact"/>
        <w:ind w:left="720" w:hanging="720"/>
        <w:rPr>
          <w:rFonts w:ascii="Times New Roman" w:hAnsi="Times New Roman"/>
        </w:rPr>
      </w:pPr>
      <w:r>
        <w:rPr>
          <w:rFonts w:ascii="Times New Roman" w:hAnsi="Times New Roman"/>
          <w:sz w:val="25"/>
          <w:szCs w:val="25"/>
        </w:rPr>
        <w:t xml:space="preserve">The provisions of the protective order prohibit access to Highly Confidential Information by anyone other than outside counsel or outside experts.  Those provisions are contained in paragraphs 14-21 of the protective order.  </w:t>
      </w:r>
    </w:p>
    <w:p w:rsidR="00B13CF3" w:rsidRDefault="00B13CF3">
      <w:pPr>
        <w:numPr>
          <w:ilvl w:val="0"/>
          <w:numId w:val="22"/>
        </w:numPr>
        <w:spacing w:line="480" w:lineRule="exact"/>
        <w:rPr>
          <w:rFonts w:ascii="Times New Roman" w:hAnsi="Times New Roman"/>
        </w:rPr>
      </w:pPr>
      <w:r>
        <w:rPr>
          <w:rFonts w:ascii="Times New Roman" w:hAnsi="Times New Roman"/>
          <w:sz w:val="25"/>
          <w:szCs w:val="25"/>
        </w:rPr>
        <w:t xml:space="preserve">Paragraph 14 provides that “[p]arties who seek access to or disclosure of Highly Confidential documents or information must designate one or more </w:t>
      </w:r>
      <w:r>
        <w:rPr>
          <w:rFonts w:ascii="Times New Roman" w:hAnsi="Times New Roman"/>
          <w:i/>
          <w:sz w:val="25"/>
          <w:szCs w:val="25"/>
        </w:rPr>
        <w:t>outside</w:t>
      </w:r>
      <w:r>
        <w:rPr>
          <w:rFonts w:ascii="Times New Roman" w:hAnsi="Times New Roman"/>
          <w:sz w:val="25"/>
          <w:szCs w:val="25"/>
        </w:rPr>
        <w:t xml:space="preserve"> counsel and one or more </w:t>
      </w:r>
      <w:r>
        <w:rPr>
          <w:rFonts w:ascii="Times New Roman" w:hAnsi="Times New Roman"/>
          <w:i/>
          <w:sz w:val="25"/>
          <w:szCs w:val="25"/>
        </w:rPr>
        <w:t>outside</w:t>
      </w:r>
      <w:r>
        <w:rPr>
          <w:rFonts w:ascii="Times New Roman" w:hAnsi="Times New Roman"/>
          <w:sz w:val="25"/>
          <w:szCs w:val="25"/>
        </w:rPr>
        <w:t xml:space="preserve"> consultant, legal or otherwise, to receive and review materials marked “Highly Confidential . . . </w:t>
      </w:r>
      <w:bookmarkStart w:id="0" w:name="OLE_LINK1"/>
      <w:bookmarkStart w:id="1" w:name="OLE_LINK2"/>
      <w:r>
        <w:rPr>
          <w:rFonts w:ascii="Times New Roman" w:hAnsi="Times New Roman"/>
          <w:sz w:val="25"/>
          <w:szCs w:val="25"/>
        </w:rPr>
        <w:t>(emphasis added)</w:t>
      </w:r>
      <w:bookmarkEnd w:id="0"/>
      <w:bookmarkEnd w:id="1"/>
      <w:r>
        <w:rPr>
          <w:rFonts w:ascii="Times New Roman" w:hAnsi="Times New Roman"/>
          <w:sz w:val="25"/>
          <w:szCs w:val="25"/>
        </w:rPr>
        <w:t xml:space="preserve">.” </w:t>
      </w:r>
    </w:p>
    <w:p w:rsidR="00B13CF3" w:rsidRDefault="00B13CF3">
      <w:pPr>
        <w:numPr>
          <w:ilvl w:val="0"/>
          <w:numId w:val="22"/>
        </w:numPr>
        <w:spacing w:line="480" w:lineRule="exact"/>
        <w:rPr>
          <w:rFonts w:ascii="Times New Roman" w:hAnsi="Times New Roman"/>
          <w:sz w:val="25"/>
          <w:szCs w:val="25"/>
        </w:rPr>
      </w:pPr>
      <w:r>
        <w:rPr>
          <w:rFonts w:ascii="Times New Roman" w:hAnsi="Times New Roman"/>
          <w:sz w:val="25"/>
          <w:szCs w:val="25"/>
        </w:rPr>
        <w:t>Paragraph 15 provides the only exception to, stating that “[t]he restrictions in paragraph 14 do not apply to persons employed with the Attorney General's office for Public Counsel and Commission Staff.”</w:t>
      </w:r>
    </w:p>
    <w:p w:rsidR="00B13CF3" w:rsidRDefault="00B13CF3">
      <w:pPr>
        <w:numPr>
          <w:ilvl w:val="0"/>
          <w:numId w:val="22"/>
        </w:numPr>
        <w:spacing w:line="480" w:lineRule="exact"/>
        <w:rPr>
          <w:rFonts w:ascii="Times New Roman" w:hAnsi="Times New Roman"/>
          <w:sz w:val="25"/>
          <w:szCs w:val="25"/>
        </w:rPr>
      </w:pPr>
      <w:r>
        <w:rPr>
          <w:rFonts w:ascii="Times New Roman" w:hAnsi="Times New Roman"/>
          <w:sz w:val="25"/>
          <w:szCs w:val="25"/>
        </w:rPr>
        <w:t>Paragraph 17 provides that “[</w:t>
      </w:r>
      <w:r>
        <w:rPr>
          <w:rFonts w:ascii="Times New Roman" w:hAnsi="Times New Roman"/>
          <w:i/>
          <w:sz w:val="25"/>
          <w:szCs w:val="25"/>
        </w:rPr>
        <w:t xml:space="preserve">o]utside </w:t>
      </w:r>
      <w:r>
        <w:rPr>
          <w:rFonts w:ascii="Times New Roman" w:hAnsi="Times New Roman"/>
          <w:sz w:val="25"/>
          <w:szCs w:val="25"/>
        </w:rPr>
        <w:t xml:space="preserve">counsel designated in the manner described in Section 14, above, may provide one copy of Highly Confidential documents or information to their </w:t>
      </w:r>
      <w:r>
        <w:rPr>
          <w:rFonts w:ascii="Times New Roman" w:hAnsi="Times New Roman"/>
          <w:i/>
          <w:sz w:val="25"/>
          <w:szCs w:val="25"/>
        </w:rPr>
        <w:t>outside</w:t>
      </w:r>
      <w:r>
        <w:rPr>
          <w:rFonts w:ascii="Times New Roman" w:hAnsi="Times New Roman"/>
          <w:sz w:val="25"/>
          <w:szCs w:val="25"/>
        </w:rPr>
        <w:t xml:space="preserve"> consultants or experts who have been designated to receive Highly Confidential Information in the manner described in paragraph 14, above.  Designated </w:t>
      </w:r>
      <w:r>
        <w:rPr>
          <w:rFonts w:ascii="Times New Roman" w:hAnsi="Times New Roman"/>
          <w:i/>
          <w:sz w:val="25"/>
          <w:szCs w:val="25"/>
        </w:rPr>
        <w:t>outside</w:t>
      </w:r>
      <w:r>
        <w:rPr>
          <w:rFonts w:ascii="Times New Roman" w:hAnsi="Times New Roman"/>
          <w:sz w:val="25"/>
          <w:szCs w:val="25"/>
        </w:rPr>
        <w:t xml:space="preserve"> counsel and consultants will each maintain the Highly Confidential documents and information and any notes reflecting their contents in a secure location to which only designated counsel and consultants have access…(emphasis added).”</w:t>
      </w:r>
    </w:p>
    <w:p w:rsidR="00B13CF3" w:rsidRDefault="00B13CF3">
      <w:pPr>
        <w:numPr>
          <w:ilvl w:val="0"/>
          <w:numId w:val="22"/>
        </w:numPr>
        <w:spacing w:line="480" w:lineRule="exact"/>
        <w:rPr>
          <w:rFonts w:ascii="Times New Roman" w:hAnsi="Times New Roman"/>
          <w:sz w:val="25"/>
          <w:szCs w:val="25"/>
        </w:rPr>
      </w:pPr>
      <w:r>
        <w:rPr>
          <w:rFonts w:ascii="Times New Roman" w:hAnsi="Times New Roman"/>
          <w:sz w:val="25"/>
          <w:szCs w:val="25"/>
        </w:rPr>
        <w:t xml:space="preserve">Paragraph 18 provides that “[s]taff of designated </w:t>
      </w:r>
      <w:r>
        <w:rPr>
          <w:rFonts w:ascii="Times New Roman" w:hAnsi="Times New Roman"/>
          <w:i/>
          <w:sz w:val="25"/>
          <w:szCs w:val="25"/>
        </w:rPr>
        <w:t>outside</w:t>
      </w:r>
      <w:r>
        <w:rPr>
          <w:rFonts w:ascii="Times New Roman" w:hAnsi="Times New Roman"/>
          <w:sz w:val="25"/>
          <w:szCs w:val="25"/>
        </w:rPr>
        <w:t xml:space="preserve"> counsel and staff of designated </w:t>
      </w:r>
      <w:r>
        <w:rPr>
          <w:rFonts w:ascii="Times New Roman" w:hAnsi="Times New Roman"/>
          <w:i/>
          <w:sz w:val="25"/>
          <w:szCs w:val="25"/>
        </w:rPr>
        <w:t>outside</w:t>
      </w:r>
      <w:r>
        <w:rPr>
          <w:rFonts w:ascii="Times New Roman" w:hAnsi="Times New Roman"/>
          <w:sz w:val="25"/>
          <w:szCs w:val="25"/>
        </w:rPr>
        <w:t xml:space="preserve"> consultants who are authorized to review Highly Confidential Information may have access to Highly Confidential documents or information for purposes of processing the case, including but not limited to receiving and organizing discovery, and preparing prefiled testimony, hearing exhibits, and briefs.  </w:t>
      </w:r>
      <w:r>
        <w:rPr>
          <w:rFonts w:ascii="Times New Roman" w:hAnsi="Times New Roman"/>
          <w:i/>
          <w:sz w:val="25"/>
          <w:szCs w:val="25"/>
        </w:rPr>
        <w:t>Outside</w:t>
      </w:r>
      <w:r>
        <w:rPr>
          <w:rFonts w:ascii="Times New Roman" w:hAnsi="Times New Roman"/>
          <w:sz w:val="25"/>
          <w:szCs w:val="25"/>
        </w:rPr>
        <w:t xml:space="preserve"> counsel and consultants are responsible for appropriate supervision of their staff to ensure the protection of all confidential information consistent with the terms of this Order…(emphasis added).”</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Thus, there are no provisions in the order that allow an in-house attorney such as counsel for DOD to have access to Highly Confidential Information.  In fact, the only exceptions to the “outside personnel only” are Staff and Public Counsel, and those exceptions are specifically called out in the protective order.</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 xml:space="preserve">Counsel for DOD points to the Exhibit C itself, which has a space for an “X” that identifies the individual signing the Exhibit as an “In-house attorney”.  DOD contends that Exhibit C therefore contemplates that an in-house attorney will be permitted access to the Highly Confidential Information.  </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Joint Applicants disagree.  The text of the protective order is clear in limiting access to outside personnel.  When the “In-house attorney” line is marked, as it is in the case of DOD’s counsel, it is simply a clear indication that the individual has identified himself as someone who is not entitled to see the information.  A copy of DOD’s Exhibit C is attached hereto.</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 xml:space="preserve">DOD’s interpretation is contrary to all rules of drafting and interpretation, as DOD would have three words in the Exhibit C render several paragraphs in the protective order itself void.  Joint Applicants’ interpretation gives meaning to all the terms of the protective order and Exhibit C, and as such is a more reasonable interpretation.  </w:t>
      </w:r>
    </w:p>
    <w:p w:rsidR="00B13CF3" w:rsidRDefault="00B13CF3">
      <w:pPr>
        <w:numPr>
          <w:ilvl w:val="0"/>
          <w:numId w:val="21"/>
        </w:numPr>
        <w:tabs>
          <w:tab w:val="clear" w:pos="1080"/>
          <w:tab w:val="num" w:pos="720"/>
        </w:tabs>
        <w:spacing w:line="480" w:lineRule="exact"/>
        <w:ind w:left="720" w:hanging="720"/>
        <w:rPr>
          <w:rFonts w:ascii="Times New Roman" w:hAnsi="Times New Roman"/>
          <w:sz w:val="25"/>
          <w:szCs w:val="25"/>
        </w:rPr>
      </w:pPr>
      <w:r>
        <w:rPr>
          <w:rFonts w:ascii="Times New Roman" w:hAnsi="Times New Roman"/>
          <w:sz w:val="25"/>
          <w:szCs w:val="25"/>
        </w:rPr>
        <w:t>Joint Applicants note that two other in-house attorneys have signed, and then withdrawn, an Exhibit C in this matter.  Most recently, the signature page for Covad’s in-house attorney was withdrawn via cover letter noting it was inadvertently filed and that an Exhibit C signature page from an in-house attorney is not appropriate under the terms of the protective order in this proceeding.  While no one party’s interpretation of the protective order is determinative of the meaning of the order, Joint Applicants believe it is important to note that other parties have interpreted the order in a way that is consistent with Joint Applicants’ interpretation.</w:t>
      </w:r>
    </w:p>
    <w:p w:rsidR="00B13CF3" w:rsidRDefault="00B13CF3">
      <w:pPr>
        <w:numPr>
          <w:ilvl w:val="0"/>
          <w:numId w:val="21"/>
        </w:numPr>
        <w:tabs>
          <w:tab w:val="clear" w:pos="1080"/>
          <w:tab w:val="num" w:pos="720"/>
        </w:tabs>
        <w:spacing w:line="480" w:lineRule="exact"/>
        <w:ind w:left="720" w:hanging="720"/>
        <w:rPr>
          <w:rFonts w:ascii="Times New Roman" w:hAnsi="Times New Roman"/>
        </w:rPr>
      </w:pPr>
      <w:r>
        <w:rPr>
          <w:rFonts w:ascii="Times New Roman" w:hAnsi="Times New Roman"/>
        </w:rPr>
        <w:t xml:space="preserve">Thus, Joint Applicants request that the Commission grant this motion to exclude access and further clarify the protective order, if necessary, to exclude in-house personnel from accessing or requesting Highly Confidential Information.  </w:t>
      </w:r>
    </w:p>
    <w:p w:rsidR="00B13CF3" w:rsidRDefault="00B13CF3">
      <w:pPr>
        <w:pStyle w:val="NormalDS"/>
        <w:numPr>
          <w:ilvl w:val="0"/>
          <w:numId w:val="0"/>
        </w:numPr>
        <w:spacing w:line="480" w:lineRule="exact"/>
      </w:pPr>
    </w:p>
    <w:p w:rsidR="00B13CF3" w:rsidRDefault="00B13CF3">
      <w:pPr>
        <w:pStyle w:val="NormalDS"/>
        <w:numPr>
          <w:ilvl w:val="0"/>
          <w:numId w:val="0"/>
        </w:numPr>
        <w:spacing w:line="480" w:lineRule="exact"/>
        <w:ind w:firstLine="720"/>
      </w:pPr>
      <w:r>
        <w:t>Respectfully submitted this 26th day of August, 2010.</w:t>
      </w:r>
    </w:p>
    <w:p w:rsidR="00B13CF3" w:rsidRDefault="00B13CF3">
      <w:pPr>
        <w:spacing w:before="240"/>
        <w:ind w:firstLine="720"/>
        <w:rPr>
          <w:rFonts w:ascii="Times New Roman" w:hAnsi="Times New Roman"/>
        </w:rPr>
      </w:pPr>
      <w:r>
        <w:rPr>
          <w:rFonts w:ascii="Times New Roman" w:hAnsi="Times New Roman"/>
        </w:rPr>
        <w:t>CENTURYLINK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QWEST</w:t>
      </w:r>
    </w:p>
    <w:p w:rsidR="00B13CF3" w:rsidRDefault="00B13CF3">
      <w:pPr>
        <w:spacing w:before="240"/>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2pt">
            <v:imagedata r:id="rId7" o:title=""/>
          </v:shape>
        </w:pict>
      </w:r>
      <w:r>
        <w:tab/>
      </w:r>
      <w:r>
        <w:tab/>
      </w:r>
      <w:r>
        <w:tab/>
      </w:r>
      <w:r>
        <w:tab/>
      </w:r>
    </w:p>
    <w:p w:rsidR="00B13CF3" w:rsidRDefault="00B13CF3">
      <w:pPr>
        <w:spacing w:before="240"/>
        <w:ind w:firstLine="720"/>
      </w:pPr>
      <w:r>
        <w:t>__________________________</w:t>
      </w:r>
      <w:r>
        <w:tab/>
      </w:r>
      <w:r>
        <w:tab/>
      </w:r>
      <w:r>
        <w:tab/>
        <w:t>___________________________</w:t>
      </w:r>
    </w:p>
    <w:p w:rsidR="00B13CF3" w:rsidRDefault="00B13CF3">
      <w:pPr>
        <w:spacing w:line="240" w:lineRule="exact"/>
        <w:ind w:firstLine="720"/>
        <w:rPr>
          <w:rFonts w:ascii="Times New Roman" w:hAnsi="Times New Roman"/>
        </w:rPr>
      </w:pPr>
      <w:r>
        <w:rPr>
          <w:rFonts w:ascii="Times New Roman" w:hAnsi="Times New Roman"/>
        </w:rPr>
        <w:t>Calvin K. Simshaw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Lisa A. Anderl (WSBA # 13236)</w:t>
      </w:r>
    </w:p>
    <w:p w:rsidR="00B13CF3" w:rsidRDefault="00B13CF3">
      <w:pPr>
        <w:spacing w:line="240" w:lineRule="exact"/>
        <w:ind w:left="720"/>
        <w:rPr>
          <w:rFonts w:ascii="Times New Roman" w:hAnsi="Times New Roman"/>
        </w:rPr>
      </w:pPr>
      <w:r>
        <w:rPr>
          <w:rFonts w:ascii="Times New Roman" w:hAnsi="Times New Roman"/>
        </w:rPr>
        <w:t>CenturyLink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Qwest Law Department</w:t>
      </w:r>
    </w:p>
    <w:p w:rsidR="00B13CF3" w:rsidRDefault="00B13CF3">
      <w:pPr>
        <w:spacing w:line="240" w:lineRule="exact"/>
        <w:ind w:left="720"/>
        <w:rPr>
          <w:rFonts w:ascii="Times New Roman" w:hAnsi="Times New Roman"/>
        </w:rPr>
      </w:pPr>
      <w:r>
        <w:rPr>
          <w:rFonts w:ascii="Times New Roman" w:hAnsi="Times New Roman"/>
        </w:rPr>
        <w:t>805 Broadway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ostalCode">
        <w:r>
          <w:rPr>
            <w:rFonts w:ascii="Times New Roman" w:hAnsi="Times New Roman"/>
          </w:rPr>
          <w:t>1600 – 7</w:t>
        </w:r>
        <w:r>
          <w:rPr>
            <w:rFonts w:ascii="Times New Roman" w:hAnsi="Times New Roman"/>
            <w:vertAlign w:val="superscript"/>
          </w:rPr>
          <w:t>th</w:t>
        </w:r>
        <w:r>
          <w:rPr>
            <w:rFonts w:ascii="Times New Roman" w:hAnsi="Times New Roman"/>
          </w:rPr>
          <w:t xml:space="preserve"> Ave.</w:t>
        </w:r>
      </w:smartTag>
      <w:r>
        <w:rPr>
          <w:rFonts w:ascii="Times New Roman" w:hAnsi="Times New Roman"/>
        </w:rPr>
        <w:t>, room 1506</w:t>
      </w:r>
    </w:p>
    <w:p w:rsidR="00B13CF3" w:rsidRDefault="00B13CF3">
      <w:pPr>
        <w:spacing w:line="240" w:lineRule="exact"/>
        <w:ind w:left="720"/>
        <w:rPr>
          <w:rFonts w:ascii="Times New Roman" w:hAnsi="Times New Roman"/>
        </w:rPr>
      </w:pPr>
      <w:smartTag w:uri="urn:schemas-microsoft-com:office:smarttags" w:element="PostalCode">
        <w:r>
          <w:rPr>
            <w:rFonts w:ascii="Times New Roman" w:hAnsi="Times New Roman"/>
          </w:rPr>
          <w:t>Vancouver</w:t>
        </w:r>
      </w:smartTag>
      <w:r>
        <w:rPr>
          <w:rFonts w:ascii="Times New Roman" w:hAnsi="Times New Roman"/>
        </w:rPr>
        <w:t xml:space="preserve">, </w:t>
      </w:r>
      <w:smartTag w:uri="urn:schemas-microsoft-com:office:smarttags" w:element="PostalCode">
        <w:r>
          <w:rPr>
            <w:rFonts w:ascii="Times New Roman" w:hAnsi="Times New Roman"/>
          </w:rPr>
          <w:t>WA</w:t>
        </w:r>
      </w:smartTag>
      <w:r>
        <w:rPr>
          <w:rFonts w:ascii="Times New Roman" w:hAnsi="Times New Roman"/>
        </w:rPr>
        <w:t xml:space="preserve"> </w:t>
      </w:r>
      <w:smartTag w:uri="urn:schemas-microsoft-com:office:smarttags" w:element="PostalCode">
        <w:r>
          <w:rPr>
            <w:rFonts w:ascii="Times New Roman" w:hAnsi="Times New Roman"/>
          </w:rPr>
          <w:t>98660</w:t>
        </w:r>
      </w:smartTag>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ostalCode">
        <w:smartTag w:uri="urn:schemas-microsoft-com:office:smarttags" w:element="PostalCode">
          <w:r>
            <w:rPr>
              <w:rFonts w:ascii="Times New Roman" w:hAnsi="Times New Roman"/>
            </w:rPr>
            <w:t>Seattle</w:t>
          </w:r>
        </w:smartTag>
        <w:r>
          <w:rPr>
            <w:rFonts w:ascii="Times New Roman" w:hAnsi="Times New Roman"/>
          </w:rPr>
          <w:t xml:space="preserve">, </w:t>
        </w:r>
        <w:smartTag w:uri="urn:schemas-microsoft-com:office:smarttags" w:element="PostalCode">
          <w:r>
            <w:rPr>
              <w:rFonts w:ascii="Times New Roman" w:hAnsi="Times New Roman"/>
            </w:rPr>
            <w:t>WA</w:t>
          </w:r>
        </w:smartTag>
        <w:r>
          <w:rPr>
            <w:rFonts w:ascii="Times New Roman" w:hAnsi="Times New Roman"/>
          </w:rPr>
          <w:t xml:space="preserve"> </w:t>
        </w:r>
        <w:smartTag w:uri="urn:schemas-microsoft-com:office:smarttags" w:element="PostalCode">
          <w:r>
            <w:rPr>
              <w:rFonts w:ascii="Times New Roman" w:hAnsi="Times New Roman"/>
            </w:rPr>
            <w:t>98191</w:t>
          </w:r>
        </w:smartTag>
      </w:smartTag>
    </w:p>
    <w:p w:rsidR="00B13CF3" w:rsidRDefault="00B13CF3">
      <w:pPr>
        <w:spacing w:line="240" w:lineRule="exact"/>
        <w:ind w:left="720"/>
        <w:rPr>
          <w:rFonts w:ascii="Times New Roman" w:hAnsi="Times New Roman"/>
        </w:rPr>
      </w:pPr>
      <w:hyperlink r:id="rId8" w:history="1">
        <w:r>
          <w:rPr>
            <w:rStyle w:val="Hyperlink"/>
            <w:rFonts w:ascii="Times New Roman" w:hAnsi="Times New Roman"/>
          </w:rPr>
          <w:t>calvin.simshaw@centurylink.com</w:t>
        </w:r>
      </w:hyperlink>
      <w:r>
        <w:rPr>
          <w:rFonts w:ascii="Times New Roman" w:hAnsi="Times New Roman"/>
        </w:rPr>
        <w:tab/>
      </w:r>
      <w:r>
        <w:rPr>
          <w:rFonts w:ascii="Times New Roman" w:hAnsi="Times New Roman"/>
        </w:rPr>
        <w:tab/>
      </w:r>
      <w:r>
        <w:rPr>
          <w:rFonts w:ascii="Times New Roman" w:hAnsi="Times New Roman"/>
        </w:rPr>
        <w:tab/>
      </w:r>
      <w:hyperlink r:id="rId9" w:history="1">
        <w:r>
          <w:rPr>
            <w:rStyle w:val="Hyperlink"/>
            <w:rFonts w:ascii="Times New Roman" w:hAnsi="Times New Roman"/>
          </w:rPr>
          <w:t>lisa.anderl@qwest.com</w:t>
        </w:r>
      </w:hyperlink>
      <w:r>
        <w:rPr>
          <w:rFonts w:ascii="Times New Roman" w:hAnsi="Times New Roman"/>
        </w:rPr>
        <w:t xml:space="preserve"> </w:t>
      </w:r>
    </w:p>
    <w:sectPr w:rsidR="00B13CF3" w:rsidSect="0067748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F3" w:rsidRDefault="00B13CF3">
      <w:r>
        <w:separator/>
      </w:r>
    </w:p>
  </w:endnote>
  <w:endnote w:type="continuationSeparator" w:id="1">
    <w:p w:rsidR="00B13CF3" w:rsidRDefault="00B13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3" w:rsidRDefault="00B13CF3">
    <w:pPr>
      <w:pStyle w:val="Footer"/>
      <w:spacing w:line="200" w:lineRule="exact"/>
      <w:ind w:right="360"/>
      <w:rPr>
        <w:rFonts w:ascii="Times New Roman" w:hAnsi="Times New Roman"/>
        <w:sz w:val="20"/>
      </w:rPr>
    </w:pPr>
  </w:p>
  <w:p w:rsidR="00B13CF3" w:rsidRDefault="00B13CF3">
    <w:pPr>
      <w:pStyle w:val="Footer"/>
      <w:spacing w:line="200" w:lineRule="exact"/>
      <w:ind w:right="360"/>
      <w:rPr>
        <w:rFonts w:ascii="Times New Roman" w:hAnsi="Times New Roman"/>
        <w:sz w:val="20"/>
      </w:rPr>
    </w:pPr>
    <w:r>
      <w:rPr>
        <w:rFonts w:ascii="Times New Roman" w:hAnsi="Times New Roman"/>
        <w:sz w:val="20"/>
      </w:rPr>
      <w:t xml:space="preserve">QWEST AND CENTURYLINK’S </w:t>
    </w:r>
  </w:p>
  <w:p w:rsidR="00B13CF3" w:rsidRDefault="00B13CF3">
    <w:pPr>
      <w:pStyle w:val="Footer"/>
      <w:spacing w:line="200" w:lineRule="exact"/>
      <w:ind w:right="360"/>
      <w:rPr>
        <w:rFonts w:ascii="Times New Roman" w:hAnsi="Times New Roman"/>
        <w:sz w:val="20"/>
      </w:rPr>
    </w:pPr>
    <w:r>
      <w:rPr>
        <w:rFonts w:ascii="Times New Roman" w:hAnsi="Times New Roman"/>
        <w:sz w:val="20"/>
      </w:rPr>
      <w:t>MOTION TO EXCLUDE ACCESS</w:t>
    </w:r>
  </w:p>
  <w:p w:rsidR="00B13CF3" w:rsidRDefault="00B13CF3">
    <w:pPr>
      <w:pStyle w:val="Footer"/>
      <w:spacing w:line="200" w:lineRule="exact"/>
      <w:ind w:right="360"/>
      <w:rPr>
        <w:rFonts w:ascii="Times New Roman" w:hAnsi="Times New Roman"/>
        <w:sz w:val="20"/>
      </w:rPr>
    </w:pPr>
    <w:r>
      <w:rPr>
        <w:rFonts w:ascii="Times New Roman" w:hAnsi="Times New Roman"/>
        <w:sz w:val="20"/>
      </w:rPr>
      <w:t>TO HIGHLY CONFIDENTIAL INFORMATION</w:t>
    </w:r>
  </w:p>
  <w:p w:rsidR="00B13CF3" w:rsidRDefault="00B13CF3">
    <w:pPr>
      <w:pStyle w:val="Footer"/>
      <w:spacing w:line="200" w:lineRule="exact"/>
      <w:ind w:right="360"/>
      <w:rP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4</w:t>
    </w:r>
    <w:r>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F3" w:rsidRDefault="00B13CF3">
      <w:r>
        <w:separator/>
      </w:r>
    </w:p>
  </w:footnote>
  <w:footnote w:type="continuationSeparator" w:id="1">
    <w:p w:rsidR="00B13CF3" w:rsidRDefault="00B13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F7C3066"/>
    <w:lvl w:ilvl="0">
      <w:start w:val="1"/>
      <w:numFmt w:val="bullet"/>
      <w:lvlText w:val=""/>
      <w:lvlJc w:val="left"/>
      <w:pPr>
        <w:tabs>
          <w:tab w:val="num" w:pos="720"/>
        </w:tabs>
        <w:ind w:left="720" w:hanging="360"/>
      </w:pPr>
      <w:rPr>
        <w:rFonts w:ascii="Symbol" w:hAnsi="Symbol" w:hint="default"/>
      </w:rPr>
    </w:lvl>
  </w:abstractNum>
  <w:abstractNum w:abstractNumId="1">
    <w:nsid w:val="02B5006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79738E"/>
    <w:multiLevelType w:val="hybridMultilevel"/>
    <w:tmpl w:val="D4BCC4C6"/>
    <w:lvl w:ilvl="0" w:tplc="8F424F3C">
      <w:start w:val="1"/>
      <w:numFmt w:val="decimal"/>
      <w:lvlText w:val="%1"/>
      <w:lvlJc w:val="left"/>
      <w:pPr>
        <w:tabs>
          <w:tab w:val="num" w:pos="720"/>
        </w:tabs>
        <w:ind w:left="720" w:hanging="360"/>
      </w:pPr>
      <w:rPr>
        <w:rFonts w:ascii="Times New Roman" w:hAnsi="Times New Roman"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95083A"/>
    <w:multiLevelType w:val="multilevel"/>
    <w:tmpl w:val="0409001D"/>
    <w:styleLink w:val="Outline"/>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DF75F6"/>
    <w:multiLevelType w:val="hybridMultilevel"/>
    <w:tmpl w:val="8A0A1778"/>
    <w:lvl w:ilvl="0" w:tplc="1BF29992">
      <w:start w:val="1"/>
      <w:numFmt w:val="decimal"/>
      <w:pStyle w:val="NormalDS"/>
      <w:lvlText w:val="%1"/>
      <w:lvlJc w:val="left"/>
      <w:pPr>
        <w:tabs>
          <w:tab w:val="num" w:pos="720"/>
        </w:tabs>
        <w:ind w:left="720" w:hanging="360"/>
      </w:pPr>
      <w:rPr>
        <w:rFonts w:cs="Times New Roman" w:hint="default"/>
        <w:b w:val="0"/>
        <w:i/>
      </w:rPr>
    </w:lvl>
    <w:lvl w:ilvl="1" w:tplc="200E3F2C">
      <w:start w:val="1"/>
      <w:numFmt w:val="upperLetter"/>
      <w:lvlText w:val="%2."/>
      <w:lvlJc w:val="left"/>
      <w:pPr>
        <w:tabs>
          <w:tab w:val="num" w:pos="1440"/>
        </w:tabs>
        <w:ind w:left="1440" w:hanging="360"/>
      </w:pPr>
      <w:rPr>
        <w:rFonts w:ascii="Times New Roman" w:hAnsi="Times New Roman"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02F4C"/>
    <w:multiLevelType w:val="multilevel"/>
    <w:tmpl w:val="0409001D"/>
    <w:styleLink w:val="Style2"/>
    <w:lvl w:ilvl="0">
      <w:start w:val="1"/>
      <w:numFmt w:val="upperRoman"/>
      <w:lvlText w:val="%1)"/>
      <w:lvlJc w:val="left"/>
      <w:pPr>
        <w:ind w:left="360" w:hanging="360"/>
      </w:pPr>
      <w:rPr>
        <w:rFonts w:cs="Times New Roman"/>
      </w:rPr>
    </w:lvl>
    <w:lvl w:ilvl="1">
      <w:start w:val="1"/>
      <w:numFmt w:val="upp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Roman"/>
      <w:lvlText w:val="(%5)"/>
      <w:lvlJc w:val="left"/>
      <w:pPr>
        <w:ind w:left="1800" w:hanging="360"/>
      </w:pPr>
      <w:rPr>
        <w:rFonts w:cs="Times New Roman"/>
      </w:rPr>
    </w:lvl>
    <w:lvl w:ilvl="5">
      <w:start w:val="1"/>
      <w:numFmt w:val="upp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45870AF"/>
    <w:multiLevelType w:val="hybridMultilevel"/>
    <w:tmpl w:val="057487C2"/>
    <w:lvl w:ilvl="0" w:tplc="04090013">
      <w:start w:val="1"/>
      <w:numFmt w:val="upperRoman"/>
      <w:lvlText w:val="%1."/>
      <w:lvlJc w:val="right"/>
      <w:pPr>
        <w:tabs>
          <w:tab w:val="num" w:pos="540"/>
        </w:tabs>
        <w:ind w:left="540" w:hanging="1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C5A84BEC">
      <w:start w:val="1"/>
      <w:numFmt w:val="upperLetter"/>
      <w:lvlText w:val="%3."/>
      <w:lvlJc w:val="left"/>
      <w:pPr>
        <w:tabs>
          <w:tab w:val="num" w:pos="2340"/>
        </w:tabs>
        <w:ind w:left="2340" w:hanging="360"/>
      </w:pPr>
      <w:rPr>
        <w:rFonts w:cs="Times New Roman" w:hint="default"/>
      </w:rPr>
    </w:lvl>
    <w:lvl w:ilvl="3" w:tplc="21E00F56">
      <w:start w:val="1"/>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C1B5457"/>
    <w:multiLevelType w:val="multilevel"/>
    <w:tmpl w:val="8A0A1778"/>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3AA48D8"/>
    <w:multiLevelType w:val="multilevel"/>
    <w:tmpl w:val="C9FC70E8"/>
    <w:styleLink w:val="Pleading"/>
    <w:lvl w:ilvl="0">
      <w:start w:val="1"/>
      <w:numFmt w:val="upperRoman"/>
      <w:lvlText w:val="%1."/>
      <w:lvlJc w:val="left"/>
      <w:pPr>
        <w:tabs>
          <w:tab w:val="num" w:pos="-1800"/>
        </w:tabs>
        <w:ind w:left="-1800" w:firstLine="1440"/>
      </w:pPr>
      <w:rPr>
        <w:rFonts w:cs="Times New Roman" w:hint="default"/>
        <w:b w:val="0"/>
      </w:rPr>
    </w:lvl>
    <w:lvl w:ilvl="1">
      <w:start w:val="1"/>
      <w:numFmt w:val="upperLetter"/>
      <w:lvlText w:val="%2."/>
      <w:lvlJc w:val="left"/>
      <w:pPr>
        <w:tabs>
          <w:tab w:val="num" w:pos="-1440"/>
        </w:tabs>
        <w:ind w:left="-1440" w:hanging="360"/>
      </w:pPr>
      <w:rPr>
        <w:rFonts w:cs="Times New Roman" w:hint="default"/>
        <w:b/>
        <w:i w:val="0"/>
      </w:rPr>
    </w:lvl>
    <w:lvl w:ilvl="2">
      <w:start w:val="1"/>
      <w:numFmt w:val="decimal"/>
      <w:lvlText w:val="%3"/>
      <w:lvlJc w:val="left"/>
      <w:pPr>
        <w:tabs>
          <w:tab w:val="num" w:pos="-1080"/>
        </w:tabs>
        <w:ind w:left="-1080" w:hanging="360"/>
      </w:pPr>
      <w:rPr>
        <w:rFonts w:cs="Times New Roman" w:hint="default"/>
        <w:i/>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360"/>
        </w:tabs>
        <w:ind w:left="-360" w:hanging="360"/>
      </w:pPr>
      <w:rPr>
        <w:rFonts w:cs="Times New Roman" w:hint="default"/>
      </w:rPr>
    </w:lvl>
    <w:lvl w:ilvl="5">
      <w:start w:val="1"/>
      <w:numFmt w:val="lowerRoman"/>
      <w:lvlText w:val="(%6)"/>
      <w:lvlJc w:val="left"/>
      <w:pPr>
        <w:tabs>
          <w:tab w:val="num" w:pos="0"/>
        </w:tabs>
        <w:ind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720"/>
        </w:tabs>
        <w:ind w:left="720" w:hanging="360"/>
      </w:pPr>
      <w:rPr>
        <w:rFonts w:cs="Times New Roman" w:hint="default"/>
      </w:rPr>
    </w:lvl>
    <w:lvl w:ilvl="8">
      <w:start w:val="1"/>
      <w:numFmt w:val="lowerRoman"/>
      <w:lvlText w:val="%9."/>
      <w:lvlJc w:val="left"/>
      <w:pPr>
        <w:tabs>
          <w:tab w:val="num" w:pos="1080"/>
        </w:tabs>
        <w:ind w:left="1080" w:hanging="360"/>
      </w:pPr>
      <w:rPr>
        <w:rFonts w:cs="Times New Roman" w:hint="default"/>
      </w:rPr>
    </w:lvl>
  </w:abstractNum>
  <w:abstractNum w:abstractNumId="9">
    <w:nsid w:val="35D147E0"/>
    <w:multiLevelType w:val="multilevel"/>
    <w:tmpl w:val="D1180FA0"/>
    <w:lvl w:ilvl="0">
      <w:start w:val="1"/>
      <w:numFmt w:val="upperRoman"/>
      <w:pStyle w:val="Heading1"/>
      <w:lvlText w:val="%1."/>
      <w:lvlJc w:val="center"/>
      <w:pPr>
        <w:tabs>
          <w:tab w:val="num" w:pos="3600"/>
        </w:tabs>
        <w:ind w:left="450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cs="Times New Roman"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cs="Times New Roman" w:hint="default"/>
        <w:b/>
        <w:i w:val="0"/>
        <w:sz w:val="24"/>
      </w:rPr>
    </w:lvl>
    <w:lvl w:ilvl="3">
      <w:start w:val="1"/>
      <w:numFmt w:val="lowerLetter"/>
      <w:lvlText w:val="%4)"/>
      <w:lvlJc w:val="left"/>
      <w:pPr>
        <w:tabs>
          <w:tab w:val="num" w:pos="6480"/>
        </w:tabs>
        <w:ind w:left="648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3420"/>
        </w:tabs>
        <w:ind w:left="3060"/>
      </w:pPr>
      <w:rPr>
        <w:rFonts w:cs="Times New Roman" w:hint="default"/>
      </w:rPr>
    </w:lvl>
    <w:lvl w:ilvl="6">
      <w:start w:val="1"/>
      <w:numFmt w:val="lowerRoman"/>
      <w:lvlText w:val="(%7)"/>
      <w:lvlJc w:val="left"/>
      <w:pPr>
        <w:tabs>
          <w:tab w:val="num" w:pos="4140"/>
        </w:tabs>
        <w:ind w:left="3780"/>
      </w:pPr>
      <w:rPr>
        <w:rFonts w:cs="Times New Roman" w:hint="default"/>
      </w:rPr>
    </w:lvl>
    <w:lvl w:ilvl="7">
      <w:start w:val="1"/>
      <w:numFmt w:val="lowerLetter"/>
      <w:lvlText w:val="(%8)"/>
      <w:lvlJc w:val="left"/>
      <w:pPr>
        <w:tabs>
          <w:tab w:val="num" w:pos="4860"/>
        </w:tabs>
        <w:ind w:left="4500"/>
      </w:pPr>
      <w:rPr>
        <w:rFonts w:cs="Times New Roman" w:hint="default"/>
      </w:rPr>
    </w:lvl>
    <w:lvl w:ilvl="8">
      <w:start w:val="1"/>
      <w:numFmt w:val="lowerRoman"/>
      <w:lvlText w:val="(%9)"/>
      <w:lvlJc w:val="left"/>
      <w:pPr>
        <w:tabs>
          <w:tab w:val="num" w:pos="5580"/>
        </w:tabs>
        <w:ind w:left="5220"/>
      </w:pPr>
      <w:rPr>
        <w:rFonts w:cs="Times New Roman" w:hint="default"/>
      </w:rPr>
    </w:lvl>
  </w:abstractNum>
  <w:abstractNum w:abstractNumId="10">
    <w:nsid w:val="4EFA07C0"/>
    <w:multiLevelType w:val="hybridMultilevel"/>
    <w:tmpl w:val="F7648118"/>
    <w:lvl w:ilvl="0" w:tplc="C5E8CEB6">
      <w:start w:val="1"/>
      <w:numFmt w:val="decimal"/>
      <w:lvlText w:val="%1"/>
      <w:lvlJc w:val="left"/>
      <w:pPr>
        <w:tabs>
          <w:tab w:val="num" w:pos="1080"/>
        </w:tabs>
        <w:ind w:left="1080" w:hanging="360"/>
      </w:pPr>
      <w:rPr>
        <w:rFonts w:cs="Times New Roman" w:hint="default"/>
        <w:b w:val="0"/>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0E363BF"/>
    <w:multiLevelType w:val="hybridMultilevel"/>
    <w:tmpl w:val="B3123E4E"/>
    <w:lvl w:ilvl="0" w:tplc="04090001">
      <w:start w:val="1"/>
      <w:numFmt w:val="bullet"/>
      <w:lvlText w:val=""/>
      <w:lvlJc w:val="left"/>
      <w:pPr>
        <w:tabs>
          <w:tab w:val="num" w:pos="1080"/>
        </w:tabs>
        <w:ind w:left="1080" w:hanging="360"/>
      </w:pPr>
      <w:rPr>
        <w:rFonts w:ascii="Symbol" w:hAnsi="Symbol" w:hint="default"/>
        <w:b w:val="0"/>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43518CE"/>
    <w:multiLevelType w:val="multilevel"/>
    <w:tmpl w:val="9F1448A0"/>
    <w:lvl w:ilvl="0">
      <w:start w:val="1"/>
      <w:numFmt w:val="decimal"/>
      <w:lvlText w:val="%1"/>
      <w:lvlJc w:val="left"/>
      <w:pPr>
        <w:tabs>
          <w:tab w:val="num" w:pos="720"/>
        </w:tabs>
        <w:ind w:left="720" w:hanging="360"/>
      </w:pPr>
      <w:rPr>
        <w:rFonts w:cs="Times New Roman" w:hint="default"/>
        <w:b w:val="0"/>
        <w:i/>
      </w:rPr>
    </w:lvl>
    <w:lvl w:ilvl="1">
      <w:start w:val="3"/>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72242B5"/>
    <w:multiLevelType w:val="hybridMultilevel"/>
    <w:tmpl w:val="CB4A6370"/>
    <w:lvl w:ilvl="0" w:tplc="88A6CB62">
      <w:start w:val="2"/>
      <w:numFmt w:val="upp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823911"/>
    <w:multiLevelType w:val="hybridMultilevel"/>
    <w:tmpl w:val="0D96AEAE"/>
    <w:lvl w:ilvl="0" w:tplc="FFFFFFFF">
      <w:start w:val="1"/>
      <w:numFmt w:val="decimal"/>
      <w:lvlText w:val="%1"/>
      <w:lvlJc w:val="left"/>
      <w:pPr>
        <w:tabs>
          <w:tab w:val="num" w:pos="0"/>
        </w:tabs>
        <w:ind w:hanging="1080"/>
      </w:pPr>
      <w:rPr>
        <w:rFonts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9E4254"/>
    <w:multiLevelType w:val="multilevel"/>
    <w:tmpl w:val="353A61DC"/>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9660E79"/>
    <w:multiLevelType w:val="hybridMultilevel"/>
    <w:tmpl w:val="F1C82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B7C0F5D"/>
    <w:multiLevelType w:val="multilevel"/>
    <w:tmpl w:val="8A0A1778"/>
    <w:lvl w:ilvl="0">
      <w:start w:val="1"/>
      <w:numFmt w:val="decimal"/>
      <w:lvlText w:val="%1"/>
      <w:lvlJc w:val="left"/>
      <w:pPr>
        <w:tabs>
          <w:tab w:val="num" w:pos="720"/>
        </w:tabs>
        <w:ind w:left="720" w:hanging="360"/>
      </w:pPr>
      <w:rPr>
        <w:rFonts w:cs="Times New Roman" w:hint="default"/>
        <w:b w:val="0"/>
        <w:i/>
      </w:rPr>
    </w:lvl>
    <w:lvl w:ilvl="1">
      <w:start w:val="1"/>
      <w:numFmt w:val="upperLetter"/>
      <w:lvlText w:val="%2."/>
      <w:lvlJc w:val="left"/>
      <w:pPr>
        <w:tabs>
          <w:tab w:val="num" w:pos="1440"/>
        </w:tabs>
        <w:ind w:left="1440" w:hanging="360"/>
      </w:pPr>
      <w:rPr>
        <w:rFonts w:ascii="Times New Roman" w:hAnsi="Times New Roman"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6"/>
  </w:num>
  <w:num w:numId="4">
    <w:abstractNumId w:val="6"/>
  </w:num>
  <w:num w:numId="5">
    <w:abstractNumId w:val="9"/>
  </w:num>
  <w:num w:numId="6">
    <w:abstractNumId w:val="13"/>
  </w:num>
  <w:num w:numId="7">
    <w:abstractNumId w:val="1"/>
  </w:num>
  <w:num w:numId="8">
    <w:abstractNumId w:val="2"/>
  </w:num>
  <w:num w:numId="9">
    <w:abstractNumId w:val="9"/>
  </w:num>
  <w:num w:numId="10">
    <w:abstractNumId w:val="0"/>
  </w:num>
  <w:num w:numId="11">
    <w:abstractNumId w:val="4"/>
  </w:num>
  <w:num w:numId="12">
    <w:abstractNumId w:val="9"/>
  </w:num>
  <w:num w:numId="13">
    <w:abstractNumId w:val="9"/>
  </w:num>
  <w:num w:numId="14">
    <w:abstractNumId w:val="15"/>
  </w:num>
  <w:num w:numId="15">
    <w:abstractNumId w:val="12"/>
  </w:num>
  <w:num w:numId="16">
    <w:abstractNumId w:val="17"/>
  </w:num>
  <w:num w:numId="17">
    <w:abstractNumId w:val="8"/>
  </w:num>
  <w:num w:numId="18">
    <w:abstractNumId w:val="7"/>
  </w:num>
  <w:num w:numId="19">
    <w:abstractNumId w:val="4"/>
    <w:lvlOverride w:ilvl="0">
      <w:startOverride w:val="1"/>
    </w:lvlOverride>
    <w:lvlOverride w:ilvl="1">
      <w:startOverride w:val="2"/>
    </w:lvlOverride>
  </w:num>
  <w:num w:numId="20">
    <w:abstractNumId w:val="4"/>
    <w:lvlOverride w:ilvl="0">
      <w:startOverride w:val="1"/>
    </w:lvlOverride>
    <w:lvlOverride w:ilvl="1">
      <w:startOverride w:val="3"/>
    </w:lvlOverride>
  </w:num>
  <w:num w:numId="21">
    <w:abstractNumId w:val="10"/>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isplayBackgroundShape/>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CF3"/>
    <w:rsid w:val="00677487"/>
    <w:rsid w:val="00B13C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numPr>
        <w:numId w:val="5"/>
      </w:numPr>
      <w:jc w:val="center"/>
      <w:outlineLvl w:val="0"/>
    </w:pPr>
    <w:rPr>
      <w:b/>
      <w:bCs/>
      <w:sz w:val="28"/>
    </w:rPr>
  </w:style>
  <w:style w:type="paragraph" w:styleId="Heading2">
    <w:name w:val="heading 2"/>
    <w:basedOn w:val="Normal"/>
    <w:next w:val="Normal"/>
    <w:link w:val="Heading2Char"/>
    <w:uiPriority w:val="99"/>
    <w:qFormat/>
    <w:pPr>
      <w:keepNext/>
      <w:keepLines/>
      <w:numPr>
        <w:ilvl w:val="1"/>
        <w:numId w:val="5"/>
      </w:numPr>
      <w:spacing w:before="200"/>
      <w:outlineLvl w:val="1"/>
    </w:pPr>
    <w:rPr>
      <w:b/>
      <w:bCs/>
      <w:i/>
      <w:sz w:val="26"/>
      <w:szCs w:val="26"/>
    </w:rPr>
  </w:style>
  <w:style w:type="paragraph" w:styleId="Heading3">
    <w:name w:val="heading 3"/>
    <w:basedOn w:val="Normal"/>
    <w:next w:val="Normal"/>
    <w:link w:val="Heading3Char"/>
    <w:uiPriority w:val="99"/>
    <w:qFormat/>
    <w:pPr>
      <w:keepNext/>
      <w:keepLines/>
      <w:numPr>
        <w:ilvl w:val="2"/>
        <w:numId w:val="5"/>
      </w:numPr>
      <w:spacing w:before="200"/>
      <w:outlineLvl w:val="2"/>
    </w:pPr>
    <w:rPr>
      <w:b/>
      <w:bCs/>
    </w:rPr>
  </w:style>
  <w:style w:type="paragraph" w:styleId="Heading4">
    <w:name w:val="heading 4"/>
    <w:basedOn w:val="Normal"/>
    <w:next w:val="Normal"/>
    <w:link w:val="Heading4Char"/>
    <w:uiPriority w:val="99"/>
    <w:qFormat/>
    <w:pPr>
      <w:keepNext/>
      <w:ind w:left="144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sz w:val="24"/>
      <w:szCs w:val="24"/>
      <w:lang w:val="en-US" w:eastAsia="en-US" w:bidi="ar-SA"/>
    </w:rPr>
  </w:style>
  <w:style w:type="character" w:customStyle="1" w:styleId="Heading2Char">
    <w:name w:val="Heading 2 Char"/>
    <w:basedOn w:val="DefaultParagraphFont"/>
    <w:link w:val="Heading2"/>
    <w:uiPriority w:val="99"/>
    <w:locked/>
    <w:rPr>
      <w:rFonts w:ascii="Calibri" w:hAnsi="Calibri" w:cs="Times New Roman"/>
      <w:b/>
      <w:bCs/>
      <w:i/>
      <w:sz w:val="26"/>
      <w:szCs w:val="26"/>
      <w:lang w:val="en-US" w:eastAsia="en-US" w:bidi="ar-SA"/>
    </w:rPr>
  </w:style>
  <w:style w:type="character" w:customStyle="1" w:styleId="Heading3Char">
    <w:name w:val="Heading 3 Char"/>
    <w:basedOn w:val="DefaultParagraphFont"/>
    <w:link w:val="Heading3"/>
    <w:uiPriority w:val="99"/>
    <w:semiHidden/>
    <w:locked/>
    <w:rPr>
      <w:rFonts w:ascii="Calibri" w:hAnsi="Calibri" w:cs="Times New Roman"/>
      <w:b/>
      <w:bCs/>
      <w:sz w:val="24"/>
      <w:szCs w:val="24"/>
      <w:lang w:val="en-US" w:eastAsia="en-US" w:bidi="ar-SA"/>
    </w:rPr>
  </w:style>
  <w:style w:type="character" w:customStyle="1" w:styleId="Heading4Char">
    <w:name w:val="Heading 4 Char"/>
    <w:basedOn w:val="DefaultParagraphFont"/>
    <w:link w:val="Heading4"/>
    <w:uiPriority w:val="99"/>
    <w:locked/>
    <w:rPr>
      <w:rFonts w:ascii="Calibri" w:hAnsi="Calibri" w:cs="Times New Roman"/>
      <w:bCs/>
      <w:i/>
      <w:sz w:val="28"/>
      <w:szCs w:val="28"/>
    </w:rPr>
  </w:style>
  <w:style w:type="character" w:styleId="Emphasis">
    <w:name w:val="Emphasis"/>
    <w:basedOn w:val="DefaultParagraphFont"/>
    <w:uiPriority w:val="99"/>
    <w:qFormat/>
    <w:rPr>
      <w:rFonts w:cs="Times New Roman"/>
      <w:i/>
    </w:rPr>
  </w:style>
  <w:style w:type="paragraph" w:customStyle="1" w:styleId="NormalDS">
    <w:name w:val="Normal DS"/>
    <w:basedOn w:val="Normal"/>
    <w:link w:val="NormalDSChar"/>
    <w:autoRedefine/>
    <w:uiPriority w:val="99"/>
    <w:pPr>
      <w:numPr>
        <w:numId w:val="11"/>
      </w:numPr>
      <w:spacing w:line="480" w:lineRule="auto"/>
      <w:ind w:hanging="720"/>
    </w:pPr>
    <w:rPr>
      <w:rFonts w:ascii="Times New Roman" w:hAnsi="Times New Roman"/>
    </w:rPr>
  </w:style>
  <w:style w:type="paragraph" w:customStyle="1" w:styleId="Style1">
    <w:name w:val="Style1"/>
    <w:uiPriority w:val="99"/>
    <w:pPr>
      <w:spacing w:after="200" w:line="276" w:lineRule="auto"/>
    </w:pPr>
    <w:rPr>
      <w:rFonts w:ascii="Book Antiqua" w:hAnsi="Book Antiqua"/>
      <w:smallCaps/>
      <w:sz w:val="26"/>
      <w:szCs w:val="24"/>
    </w:rPr>
  </w:style>
  <w:style w:type="paragraph" w:customStyle="1" w:styleId="LawFirm">
    <w:name w:val="Law Firm"/>
    <w:next w:val="Normal"/>
    <w:uiPriority w:val="99"/>
    <w:rPr>
      <w:rFonts w:ascii="Book Antiqua" w:hAnsi="Book Antiqua"/>
      <w:smallCaps/>
      <w:sz w:val="24"/>
      <w:szCs w:val="24"/>
    </w:rPr>
  </w:style>
  <w:style w:type="paragraph" w:customStyle="1" w:styleId="IndentedQuote">
    <w:name w:val="Indented Quote"/>
    <w:next w:val="Normal"/>
    <w:link w:val="IndentedQuoteChar"/>
    <w:uiPriority w:val="99"/>
    <w:pPr>
      <w:ind w:left="720" w:right="720"/>
    </w:pPr>
    <w:rPr>
      <w:szCs w:val="24"/>
    </w:rPr>
  </w:style>
  <w:style w:type="character" w:customStyle="1" w:styleId="IndentedQuoteChar">
    <w:name w:val="Indented Quote Char"/>
    <w:basedOn w:val="DefaultParagraphFont"/>
    <w:link w:val="IndentedQuote"/>
    <w:uiPriority w:val="99"/>
    <w:locked/>
    <w:rPr>
      <w:rFonts w:cs="Times New Roman"/>
      <w:sz w:val="24"/>
      <w:szCs w:val="24"/>
      <w:lang w:val="en-US" w:eastAsia="en-US" w:bidi="ar-SA"/>
    </w:rPr>
  </w:style>
  <w:style w:type="character" w:customStyle="1" w:styleId="NormalDSChar">
    <w:name w:val="Normal DS Char"/>
    <w:basedOn w:val="DefaultParagraphFont"/>
    <w:link w:val="NormalDS"/>
    <w:uiPriority w:val="99"/>
    <w:locked/>
    <w:rPr>
      <w:rFonts w:cs="Times New Roman"/>
      <w:sz w:val="24"/>
      <w:szCs w:val="24"/>
      <w:lang w:val="en-US" w:eastAsia="en-US"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paragraph" w:styleId="ListParagraph">
    <w:name w:val="List Paragraph"/>
    <w:basedOn w:val="Normal"/>
    <w:uiPriority w:val="99"/>
    <w:qFormat/>
    <w:pPr>
      <w:spacing w:before="120" w:after="120"/>
      <w:ind w:left="720"/>
      <w:contextualSpacing/>
    </w:pPr>
  </w:style>
  <w:style w:type="character" w:styleId="FootnoteReference">
    <w:name w:val="footnote reference"/>
    <w:aliases w:val="Style 3"/>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urtName">
    <w:name w:val="CourtName"/>
    <w:basedOn w:val="Normal"/>
    <w:uiPriority w:val="99"/>
    <w:pPr>
      <w:overflowPunct w:val="0"/>
      <w:autoSpaceDE w:val="0"/>
      <w:autoSpaceDN w:val="0"/>
      <w:adjustRightInd w:val="0"/>
      <w:spacing w:line="240" w:lineRule="exact"/>
      <w:jc w:val="center"/>
      <w:textAlignment w:val="baseline"/>
    </w:pPr>
    <w:rPr>
      <w:rFonts w:ascii="Times New Roman" w:hAnsi="Times New Roman"/>
      <w:szCs w:val="20"/>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numbering" w:customStyle="1" w:styleId="Outline">
    <w:name w:val="Outline"/>
    <w:rsid w:val="00B13CF3"/>
    <w:pPr>
      <w:numPr>
        <w:numId w:val="2"/>
      </w:numPr>
    </w:pPr>
  </w:style>
  <w:style w:type="numbering" w:customStyle="1" w:styleId="Style2">
    <w:name w:val="Style2"/>
    <w:rsid w:val="00B13CF3"/>
    <w:pPr>
      <w:numPr>
        <w:numId w:val="1"/>
      </w:numPr>
    </w:pPr>
  </w:style>
  <w:style w:type="numbering" w:customStyle="1" w:styleId="Pleading">
    <w:name w:val="Pleading"/>
    <w:rsid w:val="00B13CF3"/>
    <w:pPr>
      <w:numPr>
        <w:numId w:val="1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vin.simshaw@centurylink.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sa.anderl@qwes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2010-08-26T07:00:00+00:00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F52B5-881D-4F8B-A806-11F9E2DE5BF5}"/>
</file>

<file path=customXml/itemProps2.xml><?xml version="1.0" encoding="utf-8"?>
<ds:datastoreItem xmlns:ds="http://schemas.openxmlformats.org/officeDocument/2006/customXml" ds:itemID="{B876A548-458E-4622-B76D-A0EB6D71D01B}"/>
</file>

<file path=customXml/itemProps3.xml><?xml version="1.0" encoding="utf-8"?>
<ds:datastoreItem xmlns:ds="http://schemas.openxmlformats.org/officeDocument/2006/customXml" ds:itemID="{BA682A62-8064-4826-8E85-F6C4D4A7F89C}"/>
</file>

<file path=customXml/itemProps4.xml><?xml version="1.0" encoding="utf-8"?>
<ds:datastoreItem xmlns:ds="http://schemas.openxmlformats.org/officeDocument/2006/customXml" ds:itemID="{96AA46B5-A2CE-46E9-826F-AA5582D8C8F9}"/>
</file>

<file path=docProps/app.xml><?xml version="1.0" encoding="utf-8"?>
<Properties xmlns="http://schemas.openxmlformats.org/officeDocument/2006/extended-properties" xmlns:vt="http://schemas.openxmlformats.org/officeDocument/2006/docPropsVTypes">
  <Template>Normal_Wordconv</Template>
  <TotalTime>40</TotalTime>
  <Pages>4</Pages>
  <Words>943</Words>
  <Characters>5376</Characters>
  <Application>Microsoft Office Outlook</Application>
  <DocSecurity>0</DocSecurity>
  <Lines>0</Lines>
  <Paragraphs>0</Paragraphs>
  <ScaleCrop>false</ScaleCrop>
  <Company>Qwest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Sprint Motion to Compel</dc:title>
  <dc:subject/>
  <dc:creator>Tim Goodwin</dc:creator>
  <cp:keywords/>
  <dc:description/>
  <cp:lastModifiedBy>Leslie D. Johnson</cp:lastModifiedBy>
  <cp:revision>5</cp:revision>
  <cp:lastPrinted>2010-08-26T20:04:00Z</cp:lastPrinted>
  <dcterms:created xsi:type="dcterms:W3CDTF">2010-08-26T17:54:00Z</dcterms:created>
  <dcterms:modified xsi:type="dcterms:W3CDTF">2010-08-26T20:58:00Z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