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78120" w14:textId="77777777" w:rsidR="00676046" w:rsidRPr="007D5EB2" w:rsidRDefault="00DB2248" w:rsidP="00676046">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31378121" w14:textId="77777777" w:rsidR="00676046" w:rsidRPr="007D5EB2" w:rsidRDefault="0077419E" w:rsidP="00676046">
      <w:pPr>
        <w:pStyle w:val="Header"/>
        <w:rPr>
          <w:rFonts w:ascii="Times New Roman" w:hAnsi="Times New Roman"/>
        </w:rPr>
      </w:pPr>
    </w:p>
    <w:tbl>
      <w:tblPr>
        <w:tblStyle w:val="TableGrid"/>
        <w:tblW w:w="9180" w:type="dxa"/>
        <w:tblLayout w:type="fixed"/>
        <w:tblLook w:val="04A0" w:firstRow="1" w:lastRow="0" w:firstColumn="1" w:lastColumn="0" w:noHBand="0" w:noVBand="1"/>
      </w:tblPr>
      <w:tblGrid>
        <w:gridCol w:w="4410"/>
        <w:gridCol w:w="4770"/>
      </w:tblGrid>
      <w:tr w:rsidR="007C4465" w14:paraId="31378130" w14:textId="77777777" w:rsidTr="000104BC">
        <w:tc>
          <w:tcPr>
            <w:tcW w:w="4410" w:type="dxa"/>
            <w:tcBorders>
              <w:top w:val="nil"/>
            </w:tcBorders>
          </w:tcPr>
          <w:p w14:paraId="31378122" w14:textId="77777777" w:rsidR="007C4465" w:rsidRPr="009D57C2" w:rsidRDefault="007C4465" w:rsidP="00781132">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31378123" w14:textId="77777777" w:rsidR="007C4465" w:rsidRPr="009D57C2" w:rsidRDefault="007C4465" w:rsidP="00781132">
            <w:pPr>
              <w:spacing w:line="240" w:lineRule="atLeast"/>
              <w:rPr>
                <w:rFonts w:ascii="Times New Roman" w:hAnsi="Times New Roman" w:cs="Times New Roman"/>
                <w:sz w:val="23"/>
                <w:szCs w:val="23"/>
              </w:rPr>
            </w:pPr>
          </w:p>
          <w:p w14:paraId="31378124" w14:textId="77777777" w:rsidR="007C4465" w:rsidRPr="009D57C2" w:rsidRDefault="007C4465" w:rsidP="00781132">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14:paraId="31378125" w14:textId="77777777" w:rsidR="007C4465" w:rsidRPr="009D57C2" w:rsidRDefault="007C4465" w:rsidP="00781132">
            <w:pPr>
              <w:spacing w:line="240" w:lineRule="atLeast"/>
              <w:ind w:left="1496"/>
              <w:rPr>
                <w:rFonts w:ascii="Times New Roman" w:hAnsi="Times New Roman" w:cs="Times New Roman"/>
                <w:sz w:val="18"/>
                <w:szCs w:val="24"/>
              </w:rPr>
            </w:pPr>
          </w:p>
          <w:p w14:paraId="31378126" w14:textId="77777777" w:rsidR="007C4465" w:rsidRPr="009D57C2" w:rsidRDefault="007C4465" w:rsidP="00781132">
            <w:pPr>
              <w:spacing w:line="240" w:lineRule="atLeast"/>
              <w:ind w:left="56"/>
              <w:rPr>
                <w:rFonts w:ascii="Times New Roman" w:hAnsi="Times New Roman" w:cs="Times New Roman"/>
                <w:szCs w:val="24"/>
              </w:rPr>
            </w:pPr>
            <w:r w:rsidRPr="009D57C2">
              <w:rPr>
                <w:rFonts w:ascii="Times New Roman" w:hAnsi="Times New Roman" w:cs="Times New Roman"/>
                <w:szCs w:val="24"/>
              </w:rPr>
              <w:t>v.</w:t>
            </w:r>
          </w:p>
          <w:p w14:paraId="31378127" w14:textId="77777777" w:rsidR="007C4465" w:rsidRPr="009D57C2" w:rsidRDefault="007C4465" w:rsidP="00781132">
            <w:pPr>
              <w:spacing w:line="240" w:lineRule="atLeast"/>
              <w:ind w:left="686"/>
              <w:rPr>
                <w:rFonts w:ascii="Times New Roman" w:hAnsi="Times New Roman" w:cs="Times New Roman"/>
                <w:sz w:val="18"/>
                <w:szCs w:val="24"/>
              </w:rPr>
            </w:pPr>
          </w:p>
          <w:p w14:paraId="31378128" w14:textId="77777777" w:rsidR="007C4465" w:rsidRPr="009D57C2" w:rsidRDefault="007C4465" w:rsidP="00781132">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14:paraId="31378129" w14:textId="77777777" w:rsidR="007C4465" w:rsidRPr="009D57C2" w:rsidRDefault="007C4465" w:rsidP="00781132">
            <w:pPr>
              <w:spacing w:line="240" w:lineRule="atLeast"/>
              <w:ind w:left="56"/>
              <w:rPr>
                <w:rFonts w:ascii="Times New Roman" w:hAnsi="Times New Roman" w:cs="Times New Roman"/>
                <w:sz w:val="20"/>
                <w:szCs w:val="24"/>
              </w:rPr>
            </w:pPr>
          </w:p>
          <w:p w14:paraId="3137812A" w14:textId="77777777" w:rsidR="007C4465" w:rsidRDefault="007C4465" w:rsidP="00781132">
            <w:pPr>
              <w:spacing w:line="240" w:lineRule="atLeast"/>
              <w:rPr>
                <w:rFonts w:ascii="Times New Roman" w:hAnsi="Times New Roman" w:cs="Times New Roman"/>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9D57C2">
              <w:rPr>
                <w:rFonts w:ascii="Times New Roman" w:hAnsi="Times New Roman" w:cs="Times New Roman"/>
                <w:szCs w:val="24"/>
              </w:rPr>
              <w:t>.</w:t>
            </w:r>
          </w:p>
          <w:p w14:paraId="3137812B" w14:textId="77777777" w:rsidR="00885E6E" w:rsidRPr="009D57C2" w:rsidRDefault="00885E6E" w:rsidP="00781132">
            <w:pPr>
              <w:spacing w:line="240" w:lineRule="atLeast"/>
              <w:rPr>
                <w:rFonts w:ascii="Times New Roman" w:hAnsi="Times New Roman" w:cs="Times New Roman"/>
                <w:sz w:val="24"/>
                <w:szCs w:val="24"/>
              </w:rPr>
            </w:pPr>
          </w:p>
        </w:tc>
        <w:tc>
          <w:tcPr>
            <w:tcW w:w="4770" w:type="dxa"/>
            <w:tcBorders>
              <w:top w:val="nil"/>
              <w:bottom w:val="nil"/>
              <w:right w:val="nil"/>
            </w:tcBorders>
          </w:tcPr>
          <w:p w14:paraId="3137812C" w14:textId="77777777" w:rsidR="007C4465" w:rsidRPr="009D57C2" w:rsidRDefault="007C4465" w:rsidP="00781132">
            <w:pPr>
              <w:rPr>
                <w:rFonts w:ascii="Times New Roman" w:hAnsi="Times New Roman" w:cs="Times New Roman"/>
                <w:sz w:val="24"/>
                <w:szCs w:val="24"/>
              </w:rPr>
            </w:pPr>
            <w:r w:rsidRPr="009D57C2">
              <w:rPr>
                <w:rFonts w:ascii="Times New Roman" w:hAnsi="Times New Roman" w:cs="Times New Roman"/>
                <w:sz w:val="24"/>
                <w:szCs w:val="24"/>
              </w:rPr>
              <w:t>DOCKET NOS.</w:t>
            </w:r>
          </w:p>
          <w:p w14:paraId="3137812D" w14:textId="77777777" w:rsidR="007C4465" w:rsidRPr="009D57C2" w:rsidRDefault="007C4465" w:rsidP="00781132">
            <w:pPr>
              <w:rPr>
                <w:rFonts w:ascii="Times New Roman" w:hAnsi="Times New Roman" w:cs="Times New Roman"/>
                <w:sz w:val="24"/>
                <w:szCs w:val="24"/>
              </w:rPr>
            </w:pPr>
            <w:r w:rsidRPr="009D57C2">
              <w:rPr>
                <w:rFonts w:ascii="Times New Roman" w:hAnsi="Times New Roman" w:cs="Times New Roman"/>
                <w:sz w:val="24"/>
                <w:szCs w:val="24"/>
              </w:rPr>
              <w:t>TC-143691</w:t>
            </w:r>
            <w:r>
              <w:rPr>
                <w:rFonts w:ascii="Times New Roman" w:hAnsi="Times New Roman" w:cs="Times New Roman"/>
                <w:sz w:val="24"/>
                <w:szCs w:val="24"/>
              </w:rPr>
              <w:t>,</w:t>
            </w:r>
            <w:r w:rsidRPr="009D57C2">
              <w:rPr>
                <w:rFonts w:ascii="Times New Roman" w:hAnsi="Times New Roman" w:cs="Times New Roman"/>
                <w:sz w:val="24"/>
                <w:szCs w:val="24"/>
              </w:rPr>
              <w:t xml:space="preserve"> TC-160516</w:t>
            </w:r>
            <w:r>
              <w:rPr>
                <w:rFonts w:ascii="Times New Roman" w:hAnsi="Times New Roman" w:cs="Times New Roman"/>
                <w:sz w:val="24"/>
                <w:szCs w:val="24"/>
              </w:rPr>
              <w:t xml:space="preserve"> &amp; TC-161257</w:t>
            </w:r>
          </w:p>
          <w:p w14:paraId="3137812E" w14:textId="77777777" w:rsidR="007C4465" w:rsidRPr="009D57C2" w:rsidRDefault="007C4465" w:rsidP="00781132">
            <w:pPr>
              <w:rPr>
                <w:rFonts w:ascii="Times New Roman" w:hAnsi="Times New Roman" w:cs="Times New Roman"/>
                <w:sz w:val="24"/>
                <w:szCs w:val="24"/>
              </w:rPr>
            </w:pPr>
          </w:p>
          <w:p w14:paraId="3137812F" w14:textId="77777777" w:rsidR="007C4465" w:rsidRPr="009D57C2" w:rsidRDefault="00885E6E" w:rsidP="00885E6E">
            <w:pPr>
              <w:pStyle w:val="Title"/>
            </w:pPr>
            <w:r>
              <w:t xml:space="preserve">ANSWER OF SPEEDISHUTTLE TO PETITION FOR LIMITED INTERLOCUTORY REVIEW OF ORDERS 12/05/02 </w:t>
            </w:r>
          </w:p>
        </w:tc>
      </w:tr>
      <w:tr w:rsidR="00885E6E" w14:paraId="3137813C" w14:textId="77777777" w:rsidTr="00282C73">
        <w:tc>
          <w:tcPr>
            <w:tcW w:w="4410" w:type="dxa"/>
          </w:tcPr>
          <w:p w14:paraId="31378131" w14:textId="77777777" w:rsidR="00885E6E" w:rsidRPr="009D57C2" w:rsidRDefault="00885E6E" w:rsidP="00885E6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14:paraId="31378132" w14:textId="77777777" w:rsidR="00885E6E" w:rsidRPr="009D57C2" w:rsidRDefault="00885E6E" w:rsidP="00885E6E">
            <w:pPr>
              <w:spacing w:line="240" w:lineRule="atLeast"/>
              <w:rPr>
                <w:rFonts w:ascii="Times New Roman" w:hAnsi="Times New Roman" w:cs="Times New Roman"/>
                <w:sz w:val="23"/>
                <w:szCs w:val="23"/>
              </w:rPr>
            </w:pPr>
          </w:p>
          <w:p w14:paraId="31378133" w14:textId="77777777" w:rsidR="00885E6E" w:rsidRPr="00A975B6" w:rsidRDefault="00885E6E" w:rsidP="00885E6E">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14:paraId="31378134" w14:textId="77777777" w:rsidR="00885E6E" w:rsidRPr="00A975B6" w:rsidRDefault="00885E6E" w:rsidP="00885E6E">
            <w:pPr>
              <w:spacing w:line="240" w:lineRule="atLeast"/>
              <w:rPr>
                <w:rFonts w:ascii="Times New Roman" w:hAnsi="Times New Roman" w:cs="Times New Roman"/>
                <w:sz w:val="23"/>
                <w:szCs w:val="23"/>
              </w:rPr>
            </w:pPr>
          </w:p>
          <w:p w14:paraId="31378135" w14:textId="77777777" w:rsidR="00885E6E" w:rsidRPr="00A975B6" w:rsidRDefault="00885E6E" w:rsidP="00885E6E">
            <w:pPr>
              <w:spacing w:line="240" w:lineRule="atLeast"/>
              <w:rPr>
                <w:rFonts w:ascii="Times New Roman" w:hAnsi="Times New Roman" w:cs="Times New Roman"/>
                <w:sz w:val="23"/>
                <w:szCs w:val="23"/>
              </w:rPr>
            </w:pPr>
            <w:r w:rsidRPr="00A975B6">
              <w:rPr>
                <w:rFonts w:ascii="Times New Roman" w:hAnsi="Times New Roman" w:cs="Times New Roman"/>
                <w:sz w:val="23"/>
                <w:szCs w:val="23"/>
              </w:rPr>
              <w:t>v.</w:t>
            </w:r>
          </w:p>
          <w:p w14:paraId="31378136" w14:textId="77777777" w:rsidR="00885E6E" w:rsidRPr="00A975B6" w:rsidRDefault="00885E6E" w:rsidP="00885E6E">
            <w:pPr>
              <w:spacing w:line="240" w:lineRule="atLeast"/>
              <w:rPr>
                <w:rFonts w:ascii="Times New Roman" w:hAnsi="Times New Roman" w:cs="Times New Roman"/>
                <w:sz w:val="23"/>
                <w:szCs w:val="23"/>
              </w:rPr>
            </w:pPr>
          </w:p>
          <w:p w14:paraId="31378137" w14:textId="77777777" w:rsidR="00885E6E" w:rsidRPr="009D57C2" w:rsidRDefault="00885E6E" w:rsidP="00885E6E">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31378138" w14:textId="77777777" w:rsidR="00885E6E" w:rsidRPr="00A975B6" w:rsidRDefault="00885E6E" w:rsidP="00885E6E">
            <w:pPr>
              <w:spacing w:line="240" w:lineRule="atLeast"/>
              <w:rPr>
                <w:rFonts w:ascii="Times New Roman" w:hAnsi="Times New Roman" w:cs="Times New Roman"/>
                <w:sz w:val="23"/>
                <w:szCs w:val="23"/>
              </w:rPr>
            </w:pPr>
          </w:p>
          <w:p w14:paraId="31378139" w14:textId="77777777" w:rsidR="00885E6E" w:rsidRPr="00CC63A9" w:rsidRDefault="00885E6E" w:rsidP="00885E6E">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p w14:paraId="3137813A" w14:textId="77777777" w:rsidR="00885E6E" w:rsidRPr="009D57C2" w:rsidRDefault="00885E6E" w:rsidP="00781132">
            <w:pPr>
              <w:spacing w:line="240" w:lineRule="atLeast"/>
              <w:rPr>
                <w:rFonts w:ascii="Times New Roman" w:hAnsi="Times New Roman" w:cs="Times New Roman"/>
                <w:sz w:val="23"/>
                <w:szCs w:val="23"/>
              </w:rPr>
            </w:pPr>
          </w:p>
        </w:tc>
        <w:tc>
          <w:tcPr>
            <w:tcW w:w="4770" w:type="dxa"/>
            <w:tcBorders>
              <w:top w:val="nil"/>
              <w:bottom w:val="nil"/>
              <w:right w:val="nil"/>
            </w:tcBorders>
          </w:tcPr>
          <w:p w14:paraId="3137813B" w14:textId="77777777" w:rsidR="00885E6E" w:rsidRPr="009D57C2" w:rsidRDefault="00885E6E" w:rsidP="00781132">
            <w:pPr>
              <w:rPr>
                <w:rFonts w:ascii="Times New Roman" w:hAnsi="Times New Roman" w:cs="Times New Roman"/>
                <w:sz w:val="24"/>
                <w:szCs w:val="24"/>
              </w:rPr>
            </w:pPr>
          </w:p>
        </w:tc>
      </w:tr>
    </w:tbl>
    <w:p w14:paraId="3137813D" w14:textId="77777777" w:rsidR="00885E6E" w:rsidRDefault="00885E6E" w:rsidP="00885E6E">
      <w:pPr>
        <w:spacing w:line="240" w:lineRule="atLeast"/>
        <w:rPr>
          <w:rFonts w:ascii="Times New Roman" w:hAnsi="Times New Roman" w:cs="Times New Roman"/>
          <w:sz w:val="24"/>
        </w:rPr>
      </w:pPr>
    </w:p>
    <w:p w14:paraId="3137813E" w14:textId="77777777" w:rsidR="00885E6E" w:rsidRPr="00885E6E" w:rsidRDefault="00885E6E" w:rsidP="00885E6E">
      <w:pPr>
        <w:pStyle w:val="Heading3"/>
        <w:tabs>
          <w:tab w:val="clear" w:pos="0"/>
        </w:tabs>
        <w:rPr>
          <w:szCs w:val="23"/>
        </w:rPr>
      </w:pPr>
      <w:r>
        <w:t>Pursuant to</w:t>
      </w:r>
      <w:r w:rsidRPr="00885E6E">
        <w:t xml:space="preserve"> WAC 480-</w:t>
      </w:r>
      <w:r w:rsidR="00597ECE">
        <w:t>07-</w:t>
      </w:r>
      <w:r w:rsidRPr="00885E6E">
        <w:t>810(3)</w:t>
      </w:r>
      <w:r>
        <w:t xml:space="preserve">, </w:t>
      </w:r>
      <w:r>
        <w:rPr>
          <w:sz w:val="23"/>
          <w:szCs w:val="23"/>
        </w:rPr>
        <w:t xml:space="preserve">Speedishuttle Washington, LLC d/b/a Speedishuttle Seattle (“Speedishuttle”) responds to Petitioner/Complainant’s Petition for Qualified Limited Review of Orders 12/05/02 </w:t>
      </w:r>
      <w:r w:rsidR="00F3215B">
        <w:rPr>
          <w:sz w:val="23"/>
          <w:szCs w:val="23"/>
        </w:rPr>
        <w:t>filed on January 9, 2017</w:t>
      </w:r>
      <w:r w:rsidR="00254D84">
        <w:rPr>
          <w:sz w:val="23"/>
          <w:szCs w:val="23"/>
        </w:rPr>
        <w:t>,</w:t>
      </w:r>
      <w:r w:rsidR="00F3215B">
        <w:rPr>
          <w:sz w:val="23"/>
          <w:szCs w:val="23"/>
        </w:rPr>
        <w:t xml:space="preserve"> as follows</w:t>
      </w:r>
      <w:r w:rsidR="00F3215B">
        <w:t>:</w:t>
      </w:r>
    </w:p>
    <w:p w14:paraId="3137813F" w14:textId="77777777" w:rsidR="00ED31F1" w:rsidRPr="00ED31F1" w:rsidRDefault="00ED31F1" w:rsidP="00ED31F1">
      <w:pPr>
        <w:pStyle w:val="Heading1"/>
        <w:numPr>
          <w:ilvl w:val="0"/>
          <w:numId w:val="29"/>
        </w:numPr>
        <w:rPr>
          <w:b/>
        </w:rPr>
      </w:pPr>
      <w:r w:rsidRPr="00ED31F1">
        <w:rPr>
          <w:b/>
        </w:rPr>
        <w:t>Summary of response</w:t>
      </w:r>
    </w:p>
    <w:p w14:paraId="31378140" w14:textId="77777777" w:rsidR="00ED31F1" w:rsidRDefault="00ED31F1" w:rsidP="00ED31F1">
      <w:pPr>
        <w:pStyle w:val="Heading3"/>
      </w:pPr>
      <w:r>
        <w:t>Shuttle Express challenges the</w:t>
      </w:r>
      <w:r w:rsidR="006D7C35">
        <w:t xml:space="preserve"> realization</w:t>
      </w:r>
      <w:r w:rsidR="00697AFB">
        <w:t xml:space="preserve"> </w:t>
      </w:r>
      <w:r>
        <w:t xml:space="preserve">of the delay in the procedural schedule </w:t>
      </w:r>
      <w:r w:rsidR="004634E8">
        <w:t>contained</w:t>
      </w:r>
      <w:r>
        <w:t xml:space="preserve"> in Order 12/05/02, Granting Motion to Consolidate on </w:t>
      </w:r>
      <w:r w:rsidR="00254D84">
        <w:t xml:space="preserve">ostensibly </w:t>
      </w:r>
      <w:r>
        <w:t>two bases: 1) it was not requested, and 2) it will cause additional harm to Shuttle Express</w:t>
      </w:r>
      <w:r w:rsidR="004634E8">
        <w:t>.  As will be shown by Speedishuttle</w:t>
      </w:r>
      <w:r w:rsidR="00697AFB">
        <w:t>,</w:t>
      </w:r>
      <w:r w:rsidR="004634E8">
        <w:t xml:space="preserve"> both the consolidation and the necessary, </w:t>
      </w:r>
      <w:r w:rsidR="00697AFB">
        <w:t xml:space="preserve">routine </w:t>
      </w:r>
      <w:r w:rsidR="004634E8">
        <w:t>procedural delay are fully appropriate under the circumstances.  Shuttle Express failed to demonstrate any harm from the brief delay an</w:t>
      </w:r>
      <w:r w:rsidR="007115ED">
        <w:t>d its Petition should be denied</w:t>
      </w:r>
      <w:r>
        <w:t>.</w:t>
      </w:r>
    </w:p>
    <w:p w14:paraId="31378141" w14:textId="77777777" w:rsidR="00DD089F" w:rsidRPr="00DD089F" w:rsidRDefault="00DD089F" w:rsidP="00DD089F">
      <w:pPr>
        <w:pStyle w:val="Heading1"/>
        <w:rPr>
          <w:b/>
        </w:rPr>
      </w:pPr>
      <w:r w:rsidRPr="00DD089F">
        <w:rPr>
          <w:b/>
        </w:rPr>
        <w:lastRenderedPageBreak/>
        <w:t>argument</w:t>
      </w:r>
    </w:p>
    <w:p w14:paraId="31378142" w14:textId="77777777" w:rsidR="00413880" w:rsidRDefault="001E64D4" w:rsidP="00DD089F">
      <w:pPr>
        <w:pStyle w:val="Heading2"/>
      </w:pPr>
      <w:r>
        <w:t xml:space="preserve">Shuttle Express can hardly claim </w:t>
      </w:r>
      <w:r w:rsidR="00413880">
        <w:t>surprise or prejudice</w:t>
      </w:r>
      <w:r>
        <w:t>, while a short delay will increase efficiency</w:t>
      </w:r>
    </w:p>
    <w:p w14:paraId="31378143" w14:textId="77777777" w:rsidR="00413880" w:rsidRPr="00413880" w:rsidRDefault="004634E8" w:rsidP="00413880">
      <w:pPr>
        <w:pStyle w:val="Heading3"/>
      </w:pPr>
      <w:r>
        <w:t xml:space="preserve">Shuttle Express appears to complain that the Administrative Law Judge </w:t>
      </w:r>
      <w:r w:rsidR="00254D84">
        <w:t xml:space="preserve">somehow </w:t>
      </w:r>
      <w:r>
        <w:t xml:space="preserve">committed error in granting the Speedishuttle’s Motion to Consolidate by providing an extension of the procedural schedule without first requiring the filing of a Motion for Continuance.  This contention fails to acknowledge that some delay is inherently necessary through the consolidation of a new complaint proceeding with the existing rehearing and complaint proceedings, and that the balancing of duplication of proceedings against any potential harm in a </w:t>
      </w:r>
      <w:r w:rsidR="00254D84">
        <w:t xml:space="preserve">brief </w:t>
      </w:r>
      <w:r>
        <w:t>delay was addressed as well by both Commission Staff and Shuttle Express in their responses to Speedishuttle’s Motion to Consolidate</w:t>
      </w:r>
      <w:r w:rsidR="00413880">
        <w:t>.</w:t>
      </w:r>
    </w:p>
    <w:p w14:paraId="31378144" w14:textId="77777777" w:rsidR="00EC7698" w:rsidRDefault="004634E8" w:rsidP="00885E6E">
      <w:pPr>
        <w:pStyle w:val="Heading3"/>
        <w:tabs>
          <w:tab w:val="clear" w:pos="0"/>
        </w:tabs>
        <w:rPr>
          <w:szCs w:val="23"/>
        </w:rPr>
      </w:pPr>
      <w:r w:rsidRPr="00ED31F1">
        <w:rPr>
          <w:szCs w:val="23"/>
        </w:rPr>
        <w:t xml:space="preserve">Speedishuttle </w:t>
      </w:r>
      <w:r w:rsidR="00254D84">
        <w:rPr>
          <w:szCs w:val="23"/>
        </w:rPr>
        <w:t xml:space="preserve">also </w:t>
      </w:r>
      <w:r w:rsidRPr="00ED31F1">
        <w:rPr>
          <w:szCs w:val="23"/>
        </w:rPr>
        <w:t xml:space="preserve">originally noted in footnote 1 </w:t>
      </w:r>
      <w:r w:rsidR="00254D84">
        <w:rPr>
          <w:szCs w:val="23"/>
        </w:rPr>
        <w:t>to</w:t>
      </w:r>
      <w:r w:rsidRPr="00ED31F1">
        <w:rPr>
          <w:szCs w:val="23"/>
        </w:rPr>
        <w:t xml:space="preserve"> its Motion its lack of objection to and/or support for suspending the pending schedule in this matter.  That offer obviously necessitated the time for the Commission to rule on its Motion which had been extended by Shuttle Express over Speedishuttle’s objections.  Staff supported the Motion to Consolidate and in so</w:t>
      </w:r>
      <w:r w:rsidRPr="005A7616">
        <w:rPr>
          <w:szCs w:val="23"/>
        </w:rPr>
        <w:t xml:space="preserve"> </w:t>
      </w:r>
      <w:r w:rsidRPr="00ED31F1">
        <w:rPr>
          <w:szCs w:val="23"/>
        </w:rPr>
        <w:t xml:space="preserve">doing, succinctly </w:t>
      </w:r>
      <w:r>
        <w:rPr>
          <w:szCs w:val="23"/>
        </w:rPr>
        <w:t xml:space="preserve">anticipated Shuttle Express’ </w:t>
      </w:r>
      <w:r w:rsidRPr="00ED31F1">
        <w:rPr>
          <w:szCs w:val="23"/>
        </w:rPr>
        <w:t>likely objection to consolidation on the basis that it “would necessitate another” reworking of the procedural schedule in existing consolidated dockets TC-143691 and TC-160516</w:t>
      </w:r>
      <w:r>
        <w:rPr>
          <w:szCs w:val="23"/>
        </w:rPr>
        <w:t xml:space="preserve">. </w:t>
      </w:r>
      <w:r w:rsidRPr="00ED31F1">
        <w:rPr>
          <w:szCs w:val="23"/>
        </w:rPr>
        <w:t xml:space="preserve"> “That is a valid concern but one that should yield to the interest of avoiding the multiplicity of hearings.  Delay, in Staff’s view, is better than duplication.”</w:t>
      </w:r>
      <w:r>
        <w:rPr>
          <w:rStyle w:val="FootnoteReference"/>
          <w:szCs w:val="23"/>
        </w:rPr>
        <w:footnoteReference w:id="1"/>
      </w:r>
      <w:r w:rsidRPr="00ED31F1">
        <w:rPr>
          <w:szCs w:val="23"/>
        </w:rPr>
        <w:t xml:space="preserve"> </w:t>
      </w:r>
      <w:r w:rsidR="00282C73" w:rsidRPr="00ED31F1">
        <w:rPr>
          <w:szCs w:val="23"/>
        </w:rPr>
        <w:t xml:space="preserve">  </w:t>
      </w:r>
    </w:p>
    <w:p w14:paraId="31378145" w14:textId="77777777" w:rsidR="00EC7698" w:rsidRDefault="00254D84" w:rsidP="00DD089F">
      <w:pPr>
        <w:pStyle w:val="Heading3"/>
        <w:tabs>
          <w:tab w:val="clear" w:pos="0"/>
        </w:tabs>
        <w:rPr>
          <w:szCs w:val="23"/>
        </w:rPr>
      </w:pPr>
      <w:r>
        <w:rPr>
          <w:szCs w:val="23"/>
        </w:rPr>
        <w:lastRenderedPageBreak/>
        <w:t>Shuttle Express stridently argued against the inherent delay posed by consolidation: “[t]here will certainly be at least some disruption to the existing cases, likely additional discovery and perhaps a separate round or cycle of testimony.  In the worst case scenario, it could delay the hearing in this case.”</w:t>
      </w:r>
      <w:r>
        <w:rPr>
          <w:rStyle w:val="FootnoteReference"/>
          <w:szCs w:val="23"/>
        </w:rPr>
        <w:footnoteReference w:id="2"/>
      </w:r>
      <w:r>
        <w:rPr>
          <w:szCs w:val="23"/>
        </w:rPr>
        <w:t xml:space="preserve">  </w:t>
      </w:r>
      <w:r w:rsidR="004634E8" w:rsidRPr="00ED31F1">
        <w:rPr>
          <w:szCs w:val="23"/>
        </w:rPr>
        <w:t>Shuttle Express is hardly surprised by this reality</w:t>
      </w:r>
      <w:r w:rsidR="00697AFB">
        <w:rPr>
          <w:szCs w:val="23"/>
        </w:rPr>
        <w:t>.  I</w:t>
      </w:r>
      <w:r w:rsidR="004634E8">
        <w:rPr>
          <w:szCs w:val="23"/>
        </w:rPr>
        <w:t>ts primary argument against consolidation was to reiterate the same unfounded and conclusory point it has raised from the beginning of this proceeding, and which now unquestionably exceeds the scope of this proceeding as previously determined by the Commission in Order 08—that Shuttle Express has lost customers (and thereby money) to Speedishuttle and that if Speedishuttle is not put out of business through this proceeding by summer of 2017, Shuttle Express will likely lose even more customers and money.</w:t>
      </w:r>
      <w:r w:rsidR="004634E8">
        <w:rPr>
          <w:rStyle w:val="FootnoteReference"/>
          <w:szCs w:val="23"/>
        </w:rPr>
        <w:footnoteReference w:id="3"/>
      </w:r>
      <w:r w:rsidR="004634E8">
        <w:rPr>
          <w:szCs w:val="23"/>
        </w:rPr>
        <w:t xml:space="preserve">  </w:t>
      </w:r>
    </w:p>
    <w:p w14:paraId="31378146" w14:textId="77777777" w:rsidR="003B0DFA" w:rsidRPr="003B0DFA" w:rsidRDefault="004634E8" w:rsidP="003B0DFA">
      <w:pPr>
        <w:pStyle w:val="Heading3"/>
      </w:pPr>
      <w:r>
        <w:t xml:space="preserve">Thus, any concerns about the need for a resetting of the procedural schedule were already considered and addressed by Shuttle Express prior to the issuance of Order 12/05/02, and it is disingenuous at a minimum to now claim it </w:t>
      </w:r>
      <w:r w:rsidR="00254D84">
        <w:t xml:space="preserve">is </w:t>
      </w:r>
      <w:r>
        <w:t>harmed by any perceived procedural shortcoming of that order</w:t>
      </w:r>
      <w:r w:rsidR="003B0DFA">
        <w:t>.</w:t>
      </w:r>
    </w:p>
    <w:p w14:paraId="31378147" w14:textId="77777777" w:rsidR="00885E6E" w:rsidRPr="00282C73" w:rsidRDefault="00282C73" w:rsidP="00783C38">
      <w:pPr>
        <w:pStyle w:val="Heading3"/>
      </w:pPr>
      <w:r>
        <w:rPr>
          <w:szCs w:val="23"/>
        </w:rPr>
        <w:t xml:space="preserve">Clearly, pursuant to WAC 480-07-400(2)(b)(iii), Speedishuttle is entitled to propound discovery to the Respondent Shuttle Express on its </w:t>
      </w:r>
      <w:r w:rsidR="000501FF">
        <w:rPr>
          <w:szCs w:val="23"/>
        </w:rPr>
        <w:t xml:space="preserve">new </w:t>
      </w:r>
      <w:r>
        <w:rPr>
          <w:szCs w:val="23"/>
        </w:rPr>
        <w:t>Complaint allegations.</w:t>
      </w:r>
      <w:r w:rsidR="001E64D4">
        <w:rPr>
          <w:szCs w:val="23"/>
        </w:rPr>
        <w:t xml:space="preserve">  </w:t>
      </w:r>
      <w:r>
        <w:rPr>
          <w:szCs w:val="23"/>
        </w:rPr>
        <w:t xml:space="preserve">Moreover, under the administrative law judge’s ruling of December 28, 2016, </w:t>
      </w:r>
      <w:r w:rsidR="000501FF">
        <w:rPr>
          <w:szCs w:val="23"/>
        </w:rPr>
        <w:t xml:space="preserve">challenged </w:t>
      </w:r>
      <w:r>
        <w:rPr>
          <w:szCs w:val="23"/>
        </w:rPr>
        <w:t xml:space="preserve">data requests to Shuttle Express have effectively </w:t>
      </w:r>
      <w:r w:rsidR="00597ECE">
        <w:rPr>
          <w:szCs w:val="23"/>
        </w:rPr>
        <w:t xml:space="preserve">now </w:t>
      </w:r>
      <w:r>
        <w:rPr>
          <w:szCs w:val="23"/>
        </w:rPr>
        <w:t xml:space="preserve">been deflected to the Complaint proceeding and </w:t>
      </w:r>
      <w:r w:rsidR="00597ECE">
        <w:rPr>
          <w:szCs w:val="23"/>
        </w:rPr>
        <w:t xml:space="preserve">Speedishuttle </w:t>
      </w:r>
      <w:r>
        <w:rPr>
          <w:szCs w:val="23"/>
        </w:rPr>
        <w:t xml:space="preserve">would not only reissue those data requests but would be expected to develop additional data </w:t>
      </w:r>
      <w:r>
        <w:rPr>
          <w:szCs w:val="23"/>
        </w:rPr>
        <w:lastRenderedPageBreak/>
        <w:t>requests based on responses to those submitted in its Complaint proceeding</w:t>
      </w:r>
      <w:r w:rsidR="004634E8" w:rsidRPr="004634E8">
        <w:rPr>
          <w:szCs w:val="23"/>
        </w:rPr>
        <w:t xml:space="preserve"> </w:t>
      </w:r>
      <w:r w:rsidR="004634E8">
        <w:rPr>
          <w:szCs w:val="23"/>
        </w:rPr>
        <w:t>all of which must now be factored into the case schedule.</w:t>
      </w:r>
    </w:p>
    <w:p w14:paraId="31378148" w14:textId="77777777" w:rsidR="00282C73" w:rsidRDefault="004634E8" w:rsidP="00783C38">
      <w:pPr>
        <w:pStyle w:val="Heading3"/>
      </w:pPr>
      <w:r>
        <w:t xml:space="preserve">Moreover, in the typical case, the Commission could be expected to convene a prehearing conference on the Complaint pursuant to WAC 480-07-430 to address various procedural issues in the now consolidated case.  It understands in the subject consolidation Order however that a prehearing conference may not be necessary due to the </w:t>
      </w:r>
      <w:r w:rsidR="00510A20">
        <w:t xml:space="preserve">similarity of </w:t>
      </w:r>
      <w:r>
        <w:t xml:space="preserve">issues and witnesses in the consolidated hearing, but that consolidation, as is obvious, </w:t>
      </w:r>
      <w:r w:rsidR="00254D84">
        <w:t xml:space="preserve">again </w:t>
      </w:r>
      <w:r>
        <w:t>includes requisite extensions of time in order to afford due process to the Complainant, Speedishuttle, to accommodate discovery of any additional relevant evidence supporting the allegations in the Complaint.</w:t>
      </w:r>
      <w:r w:rsidR="00697AFB">
        <w:rPr>
          <w:rStyle w:val="FootnoteReference"/>
        </w:rPr>
        <w:footnoteReference w:id="4"/>
      </w:r>
    </w:p>
    <w:p w14:paraId="31378149" w14:textId="77777777" w:rsidR="001E64D4" w:rsidRDefault="004634E8" w:rsidP="00783C38">
      <w:pPr>
        <w:pStyle w:val="Heading3"/>
      </w:pPr>
      <w:r>
        <w:t xml:space="preserve">As it presently stands, Speedishuttle is </w:t>
      </w:r>
      <w:r w:rsidR="00254D84">
        <w:t xml:space="preserve">apparently </w:t>
      </w:r>
      <w:r>
        <w:t>expected by Shuttle Express to file response testimony without first obtaining discovery on its complaint which is unquestionably a deprivation of basic due process.  The short delay anticipated by the Administrative Law Judge to mid-May for</w:t>
      </w:r>
      <w:r w:rsidR="00254D84">
        <w:t xml:space="preserve"> now</w:t>
      </w:r>
      <w:r>
        <w:t xml:space="preserve"> a two-day hearing will increase efficiency </w:t>
      </w:r>
      <w:r w:rsidR="00510A20">
        <w:t xml:space="preserve">as well </w:t>
      </w:r>
      <w:r>
        <w:t>by permitting Speedishuttle to engage in discovery and file testimony responding to Shuttle Express and in favor of its own complaint simultaneously.</w:t>
      </w:r>
    </w:p>
    <w:p w14:paraId="3137814A" w14:textId="77777777" w:rsidR="00DD089F" w:rsidRPr="00DD089F" w:rsidRDefault="00DD089F" w:rsidP="00DD089F">
      <w:pPr>
        <w:pStyle w:val="Heading2"/>
      </w:pPr>
      <w:r w:rsidRPr="00DD089F">
        <w:t xml:space="preserve">Shuttle Express’ </w:t>
      </w:r>
      <w:r w:rsidR="004634E8">
        <w:t xml:space="preserve">latest </w:t>
      </w:r>
      <w:r w:rsidRPr="00DD089F">
        <w:t>argument is based on unfounded and unsupportable allegations</w:t>
      </w:r>
    </w:p>
    <w:p w14:paraId="3137814B" w14:textId="77777777" w:rsidR="001C167D" w:rsidRDefault="00254D84" w:rsidP="00783C38">
      <w:pPr>
        <w:pStyle w:val="Heading3"/>
      </w:pPr>
      <w:r>
        <w:t>As noted, i</w:t>
      </w:r>
      <w:r w:rsidR="004634E8">
        <w:t xml:space="preserve">n vehemently opposing any continuance, Shuttle Express also once again seeks to litigate its “market sustainability” argument relying upon its prefiled (but not admitted) testimonial evidence to support its claim.  However, Shuttle Express’ conclusory statements </w:t>
      </w:r>
      <w:r w:rsidR="004634E8">
        <w:lastRenderedPageBreak/>
        <w:t>regarding the future of shared ride service in Washington are irrelevant to this proceeding.  They amount to a collateral attack on the Commission’s previous orders</w:t>
      </w:r>
      <w:r w:rsidR="00AE6358">
        <w:t xml:space="preserve"> in this proceeding</w:t>
      </w:r>
      <w:r w:rsidR="004634E8">
        <w:t xml:space="preserve"> and </w:t>
      </w:r>
      <w:r w:rsidR="00AE6358">
        <w:t xml:space="preserve">are </w:t>
      </w:r>
      <w:r w:rsidR="004634E8">
        <w:t xml:space="preserve">based upon unfounded and inaccurate conclusions about the </w:t>
      </w:r>
      <w:r w:rsidR="00AE6358">
        <w:t xml:space="preserve">cause of </w:t>
      </w:r>
      <w:r w:rsidR="004634E8">
        <w:t>Shuttle Express’ decline in the airport ground transportation market</w:t>
      </w:r>
      <w:r w:rsidR="007115ED">
        <w:t>,</w:t>
      </w:r>
      <w:r w:rsidR="004634E8">
        <w:t xml:space="preserve"> and the reality of the effect of </w:t>
      </w:r>
      <w:r w:rsidR="00AE6358">
        <w:t xml:space="preserve">both regulated and unregulated </w:t>
      </w:r>
      <w:r w:rsidR="004634E8">
        <w:t>competition</w:t>
      </w:r>
      <w:r w:rsidR="00AE6358">
        <w:t xml:space="preserve"> and </w:t>
      </w:r>
      <w:r w:rsidR="004634E8">
        <w:t>should not be considered in support of the petition for review at issue</w:t>
      </w:r>
      <w:r w:rsidR="00D92374">
        <w:t>.</w:t>
      </w:r>
    </w:p>
    <w:p w14:paraId="3137814C" w14:textId="77777777" w:rsidR="00B55F08" w:rsidRDefault="00AE6358" w:rsidP="00783C38">
      <w:pPr>
        <w:pStyle w:val="Heading3"/>
      </w:pPr>
      <w:r>
        <w:t>Alt</w:t>
      </w:r>
      <w:r w:rsidR="00B55F08">
        <w:t xml:space="preserve">hough Shuttle Express has </w:t>
      </w:r>
      <w:r>
        <w:t xml:space="preserve">repeatedly </w:t>
      </w:r>
      <w:r w:rsidR="00B55F08">
        <w:t>asserted it is entitled to a natural monopoly</w:t>
      </w:r>
      <w:r w:rsidR="00D92374">
        <w:t xml:space="preserve"> </w:t>
      </w:r>
      <w:r>
        <w:t xml:space="preserve">in the King county auto transportation market </w:t>
      </w:r>
      <w:r w:rsidR="00D92374">
        <w:t xml:space="preserve">and </w:t>
      </w:r>
      <w:r w:rsidR="00B55F08">
        <w:t xml:space="preserve">trumpeted its rhetoric about </w:t>
      </w:r>
      <w:r w:rsidR="00D92374">
        <w:t xml:space="preserve">insufficient </w:t>
      </w:r>
      <w:r w:rsidR="00B55F08">
        <w:t xml:space="preserve">market capacity for </w:t>
      </w:r>
      <w:r w:rsidR="00D92374">
        <w:t>multiple service providers throughout this proceeding, these comments are inappropriately made</w:t>
      </w:r>
      <w:r>
        <w:t xml:space="preserve">, erroneously calibrated </w:t>
      </w:r>
      <w:r w:rsidR="00D92374">
        <w:t>and exceed the scope of this consolidated proceeding following Order 08 as further addressed by the Administrative Law Judge.</w:t>
      </w:r>
      <w:r w:rsidR="00480753">
        <w:t xml:space="preserve">  </w:t>
      </w:r>
      <w:r>
        <w:t xml:space="preserve">To remind Shuttle Express, </w:t>
      </w:r>
      <w:r w:rsidR="00480753">
        <w:t xml:space="preserve">at </w:t>
      </w:r>
      <w:r>
        <w:t xml:space="preserve">the </w:t>
      </w:r>
      <w:r w:rsidR="00480753">
        <w:t xml:space="preserve">hearing on September 27, 2016, the Administrative Law Judge </w:t>
      </w:r>
      <w:r>
        <w:t xml:space="preserve">articulated </w:t>
      </w:r>
      <w:r w:rsidR="00480753">
        <w:t>the following:</w:t>
      </w:r>
    </w:p>
    <w:p w14:paraId="3137814D" w14:textId="77777777" w:rsidR="00480753" w:rsidRDefault="00480753" w:rsidP="00480753">
      <w:pPr>
        <w:pStyle w:val="BodyText"/>
        <w:ind w:left="1440" w:right="1440" w:firstLine="0"/>
        <w:rPr>
          <w:rFonts w:ascii="Times New Roman" w:hAnsi="Times New Roman"/>
          <w:sz w:val="24"/>
        </w:rPr>
      </w:pPr>
      <w:r w:rsidRPr="000F7374">
        <w:rPr>
          <w:rFonts w:ascii="Times New Roman" w:hAnsi="Times New Roman"/>
          <w:sz w:val="24"/>
        </w:rPr>
        <w:t>…I want to clarify the scope of the proceeding at this point, and just make it clear that it's limited to, number one, whether SpeediShuttle is providing the service the Commission authorized it to provide consistent with the business model approved by the Commission in Docket TC-143691, and whether SpeediShuttle is providing service below cost as alleged in the complaint in Docket TC-160516. And those are the only issues that we're looking at.</w:t>
      </w:r>
      <w:r>
        <w:rPr>
          <w:rStyle w:val="FootnoteReference"/>
          <w:rFonts w:ascii="Times New Roman" w:hAnsi="Times New Roman"/>
          <w:sz w:val="24"/>
        </w:rPr>
        <w:footnoteReference w:id="5"/>
      </w:r>
    </w:p>
    <w:p w14:paraId="3137814E" w14:textId="77777777" w:rsidR="00480753" w:rsidRDefault="00254D84" w:rsidP="00480753">
      <w:pPr>
        <w:pStyle w:val="Heading3"/>
        <w:numPr>
          <w:ilvl w:val="0"/>
          <w:numId w:val="0"/>
        </w:numPr>
      </w:pPr>
      <w:r>
        <w:t xml:space="preserve">Shuttle Express’ </w:t>
      </w:r>
      <w:r w:rsidR="00697AFB">
        <w:t xml:space="preserve">repeated </w:t>
      </w:r>
      <w:r>
        <w:t>assertions</w:t>
      </w:r>
      <w:r w:rsidR="00913F60">
        <w:t xml:space="preserve"> about its </w:t>
      </w:r>
      <w:r w:rsidR="00AE6358">
        <w:t xml:space="preserve">declining </w:t>
      </w:r>
      <w:r w:rsidR="00913F60">
        <w:t>market share</w:t>
      </w:r>
      <w:r w:rsidR="00480753">
        <w:t xml:space="preserve">, </w:t>
      </w:r>
      <w:r w:rsidR="00AE6358">
        <w:t>simply have no bearing on the narrowed scope of the rehearing/complaint proceeding</w:t>
      </w:r>
      <w:r w:rsidR="00480753">
        <w:t>.</w:t>
      </w:r>
    </w:p>
    <w:p w14:paraId="3137814F" w14:textId="77777777" w:rsidR="0064671E" w:rsidRDefault="00480753" w:rsidP="00480753">
      <w:pPr>
        <w:pStyle w:val="Heading3"/>
      </w:pPr>
      <w:r>
        <w:t xml:space="preserve">Not only do these </w:t>
      </w:r>
      <w:r w:rsidR="00AE6358">
        <w:t xml:space="preserve">recurring arguments seek to resuscitate </w:t>
      </w:r>
      <w:r>
        <w:t xml:space="preserve">purely irrelevant issues, more fundamentally, they </w:t>
      </w:r>
      <w:r w:rsidR="00254D84">
        <w:t xml:space="preserve">also </w:t>
      </w:r>
      <w:r w:rsidR="00DF18F8">
        <w:t>collaterally attack</w:t>
      </w:r>
      <w:r w:rsidR="00597ECE">
        <w:t xml:space="preserve"> </w:t>
      </w:r>
      <w:r w:rsidR="0088553F">
        <w:t>the unappealed 2013 rulemaking</w:t>
      </w:r>
      <w:r w:rsidR="00597ECE">
        <w:t xml:space="preserve"> by which entry </w:t>
      </w:r>
      <w:r w:rsidR="00597ECE">
        <w:lastRenderedPageBreak/>
        <w:t>under WAC 480-30</w:t>
      </w:r>
      <w:r w:rsidR="0088553F">
        <w:t xml:space="preserve"> et seq. was dramatically </w:t>
      </w:r>
      <w:r w:rsidR="00597ECE">
        <w:t xml:space="preserve">revised </w:t>
      </w:r>
      <w:r w:rsidR="0088553F">
        <w:t>by the Commission.</w:t>
      </w:r>
      <w:r w:rsidR="000501FF">
        <w:rPr>
          <w:rStyle w:val="FootnoteReference"/>
        </w:rPr>
        <w:footnoteReference w:id="6"/>
      </w:r>
      <w:r>
        <w:t xml:space="preserve">  Shuttle Express’ contention about the future of share</w:t>
      </w:r>
      <w:r w:rsidR="00AE6358">
        <w:t>d</w:t>
      </w:r>
      <w:r>
        <w:t xml:space="preserve"> ride service </w:t>
      </w:r>
      <w:r w:rsidR="00AE6358">
        <w:t>ignores</w:t>
      </w:r>
      <w:r>
        <w:t xml:space="preserve"> </w:t>
      </w:r>
      <w:r w:rsidR="00254D84">
        <w:t xml:space="preserve">and/or dismisses </w:t>
      </w:r>
      <w:r>
        <w:t xml:space="preserve">the </w:t>
      </w:r>
      <w:r w:rsidR="00AE6358">
        <w:t>Commission’s</w:t>
      </w:r>
      <w:r>
        <w:t xml:space="preserve"> 2013 rulemaking, which supported increased competition and rejected the anti-competitive stances of industry incumbents like Shuttle Express, </w:t>
      </w:r>
      <w:r w:rsidR="0064671E">
        <w:t>finding:</w:t>
      </w:r>
    </w:p>
    <w:p w14:paraId="31378150" w14:textId="77777777" w:rsidR="0088553F" w:rsidRDefault="0064671E" w:rsidP="0064671E">
      <w:pPr>
        <w:pStyle w:val="Heading3"/>
        <w:numPr>
          <w:ilvl w:val="0"/>
          <w:numId w:val="0"/>
        </w:numPr>
        <w:spacing w:line="240" w:lineRule="auto"/>
        <w:ind w:left="1440" w:right="1440"/>
      </w:pPr>
      <w:r>
        <w:t>[t]he Commission disputes the assumption on the part of some companies that markets have a fixed service saturation point that has already been reached in all markets, or that a company does not have the ability or responsibility to adapt its service and business model to a changing competitive market.</w:t>
      </w:r>
      <w:r w:rsidR="00480753">
        <w:rPr>
          <w:rStyle w:val="FootnoteReference"/>
        </w:rPr>
        <w:footnoteReference w:id="7"/>
      </w:r>
    </w:p>
    <w:p w14:paraId="31378151" w14:textId="77777777" w:rsidR="00DD089F" w:rsidRDefault="00DF18F8" w:rsidP="00C45E6B">
      <w:pPr>
        <w:pStyle w:val="Heading3"/>
        <w:numPr>
          <w:ilvl w:val="0"/>
          <w:numId w:val="0"/>
        </w:numPr>
      </w:pPr>
      <w:r>
        <w:t>Shuttle Express’</w:t>
      </w:r>
      <w:r w:rsidR="00AE6358">
        <w:t xml:space="preserve"> and other incumbents</w:t>
      </w:r>
      <w:r>
        <w:t xml:space="preserve"> </w:t>
      </w:r>
      <w:r w:rsidR="00AE6358">
        <w:t xml:space="preserve">draconian </w:t>
      </w:r>
      <w:r>
        <w:t>predictions about the market were thus previo</w:t>
      </w:r>
      <w:r w:rsidR="00C45E6B">
        <w:t xml:space="preserve">usly </w:t>
      </w:r>
      <w:r w:rsidR="00AE6358">
        <w:t xml:space="preserve">considered and </w:t>
      </w:r>
      <w:r w:rsidR="00C45E6B">
        <w:t xml:space="preserve">rejected by the Commission, as were </w:t>
      </w:r>
      <w:r w:rsidR="00AE6358">
        <w:t xml:space="preserve">Shuttle Express’ </w:t>
      </w:r>
      <w:r w:rsidR="00C45E6B">
        <w:t xml:space="preserve">attempts to claim that it </w:t>
      </w:r>
      <w:r w:rsidR="00254D84">
        <w:t>is legally</w:t>
      </w:r>
      <w:r w:rsidR="00C45E6B">
        <w:t xml:space="preserve"> entitled to monopoly status, rather than adapt to </w:t>
      </w:r>
      <w:r w:rsidR="00AE6358">
        <w:t xml:space="preserve">fully serving </w:t>
      </w:r>
      <w:r w:rsidR="00C45E6B">
        <w:t xml:space="preserve">the market through changes to service </w:t>
      </w:r>
      <w:r w:rsidR="00AE6358">
        <w:t xml:space="preserve">offerings </w:t>
      </w:r>
      <w:r w:rsidR="00C45E6B">
        <w:t xml:space="preserve">and </w:t>
      </w:r>
      <w:r w:rsidR="00254D84">
        <w:t xml:space="preserve">various </w:t>
      </w:r>
      <w:r w:rsidR="00C45E6B">
        <w:t>economies of scale</w:t>
      </w:r>
      <w:r w:rsidR="00254D84">
        <w:t xml:space="preserve"> and market orientation.</w:t>
      </w:r>
    </w:p>
    <w:p w14:paraId="31378152" w14:textId="77777777" w:rsidR="00DF18F8" w:rsidRDefault="00C45E6B" w:rsidP="00783C38">
      <w:pPr>
        <w:pStyle w:val="Heading3"/>
      </w:pPr>
      <w:r>
        <w:t>Finally</w:t>
      </w:r>
      <w:r w:rsidR="00DF18F8">
        <w:t xml:space="preserve">, Shuttle Express’ </w:t>
      </w:r>
      <w:r w:rsidR="00AE6358">
        <w:t xml:space="preserve">transparent </w:t>
      </w:r>
      <w:r>
        <w:t>attemp</w:t>
      </w:r>
      <w:r w:rsidR="00913F60">
        <w:t xml:space="preserve">ts to force Speedishuttle’s hasty </w:t>
      </w:r>
      <w:r w:rsidR="00AE6358">
        <w:t>retreat</w:t>
      </w:r>
      <w:r>
        <w:t xml:space="preserve"> from the market are</w:t>
      </w:r>
      <w:r w:rsidR="00510A20">
        <w:t xml:space="preserve"> again</w:t>
      </w:r>
      <w:r>
        <w:t xml:space="preserve"> founded upon the </w:t>
      </w:r>
      <w:r w:rsidR="00AE6358">
        <w:t xml:space="preserve">premise </w:t>
      </w:r>
      <w:r>
        <w:t xml:space="preserve">that it will otherwise suffer irreparable harm.  Irreparable harm is not something which must be </w:t>
      </w:r>
      <w:r w:rsidR="00254D84">
        <w:t xml:space="preserve">simply </w:t>
      </w:r>
      <w:r>
        <w:t>accepted if</w:t>
      </w:r>
      <w:r w:rsidR="00AE6358">
        <w:t xml:space="preserve"> pled</w:t>
      </w:r>
      <w:r w:rsidR="00510A20">
        <w:t xml:space="preserve"> or attested to</w:t>
      </w:r>
      <w:r w:rsidR="00254D84">
        <w:t>.  Other than decrying a pattern of revenue loss which was precipitated well before Speedishuttle’s arrival and indeed likely even before the 2013 Rulemaking, Shuttle Express cannot establish its entitlement to</w:t>
      </w:r>
      <w:r w:rsidR="00697AFB">
        <w:t xml:space="preserve"> a</w:t>
      </w:r>
      <w:r w:rsidR="00254D84">
        <w:t xml:space="preserve"> </w:t>
      </w:r>
      <w:r w:rsidR="00F14888">
        <w:t>“</w:t>
      </w:r>
      <w:r w:rsidR="006A2175">
        <w:t>sinecure</w:t>
      </w:r>
      <w:r w:rsidR="00F14888">
        <w:t xml:space="preserve">” </w:t>
      </w:r>
      <w:r w:rsidR="00254D84">
        <w:t xml:space="preserve">which was </w:t>
      </w:r>
      <w:r w:rsidR="00F14888">
        <w:t>never granted it in the first place</w:t>
      </w:r>
      <w:r w:rsidR="00254D84">
        <w:t>.</w:t>
      </w:r>
    </w:p>
    <w:p w14:paraId="31378153" w14:textId="77777777" w:rsidR="00C45E6B" w:rsidRDefault="00254D84" w:rsidP="00783C38">
      <w:pPr>
        <w:pStyle w:val="Heading3"/>
      </w:pPr>
      <w:r>
        <w:t>Assuming that somehow the C</w:t>
      </w:r>
      <w:r w:rsidR="00F14888">
        <w:t xml:space="preserve">ommission deigns to consider this </w:t>
      </w:r>
      <w:r w:rsidR="00697AFB">
        <w:t xml:space="preserve">recurring </w:t>
      </w:r>
      <w:r w:rsidR="00F14888">
        <w:t xml:space="preserve">argument </w:t>
      </w:r>
      <w:r w:rsidR="00697AFB">
        <w:t xml:space="preserve">here </w:t>
      </w:r>
      <w:r w:rsidR="00F14888">
        <w:t>which has been alleged in the original Petition for Rehearing, prominently in Shutt</w:t>
      </w:r>
      <w:r w:rsidR="00631A2B">
        <w:t xml:space="preserve">le Express’ Opposition to the Request for Stay </w:t>
      </w:r>
      <w:r w:rsidR="00F14888">
        <w:t>on October 2</w:t>
      </w:r>
      <w:r w:rsidR="00631A2B">
        <w:t>1</w:t>
      </w:r>
      <w:r w:rsidR="00F14888">
        <w:t xml:space="preserve">, 2016 and repeatedly in the prefiled testimony </w:t>
      </w:r>
      <w:r w:rsidR="00F14888">
        <w:lastRenderedPageBreak/>
        <w:t xml:space="preserve">it cites and </w:t>
      </w:r>
      <w:r w:rsidR="006A2175">
        <w:t xml:space="preserve">weaves </w:t>
      </w:r>
      <w:r w:rsidR="00F14888">
        <w:t xml:space="preserve">throughout its current pleading opposing continuance in the consolidated docket, </w:t>
      </w:r>
      <w:r w:rsidR="00C45E6B">
        <w:t>Speedishuttle</w:t>
      </w:r>
      <w:r w:rsidR="00F14888">
        <w:t xml:space="preserve"> now</w:t>
      </w:r>
      <w:r w:rsidR="00C45E6B">
        <w:t xml:space="preserve"> offers, without waiving its right to object to the admissibility of similar information</w:t>
      </w:r>
      <w:r w:rsidR="006D7C35">
        <w:t xml:space="preserve"> and testimony</w:t>
      </w:r>
      <w:r w:rsidR="00C45E6B">
        <w:t xml:space="preserve"> at hearing, the Declaration of Jack Roemer in </w:t>
      </w:r>
      <w:r w:rsidR="00510A20">
        <w:t xml:space="preserve">response and </w:t>
      </w:r>
      <w:r w:rsidR="00C45E6B">
        <w:t xml:space="preserve">support of this </w:t>
      </w:r>
      <w:r w:rsidR="00F14888">
        <w:t>Answer</w:t>
      </w:r>
      <w:r w:rsidR="00C45E6B">
        <w:t>.</w:t>
      </w:r>
    </w:p>
    <w:p w14:paraId="31378154" w14:textId="77777777" w:rsidR="00CD6CE5" w:rsidRDefault="00C45E6B" w:rsidP="00CD6CE5">
      <w:pPr>
        <w:pStyle w:val="Heading3"/>
      </w:pPr>
      <w:r>
        <w:t xml:space="preserve">As set forth in Mr. Roemer’s declaration, which is attached hereto and incorporated by reference as if set forth herein, Shuttle Express cannot establish that any particular component of its </w:t>
      </w:r>
      <w:r w:rsidR="00F14888">
        <w:t xml:space="preserve">apparent </w:t>
      </w:r>
      <w:r>
        <w:t xml:space="preserve">financial losses </w:t>
      </w:r>
      <w:r w:rsidR="00F14888">
        <w:t xml:space="preserve">is </w:t>
      </w:r>
      <w:r w:rsidR="00AC7695">
        <w:t xml:space="preserve">directly </w:t>
      </w:r>
      <w:r>
        <w:t xml:space="preserve">attributable to Speedishuttle’s operations.  </w:t>
      </w:r>
      <w:r w:rsidR="00650DB8">
        <w:t>In fact</w:t>
      </w:r>
      <w:r w:rsidR="00697AFB">
        <w:t>,</w:t>
      </w:r>
      <w:r w:rsidR="00650DB8">
        <w:t xml:space="preserve"> as noted, </w:t>
      </w:r>
      <w:r>
        <w:t>Shuttle Express’ passenger decline</w:t>
      </w:r>
      <w:r w:rsidR="00650DB8">
        <w:t xml:space="preserve"> predated </w:t>
      </w:r>
      <w:r>
        <w:t>Speedishuttle’s operation</w:t>
      </w:r>
      <w:r w:rsidR="00F14888">
        <w:t>s</w:t>
      </w:r>
      <w:r>
        <w:t xml:space="preserve"> in Washington, despite </w:t>
      </w:r>
      <w:r w:rsidR="006D7C35">
        <w:t xml:space="preserve">increases in </w:t>
      </w:r>
      <w:r w:rsidR="00F14888">
        <w:t xml:space="preserve">overall </w:t>
      </w:r>
      <w:r>
        <w:t>ground trans</w:t>
      </w:r>
      <w:r w:rsidR="00F14888">
        <w:t>portation trips to and from Sea</w:t>
      </w:r>
      <w:r>
        <w:t xml:space="preserve">Tac International Airport during the same period and </w:t>
      </w:r>
      <w:r w:rsidR="00F14888">
        <w:t xml:space="preserve">which </w:t>
      </w:r>
      <w:r>
        <w:t xml:space="preserve">are expected to </w:t>
      </w:r>
      <w:r w:rsidR="00F14888">
        <w:t xml:space="preserve">continue </w:t>
      </w:r>
      <w:r>
        <w:t xml:space="preserve">in the future.  Consequently, multiple other explanations </w:t>
      </w:r>
      <w:r w:rsidR="00F14888">
        <w:t xml:space="preserve">and hypotheses </w:t>
      </w:r>
      <w:r>
        <w:t>exist for Shutt</w:t>
      </w:r>
      <w:r w:rsidR="00F14888">
        <w:t xml:space="preserve">le Express’ declining passenger counts </w:t>
      </w:r>
      <w:r w:rsidR="00867599">
        <w:t>that cannot be ruled out as an explanation</w:t>
      </w:r>
      <w:r>
        <w:t>, including competition from unregulated transp</w:t>
      </w:r>
      <w:r w:rsidR="00867599">
        <w:t>ortation companies</w:t>
      </w:r>
      <w:r w:rsidR="00F14888">
        <w:t xml:space="preserve"> like Uber and Lyft</w:t>
      </w:r>
      <w:r w:rsidR="00867599">
        <w:t>,</w:t>
      </w:r>
      <w:r w:rsidR="00650DB8">
        <w:t xml:space="preserve"> parking lots, light rail, black cars et al.</w:t>
      </w:r>
    </w:p>
    <w:p w14:paraId="31378155" w14:textId="77777777" w:rsidR="00867599" w:rsidRDefault="00867599" w:rsidP="00867599">
      <w:pPr>
        <w:pStyle w:val="Heading1"/>
        <w:rPr>
          <w:b/>
        </w:rPr>
      </w:pPr>
      <w:r>
        <w:rPr>
          <w:b/>
        </w:rPr>
        <w:t>Conclusion</w:t>
      </w:r>
    </w:p>
    <w:p w14:paraId="31378156" w14:textId="77777777" w:rsidR="00867599" w:rsidRDefault="00867599" w:rsidP="00867599">
      <w:pPr>
        <w:pStyle w:val="Heading3"/>
      </w:pPr>
      <w:r>
        <w:t>Shuttle Express</w:t>
      </w:r>
      <w:r w:rsidR="00F14888">
        <w:t xml:space="preserve"> originally</w:t>
      </w:r>
      <w:r>
        <w:t xml:space="preserve"> argued against consolidation of Speedishuttle’s Formal Complaint on the basis that it would lead to delay in the previously consolidated proceedings and </w:t>
      </w:r>
      <w:r w:rsidR="006A2175">
        <w:t xml:space="preserve">that </w:t>
      </w:r>
      <w:r>
        <w:t xml:space="preserve">such delay would constitute irreparable harm to Shuttle Express such that the increased efficiency in consolidating proceedings would be outweighed by the harm to it.  This argument was </w:t>
      </w:r>
      <w:r w:rsidR="006A2175">
        <w:t xml:space="preserve">appropriately considered and </w:t>
      </w:r>
      <w:r>
        <w:t xml:space="preserve">rejected by the Administrative Law Judge.  </w:t>
      </w:r>
    </w:p>
    <w:p w14:paraId="31378157" w14:textId="77777777" w:rsidR="00E70D21" w:rsidRDefault="00867599" w:rsidP="00200931">
      <w:pPr>
        <w:pStyle w:val="Heading3"/>
      </w:pPr>
      <w:r>
        <w:t>Shuttle Express now complains</w:t>
      </w:r>
      <w:r w:rsidR="00697AFB">
        <w:t xml:space="preserve"> on Petition</w:t>
      </w:r>
      <w:r>
        <w:t xml:space="preserve"> that</w:t>
      </w:r>
      <w:r w:rsidR="006A2175">
        <w:t xml:space="preserve"> procedural</w:t>
      </w:r>
      <w:r>
        <w:t xml:space="preserve"> delay was not </w:t>
      </w:r>
      <w:r w:rsidR="00650DB8">
        <w:t>suggested</w:t>
      </w:r>
      <w:r w:rsidR="006A2175">
        <w:t xml:space="preserve"> </w:t>
      </w:r>
      <w:r>
        <w:t xml:space="preserve">and repeats its </w:t>
      </w:r>
      <w:r w:rsidR="006A2175">
        <w:t xml:space="preserve">familiar </w:t>
      </w:r>
      <w:r>
        <w:t>claim</w:t>
      </w:r>
      <w:r w:rsidR="006A2175">
        <w:t xml:space="preserve">s of </w:t>
      </w:r>
      <w:r>
        <w:t xml:space="preserve">predetermined harm.  Neither the Administrative Law Judge, this </w:t>
      </w:r>
      <w:r>
        <w:lastRenderedPageBreak/>
        <w:t xml:space="preserve">Commission, nor the King County Superior Court have </w:t>
      </w:r>
      <w:r w:rsidR="006A2175">
        <w:t xml:space="preserve">yet </w:t>
      </w:r>
      <w:r w:rsidR="00650DB8">
        <w:t xml:space="preserve">conclusively </w:t>
      </w:r>
      <w:r w:rsidR="00697AFB">
        <w:t xml:space="preserve">resolved the rehearing issue </w:t>
      </w:r>
      <w:r>
        <w:t>that Speedishuttle’s unrestricted certificate may be retroactively restricted, or</w:t>
      </w:r>
      <w:r w:rsidR="00650DB8">
        <w:t xml:space="preserve"> that it</w:t>
      </w:r>
      <w:r>
        <w:t xml:space="preserve"> should have </w:t>
      </w:r>
      <w:r w:rsidR="006D7C35">
        <w:t xml:space="preserve">ever </w:t>
      </w:r>
      <w:r>
        <w:t xml:space="preserve">been </w:t>
      </w:r>
      <w:r w:rsidR="006A2175">
        <w:t>implicitly limited</w:t>
      </w:r>
      <w:r w:rsidR="006D7C35">
        <w:t xml:space="preserve"> as Shuttle Express argued in its Petition for Administrative Review of Order 02</w:t>
      </w:r>
      <w:r w:rsidR="00AC7695">
        <w:t xml:space="preserve"> which the Commission rejected in Order 04</w:t>
      </w:r>
      <w:r>
        <w:t xml:space="preserve">.  </w:t>
      </w:r>
      <w:r w:rsidR="006A2175">
        <w:t>For its part</w:t>
      </w:r>
      <w:r w:rsidR="00650DB8">
        <w:t>,</w:t>
      </w:r>
      <w:r w:rsidR="006A2175">
        <w:t xml:space="preserve"> </w:t>
      </w:r>
      <w:r>
        <w:t xml:space="preserve">Speedishuttle continues to contend its service is exactly what the Commission envisioned when it modified the entry rules in 2013.  Thus, there is no established harm </w:t>
      </w:r>
      <w:r w:rsidR="00697AFB">
        <w:t xml:space="preserve">in the brief procedural delay </w:t>
      </w:r>
      <w:r>
        <w:t>to Shuttle Express</w:t>
      </w:r>
      <w:r w:rsidR="00AC7695">
        <w:t>,</w:t>
      </w:r>
      <w:r w:rsidR="00697AFB">
        <w:t xml:space="preserve"> which</w:t>
      </w:r>
      <w:r w:rsidR="00AC7695">
        <w:t xml:space="preserve"> Shuttle Express</w:t>
      </w:r>
      <w:r w:rsidR="00697AFB">
        <w:t xml:space="preserve"> it</w:t>
      </w:r>
      <w:r w:rsidR="006D7C35">
        <w:t>self</w:t>
      </w:r>
      <w:r w:rsidR="00697AFB">
        <w:t xml:space="preserve"> also </w:t>
      </w:r>
      <w:r w:rsidR="00AC7695">
        <w:t xml:space="preserve">preemptively </w:t>
      </w:r>
      <w:r w:rsidR="00697AFB">
        <w:t xml:space="preserve">anticipated. </w:t>
      </w:r>
      <w:r>
        <w:t xml:space="preserve"> </w:t>
      </w:r>
      <w:r w:rsidR="00697AFB">
        <w:t>T</w:t>
      </w:r>
      <w:r>
        <w:t xml:space="preserve">he </w:t>
      </w:r>
      <w:r w:rsidR="006A2175">
        <w:t>modest</w:t>
      </w:r>
      <w:r>
        <w:t xml:space="preserve"> delay </w:t>
      </w:r>
      <w:r w:rsidR="006A2175">
        <w:t xml:space="preserve">occasioned </w:t>
      </w:r>
      <w:r>
        <w:t>by consolidation and a resetting of the procedural schedule is</w:t>
      </w:r>
      <w:r w:rsidR="006A2175">
        <w:t xml:space="preserve"> fully</w:t>
      </w:r>
      <w:r>
        <w:t xml:space="preserve"> warranted </w:t>
      </w:r>
      <w:r w:rsidR="006A2175">
        <w:t xml:space="preserve">here </w:t>
      </w:r>
      <w:r>
        <w:t>in order to increase th</w:t>
      </w:r>
      <w:r w:rsidR="006A2175">
        <w:t>e efficiency of this proceeding</w:t>
      </w:r>
      <w:r w:rsidR="00650DB8">
        <w:t>,</w:t>
      </w:r>
      <w:r w:rsidR="006A2175">
        <w:t xml:space="preserve"> precisely the goal of the Commission’s consolidation rule at WAC 480-07-320.</w:t>
      </w:r>
    </w:p>
    <w:p w14:paraId="31378158" w14:textId="77777777" w:rsidR="006F59AE" w:rsidRPr="00757D1F" w:rsidRDefault="00DB2248" w:rsidP="00510A20">
      <w:pPr>
        <w:pStyle w:val="ListParagraph"/>
        <w:spacing w:line="480" w:lineRule="auto"/>
        <w:ind w:left="5040"/>
        <w:rPr>
          <w:rFonts w:cs="Times New Roman"/>
        </w:rPr>
      </w:pPr>
      <w:r w:rsidRPr="00757D1F">
        <w:rPr>
          <w:rFonts w:cs="Times New Roman"/>
          <w:szCs w:val="24"/>
        </w:rPr>
        <w:t xml:space="preserve">DATED this </w:t>
      </w:r>
      <w:r w:rsidR="00510A20">
        <w:rPr>
          <w:rFonts w:cs="Times New Roman"/>
          <w:szCs w:val="24"/>
        </w:rPr>
        <w:t>10</w:t>
      </w:r>
      <w:r w:rsidR="00510A20" w:rsidRPr="00510A20">
        <w:rPr>
          <w:rFonts w:cs="Times New Roman"/>
          <w:szCs w:val="24"/>
          <w:vertAlign w:val="superscript"/>
        </w:rPr>
        <w:t>th</w:t>
      </w:r>
      <w:r w:rsidR="00510A20">
        <w:rPr>
          <w:rFonts w:cs="Times New Roman"/>
          <w:szCs w:val="24"/>
        </w:rPr>
        <w:t xml:space="preserve"> </w:t>
      </w:r>
      <w:r w:rsidRPr="00757D1F">
        <w:rPr>
          <w:rFonts w:cs="Times New Roman"/>
        </w:rPr>
        <w:t xml:space="preserve">day of </w:t>
      </w:r>
      <w:r w:rsidR="00510A20">
        <w:rPr>
          <w:rFonts w:cs="Times New Roman"/>
        </w:rPr>
        <w:t>January</w:t>
      </w:r>
      <w:r w:rsidR="00867599">
        <w:rPr>
          <w:rFonts w:cs="Times New Roman"/>
        </w:rPr>
        <w:t>, 2017</w:t>
      </w:r>
      <w:r w:rsidRPr="00757D1F">
        <w:rPr>
          <w:rFonts w:cs="Times New Roman"/>
        </w:rPr>
        <w:t>.</w:t>
      </w:r>
      <w:r w:rsidRPr="00F32E6A">
        <w:rPr>
          <w:rStyle w:val="FootnoteReference"/>
          <w:rFonts w:cs="Times New Roman"/>
        </w:rPr>
        <w:t xml:space="preserve"> </w:t>
      </w:r>
    </w:p>
    <w:tbl>
      <w:tblPr>
        <w:tblW w:w="0" w:type="auto"/>
        <w:tblLayout w:type="fixed"/>
        <w:tblLook w:val="0000" w:firstRow="0" w:lastRow="0" w:firstColumn="0" w:lastColumn="0" w:noHBand="0" w:noVBand="0"/>
      </w:tblPr>
      <w:tblGrid>
        <w:gridCol w:w="4698"/>
        <w:gridCol w:w="4860"/>
      </w:tblGrid>
      <w:tr w:rsidR="00480698" w14:paraId="31378166" w14:textId="77777777" w:rsidTr="008F2228">
        <w:trPr>
          <w:cantSplit/>
        </w:trPr>
        <w:tc>
          <w:tcPr>
            <w:tcW w:w="4698" w:type="dxa"/>
          </w:tcPr>
          <w:p w14:paraId="31378159" w14:textId="77777777" w:rsidR="006F59AE" w:rsidRPr="00712413" w:rsidRDefault="0077419E" w:rsidP="008F2228">
            <w:pPr>
              <w:keepNext/>
              <w:tabs>
                <w:tab w:val="left" w:pos="432"/>
              </w:tabs>
              <w:spacing w:line="240" w:lineRule="exact"/>
              <w:rPr>
                <w:rFonts w:ascii="Times New Roman" w:hAnsi="Times New Roman"/>
                <w:sz w:val="20"/>
                <w:szCs w:val="20"/>
              </w:rPr>
            </w:pPr>
          </w:p>
        </w:tc>
        <w:tc>
          <w:tcPr>
            <w:tcW w:w="4860" w:type="dxa"/>
          </w:tcPr>
          <w:tbl>
            <w:tblPr>
              <w:tblW w:w="0" w:type="auto"/>
              <w:tblLayout w:type="fixed"/>
              <w:tblLook w:val="0000" w:firstRow="0" w:lastRow="0" w:firstColumn="0" w:lastColumn="0" w:noHBand="0" w:noVBand="0"/>
            </w:tblPr>
            <w:tblGrid>
              <w:gridCol w:w="4860"/>
            </w:tblGrid>
            <w:tr w:rsidR="00885E6E" w:rsidRPr="009D57C2" w14:paraId="31378164" w14:textId="77777777" w:rsidTr="00781132">
              <w:trPr>
                <w:cantSplit/>
              </w:trPr>
              <w:tc>
                <w:tcPr>
                  <w:tcW w:w="4860" w:type="dxa"/>
                </w:tcPr>
                <w:p w14:paraId="3137815A" w14:textId="77777777" w:rsidR="00885E6E" w:rsidRPr="009D57C2" w:rsidRDefault="00885E6E" w:rsidP="00781132">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14:paraId="3137815B" w14:textId="77777777" w:rsidR="00885E6E" w:rsidRPr="009D57C2" w:rsidRDefault="00885E6E" w:rsidP="00781132">
                  <w:pPr>
                    <w:keepNext/>
                    <w:spacing w:line="240" w:lineRule="exact"/>
                    <w:rPr>
                      <w:rFonts w:ascii="Times New Roman" w:hAnsi="Times New Roman" w:cs="Times New Roman"/>
                      <w:caps/>
                      <w:sz w:val="20"/>
                      <w:szCs w:val="20"/>
                    </w:rPr>
                  </w:pPr>
                </w:p>
                <w:p w14:paraId="3137815C" w14:textId="77777777" w:rsidR="00885E6E" w:rsidRPr="009D57C2" w:rsidRDefault="00885E6E" w:rsidP="00781132">
                  <w:pPr>
                    <w:keepNext/>
                    <w:spacing w:line="240" w:lineRule="exact"/>
                    <w:rPr>
                      <w:rFonts w:ascii="Times New Roman" w:hAnsi="Times New Roman" w:cs="Times New Roman"/>
                      <w:caps/>
                      <w:sz w:val="20"/>
                      <w:szCs w:val="20"/>
                    </w:rPr>
                  </w:pPr>
                </w:p>
                <w:p w14:paraId="3137815D" w14:textId="77777777" w:rsidR="00885E6E" w:rsidRPr="009D57C2" w:rsidRDefault="00885E6E" w:rsidP="00781132">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Pr="009D57C2">
                    <w:rPr>
                      <w:rFonts w:ascii="Times New Roman" w:hAnsi="Times New Roman" w:cs="Times New Roman"/>
                      <w:sz w:val="20"/>
                      <w:szCs w:val="20"/>
                      <w:u w:val="single"/>
                    </w:rPr>
                    <w:tab/>
                  </w:r>
                </w:p>
                <w:p w14:paraId="3137815E" w14:textId="77777777" w:rsidR="00885E6E" w:rsidRPr="006D7C35" w:rsidRDefault="00885E6E" w:rsidP="00781132">
                  <w:pPr>
                    <w:keepNext/>
                    <w:tabs>
                      <w:tab w:val="left" w:pos="43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Pr="006D7C35">
                    <w:rPr>
                      <w:rFonts w:ascii="Times New Roman" w:hAnsi="Times New Roman" w:cs="Times New Roman"/>
                    </w:rPr>
                    <w:t xml:space="preserve">David W. Wiley, WSBA #08614 </w:t>
                  </w:r>
                </w:p>
                <w:p w14:paraId="3137815F" w14:textId="77777777" w:rsidR="00885E6E" w:rsidRPr="006D7C35" w:rsidRDefault="00885E6E" w:rsidP="00781132">
                  <w:pPr>
                    <w:keepNext/>
                    <w:tabs>
                      <w:tab w:val="left" w:pos="432"/>
                      <w:tab w:val="right" w:pos="4932"/>
                    </w:tabs>
                    <w:spacing w:line="240" w:lineRule="exact"/>
                    <w:rPr>
                      <w:rFonts w:ascii="Times New Roman" w:hAnsi="Times New Roman" w:cs="Times New Roman"/>
                    </w:rPr>
                  </w:pPr>
                  <w:r w:rsidRPr="006D7C35">
                    <w:rPr>
                      <w:rFonts w:ascii="Times New Roman" w:hAnsi="Times New Roman" w:cs="Times New Roman"/>
                    </w:rPr>
                    <w:t xml:space="preserve">       </w:t>
                  </w:r>
                  <w:hyperlink r:id="rId11" w:history="1">
                    <w:r w:rsidRPr="006D7C35">
                      <w:rPr>
                        <w:rStyle w:val="Hyperlink"/>
                        <w:rFonts w:ascii="Times New Roman" w:hAnsi="Times New Roman" w:cs="Times New Roman"/>
                        <w:color w:val="auto"/>
                      </w:rPr>
                      <w:t>dwiley@williamskastner.com</w:t>
                    </w:r>
                  </w:hyperlink>
                  <w:r w:rsidRPr="006D7C35">
                    <w:rPr>
                      <w:rFonts w:ascii="Times New Roman" w:hAnsi="Times New Roman" w:cs="Times New Roman"/>
                    </w:rPr>
                    <w:t xml:space="preserve"> </w:t>
                  </w:r>
                </w:p>
                <w:p w14:paraId="31378160" w14:textId="77777777" w:rsidR="00885E6E" w:rsidRPr="006D7C35" w:rsidRDefault="00885E6E" w:rsidP="00781132">
                  <w:pPr>
                    <w:keepNext/>
                    <w:tabs>
                      <w:tab w:val="left" w:pos="432"/>
                      <w:tab w:val="right" w:pos="4932"/>
                    </w:tabs>
                    <w:spacing w:line="240" w:lineRule="exact"/>
                    <w:rPr>
                      <w:rFonts w:ascii="Times New Roman" w:hAnsi="Times New Roman" w:cs="Times New Roman"/>
                    </w:rPr>
                  </w:pPr>
                  <w:r w:rsidRPr="006D7C35">
                    <w:rPr>
                      <w:rFonts w:ascii="Times New Roman" w:hAnsi="Times New Roman" w:cs="Times New Roman"/>
                    </w:rPr>
                    <w:t xml:space="preserve">       Blair I. Fassburg, WSBA # 41207</w:t>
                  </w:r>
                </w:p>
                <w:p w14:paraId="31378161" w14:textId="77777777" w:rsidR="00885E6E" w:rsidRPr="006D7C35" w:rsidRDefault="00885E6E" w:rsidP="00781132">
                  <w:pPr>
                    <w:keepNext/>
                    <w:tabs>
                      <w:tab w:val="left" w:pos="432"/>
                      <w:tab w:val="right" w:pos="4932"/>
                    </w:tabs>
                    <w:spacing w:line="240" w:lineRule="exact"/>
                    <w:rPr>
                      <w:rStyle w:val="Hyperlink"/>
                      <w:rFonts w:ascii="Times New Roman" w:hAnsi="Times New Roman" w:cs="Times New Roman"/>
                      <w:color w:val="auto"/>
                    </w:rPr>
                  </w:pPr>
                  <w:r w:rsidRPr="006D7C35">
                    <w:rPr>
                      <w:rFonts w:ascii="Times New Roman" w:hAnsi="Times New Roman" w:cs="Times New Roman"/>
                    </w:rPr>
                    <w:t xml:space="preserve">       </w:t>
                  </w:r>
                  <w:hyperlink r:id="rId12" w:history="1">
                    <w:r w:rsidRPr="006D7C35">
                      <w:rPr>
                        <w:rStyle w:val="Hyperlink"/>
                        <w:rFonts w:ascii="Times New Roman" w:hAnsi="Times New Roman" w:cs="Times New Roman"/>
                        <w:color w:val="auto"/>
                      </w:rPr>
                      <w:t>bfassburg@williamskastner.com</w:t>
                    </w:r>
                  </w:hyperlink>
                </w:p>
                <w:p w14:paraId="31378162" w14:textId="77777777" w:rsidR="00885E6E" w:rsidRPr="009D57C2" w:rsidRDefault="00885E6E" w:rsidP="00781132">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p>
                <w:p w14:paraId="31378163" w14:textId="77777777" w:rsidR="00885E6E" w:rsidRPr="009D57C2" w:rsidRDefault="00885E6E" w:rsidP="00781132">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14:paraId="31378165" w14:textId="77777777" w:rsidR="006F59AE" w:rsidRPr="00712413" w:rsidRDefault="0077419E" w:rsidP="008F2228">
            <w:pPr>
              <w:keepNext/>
              <w:spacing w:line="240" w:lineRule="exact"/>
              <w:rPr>
                <w:rFonts w:ascii="Times New Roman" w:hAnsi="Times New Roman"/>
              </w:rPr>
            </w:pPr>
          </w:p>
        </w:tc>
      </w:tr>
    </w:tbl>
    <w:p w14:paraId="31378167" w14:textId="77777777" w:rsidR="006F59AE" w:rsidRPr="00B60D73" w:rsidRDefault="0077419E" w:rsidP="00B60D73"/>
    <w:p w14:paraId="31378168" w14:textId="77777777" w:rsidR="006F59AE" w:rsidRPr="00B60D73" w:rsidRDefault="0077419E" w:rsidP="00B60D73"/>
    <w:p w14:paraId="31378169" w14:textId="77777777" w:rsidR="003E3A33" w:rsidRPr="00B60D73" w:rsidRDefault="0077419E" w:rsidP="00B60D73"/>
    <w:p w14:paraId="3137816A" w14:textId="77777777" w:rsidR="003E3A33" w:rsidRPr="00B60D73" w:rsidRDefault="0077419E" w:rsidP="00B60D73"/>
    <w:p w14:paraId="3137816B" w14:textId="77777777" w:rsidR="00B62D6E" w:rsidRPr="00316687" w:rsidRDefault="00DB2248" w:rsidP="00200931">
      <w:pPr>
        <w:pStyle w:val="StyleListParagraphTimesNewRoman12ptLinespacingDouble"/>
        <w:jc w:val="center"/>
        <w:rPr>
          <w:b/>
          <w:szCs w:val="24"/>
        </w:rPr>
      </w:pPr>
      <w:r>
        <w:br w:type="page"/>
      </w:r>
      <w:r w:rsidRPr="00316687">
        <w:rPr>
          <w:b/>
          <w:szCs w:val="24"/>
        </w:rPr>
        <w:lastRenderedPageBreak/>
        <w:t>CERTIFICATE OF SERVICE</w:t>
      </w:r>
    </w:p>
    <w:p w14:paraId="3137816C" w14:textId="77777777" w:rsidR="00B62D6E" w:rsidRPr="005870B0" w:rsidRDefault="00DB2248" w:rsidP="00B62D6E">
      <w:pPr>
        <w:keepNext/>
        <w:keepLines/>
        <w:rPr>
          <w:rFonts w:ascii="Times New Roman" w:hAnsi="Times New Roman"/>
          <w:color w:val="0000FF"/>
          <w:sz w:val="24"/>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885E6E">
        <w:rPr>
          <w:rFonts w:ascii="Times New Roman" w:hAnsi="Times New Roman"/>
          <w:sz w:val="24"/>
        </w:rPr>
        <w:t xml:space="preserve"> January 10,</w:t>
      </w:r>
      <w:r w:rsidR="0015142B">
        <w:rPr>
          <w:rFonts w:ascii="Times New Roman" w:hAnsi="Times New Roman"/>
          <w:sz w:val="24"/>
        </w:rPr>
        <w:t xml:space="preserve"> </w:t>
      </w:r>
      <w:r w:rsidR="00885E6E">
        <w:rPr>
          <w:rFonts w:ascii="Times New Roman" w:hAnsi="Times New Roman"/>
          <w:sz w:val="24"/>
        </w:rPr>
        <w:t>2017</w:t>
      </w:r>
      <w:r>
        <w:rPr>
          <w:rFonts w:ascii="Times New Roman" w:hAnsi="Times New Roman"/>
          <w:sz w:val="24"/>
        </w:rPr>
        <w:t xml:space="preserve">, I caused to be served the original and </w:t>
      </w:r>
      <w:r w:rsidR="00885E6E">
        <w:rPr>
          <w:rFonts w:ascii="Times New Roman" w:hAnsi="Times New Roman"/>
          <w:sz w:val="24"/>
        </w:rPr>
        <w:t>three (3</w:t>
      </w:r>
      <w:r w:rsidR="00B60D73">
        <w:rPr>
          <w:rFonts w:ascii="Times New Roman" w:hAnsi="Times New Roman"/>
          <w:sz w:val="24"/>
        </w:rPr>
        <w:t xml:space="preserve">) </w:t>
      </w:r>
      <w:r>
        <w:rPr>
          <w:rFonts w:ascii="Times New Roman" w:hAnsi="Times New Roman"/>
          <w:sz w:val="24"/>
        </w:rPr>
        <w:t>copies of the foregoing documents to the following address via first class mail:</w:t>
      </w:r>
      <w:r w:rsidRPr="008B20AC">
        <w:rPr>
          <w:rFonts w:ascii="Times New Roman" w:hAnsi="Times New Roman"/>
          <w:sz w:val="24"/>
        </w:rPr>
        <w:t xml:space="preserve"> </w:t>
      </w:r>
    </w:p>
    <w:p w14:paraId="3137816D" w14:textId="77777777" w:rsidR="00B62D6E" w:rsidRPr="008B20AC" w:rsidRDefault="0077419E" w:rsidP="00B62D6E">
      <w:pPr>
        <w:rPr>
          <w:rFonts w:ascii="Times New Roman" w:hAnsi="Times New Roman"/>
          <w:sz w:val="24"/>
        </w:rPr>
      </w:pPr>
    </w:p>
    <w:p w14:paraId="3137816E" w14:textId="77777777" w:rsidR="00B62D6E" w:rsidRPr="008B20AC" w:rsidRDefault="00DB2248" w:rsidP="00B62D6E">
      <w:pPr>
        <w:rPr>
          <w:rFonts w:ascii="Times New Roman" w:hAnsi="Times New Roman"/>
          <w:sz w:val="24"/>
        </w:rPr>
      </w:pPr>
      <w:r w:rsidRPr="008B20AC">
        <w:rPr>
          <w:rFonts w:ascii="Times New Roman" w:hAnsi="Times New Roman"/>
          <w:sz w:val="24"/>
        </w:rPr>
        <w:tab/>
        <w:t>Steven V. King, Executive Director and Secretary</w:t>
      </w:r>
    </w:p>
    <w:p w14:paraId="3137816F"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Washington Utilities and Transportation Commission</w:t>
      </w:r>
    </w:p>
    <w:p w14:paraId="31378170"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Attn.:  Records Center</w:t>
      </w:r>
    </w:p>
    <w:p w14:paraId="31378171"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P.O. Box 47250</w:t>
      </w:r>
    </w:p>
    <w:p w14:paraId="31378172"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1300 S. Evergreen Park Dr. SW</w:t>
      </w:r>
    </w:p>
    <w:p w14:paraId="31378173" w14:textId="77777777" w:rsidR="00B62D6E" w:rsidRPr="008B20AC" w:rsidRDefault="00DB2248" w:rsidP="00B62D6E">
      <w:pPr>
        <w:ind w:firstLine="720"/>
        <w:rPr>
          <w:rFonts w:ascii="Times New Roman" w:hAnsi="Times New Roman"/>
          <w:sz w:val="24"/>
        </w:rPr>
      </w:pPr>
      <w:r w:rsidRPr="008B20AC">
        <w:rPr>
          <w:rFonts w:ascii="Times New Roman" w:hAnsi="Times New Roman"/>
          <w:sz w:val="24"/>
        </w:rPr>
        <w:t>Olympia, WA 98504-7250</w:t>
      </w:r>
    </w:p>
    <w:p w14:paraId="31378174" w14:textId="77777777" w:rsidR="00B62D6E" w:rsidRPr="008B20AC" w:rsidRDefault="0077419E" w:rsidP="00B62D6E">
      <w:pPr>
        <w:ind w:firstLine="720"/>
        <w:rPr>
          <w:rFonts w:ascii="Times New Roman" w:hAnsi="Times New Roman"/>
          <w:sz w:val="24"/>
        </w:rPr>
      </w:pPr>
    </w:p>
    <w:p w14:paraId="31378175" w14:textId="77777777" w:rsidR="008B2564" w:rsidRPr="008B2564" w:rsidRDefault="00DB2248" w:rsidP="00B62D6E">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B60D73">
        <w:rPr>
          <w:rStyle w:val="Hyperlink"/>
          <w:rFonts w:ascii="Times New Roman" w:hAnsi="Times New Roman"/>
          <w:color w:val="auto"/>
          <w:sz w:val="24"/>
          <w:u w:val="none"/>
        </w:rPr>
        <w:t>the WUTC web portal;</w:t>
      </w:r>
      <w:r w:rsidR="00885E6E" w:rsidRPr="00885E6E">
        <w:rPr>
          <w:rFonts w:ascii="Times New Roman" w:hAnsi="Times New Roman"/>
          <w:sz w:val="24"/>
        </w:rPr>
        <w:t xml:space="preserve"> </w:t>
      </w:r>
      <w:r w:rsidR="00885E6E" w:rsidRPr="008B20AC">
        <w:rPr>
          <w:rFonts w:ascii="Times New Roman" w:hAnsi="Times New Roman"/>
          <w:sz w:val="24"/>
        </w:rPr>
        <w:t>and</w:t>
      </w:r>
    </w:p>
    <w:p w14:paraId="31378176" w14:textId="77777777" w:rsidR="008B2564" w:rsidRPr="008B20AC" w:rsidRDefault="0077419E" w:rsidP="00B62D6E">
      <w:pPr>
        <w:rPr>
          <w:rFonts w:ascii="Times New Roman" w:hAnsi="Times New Roman"/>
          <w:sz w:val="24"/>
        </w:rPr>
      </w:pPr>
    </w:p>
    <w:p w14:paraId="31378177" w14:textId="77777777" w:rsidR="00B62D6E" w:rsidRPr="008B20AC" w:rsidRDefault="00DB2248" w:rsidP="00B62D6E">
      <w:pPr>
        <w:keepNext/>
        <w:keepLines/>
        <w:rPr>
          <w:rFonts w:ascii="Times New Roman" w:hAnsi="Times New Roman"/>
          <w:sz w:val="24"/>
        </w:rPr>
      </w:pPr>
      <w:r w:rsidRPr="008B20AC">
        <w:rPr>
          <w:rFonts w:ascii="Times New Roman" w:hAnsi="Times New Roman"/>
          <w:sz w:val="24"/>
        </w:rPr>
        <w:t>served a copy via email and</w:t>
      </w:r>
      <w:r w:rsidR="00885E6E">
        <w:rPr>
          <w:rFonts w:ascii="Times New Roman" w:hAnsi="Times New Roman"/>
          <w:sz w:val="24"/>
        </w:rPr>
        <w:t>/or</w:t>
      </w:r>
      <w:r w:rsidRPr="008B20AC">
        <w:rPr>
          <w:rFonts w:ascii="Times New Roman" w:hAnsi="Times New Roman"/>
          <w:sz w:val="24"/>
        </w:rPr>
        <w:t xml:space="preserve">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885E6E" w14:paraId="3137818A" w14:textId="77777777" w:rsidTr="003723BC">
        <w:tc>
          <w:tcPr>
            <w:tcW w:w="4338" w:type="dxa"/>
            <w:shd w:val="clear" w:color="auto" w:fill="auto"/>
          </w:tcPr>
          <w:p w14:paraId="31378178"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14:paraId="31378179"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14:paraId="3137817A"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14:paraId="3137817B"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14:paraId="3137817C"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14:paraId="3137817D"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14:paraId="3137817E"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14:paraId="3137817F"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14:paraId="31378180"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Pr="009D57C2">
                <w:rPr>
                  <w:rStyle w:val="Hyperlink"/>
                  <w:rFonts w:ascii="Times New Roman" w:hAnsi="Times New Roman" w:cs="Times New Roman"/>
                  <w:color w:val="auto"/>
                  <w:sz w:val="24"/>
                  <w:szCs w:val="24"/>
                </w:rPr>
                <w:t>jbeattie@utc.wa.gov</w:t>
              </w:r>
            </w:hyperlink>
          </w:p>
          <w:p w14:paraId="31378181" w14:textId="77777777" w:rsidR="00885E6E" w:rsidRPr="009D57C2" w:rsidRDefault="00885E6E" w:rsidP="00781132">
            <w:pPr>
              <w:keepNext/>
              <w:keepLines/>
              <w:rPr>
                <w:rFonts w:ascii="Times New Roman" w:hAnsi="Times New Roman" w:cs="Times New Roman"/>
                <w:sz w:val="24"/>
                <w:szCs w:val="24"/>
              </w:rPr>
            </w:pPr>
          </w:p>
        </w:tc>
        <w:tc>
          <w:tcPr>
            <w:tcW w:w="4860" w:type="dxa"/>
            <w:shd w:val="clear" w:color="auto" w:fill="auto"/>
          </w:tcPr>
          <w:p w14:paraId="31378182"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Greg Kopta</w:t>
            </w:r>
          </w:p>
          <w:p w14:paraId="31378183"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14:paraId="31378184"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31378185"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31378186"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31378187"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14:paraId="31378188" w14:textId="77777777" w:rsidR="00885E6E" w:rsidRPr="009D57C2" w:rsidRDefault="0077419E" w:rsidP="00781132">
            <w:pPr>
              <w:keepNext/>
              <w:keepLines/>
              <w:rPr>
                <w:rFonts w:ascii="Times New Roman" w:hAnsi="Times New Roman" w:cs="Times New Roman"/>
                <w:sz w:val="24"/>
                <w:szCs w:val="24"/>
              </w:rPr>
            </w:pPr>
            <w:hyperlink r:id="rId14" w:history="1">
              <w:r w:rsidR="00885E6E" w:rsidRPr="009D57C2">
                <w:rPr>
                  <w:rStyle w:val="Hyperlink"/>
                  <w:rFonts w:ascii="Times New Roman" w:hAnsi="Times New Roman" w:cs="Times New Roman"/>
                  <w:color w:val="auto"/>
                  <w:sz w:val="24"/>
                  <w:szCs w:val="24"/>
                </w:rPr>
                <w:t>gkopta@utc.wa.gov</w:t>
              </w:r>
            </w:hyperlink>
          </w:p>
          <w:p w14:paraId="31378189" w14:textId="77777777" w:rsidR="00885E6E" w:rsidRPr="009D57C2" w:rsidRDefault="00885E6E" w:rsidP="00781132">
            <w:pPr>
              <w:keepNext/>
              <w:keepLines/>
              <w:rPr>
                <w:rFonts w:ascii="Times New Roman" w:hAnsi="Times New Roman" w:cs="Times New Roman"/>
                <w:sz w:val="24"/>
                <w:szCs w:val="24"/>
              </w:rPr>
            </w:pPr>
          </w:p>
        </w:tc>
      </w:tr>
      <w:tr w:rsidR="00885E6E" w14:paraId="3137819A" w14:textId="77777777" w:rsidTr="003723BC">
        <w:tc>
          <w:tcPr>
            <w:tcW w:w="4338" w:type="dxa"/>
            <w:shd w:val="clear" w:color="auto" w:fill="auto"/>
          </w:tcPr>
          <w:p w14:paraId="3137818B"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14:paraId="3137818C"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14:paraId="3137818D"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14:paraId="3137818E"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14:paraId="3137818F"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14:paraId="31378190"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14:paraId="31378191" w14:textId="77777777" w:rsidR="00885E6E" w:rsidRPr="009D57C2" w:rsidRDefault="00885E6E" w:rsidP="00781132">
            <w:pPr>
              <w:keepNext/>
              <w:keepLines/>
              <w:rPr>
                <w:rFonts w:ascii="Times New Roman" w:hAnsi="Times New Roman" w:cs="Times New Roman"/>
                <w:sz w:val="24"/>
                <w:szCs w:val="24"/>
              </w:rPr>
            </w:pPr>
          </w:p>
        </w:tc>
        <w:tc>
          <w:tcPr>
            <w:tcW w:w="4860" w:type="dxa"/>
            <w:shd w:val="clear" w:color="auto" w:fill="auto"/>
          </w:tcPr>
          <w:p w14:paraId="31378192"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14:paraId="31378193"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14:paraId="31378194"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31378195"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31378196"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31378197" w14:textId="77777777" w:rsidR="00885E6E" w:rsidRPr="009D57C2" w:rsidRDefault="00885E6E" w:rsidP="00781132">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14:paraId="31378198" w14:textId="77777777" w:rsidR="00885E6E" w:rsidRPr="009D57C2" w:rsidRDefault="0077419E" w:rsidP="00781132">
            <w:pPr>
              <w:keepNext/>
              <w:keepLines/>
              <w:rPr>
                <w:rFonts w:ascii="Times New Roman" w:hAnsi="Times New Roman" w:cs="Times New Roman"/>
                <w:sz w:val="24"/>
                <w:szCs w:val="24"/>
              </w:rPr>
            </w:pPr>
            <w:hyperlink r:id="rId15" w:history="1">
              <w:r w:rsidR="00885E6E" w:rsidRPr="009D57C2">
                <w:rPr>
                  <w:rStyle w:val="Hyperlink"/>
                  <w:rFonts w:ascii="Times New Roman" w:hAnsi="Times New Roman" w:cs="Times New Roman"/>
                  <w:color w:val="auto"/>
                  <w:sz w:val="24"/>
                  <w:szCs w:val="24"/>
                </w:rPr>
                <w:t>rpearson@utc.wa.gov</w:t>
              </w:r>
            </w:hyperlink>
          </w:p>
          <w:p w14:paraId="31378199" w14:textId="77777777" w:rsidR="00885E6E" w:rsidRPr="009D57C2" w:rsidRDefault="00885E6E" w:rsidP="00781132">
            <w:pPr>
              <w:keepNext/>
              <w:keepLines/>
              <w:rPr>
                <w:rFonts w:ascii="Times New Roman" w:hAnsi="Times New Roman" w:cs="Times New Roman"/>
                <w:sz w:val="24"/>
                <w:szCs w:val="24"/>
              </w:rPr>
            </w:pPr>
          </w:p>
        </w:tc>
      </w:tr>
    </w:tbl>
    <w:p w14:paraId="3137819B" w14:textId="77777777" w:rsidR="00B62D6E" w:rsidRPr="00CD6CE5" w:rsidRDefault="00DB2248" w:rsidP="00CD6CE5">
      <w:r w:rsidRPr="00316687">
        <w:tab/>
      </w:r>
      <w:r w:rsidRPr="00316687">
        <w:tab/>
      </w:r>
      <w:r w:rsidRPr="00316687">
        <w:tab/>
      </w:r>
      <w:r w:rsidRPr="00316687">
        <w:tab/>
      </w:r>
      <w:r w:rsidRPr="00316687">
        <w:tab/>
      </w:r>
      <w:r w:rsidRPr="00316687">
        <w:tab/>
      </w:r>
      <w:r w:rsidRPr="00316687">
        <w:tab/>
      </w:r>
      <w:r w:rsidRPr="00316687">
        <w:tab/>
      </w:r>
    </w:p>
    <w:p w14:paraId="3137819C" w14:textId="77777777" w:rsidR="00B62D6E" w:rsidRPr="00316687" w:rsidRDefault="0077419E" w:rsidP="00B62D6E">
      <w:pPr>
        <w:keepNext/>
        <w:keepLines/>
        <w:jc w:val="center"/>
        <w:rPr>
          <w:rFonts w:ascii="Times New Roman" w:hAnsi="Times New Roman" w:cs="Times New Roman"/>
          <w:sz w:val="24"/>
          <w:szCs w:val="24"/>
        </w:rPr>
      </w:pPr>
    </w:p>
    <w:p w14:paraId="3137819D" w14:textId="77777777" w:rsidR="00B62D6E" w:rsidRDefault="00DB2248"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Seattle, Washington this </w:t>
      </w:r>
      <w:r w:rsidR="00885E6E">
        <w:rPr>
          <w:rFonts w:ascii="Times New Roman" w:hAnsi="Times New Roman" w:cs="Times New Roman"/>
          <w:sz w:val="24"/>
          <w:szCs w:val="24"/>
        </w:rPr>
        <w:t>10</w:t>
      </w:r>
      <w:r w:rsidR="00885E6E" w:rsidRPr="00885E6E">
        <w:rPr>
          <w:rFonts w:ascii="Times New Roman" w:hAnsi="Times New Roman" w:cs="Times New Roman"/>
          <w:sz w:val="24"/>
          <w:szCs w:val="24"/>
          <w:vertAlign w:val="superscript"/>
        </w:rPr>
        <w:t>th</w:t>
      </w:r>
      <w:r w:rsidR="00885E6E">
        <w:rPr>
          <w:rFonts w:ascii="Times New Roman" w:hAnsi="Times New Roman" w:cs="Times New Roman"/>
          <w:sz w:val="24"/>
          <w:szCs w:val="24"/>
        </w:rPr>
        <w:t xml:space="preserve"> </w:t>
      </w:r>
      <w:r>
        <w:rPr>
          <w:rFonts w:ascii="Times New Roman" w:hAnsi="Times New Roman" w:cs="Times New Roman"/>
          <w:sz w:val="24"/>
          <w:szCs w:val="24"/>
        </w:rPr>
        <w:t>day of</w:t>
      </w:r>
      <w:r w:rsidR="00885E6E">
        <w:rPr>
          <w:rFonts w:ascii="Times New Roman" w:hAnsi="Times New Roman" w:cs="Times New Roman"/>
          <w:sz w:val="24"/>
          <w:szCs w:val="24"/>
        </w:rPr>
        <w:t xml:space="preserve"> January,</w:t>
      </w:r>
      <w:r>
        <w:rPr>
          <w:rFonts w:ascii="Times New Roman" w:hAnsi="Times New Roman" w:cs="Times New Roman"/>
          <w:sz w:val="24"/>
          <w:szCs w:val="24"/>
        </w:rPr>
        <w:t xml:space="preserve"> </w:t>
      </w:r>
      <w:r w:rsidR="00885E6E">
        <w:rPr>
          <w:rFonts w:ascii="Times New Roman" w:hAnsi="Times New Roman" w:cs="Times New Roman"/>
          <w:sz w:val="24"/>
          <w:szCs w:val="24"/>
        </w:rPr>
        <w:t>2017.</w:t>
      </w:r>
    </w:p>
    <w:p w14:paraId="3137819E" w14:textId="77777777" w:rsidR="00B62D6E" w:rsidRPr="00CD6CE5" w:rsidRDefault="0077419E" w:rsidP="00CD6CE5"/>
    <w:p w14:paraId="3137819F" w14:textId="77777777"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14:paraId="313781A0" w14:textId="77777777"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14:paraId="313781A1" w14:textId="77777777" w:rsidR="003E2B8D" w:rsidRDefault="00FB632D" w:rsidP="00C77CAD">
      <w:pPr>
        <w:pStyle w:val="StyleListParagraphTimesNewRoman12ptLinespacingDouble"/>
      </w:pPr>
      <w:r>
        <w:tab/>
      </w:r>
      <w:r>
        <w:tab/>
      </w:r>
      <w:r>
        <w:tab/>
      </w:r>
      <w:r>
        <w:tab/>
      </w:r>
      <w:r>
        <w:tab/>
      </w:r>
      <w:r>
        <w:tab/>
      </w:r>
      <w:r>
        <w:tab/>
        <w:t>Legal Assistant</w:t>
      </w:r>
    </w:p>
    <w:sectPr w:rsidR="003E2B8D" w:rsidSect="005C457F">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781A4" w14:textId="77777777" w:rsidR="003410BF" w:rsidRDefault="00DB2248">
      <w:r>
        <w:separator/>
      </w:r>
    </w:p>
  </w:endnote>
  <w:endnote w:type="continuationSeparator" w:id="0">
    <w:p w14:paraId="313781A5" w14:textId="77777777" w:rsidR="003410BF" w:rsidRDefault="00D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1A8" w14:textId="77777777" w:rsidR="00302215" w:rsidRDefault="00302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AE047C" w:rsidRPr="003F532E" w14:paraId="313781B0" w14:textId="77777777" w:rsidTr="003C2ACD">
      <w:tc>
        <w:tcPr>
          <w:tcW w:w="6019" w:type="dxa"/>
        </w:tcPr>
        <w:p w14:paraId="313781A9" w14:textId="77777777" w:rsidR="00AE047C" w:rsidRPr="003F532E" w:rsidRDefault="00AE047C" w:rsidP="003C2ACD">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77419E">
            <w:rPr>
              <w:rFonts w:ascii="Times New Roman" w:eastAsia="Times New Roman" w:hAnsi="Times New Roman" w:cs="Times New Roman"/>
              <w:noProof/>
              <w:sz w:val="20"/>
              <w:szCs w:val="20"/>
            </w:rPr>
            <w:t>ANSWER OF SPEEDISHUTTLE TO PETITION FOR LIMITED INTERLOCUTORY REVIEW OF ORDERS 12/05/02</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77419E">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313781AA" w14:textId="77777777" w:rsidR="00AE047C" w:rsidRPr="003F532E" w:rsidRDefault="00AE047C" w:rsidP="003C2ACD">
          <w:pPr>
            <w:spacing w:line="240" w:lineRule="atLeast"/>
            <w:rPr>
              <w:rFonts w:ascii="Times New Roman" w:eastAsia="Times New Roman" w:hAnsi="Times New Roman" w:cs="Times New Roman"/>
              <w:sz w:val="20"/>
              <w:szCs w:val="20"/>
            </w:rPr>
          </w:pPr>
        </w:p>
      </w:tc>
      <w:tc>
        <w:tcPr>
          <w:tcW w:w="236" w:type="dxa"/>
        </w:tcPr>
        <w:p w14:paraId="313781AB" w14:textId="77777777" w:rsidR="00AE047C" w:rsidRPr="003F532E" w:rsidRDefault="00AE047C" w:rsidP="003C2ACD">
          <w:pPr>
            <w:spacing w:line="240" w:lineRule="atLeast"/>
            <w:rPr>
              <w:rFonts w:ascii="Times New Roman" w:eastAsia="Times New Roman" w:hAnsi="Times New Roman" w:cs="Times New Roman"/>
              <w:sz w:val="20"/>
              <w:szCs w:val="20"/>
            </w:rPr>
          </w:pPr>
        </w:p>
      </w:tc>
      <w:tc>
        <w:tcPr>
          <w:tcW w:w="3411" w:type="dxa"/>
        </w:tcPr>
        <w:p w14:paraId="313781AC" w14:textId="77777777" w:rsidR="00AE047C" w:rsidRPr="003F532E" w:rsidRDefault="00AE047C" w:rsidP="003C2ACD">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313781AD" w14:textId="77777777" w:rsidR="00AE047C" w:rsidRPr="003F532E" w:rsidRDefault="00AE047C" w:rsidP="003C2ACD">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313781AE" w14:textId="77777777" w:rsidR="00AE047C" w:rsidRPr="003F532E" w:rsidRDefault="00AE047C" w:rsidP="003C2ACD">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313781AF" w14:textId="77777777" w:rsidR="00AE047C" w:rsidRPr="003F532E" w:rsidRDefault="00AE047C" w:rsidP="003C2ACD">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313781B1" w14:textId="77777777" w:rsidR="00657995" w:rsidRDefault="00657995" w:rsidP="008A029A">
    <w:pPr>
      <w:pStyle w:val="Footer"/>
      <w:rPr>
        <w:sz w:val="16"/>
      </w:rPr>
    </w:pPr>
  </w:p>
  <w:p w14:paraId="313781B2" w14:textId="77777777" w:rsidR="00FA50E3" w:rsidRDefault="00657995"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073C95">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073C95">
      <w:rPr>
        <w:sz w:val="16"/>
      </w:rPr>
      <w:instrText xml:space="preserve"> 5937626.1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073C95">
      <w:rPr>
        <w:noProof/>
        <w:sz w:val="16"/>
      </w:rPr>
      <w:t xml:space="preserve"> 5937626.1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1B4" w14:textId="77777777" w:rsidR="00302215" w:rsidRDefault="00302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81A2" w14:textId="77777777" w:rsidR="008F2228" w:rsidRDefault="00DB2248">
      <w:r>
        <w:separator/>
      </w:r>
    </w:p>
  </w:footnote>
  <w:footnote w:type="continuationSeparator" w:id="0">
    <w:p w14:paraId="313781A3" w14:textId="77777777" w:rsidR="008F2228" w:rsidRDefault="00DB2248">
      <w:r>
        <w:continuationSeparator/>
      </w:r>
    </w:p>
  </w:footnote>
  <w:footnote w:id="1">
    <w:p w14:paraId="313781B5" w14:textId="77777777" w:rsidR="004634E8" w:rsidRDefault="004634E8" w:rsidP="004634E8">
      <w:pPr>
        <w:pStyle w:val="FootnoteText"/>
      </w:pPr>
      <w:r>
        <w:rPr>
          <w:rStyle w:val="FootnoteReference"/>
        </w:rPr>
        <w:footnoteRef/>
      </w:r>
      <w:r>
        <w:t xml:space="preserve"> Commission Staff’s Response, </w:t>
      </w:r>
      <w:r>
        <w:rPr>
          <w:rFonts w:cs="Times New Roman"/>
        </w:rPr>
        <w:t>¶</w:t>
      </w:r>
      <w:r>
        <w:t>4.</w:t>
      </w:r>
    </w:p>
  </w:footnote>
  <w:footnote w:id="2">
    <w:p w14:paraId="313781B6" w14:textId="77777777" w:rsidR="00254D84" w:rsidRDefault="00254D84" w:rsidP="00254D84">
      <w:pPr>
        <w:pStyle w:val="FootnoteText"/>
      </w:pPr>
      <w:r>
        <w:rPr>
          <w:rStyle w:val="FootnoteReference"/>
        </w:rPr>
        <w:footnoteRef/>
      </w:r>
      <w:r>
        <w:t xml:space="preserve"> Petitioner’s Answer in Opposition to Respondent’s Motion to Consolidate, ¶8.</w:t>
      </w:r>
    </w:p>
  </w:footnote>
  <w:footnote w:id="3">
    <w:p w14:paraId="313781B7" w14:textId="77777777" w:rsidR="004634E8" w:rsidRDefault="004634E8" w:rsidP="004634E8">
      <w:pPr>
        <w:pStyle w:val="FootnoteText"/>
      </w:pPr>
      <w:r>
        <w:rPr>
          <w:rStyle w:val="FootnoteReference"/>
        </w:rPr>
        <w:footnoteRef/>
      </w:r>
      <w:r>
        <w:t xml:space="preserve"> Shuttle Express, without adequate (or analytically accurate) foundation or admitted evidence, actually now goes so far as to claim that both Shuttle Express and Speedishuttle will perish, along with the entire share</w:t>
      </w:r>
      <w:r w:rsidR="00697AFB">
        <w:t>d</w:t>
      </w:r>
      <w:r>
        <w:t xml:space="preserve"> ride industry in King County, if any </w:t>
      </w:r>
      <w:r w:rsidR="00697AFB">
        <w:t xml:space="preserve">further </w:t>
      </w:r>
      <w:r>
        <w:t>delay is allowed.  “The sky is falling” is not a resonant or otherwise compelling argument here.</w:t>
      </w:r>
    </w:p>
  </w:footnote>
  <w:footnote w:id="4">
    <w:p w14:paraId="313781B8" w14:textId="77777777" w:rsidR="00697AFB" w:rsidRDefault="00697AFB">
      <w:pPr>
        <w:pStyle w:val="FootnoteText"/>
      </w:pPr>
      <w:r>
        <w:rPr>
          <w:rStyle w:val="FootnoteReference"/>
        </w:rPr>
        <w:footnoteRef/>
      </w:r>
      <w:r>
        <w:t xml:space="preserve"> Moreover, under the current case schedule, Speedishuttle’s response testimony is due a week from tomorrow.  It obviously cannot </w:t>
      </w:r>
      <w:r w:rsidR="00F76B04">
        <w:t>prepare</w:t>
      </w:r>
      <w:r>
        <w:t xml:space="preserve"> that testimony now pending clarification of the </w:t>
      </w:r>
      <w:r w:rsidR="006D7C35">
        <w:t xml:space="preserve">extended </w:t>
      </w:r>
      <w:r>
        <w:t>hearing schedule pursuant to the Order of Consolidation and the joinder of the issues in the rehearing and complaint(s) proceedings.</w:t>
      </w:r>
    </w:p>
  </w:footnote>
  <w:footnote w:id="5">
    <w:p w14:paraId="313781B9" w14:textId="77777777" w:rsidR="00480753" w:rsidRDefault="00480753" w:rsidP="00480753">
      <w:pPr>
        <w:pStyle w:val="FootnoteText"/>
      </w:pPr>
      <w:r>
        <w:rPr>
          <w:rStyle w:val="FootnoteReference"/>
        </w:rPr>
        <w:footnoteRef/>
      </w:r>
      <w:r>
        <w:t xml:space="preserve"> Transcript of Telephonic Hearing, Volume III, pages 168-199, at p. 185: 6-14.</w:t>
      </w:r>
    </w:p>
  </w:footnote>
  <w:footnote w:id="6">
    <w:p w14:paraId="313781BA" w14:textId="77777777" w:rsidR="000501FF" w:rsidRDefault="000501FF">
      <w:pPr>
        <w:pStyle w:val="FootnoteText"/>
      </w:pPr>
      <w:r>
        <w:rPr>
          <w:rStyle w:val="FootnoteReference"/>
        </w:rPr>
        <w:footnoteRef/>
      </w:r>
      <w:r>
        <w:t xml:space="preserve"> General Order R-57</w:t>
      </w:r>
      <w:r w:rsidR="00597ECE">
        <w:t>2</w:t>
      </w:r>
      <w:r>
        <w:t>, Docket N</w:t>
      </w:r>
      <w:r w:rsidR="005044EC">
        <w:t>o</w:t>
      </w:r>
      <w:r>
        <w:t>. TC-12</w:t>
      </w:r>
      <w:r w:rsidR="00AE6358">
        <w:t>1</w:t>
      </w:r>
      <w:r>
        <w:t>328, (Aug 2013), (“The 2013 Rulemaking”).</w:t>
      </w:r>
    </w:p>
  </w:footnote>
  <w:footnote w:id="7">
    <w:p w14:paraId="313781BB" w14:textId="77777777" w:rsidR="00480753" w:rsidRDefault="00480753">
      <w:pPr>
        <w:pStyle w:val="FootnoteText"/>
      </w:pPr>
      <w:r>
        <w:rPr>
          <w:rStyle w:val="FootnoteReference"/>
        </w:rPr>
        <w:footnoteRef/>
      </w:r>
      <w:r>
        <w:t xml:space="preserve"> </w:t>
      </w:r>
      <w:r w:rsidR="0064671E">
        <w:rPr>
          <w:i/>
        </w:rPr>
        <w:t xml:space="preserve">Id. </w:t>
      </w:r>
      <w:r w:rsidR="0064671E">
        <w:t>at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1A6" w14:textId="77777777" w:rsidR="00302215" w:rsidRDefault="00302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1A7" w14:textId="77777777" w:rsidR="00302215" w:rsidRDefault="00302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1B3" w14:textId="77777777" w:rsidR="00302215" w:rsidRDefault="00302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CF31F2"/>
    <w:multiLevelType w:val="multilevel"/>
    <w:tmpl w:val="6832D854"/>
    <w:lvl w:ilvl="0">
      <w:start w:val="1"/>
      <w:numFmt w:val="upperRoman"/>
      <w:pStyle w:val="Heading1"/>
      <w:suff w:val="nothing"/>
      <w:lvlText w:val="%1.  "/>
      <w:lvlJc w:val="left"/>
      <w:pPr>
        <w:tabs>
          <w:tab w:val="num" w:pos="0"/>
        </w:tabs>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8"/>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04BC"/>
    <w:rsid w:val="000275B5"/>
    <w:rsid w:val="00041C09"/>
    <w:rsid w:val="00044FE5"/>
    <w:rsid w:val="000501FF"/>
    <w:rsid w:val="00066E81"/>
    <w:rsid w:val="00073C95"/>
    <w:rsid w:val="00074DA7"/>
    <w:rsid w:val="000957FD"/>
    <w:rsid w:val="00095A70"/>
    <w:rsid w:val="000A5BBC"/>
    <w:rsid w:val="000D3FE8"/>
    <w:rsid w:val="000D5B61"/>
    <w:rsid w:val="000F0525"/>
    <w:rsid w:val="000F7F48"/>
    <w:rsid w:val="00123672"/>
    <w:rsid w:val="00137D68"/>
    <w:rsid w:val="00145E0F"/>
    <w:rsid w:val="00150C49"/>
    <w:rsid w:val="0015142B"/>
    <w:rsid w:val="00154655"/>
    <w:rsid w:val="00157B85"/>
    <w:rsid w:val="00166D66"/>
    <w:rsid w:val="0017196A"/>
    <w:rsid w:val="0017796A"/>
    <w:rsid w:val="00177FB3"/>
    <w:rsid w:val="0019096D"/>
    <w:rsid w:val="001946C9"/>
    <w:rsid w:val="00197FF7"/>
    <w:rsid w:val="001B73E6"/>
    <w:rsid w:val="001C167D"/>
    <w:rsid w:val="001E07B2"/>
    <w:rsid w:val="001E64D4"/>
    <w:rsid w:val="00200931"/>
    <w:rsid w:val="00207EF8"/>
    <w:rsid w:val="0022012E"/>
    <w:rsid w:val="00235A86"/>
    <w:rsid w:val="00254D84"/>
    <w:rsid w:val="00280976"/>
    <w:rsid w:val="00282C73"/>
    <w:rsid w:val="00290538"/>
    <w:rsid w:val="00294E73"/>
    <w:rsid w:val="002970B9"/>
    <w:rsid w:val="002B4082"/>
    <w:rsid w:val="002B5B79"/>
    <w:rsid w:val="002C05DD"/>
    <w:rsid w:val="002C4449"/>
    <w:rsid w:val="002C5442"/>
    <w:rsid w:val="002E1DF0"/>
    <w:rsid w:val="00302215"/>
    <w:rsid w:val="0032077C"/>
    <w:rsid w:val="003410BF"/>
    <w:rsid w:val="003478A6"/>
    <w:rsid w:val="00363621"/>
    <w:rsid w:val="00367D5C"/>
    <w:rsid w:val="00394DEC"/>
    <w:rsid w:val="003955DD"/>
    <w:rsid w:val="003B0DFA"/>
    <w:rsid w:val="003C6927"/>
    <w:rsid w:val="003E2B8D"/>
    <w:rsid w:val="003E67BA"/>
    <w:rsid w:val="00412AAA"/>
    <w:rsid w:val="00413880"/>
    <w:rsid w:val="004158C2"/>
    <w:rsid w:val="00434E21"/>
    <w:rsid w:val="00451672"/>
    <w:rsid w:val="004634E8"/>
    <w:rsid w:val="00480698"/>
    <w:rsid w:val="00480753"/>
    <w:rsid w:val="004B6621"/>
    <w:rsid w:val="004F7602"/>
    <w:rsid w:val="005044EC"/>
    <w:rsid w:val="00510A20"/>
    <w:rsid w:val="0051780A"/>
    <w:rsid w:val="005212FF"/>
    <w:rsid w:val="0052270B"/>
    <w:rsid w:val="005245A1"/>
    <w:rsid w:val="0055612E"/>
    <w:rsid w:val="00573A46"/>
    <w:rsid w:val="005870B0"/>
    <w:rsid w:val="00597ECE"/>
    <w:rsid w:val="005B29E0"/>
    <w:rsid w:val="005B441F"/>
    <w:rsid w:val="005C457F"/>
    <w:rsid w:val="005D00C4"/>
    <w:rsid w:val="005E30CA"/>
    <w:rsid w:val="005F1C93"/>
    <w:rsid w:val="00631A2B"/>
    <w:rsid w:val="0064671E"/>
    <w:rsid w:val="00650DB8"/>
    <w:rsid w:val="006526CD"/>
    <w:rsid w:val="00654B9D"/>
    <w:rsid w:val="00657995"/>
    <w:rsid w:val="00665E03"/>
    <w:rsid w:val="00690D53"/>
    <w:rsid w:val="00697AFB"/>
    <w:rsid w:val="006A2175"/>
    <w:rsid w:val="006D1D62"/>
    <w:rsid w:val="006D7C35"/>
    <w:rsid w:val="006F6775"/>
    <w:rsid w:val="0070206F"/>
    <w:rsid w:val="007115ED"/>
    <w:rsid w:val="007202E8"/>
    <w:rsid w:val="00742159"/>
    <w:rsid w:val="0077302C"/>
    <w:rsid w:val="0077419E"/>
    <w:rsid w:val="00783C38"/>
    <w:rsid w:val="007878EA"/>
    <w:rsid w:val="007B7D05"/>
    <w:rsid w:val="007C4465"/>
    <w:rsid w:val="00805F0F"/>
    <w:rsid w:val="00842501"/>
    <w:rsid w:val="00864FBA"/>
    <w:rsid w:val="00867599"/>
    <w:rsid w:val="0088553F"/>
    <w:rsid w:val="00885E6E"/>
    <w:rsid w:val="008A029A"/>
    <w:rsid w:val="008A5607"/>
    <w:rsid w:val="008B50F4"/>
    <w:rsid w:val="008D11EE"/>
    <w:rsid w:val="008D6E30"/>
    <w:rsid w:val="008E09BA"/>
    <w:rsid w:val="008F00E9"/>
    <w:rsid w:val="008F2C7A"/>
    <w:rsid w:val="008F7D93"/>
    <w:rsid w:val="00913F60"/>
    <w:rsid w:val="00915022"/>
    <w:rsid w:val="0093394B"/>
    <w:rsid w:val="00940B4D"/>
    <w:rsid w:val="0095030E"/>
    <w:rsid w:val="00956FEE"/>
    <w:rsid w:val="00960FEF"/>
    <w:rsid w:val="0099227B"/>
    <w:rsid w:val="009B268D"/>
    <w:rsid w:val="009C035F"/>
    <w:rsid w:val="009C15EF"/>
    <w:rsid w:val="009C77E0"/>
    <w:rsid w:val="009D6FCE"/>
    <w:rsid w:val="009F1DF1"/>
    <w:rsid w:val="00A04F4C"/>
    <w:rsid w:val="00A21722"/>
    <w:rsid w:val="00A52730"/>
    <w:rsid w:val="00A97343"/>
    <w:rsid w:val="00AA639A"/>
    <w:rsid w:val="00AC6A76"/>
    <w:rsid w:val="00AC7695"/>
    <w:rsid w:val="00AE047C"/>
    <w:rsid w:val="00AE58D4"/>
    <w:rsid w:val="00AE6358"/>
    <w:rsid w:val="00AE76C1"/>
    <w:rsid w:val="00AF2421"/>
    <w:rsid w:val="00B5123B"/>
    <w:rsid w:val="00B55F08"/>
    <w:rsid w:val="00B60D73"/>
    <w:rsid w:val="00B8057C"/>
    <w:rsid w:val="00BA431A"/>
    <w:rsid w:val="00BD49FB"/>
    <w:rsid w:val="00C2558F"/>
    <w:rsid w:val="00C45E6B"/>
    <w:rsid w:val="00C80A92"/>
    <w:rsid w:val="00CB2C7C"/>
    <w:rsid w:val="00CC63A9"/>
    <w:rsid w:val="00CD312A"/>
    <w:rsid w:val="00CD6CE5"/>
    <w:rsid w:val="00CE7B21"/>
    <w:rsid w:val="00D0197C"/>
    <w:rsid w:val="00D02653"/>
    <w:rsid w:val="00D27D46"/>
    <w:rsid w:val="00D5085F"/>
    <w:rsid w:val="00D56074"/>
    <w:rsid w:val="00D85A28"/>
    <w:rsid w:val="00D90E4E"/>
    <w:rsid w:val="00D92374"/>
    <w:rsid w:val="00D94DEA"/>
    <w:rsid w:val="00D97E9A"/>
    <w:rsid w:val="00DB2248"/>
    <w:rsid w:val="00DD089F"/>
    <w:rsid w:val="00DE2130"/>
    <w:rsid w:val="00DF18F8"/>
    <w:rsid w:val="00DF41C2"/>
    <w:rsid w:val="00DF7DAD"/>
    <w:rsid w:val="00E115E6"/>
    <w:rsid w:val="00E168CA"/>
    <w:rsid w:val="00E541D6"/>
    <w:rsid w:val="00E60538"/>
    <w:rsid w:val="00E70D21"/>
    <w:rsid w:val="00EC0BFD"/>
    <w:rsid w:val="00EC7698"/>
    <w:rsid w:val="00ED1D92"/>
    <w:rsid w:val="00ED31F1"/>
    <w:rsid w:val="00ED51FC"/>
    <w:rsid w:val="00F063D5"/>
    <w:rsid w:val="00F11FE0"/>
    <w:rsid w:val="00F14888"/>
    <w:rsid w:val="00F316B8"/>
    <w:rsid w:val="00F3215B"/>
    <w:rsid w:val="00F42E46"/>
    <w:rsid w:val="00F76B04"/>
    <w:rsid w:val="00FA50E3"/>
    <w:rsid w:val="00FB527B"/>
    <w:rsid w:val="00FB632D"/>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1378120"/>
  <w15:docId w15:val="{2C9F8CD0-B13D-46D0-9D7A-1D6853EF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CD6CE5"/>
    <w:pPr>
      <w:numPr>
        <w:ilvl w:val="2"/>
        <w:numId w:val="17"/>
      </w:numPr>
      <w:spacing w:after="24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character" w:customStyle="1" w:styleId="TitleChar">
    <w:name w:val="Title Char"/>
    <w:basedOn w:val="DefaultParagraphFont"/>
    <w:link w:val="Title"/>
    <w:rsid w:val="007C446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fassburg@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ADC393-F754-49E0-855D-551F6C1DE3E2}">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B520B91B-DB89-40AF-9F0B-190878E5F517}">
  <ds:schemaRefs>
    <ds:schemaRef ds:uri="http://schemas.microsoft.com/sharepoint/v3/contenttype/forms"/>
  </ds:schemaRefs>
</ds:datastoreItem>
</file>

<file path=customXml/itemProps3.xml><?xml version="1.0" encoding="utf-8"?>
<ds:datastoreItem xmlns:ds="http://schemas.openxmlformats.org/officeDocument/2006/customXml" ds:itemID="{27F67343-E7D5-4355-9B18-F777FA381AA6}"/>
</file>

<file path=customXml/itemProps4.xml><?xml version="1.0" encoding="utf-8"?>
<ds:datastoreItem xmlns:ds="http://schemas.openxmlformats.org/officeDocument/2006/customXml" ds:itemID="{0373F519-78D3-4AF5-A971-371F23221CB6}">
  <ds:schemaRefs>
    <ds:schemaRef ds:uri="http://schemas.openxmlformats.org/officeDocument/2006/bibliography"/>
  </ds:schemaRefs>
</ds:datastoreItem>
</file>

<file path=customXml/itemProps5.xml><?xml version="1.0" encoding="utf-8"?>
<ds:datastoreItem xmlns:ds="http://schemas.openxmlformats.org/officeDocument/2006/customXml" ds:itemID="{10D90861-F229-43F8-85E8-FF8775CC57FE}"/>
</file>

<file path=docProps/app.xml><?xml version="1.0" encoding="utf-8"?>
<Properties xmlns="http://schemas.openxmlformats.org/officeDocument/2006/extended-properties" xmlns:vt="http://schemas.openxmlformats.org/officeDocument/2006/docPropsVTypes">
  <Template>Normal.dotm</Template>
  <TotalTime>0</TotalTime>
  <Pages>9</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Gruber, Maggi</dc:creator>
  <cp:lastModifiedBy>Kredel, Ashley (UTC)</cp:lastModifiedBy>
  <cp:revision>2</cp:revision>
  <cp:lastPrinted>2017-01-11T00:22:00Z</cp:lastPrinted>
  <dcterms:created xsi:type="dcterms:W3CDTF">2017-01-11T17:28:00Z</dcterms:created>
  <dcterms:modified xsi:type="dcterms:W3CDTF">2017-01-11T17:28:00Z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5937626.1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