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A9" w:rsidRPr="006649D0" w:rsidRDefault="006649D0" w:rsidP="006649D0">
      <w:pPr>
        <w:spacing w:after="0"/>
        <w:jc w:val="center"/>
        <w:rPr>
          <w:b/>
        </w:rPr>
      </w:pPr>
      <w:r w:rsidRPr="006649D0">
        <w:rPr>
          <w:b/>
        </w:rPr>
        <w:t>BEFORE THE</w:t>
      </w:r>
    </w:p>
    <w:p w:rsidR="006649D0" w:rsidRDefault="006649D0" w:rsidP="006649D0">
      <w:pPr>
        <w:jc w:val="center"/>
        <w:rPr>
          <w:b/>
        </w:rPr>
      </w:pPr>
      <w:r w:rsidRPr="006649D0">
        <w:rPr>
          <w:b/>
        </w:rPr>
        <w:t>WASHINGTON UTILITIES AND TRANSPORTATION COMMISSION</w:t>
      </w:r>
    </w:p>
    <w:p w:rsidR="001A3621" w:rsidRPr="006649D0" w:rsidRDefault="001A3621" w:rsidP="006649D0">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270"/>
        <w:gridCol w:w="4158"/>
      </w:tblGrid>
      <w:tr w:rsidR="00A82A0D" w:rsidTr="001A3621">
        <w:tc>
          <w:tcPr>
            <w:tcW w:w="5148" w:type="dxa"/>
          </w:tcPr>
          <w:p w:rsidR="00FA3318" w:rsidRPr="00FA3318" w:rsidRDefault="00FA3318" w:rsidP="00FA3318">
            <w:r w:rsidRPr="00FA3318">
              <w:t>In the Matter of the Petition of</w:t>
            </w:r>
            <w:r w:rsidRPr="00FA3318">
              <w:br/>
            </w:r>
            <w:r w:rsidRPr="00FA3318">
              <w:br/>
              <w:t xml:space="preserve">PUGET SOUND ENERGY, INC., </w:t>
            </w:r>
            <w:r w:rsidRPr="00FA3318">
              <w:br/>
              <w:t>and NORTHWEST ENERGY COALITION</w:t>
            </w:r>
            <w:r w:rsidRPr="00FA3318">
              <w:br/>
            </w:r>
            <w:r w:rsidRPr="00FA3318">
              <w:br/>
              <w:t>For an Order Authorizing PSE To Implement Electric and Natural Gas Decoupling Mechanisms and To Record Accounting Entries Associated With the Mechanisms</w:t>
            </w:r>
          </w:p>
          <w:p w:rsidR="00FA3318" w:rsidRDefault="00FA3318" w:rsidP="00A82A0D"/>
          <w:p w:rsidR="003E02FD" w:rsidRDefault="00D91D7A" w:rsidP="00A82A0D">
            <w:r>
              <w:t>____________________________________________</w:t>
            </w:r>
          </w:p>
          <w:p w:rsidR="00FA3318" w:rsidRDefault="00FA3318" w:rsidP="00A82A0D"/>
          <w:p w:rsidR="00A82A0D" w:rsidRDefault="00A82A0D" w:rsidP="00A82A0D">
            <w:r>
              <w:t>WASHINGTON UTILITIES AND</w:t>
            </w:r>
          </w:p>
          <w:p w:rsidR="00A82A0D" w:rsidRDefault="00A82A0D" w:rsidP="00A82A0D">
            <w:r>
              <w:t>TRANSPORTATION COMMISSION</w:t>
            </w:r>
            <w:r w:rsidR="002B01FC">
              <w:t>,</w:t>
            </w:r>
          </w:p>
          <w:p w:rsidR="00A82A0D" w:rsidRDefault="00A82A0D" w:rsidP="00A82A0D"/>
          <w:p w:rsidR="00A82A0D" w:rsidRDefault="00A82A0D" w:rsidP="00A82A0D">
            <w:pPr>
              <w:jc w:val="right"/>
            </w:pPr>
            <w:r>
              <w:t>Complainant,</w:t>
            </w:r>
          </w:p>
          <w:p w:rsidR="00A82A0D" w:rsidRDefault="00A82A0D" w:rsidP="00A82A0D"/>
          <w:p w:rsidR="00A82A0D" w:rsidRDefault="00A82A0D" w:rsidP="00A82A0D">
            <w:r>
              <w:t xml:space="preserve">v. </w:t>
            </w:r>
          </w:p>
          <w:p w:rsidR="00A82A0D" w:rsidRDefault="00A82A0D" w:rsidP="00A82A0D"/>
          <w:p w:rsidR="00A82A0D" w:rsidRDefault="00A82A0D" w:rsidP="00A82A0D">
            <w:r>
              <w:t>PUGET SOUND ENERGY, INC.,</w:t>
            </w:r>
          </w:p>
          <w:p w:rsidR="00A82A0D" w:rsidRDefault="00A82A0D" w:rsidP="00A82A0D"/>
          <w:p w:rsidR="00A82A0D" w:rsidRDefault="00A82A0D" w:rsidP="00A82A0D">
            <w:pPr>
              <w:jc w:val="right"/>
            </w:pPr>
            <w:r>
              <w:t>Respondent.</w:t>
            </w:r>
          </w:p>
          <w:p w:rsidR="001A3621" w:rsidRDefault="001814D3" w:rsidP="00A82A0D">
            <w:pPr>
              <w:jc w:val="right"/>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25pt;margin-top:8.3pt;width:259.2pt;height:0;z-index:251659264" o:connectortype="straight"/>
              </w:pict>
            </w:r>
          </w:p>
        </w:tc>
        <w:tc>
          <w:tcPr>
            <w:tcW w:w="270" w:type="dxa"/>
          </w:tcPr>
          <w:p w:rsidR="00A82A0D" w:rsidRDefault="001814D3" w:rsidP="006649D0">
            <w:pPr>
              <w:jc w:val="center"/>
            </w:pPr>
            <w:r>
              <w:rPr>
                <w:noProof/>
              </w:rPr>
              <w:pict>
                <v:shape id="_x0000_s1026" type="#_x0000_t32" style="position:absolute;left:0;text-align:left;margin-left:.6pt;margin-top:11.25pt;width:.05pt;height:275.35pt;z-index:251658240;mso-position-horizontal-relative:text;mso-position-vertical-relative:text" o:connectortype="straight"/>
              </w:pict>
            </w:r>
          </w:p>
        </w:tc>
        <w:tc>
          <w:tcPr>
            <w:tcW w:w="4158" w:type="dxa"/>
          </w:tcPr>
          <w:p w:rsidR="00FA3318" w:rsidRDefault="00FA3318" w:rsidP="00FA3318">
            <w:pPr>
              <w:ind w:left="882"/>
            </w:pPr>
            <w:r>
              <w:t>Docket No</w:t>
            </w:r>
            <w:r w:rsidR="00F11A7B">
              <w:t>s</w:t>
            </w:r>
            <w:r>
              <w:t>. UE-121697</w:t>
            </w:r>
            <w:r w:rsidR="00F11A7B">
              <w:t xml:space="preserve"> and</w:t>
            </w:r>
          </w:p>
          <w:p w:rsidR="00FA3318" w:rsidRDefault="00FA3318" w:rsidP="00FA3318">
            <w:pPr>
              <w:ind w:left="882"/>
            </w:pPr>
            <w:r>
              <w:t xml:space="preserve"> UG-121705</w:t>
            </w:r>
            <w:r w:rsidR="00F11A7B">
              <w:t xml:space="preserve"> (consolidated)</w:t>
            </w:r>
          </w:p>
          <w:p w:rsidR="00A82A0D" w:rsidRDefault="00A82A0D" w:rsidP="006649D0">
            <w:pPr>
              <w:jc w:val="center"/>
            </w:pPr>
          </w:p>
          <w:p w:rsidR="001A3621" w:rsidRDefault="001A3621" w:rsidP="006649D0">
            <w:pPr>
              <w:jc w:val="center"/>
            </w:pPr>
          </w:p>
          <w:p w:rsidR="001A3621" w:rsidRDefault="001A3621" w:rsidP="006649D0">
            <w:pPr>
              <w:jc w:val="center"/>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FA3318" w:rsidRDefault="00FA3318" w:rsidP="001A3621">
            <w:pPr>
              <w:ind w:left="882"/>
            </w:pPr>
          </w:p>
          <w:p w:rsidR="001A3621" w:rsidRDefault="001A3621" w:rsidP="001A3621">
            <w:pPr>
              <w:ind w:left="882"/>
            </w:pPr>
            <w:r>
              <w:t>Docket No</w:t>
            </w:r>
            <w:r w:rsidR="00FA3318">
              <w:t>s</w:t>
            </w:r>
            <w:r>
              <w:t>. UE-130137</w:t>
            </w:r>
            <w:r w:rsidR="00FA3318">
              <w:t xml:space="preserve"> and</w:t>
            </w:r>
          </w:p>
          <w:p w:rsidR="001A3621" w:rsidRDefault="001A3621" w:rsidP="001A3621">
            <w:pPr>
              <w:ind w:left="882"/>
            </w:pPr>
            <w:r>
              <w:t xml:space="preserve"> UG-130138</w:t>
            </w:r>
            <w:r w:rsidR="00FA3318">
              <w:t xml:space="preserve"> (</w:t>
            </w:r>
            <w:r w:rsidR="00F11A7B">
              <w:t>consolidated)</w:t>
            </w:r>
          </w:p>
          <w:p w:rsidR="001A3621" w:rsidRDefault="001A3621" w:rsidP="00FA3318">
            <w:pPr>
              <w:ind w:left="882"/>
            </w:pPr>
          </w:p>
        </w:tc>
      </w:tr>
    </w:tbl>
    <w:p w:rsidR="001A3621" w:rsidRDefault="001A3621" w:rsidP="006649D0">
      <w:pPr>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Pr="001A3621" w:rsidRDefault="006D4136" w:rsidP="001A3621">
      <w:pPr>
        <w:tabs>
          <w:tab w:val="left" w:pos="1703"/>
        </w:tabs>
        <w:spacing w:after="0"/>
        <w:jc w:val="center"/>
        <w:rPr>
          <w:b/>
        </w:rPr>
      </w:pPr>
      <w:r>
        <w:rPr>
          <w:b/>
        </w:rPr>
        <w:t>POST-HEARING</w:t>
      </w:r>
      <w:r w:rsidR="001A3621" w:rsidRPr="001A3621">
        <w:rPr>
          <w:b/>
        </w:rPr>
        <w:t xml:space="preserve"> BRIEF OF </w:t>
      </w:r>
    </w:p>
    <w:p w:rsidR="001A3621" w:rsidRPr="001A3621" w:rsidRDefault="001A3621" w:rsidP="001A3621">
      <w:pPr>
        <w:tabs>
          <w:tab w:val="left" w:pos="1703"/>
        </w:tabs>
        <w:jc w:val="center"/>
        <w:rPr>
          <w:b/>
        </w:rPr>
      </w:pPr>
      <w:r w:rsidRPr="001A3621">
        <w:rPr>
          <w:b/>
        </w:rPr>
        <w:t>NUCOR STEEL SEATTLE, INC.</w:t>
      </w: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p>
    <w:p w:rsidR="001A3621" w:rsidRDefault="001A3621" w:rsidP="001A3621">
      <w:pPr>
        <w:tabs>
          <w:tab w:val="left" w:pos="1703"/>
        </w:tabs>
        <w:jc w:val="center"/>
      </w:pPr>
      <w:r>
        <w:t>May 30, 2013</w:t>
      </w:r>
    </w:p>
    <w:p w:rsidR="00620AC0" w:rsidRDefault="00620AC0">
      <w:r>
        <w:br w:type="page"/>
      </w:r>
    </w:p>
    <w:p w:rsidR="00620AC0" w:rsidRDefault="00667962" w:rsidP="00E6166C">
      <w:pPr>
        <w:tabs>
          <w:tab w:val="left" w:pos="1703"/>
        </w:tabs>
        <w:jc w:val="center"/>
        <w:rPr>
          <w:b/>
          <w:smallCaps/>
          <w:sz w:val="32"/>
          <w:szCs w:val="32"/>
        </w:rPr>
      </w:pPr>
      <w:r w:rsidRPr="00667962">
        <w:rPr>
          <w:b/>
          <w:smallCaps/>
          <w:sz w:val="32"/>
          <w:szCs w:val="32"/>
        </w:rPr>
        <w:lastRenderedPageBreak/>
        <w:t>Table Of Contents</w:t>
      </w:r>
    </w:p>
    <w:p w:rsidR="00DD4056" w:rsidRPr="00667962" w:rsidRDefault="00DD4056" w:rsidP="00E6166C">
      <w:pPr>
        <w:tabs>
          <w:tab w:val="left" w:pos="1703"/>
        </w:tabs>
        <w:jc w:val="center"/>
        <w:rPr>
          <w:b/>
          <w:smallCaps/>
          <w:sz w:val="32"/>
          <w:szCs w:val="32"/>
        </w:rPr>
      </w:pPr>
    </w:p>
    <w:p w:rsidR="004A49D0" w:rsidRDefault="001814D3">
      <w:pPr>
        <w:pStyle w:val="TOC1"/>
        <w:rPr>
          <w:rFonts w:asciiTheme="minorHAnsi" w:eastAsiaTheme="minorEastAsia" w:hAnsiTheme="minorHAnsi"/>
          <w:noProof/>
          <w:sz w:val="22"/>
        </w:rPr>
      </w:pPr>
      <w:r>
        <w:fldChar w:fldCharType="begin"/>
      </w:r>
      <w:r w:rsidR="00E6166C">
        <w:instrText xml:space="preserve"> TOC \f \h \z </w:instrText>
      </w:r>
      <w:r>
        <w:fldChar w:fldCharType="separate"/>
      </w:r>
      <w:hyperlink w:anchor="_Toc357689635" w:history="1">
        <w:r w:rsidR="004A49D0" w:rsidRPr="009F3373">
          <w:rPr>
            <w:rStyle w:val="Hyperlink"/>
            <w:b/>
            <w:noProof/>
          </w:rPr>
          <w:t>I. Introduction</w:t>
        </w:r>
        <w:r w:rsidR="004A49D0">
          <w:rPr>
            <w:noProof/>
            <w:webHidden/>
          </w:rPr>
          <w:tab/>
        </w:r>
        <w:r>
          <w:rPr>
            <w:noProof/>
            <w:webHidden/>
          </w:rPr>
          <w:fldChar w:fldCharType="begin"/>
        </w:r>
        <w:r w:rsidR="004A49D0">
          <w:rPr>
            <w:noProof/>
            <w:webHidden/>
          </w:rPr>
          <w:instrText xml:space="preserve"> PAGEREF _Toc357689635 \h </w:instrText>
        </w:r>
        <w:r>
          <w:rPr>
            <w:noProof/>
            <w:webHidden/>
          </w:rPr>
        </w:r>
        <w:r>
          <w:rPr>
            <w:noProof/>
            <w:webHidden/>
          </w:rPr>
          <w:fldChar w:fldCharType="separate"/>
        </w:r>
        <w:r w:rsidR="00B44532">
          <w:rPr>
            <w:noProof/>
            <w:webHidden/>
          </w:rPr>
          <w:t>3</w:t>
        </w:r>
        <w:r>
          <w:rPr>
            <w:noProof/>
            <w:webHidden/>
          </w:rPr>
          <w:fldChar w:fldCharType="end"/>
        </w:r>
      </w:hyperlink>
    </w:p>
    <w:p w:rsidR="004A49D0" w:rsidRDefault="001814D3">
      <w:pPr>
        <w:pStyle w:val="TOC1"/>
        <w:rPr>
          <w:rFonts w:asciiTheme="minorHAnsi" w:eastAsiaTheme="minorEastAsia" w:hAnsiTheme="minorHAnsi"/>
          <w:noProof/>
          <w:sz w:val="22"/>
        </w:rPr>
      </w:pPr>
      <w:hyperlink w:anchor="_Toc357689636" w:history="1">
        <w:r w:rsidR="004A49D0" w:rsidRPr="009F3373">
          <w:rPr>
            <w:rStyle w:val="Hyperlink"/>
            <w:b/>
            <w:noProof/>
          </w:rPr>
          <w:t>II. Argument</w:t>
        </w:r>
        <w:r w:rsidR="004A49D0">
          <w:rPr>
            <w:noProof/>
            <w:webHidden/>
          </w:rPr>
          <w:tab/>
        </w:r>
        <w:r>
          <w:rPr>
            <w:noProof/>
            <w:webHidden/>
          </w:rPr>
          <w:fldChar w:fldCharType="begin"/>
        </w:r>
        <w:r w:rsidR="004A49D0">
          <w:rPr>
            <w:noProof/>
            <w:webHidden/>
          </w:rPr>
          <w:instrText xml:space="preserve"> PAGEREF _Toc357689636 \h </w:instrText>
        </w:r>
        <w:r>
          <w:rPr>
            <w:noProof/>
            <w:webHidden/>
          </w:rPr>
        </w:r>
        <w:r>
          <w:rPr>
            <w:noProof/>
            <w:webHidden/>
          </w:rPr>
          <w:fldChar w:fldCharType="separate"/>
        </w:r>
        <w:r w:rsidR="00B44532">
          <w:rPr>
            <w:noProof/>
            <w:webHidden/>
          </w:rPr>
          <w:t>4</w:t>
        </w:r>
        <w:r>
          <w:rPr>
            <w:noProof/>
            <w:webHidden/>
          </w:rPr>
          <w:fldChar w:fldCharType="end"/>
        </w:r>
      </w:hyperlink>
    </w:p>
    <w:p w:rsidR="004A49D0" w:rsidRDefault="001814D3">
      <w:pPr>
        <w:pStyle w:val="TOC2"/>
        <w:tabs>
          <w:tab w:val="right" w:leader="dot" w:pos="9350"/>
        </w:tabs>
        <w:rPr>
          <w:rFonts w:asciiTheme="minorHAnsi" w:eastAsiaTheme="minorEastAsia" w:hAnsiTheme="minorHAnsi"/>
          <w:noProof/>
          <w:sz w:val="22"/>
        </w:rPr>
      </w:pPr>
      <w:hyperlink w:anchor="_Toc357689637" w:history="1">
        <w:r w:rsidR="004A49D0" w:rsidRPr="009F3373">
          <w:rPr>
            <w:rStyle w:val="Hyperlink"/>
            <w:b/>
            <w:noProof/>
          </w:rPr>
          <w:t>A. The Commission Should Reject PSE’s Proposed K-Factor Component of the Rate Plan</w:t>
        </w:r>
        <w:r w:rsidR="004A49D0">
          <w:rPr>
            <w:noProof/>
            <w:webHidden/>
          </w:rPr>
          <w:tab/>
        </w:r>
        <w:r>
          <w:rPr>
            <w:noProof/>
            <w:webHidden/>
          </w:rPr>
          <w:fldChar w:fldCharType="begin"/>
        </w:r>
        <w:r w:rsidR="004A49D0">
          <w:rPr>
            <w:noProof/>
            <w:webHidden/>
          </w:rPr>
          <w:instrText xml:space="preserve"> PAGEREF _Toc357689637 \h </w:instrText>
        </w:r>
        <w:r>
          <w:rPr>
            <w:noProof/>
            <w:webHidden/>
          </w:rPr>
        </w:r>
        <w:r>
          <w:rPr>
            <w:noProof/>
            <w:webHidden/>
          </w:rPr>
          <w:fldChar w:fldCharType="separate"/>
        </w:r>
        <w:r w:rsidR="00B44532">
          <w:rPr>
            <w:noProof/>
            <w:webHidden/>
          </w:rPr>
          <w:t>4</w:t>
        </w:r>
        <w:r>
          <w:rPr>
            <w:noProof/>
            <w:webHidden/>
          </w:rPr>
          <w:fldChar w:fldCharType="end"/>
        </w:r>
      </w:hyperlink>
    </w:p>
    <w:p w:rsidR="004A49D0" w:rsidRDefault="001814D3">
      <w:pPr>
        <w:pStyle w:val="TOC2"/>
        <w:tabs>
          <w:tab w:val="right" w:leader="dot" w:pos="9350"/>
        </w:tabs>
        <w:rPr>
          <w:rFonts w:asciiTheme="minorHAnsi" w:eastAsiaTheme="minorEastAsia" w:hAnsiTheme="minorHAnsi"/>
          <w:noProof/>
          <w:sz w:val="22"/>
        </w:rPr>
      </w:pPr>
      <w:hyperlink w:anchor="_Toc357689638" w:history="1">
        <w:r w:rsidR="004A49D0" w:rsidRPr="009F3373">
          <w:rPr>
            <w:rStyle w:val="Hyperlink"/>
            <w:b/>
            <w:noProof/>
          </w:rPr>
          <w:t>B. The Commission Should Reject the Proposed Decoupling Mechanism</w:t>
        </w:r>
        <w:r w:rsidR="004A49D0">
          <w:rPr>
            <w:noProof/>
            <w:webHidden/>
          </w:rPr>
          <w:tab/>
        </w:r>
        <w:r>
          <w:rPr>
            <w:noProof/>
            <w:webHidden/>
          </w:rPr>
          <w:fldChar w:fldCharType="begin"/>
        </w:r>
        <w:r w:rsidR="004A49D0">
          <w:rPr>
            <w:noProof/>
            <w:webHidden/>
          </w:rPr>
          <w:instrText xml:space="preserve"> PAGEREF _Toc357689638 \h </w:instrText>
        </w:r>
        <w:r>
          <w:rPr>
            <w:noProof/>
            <w:webHidden/>
          </w:rPr>
        </w:r>
        <w:r>
          <w:rPr>
            <w:noProof/>
            <w:webHidden/>
          </w:rPr>
          <w:fldChar w:fldCharType="separate"/>
        </w:r>
        <w:r w:rsidR="00B44532">
          <w:rPr>
            <w:noProof/>
            <w:webHidden/>
          </w:rPr>
          <w:t>6</w:t>
        </w:r>
        <w:r>
          <w:rPr>
            <w:noProof/>
            <w:webHidden/>
          </w:rPr>
          <w:fldChar w:fldCharType="end"/>
        </w:r>
      </w:hyperlink>
    </w:p>
    <w:p w:rsidR="004A49D0" w:rsidRDefault="001814D3">
      <w:pPr>
        <w:pStyle w:val="TOC2"/>
        <w:tabs>
          <w:tab w:val="right" w:leader="dot" w:pos="9350"/>
        </w:tabs>
        <w:rPr>
          <w:rFonts w:asciiTheme="minorHAnsi" w:eastAsiaTheme="minorEastAsia" w:hAnsiTheme="minorHAnsi"/>
          <w:noProof/>
          <w:sz w:val="22"/>
        </w:rPr>
      </w:pPr>
      <w:hyperlink w:anchor="_Toc357689639" w:history="1">
        <w:r w:rsidR="004A49D0" w:rsidRPr="009F3373">
          <w:rPr>
            <w:rStyle w:val="Hyperlink"/>
            <w:b/>
            <w:noProof/>
          </w:rPr>
          <w:t>C.</w:t>
        </w:r>
        <w:r w:rsidR="004A49D0" w:rsidRPr="009F3373">
          <w:rPr>
            <w:rStyle w:val="Hyperlink"/>
            <w:noProof/>
          </w:rPr>
          <w:t xml:space="preserve"> </w:t>
        </w:r>
        <w:r w:rsidR="004A49D0" w:rsidRPr="009F3373">
          <w:rPr>
            <w:rStyle w:val="Hyperlink"/>
            <w:b/>
            <w:noProof/>
          </w:rPr>
          <w:t>If the Commission Approves the Proposed Decoupling Mechanism, the Mechanism Should be Modified</w:t>
        </w:r>
        <w:r w:rsidR="004A49D0">
          <w:rPr>
            <w:noProof/>
            <w:webHidden/>
          </w:rPr>
          <w:tab/>
        </w:r>
        <w:r>
          <w:rPr>
            <w:noProof/>
            <w:webHidden/>
          </w:rPr>
          <w:fldChar w:fldCharType="begin"/>
        </w:r>
        <w:r w:rsidR="004A49D0">
          <w:rPr>
            <w:noProof/>
            <w:webHidden/>
          </w:rPr>
          <w:instrText xml:space="preserve"> PAGEREF _Toc357689639 \h </w:instrText>
        </w:r>
        <w:r>
          <w:rPr>
            <w:noProof/>
            <w:webHidden/>
          </w:rPr>
        </w:r>
        <w:r>
          <w:rPr>
            <w:noProof/>
            <w:webHidden/>
          </w:rPr>
          <w:fldChar w:fldCharType="separate"/>
        </w:r>
        <w:r w:rsidR="00B44532">
          <w:rPr>
            <w:noProof/>
            <w:webHidden/>
          </w:rPr>
          <w:t>7</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0" w:history="1">
        <w:r w:rsidR="004A49D0" w:rsidRPr="009F3373">
          <w:rPr>
            <w:rStyle w:val="Hyperlink"/>
            <w:b/>
            <w:noProof/>
          </w:rPr>
          <w:t>1.  The ROE Should be Reduced</w:t>
        </w:r>
        <w:r w:rsidR="004A49D0">
          <w:rPr>
            <w:noProof/>
            <w:webHidden/>
          </w:rPr>
          <w:tab/>
        </w:r>
        <w:r>
          <w:rPr>
            <w:noProof/>
            <w:webHidden/>
          </w:rPr>
          <w:fldChar w:fldCharType="begin"/>
        </w:r>
        <w:r w:rsidR="004A49D0">
          <w:rPr>
            <w:noProof/>
            <w:webHidden/>
          </w:rPr>
          <w:instrText xml:space="preserve"> PAGEREF _Toc357689640 \h </w:instrText>
        </w:r>
        <w:r>
          <w:rPr>
            <w:noProof/>
            <w:webHidden/>
          </w:rPr>
        </w:r>
        <w:r>
          <w:rPr>
            <w:noProof/>
            <w:webHidden/>
          </w:rPr>
          <w:fldChar w:fldCharType="separate"/>
        </w:r>
        <w:r w:rsidR="00B44532">
          <w:rPr>
            <w:noProof/>
            <w:webHidden/>
          </w:rPr>
          <w:t>7</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1" w:history="1">
        <w:r w:rsidR="004A49D0" w:rsidRPr="009F3373">
          <w:rPr>
            <w:rStyle w:val="Hyperlink"/>
            <w:b/>
            <w:noProof/>
          </w:rPr>
          <w:t>2.  Found Margin Should be Incorporated by the Decoupling Mechanism</w:t>
        </w:r>
        <w:r w:rsidR="004A49D0">
          <w:rPr>
            <w:noProof/>
            <w:webHidden/>
          </w:rPr>
          <w:tab/>
        </w:r>
        <w:r>
          <w:rPr>
            <w:noProof/>
            <w:webHidden/>
          </w:rPr>
          <w:fldChar w:fldCharType="begin"/>
        </w:r>
        <w:r w:rsidR="004A49D0">
          <w:rPr>
            <w:noProof/>
            <w:webHidden/>
          </w:rPr>
          <w:instrText xml:space="preserve"> PAGEREF _Toc357689641 \h </w:instrText>
        </w:r>
        <w:r>
          <w:rPr>
            <w:noProof/>
            <w:webHidden/>
          </w:rPr>
        </w:r>
        <w:r>
          <w:rPr>
            <w:noProof/>
            <w:webHidden/>
          </w:rPr>
          <w:fldChar w:fldCharType="separate"/>
        </w:r>
        <w:r w:rsidR="00B44532">
          <w:rPr>
            <w:noProof/>
            <w:webHidden/>
          </w:rPr>
          <w:t>8</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2" w:history="1">
        <w:r w:rsidR="004A49D0" w:rsidRPr="009F3373">
          <w:rPr>
            <w:rStyle w:val="Hyperlink"/>
            <w:b/>
            <w:noProof/>
          </w:rPr>
          <w:t xml:space="preserve">3.  </w:t>
        </w:r>
        <w:r w:rsidR="004A49D0">
          <w:rPr>
            <w:rStyle w:val="Hyperlink"/>
            <w:b/>
            <w:noProof/>
          </w:rPr>
          <w:t>The Revisions Negotiated By NWIGU Should Be Adopted</w:t>
        </w:r>
        <w:r w:rsidR="004A49D0">
          <w:rPr>
            <w:noProof/>
            <w:webHidden/>
          </w:rPr>
          <w:tab/>
        </w:r>
        <w:r>
          <w:rPr>
            <w:noProof/>
            <w:webHidden/>
          </w:rPr>
          <w:fldChar w:fldCharType="begin"/>
        </w:r>
        <w:r w:rsidR="004A49D0">
          <w:rPr>
            <w:noProof/>
            <w:webHidden/>
          </w:rPr>
          <w:instrText xml:space="preserve"> PAGEREF _Toc357689642 \h </w:instrText>
        </w:r>
        <w:r>
          <w:rPr>
            <w:noProof/>
            <w:webHidden/>
          </w:rPr>
        </w:r>
        <w:r>
          <w:rPr>
            <w:noProof/>
            <w:webHidden/>
          </w:rPr>
          <w:fldChar w:fldCharType="separate"/>
        </w:r>
        <w:r w:rsidR="00B44532">
          <w:rPr>
            <w:noProof/>
            <w:webHidden/>
          </w:rPr>
          <w:t>9</w:t>
        </w:r>
        <w:r>
          <w:rPr>
            <w:noProof/>
            <w:webHidden/>
          </w:rPr>
          <w:fldChar w:fldCharType="end"/>
        </w:r>
      </w:hyperlink>
    </w:p>
    <w:p w:rsidR="004A49D0" w:rsidRDefault="001814D3">
      <w:pPr>
        <w:pStyle w:val="TOC3"/>
        <w:tabs>
          <w:tab w:val="right" w:leader="dot" w:pos="9350"/>
        </w:tabs>
        <w:rPr>
          <w:rFonts w:asciiTheme="minorHAnsi" w:eastAsiaTheme="minorEastAsia" w:hAnsiTheme="minorHAnsi"/>
          <w:noProof/>
          <w:sz w:val="22"/>
        </w:rPr>
      </w:pPr>
      <w:hyperlink w:anchor="_Toc357689643" w:history="1">
        <w:r w:rsidR="004A49D0" w:rsidRPr="009F3373">
          <w:rPr>
            <w:rStyle w:val="Hyperlink"/>
            <w:b/>
            <w:noProof/>
          </w:rPr>
          <w:t>4.  The Gas Decoupling Mechanism Should be Modified</w:t>
        </w:r>
        <w:r w:rsidR="004A49D0">
          <w:rPr>
            <w:noProof/>
            <w:webHidden/>
          </w:rPr>
          <w:tab/>
        </w:r>
        <w:r>
          <w:rPr>
            <w:noProof/>
            <w:webHidden/>
          </w:rPr>
          <w:fldChar w:fldCharType="begin"/>
        </w:r>
        <w:r w:rsidR="004A49D0">
          <w:rPr>
            <w:noProof/>
            <w:webHidden/>
          </w:rPr>
          <w:instrText xml:space="preserve"> PAGEREF _Toc357689643 \h </w:instrText>
        </w:r>
        <w:r>
          <w:rPr>
            <w:noProof/>
            <w:webHidden/>
          </w:rPr>
        </w:r>
        <w:r>
          <w:rPr>
            <w:noProof/>
            <w:webHidden/>
          </w:rPr>
          <w:fldChar w:fldCharType="separate"/>
        </w:r>
        <w:r w:rsidR="00B44532">
          <w:rPr>
            <w:noProof/>
            <w:webHidden/>
          </w:rPr>
          <w:t>10</w:t>
        </w:r>
        <w:r>
          <w:rPr>
            <w:noProof/>
            <w:webHidden/>
          </w:rPr>
          <w:fldChar w:fldCharType="end"/>
        </w:r>
      </w:hyperlink>
    </w:p>
    <w:p w:rsidR="004A49D0" w:rsidRDefault="001814D3">
      <w:pPr>
        <w:pStyle w:val="TOC1"/>
        <w:rPr>
          <w:rFonts w:asciiTheme="minorHAnsi" w:eastAsiaTheme="minorEastAsia" w:hAnsiTheme="minorHAnsi"/>
          <w:noProof/>
          <w:sz w:val="22"/>
        </w:rPr>
      </w:pPr>
      <w:hyperlink w:anchor="_Toc357689644" w:history="1">
        <w:r w:rsidR="004A49D0" w:rsidRPr="009F3373">
          <w:rPr>
            <w:rStyle w:val="Hyperlink"/>
            <w:b/>
            <w:noProof/>
          </w:rPr>
          <w:t>III. Conclusion</w:t>
        </w:r>
        <w:r w:rsidR="004A49D0">
          <w:rPr>
            <w:noProof/>
            <w:webHidden/>
          </w:rPr>
          <w:tab/>
        </w:r>
        <w:r>
          <w:rPr>
            <w:noProof/>
            <w:webHidden/>
          </w:rPr>
          <w:fldChar w:fldCharType="begin"/>
        </w:r>
        <w:r w:rsidR="004A49D0">
          <w:rPr>
            <w:noProof/>
            <w:webHidden/>
          </w:rPr>
          <w:instrText xml:space="preserve"> PAGEREF _Toc357689644 \h </w:instrText>
        </w:r>
        <w:r>
          <w:rPr>
            <w:noProof/>
            <w:webHidden/>
          </w:rPr>
        </w:r>
        <w:r>
          <w:rPr>
            <w:noProof/>
            <w:webHidden/>
          </w:rPr>
          <w:fldChar w:fldCharType="separate"/>
        </w:r>
        <w:r w:rsidR="00B44532">
          <w:rPr>
            <w:noProof/>
            <w:webHidden/>
          </w:rPr>
          <w:t>10</w:t>
        </w:r>
        <w:r>
          <w:rPr>
            <w:noProof/>
            <w:webHidden/>
          </w:rPr>
          <w:fldChar w:fldCharType="end"/>
        </w:r>
      </w:hyperlink>
    </w:p>
    <w:p w:rsidR="00E6166C" w:rsidRDefault="001814D3" w:rsidP="004D1D10">
      <w:pPr>
        <w:tabs>
          <w:tab w:val="left" w:pos="1703"/>
        </w:tabs>
        <w:spacing w:after="240" w:line="240" w:lineRule="auto"/>
      </w:pPr>
      <w:r>
        <w:fldChar w:fldCharType="end"/>
      </w:r>
    </w:p>
    <w:p w:rsidR="00620AC0" w:rsidRDefault="00620AC0">
      <w:r>
        <w:br w:type="page"/>
      </w:r>
    </w:p>
    <w:p w:rsidR="00620AC0" w:rsidRPr="008D7684" w:rsidRDefault="00620AC0" w:rsidP="009D4C3D">
      <w:pPr>
        <w:spacing w:after="0" w:line="480" w:lineRule="auto"/>
        <w:rPr>
          <w:b/>
        </w:rPr>
      </w:pPr>
      <w:r w:rsidRPr="008D7684">
        <w:rPr>
          <w:b/>
        </w:rPr>
        <w:lastRenderedPageBreak/>
        <w:t xml:space="preserve">I. </w:t>
      </w:r>
      <w:r w:rsidR="009D4C3D">
        <w:rPr>
          <w:b/>
        </w:rPr>
        <w:tab/>
      </w:r>
      <w:r w:rsidR="009D4C3D" w:rsidRPr="008D7684">
        <w:rPr>
          <w:b/>
        </w:rPr>
        <w:t>INTRODUCTION</w:t>
      </w:r>
      <w:r w:rsidR="001814D3">
        <w:rPr>
          <w:b/>
        </w:rPr>
        <w:fldChar w:fldCharType="begin"/>
      </w:r>
      <w:r w:rsidR="00E6166C">
        <w:instrText xml:space="preserve"> TC "</w:instrText>
      </w:r>
      <w:bookmarkStart w:id="0" w:name="_Toc357689635"/>
      <w:r w:rsidR="00E6166C" w:rsidRPr="003F5E14">
        <w:rPr>
          <w:b/>
        </w:rPr>
        <w:instrText>I. Introduction</w:instrText>
      </w:r>
      <w:bookmarkEnd w:id="0"/>
      <w:r w:rsidR="00E6166C">
        <w:instrText xml:space="preserve">" \f C \l "1" </w:instrText>
      </w:r>
      <w:r w:rsidR="001814D3">
        <w:rPr>
          <w:b/>
        </w:rPr>
        <w:fldChar w:fldCharType="end"/>
      </w:r>
    </w:p>
    <w:p w:rsidR="007264CC" w:rsidRDefault="00620AC0" w:rsidP="009D4C3D">
      <w:pPr>
        <w:spacing w:after="0" w:line="480" w:lineRule="auto"/>
        <w:jc w:val="both"/>
      </w:pPr>
      <w:r>
        <w:tab/>
        <w:t xml:space="preserve">This </w:t>
      </w:r>
      <w:r w:rsidR="0027159D">
        <w:t>Post-Hearing</w:t>
      </w:r>
      <w:r>
        <w:t xml:space="preserve"> Brief is submitted on behalf of Nucor Steel Seattle, Inc. (“Nucor”).  Nucor owns and operates a steel mill in Seattle and takes gas transportation service from Puget Sound Energy, Inc. (“PSE”</w:t>
      </w:r>
      <w:r w:rsidR="00293FAC">
        <w:t xml:space="preserve"> or “the Company”</w:t>
      </w:r>
      <w:r>
        <w:t>) under Schedule 87T.</w:t>
      </w:r>
      <w:r w:rsidR="006D4136">
        <w:t xml:space="preserve">  </w:t>
      </w:r>
      <w:r w:rsidR="000114A5">
        <w:t xml:space="preserve">On February 1, 2013, PSE filed an expedited rate filing </w:t>
      </w:r>
      <w:r w:rsidR="00C87413">
        <w:t xml:space="preserve">(“ERF”) </w:t>
      </w:r>
      <w:r w:rsidR="000114A5">
        <w:t xml:space="preserve">in Dockets UE-130137 and UG-130138.  </w:t>
      </w:r>
      <w:r w:rsidR="005B6E0E">
        <w:t xml:space="preserve">In a related proceeding, PSE and NW Energy Coalition </w:t>
      </w:r>
      <w:r w:rsidR="007264CC">
        <w:t xml:space="preserve">(“NWEC”) </w:t>
      </w:r>
      <w:r w:rsidR="005B6E0E">
        <w:t>(</w:t>
      </w:r>
      <w:r w:rsidR="007264CC">
        <w:t xml:space="preserve">collectively, </w:t>
      </w:r>
      <w:r w:rsidR="005B6E0E">
        <w:t>“Joint Parties”) filed an Amended Decoupling Petition in Dockets UE-12</w:t>
      </w:r>
      <w:r w:rsidR="00B4051C">
        <w:t>1</w:t>
      </w:r>
      <w:r w:rsidR="005B6E0E">
        <w:t xml:space="preserve">697 and UG-121705 on March 1, 2013.  </w:t>
      </w:r>
      <w:r w:rsidR="007264CC">
        <w:t>The Commission’s Regulatory Staff (“Commission Staff” or “Staff”) filed testimony in support of the revised proposal on March 4, 2013.  PSE, NWEC</w:t>
      </w:r>
      <w:r w:rsidR="007D1028">
        <w:t>,</w:t>
      </w:r>
      <w:r w:rsidR="007264CC">
        <w:t xml:space="preserve"> and Staff </w:t>
      </w:r>
      <w:r w:rsidR="007D1028">
        <w:t>proposed a “rate plan” via a stipulation filed</w:t>
      </w:r>
      <w:r w:rsidR="007264CC">
        <w:t xml:space="preserve"> in these four dockets and in Docket UE-121373, </w:t>
      </w:r>
      <w:r w:rsidR="007D1028">
        <w:t>on March 22, 2013.</w:t>
      </w:r>
      <w:r w:rsidR="00AC0B54">
        <w:t xml:space="preserve">  The Energy Project and the Northwest Industrial Gas Users (“NWIGU”) subsequently agreed to support the stipulation upon certain specified conditions.</w:t>
      </w:r>
    </w:p>
    <w:p w:rsidR="0087761E" w:rsidRDefault="004526A3">
      <w:pPr>
        <w:spacing w:after="0" w:line="480" w:lineRule="auto"/>
        <w:ind w:firstLine="720"/>
        <w:jc w:val="both"/>
      </w:pPr>
      <w:r>
        <w:t xml:space="preserve">As part of the </w:t>
      </w:r>
      <w:r w:rsidR="004C729D">
        <w:t>stipulation</w:t>
      </w:r>
      <w:r>
        <w:t>, the propose</w:t>
      </w:r>
      <w:r w:rsidR="00735999">
        <w:t>d</w:t>
      </w:r>
      <w:r w:rsidR="00F7773B">
        <w:t xml:space="preserve"> </w:t>
      </w:r>
      <w:r w:rsidR="004C729D">
        <w:t xml:space="preserve">rate plan includes a </w:t>
      </w:r>
      <w:r w:rsidR="004C729D">
        <w:rPr>
          <w:rFonts w:cs="Times New Roman"/>
          <w:szCs w:val="24"/>
        </w:rPr>
        <w:t xml:space="preserve">metric for increasing rates or allowed revenues.  Nucor opposes this proposed metric, the “K-factor,” as it would introduce an automatic, predetermined, cost escalator into rates.  </w:t>
      </w:r>
      <w:r w:rsidR="003B17F2">
        <w:rPr>
          <w:rFonts w:cs="Times New Roman"/>
          <w:szCs w:val="24"/>
        </w:rPr>
        <w:t>Nucor also opposes the entirety of the Joint Parties’ proposed revenue decoupling package.  Failing complete rejection,</w:t>
      </w:r>
      <w:r w:rsidR="00A330E2">
        <w:rPr>
          <w:rFonts w:cs="Times New Roman"/>
          <w:szCs w:val="24"/>
        </w:rPr>
        <w:t xml:space="preserve"> however,</w:t>
      </w:r>
      <w:r w:rsidR="003B17F2">
        <w:rPr>
          <w:rFonts w:cs="Times New Roman"/>
          <w:szCs w:val="24"/>
        </w:rPr>
        <w:t xml:space="preserve"> Nucor recommends that the Commission modify the proposal.  </w:t>
      </w:r>
      <w:r w:rsidR="006319AE">
        <w:t xml:space="preserve">In PSE’s </w:t>
      </w:r>
      <w:r w:rsidR="00C87413">
        <w:t>ERF</w:t>
      </w:r>
      <w:r w:rsidR="006319AE">
        <w:t xml:space="preserve">, </w:t>
      </w:r>
      <w:r w:rsidR="00B4051C">
        <w:t>PSE</w:t>
      </w:r>
      <w:r w:rsidR="006319AE">
        <w:t xml:space="preserve"> proposes to increase electric</w:t>
      </w:r>
      <w:r w:rsidR="00B4051C">
        <w:t>ity</w:t>
      </w:r>
      <w:r w:rsidR="006319AE">
        <w:t xml:space="preserve"> rates by $32.2 million, and to reduce natural gas rates by $1.2 million.  </w:t>
      </w:r>
      <w:r w:rsidR="003B17F2">
        <w:t xml:space="preserve">Although, </w:t>
      </w:r>
      <w:r w:rsidR="006319AE">
        <w:t xml:space="preserve">Nucor does not oppose the core revenue requirement proposal put forth in PSE’s </w:t>
      </w:r>
      <w:r w:rsidR="00C87413">
        <w:t>ERF</w:t>
      </w:r>
      <w:r w:rsidR="003B17F2">
        <w:t>, i</w:t>
      </w:r>
      <w:r w:rsidR="006319AE">
        <w:t xml:space="preserve">f the </w:t>
      </w:r>
      <w:r w:rsidR="00C20FA3">
        <w:t>Commission</w:t>
      </w:r>
      <w:r w:rsidR="002568BB">
        <w:t xml:space="preserve"> </w:t>
      </w:r>
      <w:r w:rsidR="00C20FA3">
        <w:t>approves</w:t>
      </w:r>
      <w:r w:rsidR="009F2342">
        <w:t xml:space="preserve"> the</w:t>
      </w:r>
      <w:r w:rsidR="00C20FA3">
        <w:t xml:space="preserve"> </w:t>
      </w:r>
      <w:r w:rsidR="006319AE">
        <w:t>Joint Parties’ full revenue decoupling proposal</w:t>
      </w:r>
      <w:r w:rsidR="002568BB">
        <w:t>, then Nucor recommends a reduction</w:t>
      </w:r>
      <w:r w:rsidR="006319AE">
        <w:t xml:space="preserve"> </w:t>
      </w:r>
      <w:r w:rsidR="002568BB">
        <w:t>of</w:t>
      </w:r>
      <w:r w:rsidR="006319AE">
        <w:t xml:space="preserve"> PSE’s </w:t>
      </w:r>
      <w:r w:rsidR="002568BB">
        <w:t>proposed ROE</w:t>
      </w:r>
      <w:r w:rsidR="006319AE">
        <w:t xml:space="preserve">.  </w:t>
      </w:r>
      <w:r w:rsidR="002568BB">
        <w:t xml:space="preserve">In the event the Commission approves the proposed decoupling mechanism, Nucor also urges the Commission to fully recognize found margin and to </w:t>
      </w:r>
      <w:r w:rsidR="0087761E">
        <w:t>exclude gas transportation customers from the proposed decoupling mechanism.</w:t>
      </w:r>
    </w:p>
    <w:p w:rsidR="002E32A6" w:rsidRPr="008D7684" w:rsidRDefault="009D4C3D" w:rsidP="009D4C3D">
      <w:pPr>
        <w:spacing w:after="0" w:line="480" w:lineRule="auto"/>
        <w:rPr>
          <w:b/>
        </w:rPr>
      </w:pPr>
      <w:r w:rsidRPr="008D7684">
        <w:rPr>
          <w:b/>
        </w:rPr>
        <w:t xml:space="preserve">II. </w:t>
      </w:r>
      <w:r>
        <w:rPr>
          <w:b/>
        </w:rPr>
        <w:tab/>
      </w:r>
      <w:r w:rsidRPr="008D7684">
        <w:rPr>
          <w:b/>
        </w:rPr>
        <w:t>ARGUMENT</w:t>
      </w:r>
      <w:r w:rsidR="001814D3">
        <w:rPr>
          <w:b/>
        </w:rPr>
        <w:fldChar w:fldCharType="begin"/>
      </w:r>
      <w:r w:rsidR="00E6166C">
        <w:instrText xml:space="preserve"> TC "</w:instrText>
      </w:r>
      <w:bookmarkStart w:id="1" w:name="_Toc357689636"/>
      <w:r w:rsidR="00E6166C" w:rsidRPr="003F5E14">
        <w:rPr>
          <w:b/>
        </w:rPr>
        <w:instrText>II. Argument</w:instrText>
      </w:r>
      <w:bookmarkEnd w:id="1"/>
      <w:r w:rsidR="00E6166C">
        <w:instrText xml:space="preserve">" \f C \l "1" </w:instrText>
      </w:r>
      <w:r w:rsidR="001814D3">
        <w:rPr>
          <w:b/>
        </w:rPr>
        <w:fldChar w:fldCharType="end"/>
      </w:r>
    </w:p>
    <w:p w:rsidR="007F2258" w:rsidRDefault="00923690" w:rsidP="007F2258">
      <w:pPr>
        <w:spacing w:after="0" w:line="240" w:lineRule="auto"/>
        <w:ind w:left="1440" w:hanging="720"/>
        <w:rPr>
          <w:b/>
        </w:rPr>
      </w:pPr>
      <w:r w:rsidRPr="008D7684">
        <w:rPr>
          <w:b/>
        </w:rPr>
        <w:t xml:space="preserve">A. </w:t>
      </w:r>
      <w:r w:rsidR="009D4C3D">
        <w:rPr>
          <w:b/>
        </w:rPr>
        <w:tab/>
      </w:r>
      <w:r w:rsidRPr="008D7684">
        <w:rPr>
          <w:b/>
        </w:rPr>
        <w:t xml:space="preserve">The Commission Should Reject PSE’s Proposed </w:t>
      </w:r>
      <w:r w:rsidR="0051594A">
        <w:rPr>
          <w:b/>
        </w:rPr>
        <w:t>K-Factor Component of the Rate Plan</w:t>
      </w:r>
    </w:p>
    <w:p w:rsidR="00923690" w:rsidRPr="008D7684" w:rsidRDefault="001814D3" w:rsidP="007F2258">
      <w:pPr>
        <w:spacing w:after="0" w:line="240" w:lineRule="auto"/>
        <w:ind w:left="1440" w:hanging="720"/>
        <w:rPr>
          <w:b/>
        </w:rPr>
      </w:pPr>
      <w:r>
        <w:rPr>
          <w:b/>
        </w:rPr>
        <w:fldChar w:fldCharType="begin"/>
      </w:r>
      <w:r w:rsidR="00E6166C">
        <w:instrText xml:space="preserve"> TC "</w:instrText>
      </w:r>
      <w:bookmarkStart w:id="2" w:name="_Toc357689637"/>
      <w:r w:rsidR="00E6166C" w:rsidRPr="003F5E14">
        <w:rPr>
          <w:b/>
        </w:rPr>
        <w:instrText>A. The Commission Should Reject PSE’s Proposed K-Factor Component of the Rate Plan</w:instrText>
      </w:r>
      <w:bookmarkEnd w:id="2"/>
      <w:r w:rsidR="00E6166C">
        <w:instrText xml:space="preserve">" \f C \l "2" </w:instrText>
      </w:r>
      <w:r>
        <w:rPr>
          <w:b/>
        </w:rPr>
        <w:fldChar w:fldCharType="end"/>
      </w:r>
    </w:p>
    <w:p w:rsidR="001379E0" w:rsidRDefault="001379E0" w:rsidP="009D4C3D">
      <w:pPr>
        <w:spacing w:after="0" w:line="480" w:lineRule="auto"/>
        <w:ind w:firstLine="720"/>
        <w:jc w:val="both"/>
      </w:pPr>
      <w:r w:rsidRPr="001379E0">
        <w:t xml:space="preserve">The rate plan is a series of predetermined annual rate increases implemented through a metric that PSE calls the “K-factor”.  The proposed rate plan would extend at least through March 2016 and possibly through March 2017.  As part of its proposal, and subject to certain caveats, PSE would not file its next general rate case before April 1, 2015, </w:t>
      </w:r>
      <w:r w:rsidR="00D11D01">
        <w:t>and</w:t>
      </w:r>
      <w:r w:rsidRPr="001379E0">
        <w:t xml:space="preserve"> would file it no later than April 1,</w:t>
      </w:r>
      <w:r>
        <w:t xml:space="preserve"> </w:t>
      </w:r>
      <w:r w:rsidRPr="001379E0">
        <w:t>2016, unless otherwise agreed to by the parties t</w:t>
      </w:r>
      <w:r w:rsidR="00B4051C">
        <w:t>o</w:t>
      </w:r>
      <w:r w:rsidRPr="001379E0">
        <w:t xml:space="preserve"> </w:t>
      </w:r>
      <w:r w:rsidR="00D11D01">
        <w:t>PSE’s</w:t>
      </w:r>
      <w:r w:rsidRPr="001379E0">
        <w:t xml:space="preserve"> last general rate case.</w:t>
      </w:r>
      <w:r w:rsidR="004C0F6D">
        <w:rPr>
          <w:rStyle w:val="FootnoteReference"/>
        </w:rPr>
        <w:footnoteReference w:id="1"/>
      </w:r>
      <w:r w:rsidRPr="001379E0">
        <w:t xml:space="preserve"> The decoupling proposal envisions full revenue decoupling applied to fixed delivery costs for almost all electric and gas customer classes.</w:t>
      </w:r>
      <w:r w:rsidR="00E02E6F">
        <w:rPr>
          <w:rStyle w:val="FootnoteReference"/>
        </w:rPr>
        <w:footnoteReference w:id="2"/>
      </w:r>
      <w:r w:rsidRPr="001379E0">
        <w:t xml:space="preserve">   The revenue decoupling would be implemented through an “allowed revenue per customer” metric.  The decoupling proposal is tied to the proposed rate plan in that each year’s allowed revenue per customer would be increased via the K-factor.  Thus, the overall proposal should be viewed as a combination “predetermined rate increase/decoupling” package extending over a multi-year period.</w:t>
      </w:r>
    </w:p>
    <w:p w:rsidR="001379E0" w:rsidRDefault="001379E0" w:rsidP="009D4C3D">
      <w:pPr>
        <w:spacing w:after="0" w:line="480" w:lineRule="auto"/>
        <w:ind w:firstLine="720"/>
        <w:jc w:val="both"/>
      </w:pPr>
      <w:r>
        <w:t xml:space="preserve">The Commission should reject the </w:t>
      </w:r>
      <w:r w:rsidR="00027DC2">
        <w:t xml:space="preserve">overall </w:t>
      </w:r>
      <w:r>
        <w:t xml:space="preserve">proposal as it does not constitute good ratemaking and is not in the public interest.  </w:t>
      </w:r>
      <w:r w:rsidRPr="001379E0">
        <w:t xml:space="preserve">For purposes of this discussion, it is useful to separate the K-factor component of the rate plan from the rest of the decoupling proposal.  Even though these components are tied together in the Joint Parties’ proposal, decoupling does not require adoption of predetermined annual rate increases nor does a rate plan consisting of predetermined annual rate increases require decoupling.  Indeed, the proposed K-factor scheme and the proposed decoupling mechanism are conceptually distinct, independent features that should be evaluated on their own </w:t>
      </w:r>
      <w:r w:rsidR="00027DC2">
        <w:t xml:space="preserve">respective </w:t>
      </w:r>
      <w:r w:rsidRPr="001379E0">
        <w:t>merit.</w:t>
      </w:r>
    </w:p>
    <w:p w:rsidR="006D4136" w:rsidRDefault="00803C59" w:rsidP="009D4C3D">
      <w:pPr>
        <w:spacing w:after="0" w:line="480" w:lineRule="auto"/>
        <w:ind w:firstLine="720"/>
        <w:jc w:val="both"/>
      </w:pPr>
      <w:r w:rsidRPr="00803C59">
        <w:t>The K-factor proposal is an attempt to introduce an automatic, predetermined cost escalator into rates.  The proposed K-factor for gas service is 1.022 and would apply to all revenue requirements except gas supply costs and property taxes.  Essentially, the K-factor hardwires a 2.2 percent annual cost increase into the applicable cost components, which would then automatically flow into customer rates.  Extended over the potential term of the proposed rate plan (which could extend beyond the start of 2017), the revenue requirement for the affected gas cost components would increase 11.5 percent.</w:t>
      </w:r>
      <w:r w:rsidR="00B2460B">
        <w:rPr>
          <w:rStyle w:val="FootnoteReference"/>
        </w:rPr>
        <w:footnoteReference w:id="3"/>
      </w:r>
      <w:r w:rsidR="000A307D">
        <w:t xml:space="preserve"> </w:t>
      </w:r>
      <w:r w:rsidRPr="00803C59">
        <w:t xml:space="preserve"> The proposed K-factor rate increases are not known and measurable adjustments presented in the context of a rate proceeding.  Rather they are arbitrary and unsubstantiated rate increases that should be rejected by the Commission.  PSE justifies the proposed level of these factors by referencing a calculation prepared by Ms. Barnard that results in a gas K-factor of 1.038 measured over the period 2006-2011.</w:t>
      </w:r>
      <w:r w:rsidR="005E5EA5">
        <w:rPr>
          <w:rStyle w:val="FootnoteReference"/>
        </w:rPr>
        <w:footnoteReference w:id="4"/>
      </w:r>
      <w:r w:rsidRPr="00803C59">
        <w:t xml:space="preserve">   Ms. Barnard’s calculation was prepared using rate base and depreciation expense increases over that time period combined with a projection of O&amp;M inflation that includes a small productivity adjustment.  However, a trend line of past cost increases (blended with an inflation forecast) does not constitute a reasonable basis for locking in broadly</w:t>
      </w:r>
      <w:r>
        <w:t xml:space="preserve"> </w:t>
      </w:r>
      <w:r w:rsidRPr="00803C59">
        <w:t>applicable rate increases in the future, particularly over a multi-year period.</w:t>
      </w:r>
      <w:r w:rsidR="00B55B9A">
        <w:rPr>
          <w:rStyle w:val="FootnoteReference"/>
        </w:rPr>
        <w:footnoteReference w:id="5"/>
      </w:r>
      <w:r w:rsidRPr="00803C59">
        <w:t xml:space="preserve">  Moreover, Ms. Barnard’s K-factor results are very sensitive to the time period selected.  Selecting a time period that starts just one year later (2007-2011) reduces her calculation of the gas K-factor from 1.038 to 1.0299.</w:t>
      </w:r>
      <w:r w:rsidR="00546871">
        <w:rPr>
          <w:rStyle w:val="FootnoteReference"/>
        </w:rPr>
        <w:footnoteReference w:id="6"/>
      </w:r>
      <w:r w:rsidRPr="00803C59">
        <w:t xml:space="preserve">  More generally, the Commission should be concerned about regulatory pricing formulations such as the K-factor proposal that reinforce inflation.  This occurs when projections of inflation are built into formulas that are used to set administratively-determined prices, such as utility rates.  Such pricing mechanisms help to make inflation a self-fulfilling prophecy.  </w:t>
      </w:r>
      <w:r w:rsidR="005E5EA5">
        <w:t>The Commission</w:t>
      </w:r>
      <w:r w:rsidRPr="00803C59">
        <w:t xml:space="preserve"> should use extreme caution before approving prices that guarantee inflation before it occurs. </w:t>
      </w:r>
    </w:p>
    <w:p w:rsidR="00803C59" w:rsidRDefault="00803C59" w:rsidP="009D4C3D">
      <w:pPr>
        <w:spacing w:after="0" w:line="480" w:lineRule="auto"/>
        <w:ind w:firstLine="720"/>
        <w:jc w:val="both"/>
      </w:pPr>
      <w:r w:rsidRPr="00803C59">
        <w:t xml:space="preserve">A related, but distinct, concern involves the building of a K-factor “cost cushion” into </w:t>
      </w:r>
      <w:r w:rsidR="005E5EA5">
        <w:t>PSE’s</w:t>
      </w:r>
      <w:r w:rsidRPr="00803C59">
        <w:t xml:space="preserve"> base period costs.  The cost increases represented by escalation factors may or may not come to fruition.  In any case, PSE should be expected to strive to improve the efficiency of its operations on a continuous basis, and thereby lessen the net impact of inflation on its costs.  It is not reasonable to gross up the Company’s base period costs by an arbitrary escalation factor and pass these costs on to customers.  </w:t>
      </w:r>
      <w:r w:rsidR="006D4136">
        <w:t>There</w:t>
      </w:r>
      <w:r w:rsidRPr="00803C59">
        <w:t xml:space="preserve"> is nothing inherent in revenue decoupling that calls for this type of underlying cost escalation.  </w:t>
      </w:r>
      <w:r w:rsidR="00FE0607">
        <w:t>T</w:t>
      </w:r>
      <w:r w:rsidRPr="00803C59">
        <w:t>he K-factor portion of the Company’s filing can b</w:t>
      </w:r>
      <w:r w:rsidR="00FE0607">
        <w:t>e readily excised and discarded, regardless of whether the revenue decoupling mechanism is approved.</w:t>
      </w:r>
    </w:p>
    <w:p w:rsidR="00923690" w:rsidRDefault="00923690" w:rsidP="009D4C3D">
      <w:pPr>
        <w:spacing w:after="0" w:line="480" w:lineRule="auto"/>
        <w:ind w:left="990" w:hanging="270"/>
        <w:rPr>
          <w:b/>
        </w:rPr>
      </w:pPr>
      <w:r w:rsidRPr="00803C59">
        <w:rPr>
          <w:b/>
        </w:rPr>
        <w:t xml:space="preserve">B. </w:t>
      </w:r>
      <w:r w:rsidR="009D4C3D">
        <w:rPr>
          <w:b/>
        </w:rPr>
        <w:tab/>
      </w:r>
      <w:r w:rsidR="0051594A">
        <w:rPr>
          <w:b/>
        </w:rPr>
        <w:t>The Commission Should Reject the Proposed Decoupling Mechanism</w:t>
      </w:r>
      <w:r w:rsidR="001814D3">
        <w:rPr>
          <w:b/>
        </w:rPr>
        <w:fldChar w:fldCharType="begin"/>
      </w:r>
      <w:r w:rsidR="00E6166C">
        <w:instrText xml:space="preserve"> TC "</w:instrText>
      </w:r>
      <w:bookmarkStart w:id="3" w:name="_Toc357689638"/>
      <w:r w:rsidR="00E6166C" w:rsidRPr="003F5E14">
        <w:rPr>
          <w:b/>
        </w:rPr>
        <w:instrText>B. The Commission Should Reject the Proposed Decoupling Mechanism</w:instrText>
      </w:r>
      <w:bookmarkEnd w:id="3"/>
      <w:r w:rsidR="00E6166C">
        <w:instrText xml:space="preserve">" \f C \l "2" </w:instrText>
      </w:r>
      <w:r w:rsidR="001814D3">
        <w:rPr>
          <w:b/>
        </w:rPr>
        <w:fldChar w:fldCharType="end"/>
      </w:r>
    </w:p>
    <w:p w:rsidR="0009362D" w:rsidRDefault="00630046" w:rsidP="009D4C3D">
      <w:pPr>
        <w:spacing w:after="0" w:line="480" w:lineRule="auto"/>
        <w:ind w:firstLine="720"/>
        <w:jc w:val="both"/>
      </w:pPr>
      <w:r>
        <w:t xml:space="preserve">As discussed in the prefiled </w:t>
      </w:r>
      <w:r w:rsidR="000C6BE3">
        <w:t xml:space="preserve">response </w:t>
      </w:r>
      <w:r>
        <w:t xml:space="preserve">testimony of Kevin C. Higgins, submitted on behalf of Kroger, there are numerous reasons for rejecting the Joint Parties’ </w:t>
      </w:r>
      <w:r w:rsidR="002A5967">
        <w:t xml:space="preserve">decoupling </w:t>
      </w:r>
      <w:r>
        <w:t>proposal.</w:t>
      </w:r>
      <w:r>
        <w:rPr>
          <w:rStyle w:val="FootnoteReference"/>
        </w:rPr>
        <w:footnoteReference w:id="7"/>
      </w:r>
      <w:r>
        <w:t xml:space="preserve">  First, t</w:t>
      </w:r>
      <w:r w:rsidRPr="0071479D">
        <w:t>he proposal by the Joint Parties fails to reduce the cost of PSE’s equity that flows through to customers in exchange for the assumption</w:t>
      </w:r>
      <w:r>
        <w:t xml:space="preserve"> of greater ratepayer risk.   T</w:t>
      </w:r>
      <w:r w:rsidR="0071479D" w:rsidRPr="0071479D">
        <w:t xml:space="preserve">he proposal </w:t>
      </w:r>
      <w:r>
        <w:t xml:space="preserve">also </w:t>
      </w:r>
      <w:r w:rsidR="0071479D" w:rsidRPr="0071479D">
        <w:t>does not provide for full recognition of found margin to offset the lost margin that would be charged to customers, and thus, is deficient in fully providing this offset that is highly emphasized in the Commission’s report and policy statement i</w:t>
      </w:r>
      <w:r w:rsidR="005A74EC">
        <w:t>ssued in Docket No. U-100522.</w:t>
      </w:r>
      <w:r w:rsidR="00B55B9A">
        <w:rPr>
          <w:rStyle w:val="FootnoteReference"/>
        </w:rPr>
        <w:footnoteReference w:id="8"/>
      </w:r>
      <w:r w:rsidR="005A74EC">
        <w:t xml:space="preserve">  </w:t>
      </w:r>
      <w:r w:rsidR="0071479D" w:rsidRPr="0071479D">
        <w:t>Decoupling is sure to capture a much wider range of effects than just customer responses to utility-sponsored energy efficiency programs, even though the latter constitutes the underlying justification for its adoption.</w:t>
      </w:r>
      <w:r w:rsidR="00E12661">
        <w:t xml:space="preserve">  D</w:t>
      </w:r>
      <w:r w:rsidR="0071479D" w:rsidRPr="0071479D">
        <w:t xml:space="preserve">ecoupling </w:t>
      </w:r>
      <w:r>
        <w:t xml:space="preserve">also </w:t>
      </w:r>
      <w:r w:rsidR="0071479D" w:rsidRPr="0071479D">
        <w:t>provides unwarranted insulation to the utility from the effects of price elasticity, representing an undue transfer of risk</w:t>
      </w:r>
      <w:r w:rsidR="00E12661">
        <w:t xml:space="preserve"> from utilities to customers.  Moreover, t</w:t>
      </w:r>
      <w:r w:rsidR="0071479D" w:rsidRPr="0071479D">
        <w:t>o the extent that customers reduce usage in response to economic conditions or otherwise practice self-funded energy conservation, these behaviors will be captured in the decoupling adjustment and unduly</w:t>
      </w:r>
      <w:r w:rsidR="0009362D">
        <w:t xml:space="preserve"> increase rates to customers.</w:t>
      </w:r>
      <w:r w:rsidR="00E624B6">
        <w:t xml:space="preserve"> </w:t>
      </w:r>
      <w:r w:rsidR="0009362D">
        <w:t xml:space="preserve"> </w:t>
      </w:r>
      <w:r w:rsidR="0071479D" w:rsidRPr="0071479D">
        <w:t xml:space="preserve">Full revenue decoupling also suffers from the infirmities of single-issue ratemaking, which occurs when utility rates are adjusted in response to a change in a single cost or revenue item considered in isolation. </w:t>
      </w:r>
    </w:p>
    <w:p w:rsidR="0071479D" w:rsidRDefault="0071479D" w:rsidP="009D4C3D">
      <w:pPr>
        <w:spacing w:after="0" w:line="480" w:lineRule="auto"/>
        <w:ind w:firstLine="720"/>
        <w:jc w:val="both"/>
      </w:pPr>
      <w:r w:rsidRPr="0071479D">
        <w:t xml:space="preserve">In short, the Joint Parties’ </w:t>
      </w:r>
      <w:r w:rsidR="002A5967">
        <w:t xml:space="preserve">decoupling </w:t>
      </w:r>
      <w:r w:rsidRPr="0071479D">
        <w:t xml:space="preserve">proposal is a one-sided proposition that burdens customers with the negative characteristics of full revenue decoupling without providing the key benefits that the Commission stressed in its report and policy statement.  </w:t>
      </w:r>
    </w:p>
    <w:p w:rsidR="007F2258" w:rsidRDefault="0051594A" w:rsidP="007F2258">
      <w:pPr>
        <w:spacing w:after="0" w:line="240" w:lineRule="auto"/>
        <w:ind w:left="1440" w:hanging="720"/>
        <w:rPr>
          <w:b/>
        </w:rPr>
      </w:pPr>
      <w:r w:rsidRPr="0051594A">
        <w:rPr>
          <w:b/>
        </w:rPr>
        <w:t>C.</w:t>
      </w:r>
      <w:r w:rsidR="009D4C3D">
        <w:rPr>
          <w:b/>
        </w:rPr>
        <w:tab/>
      </w:r>
      <w:r w:rsidRPr="00803C59">
        <w:rPr>
          <w:b/>
        </w:rPr>
        <w:t>If the Commission Approves the Proposed Decoupling Mechanism</w:t>
      </w:r>
      <w:r>
        <w:rPr>
          <w:b/>
        </w:rPr>
        <w:t>, the Mechanism</w:t>
      </w:r>
      <w:r w:rsidRPr="00803C59">
        <w:rPr>
          <w:b/>
        </w:rPr>
        <w:t xml:space="preserve"> Should be Modified</w:t>
      </w:r>
    </w:p>
    <w:p w:rsidR="0051594A" w:rsidRDefault="001814D3" w:rsidP="007F2258">
      <w:pPr>
        <w:spacing w:after="0" w:line="240" w:lineRule="auto"/>
        <w:ind w:left="1440" w:hanging="720"/>
        <w:rPr>
          <w:b/>
        </w:rPr>
      </w:pPr>
      <w:r>
        <w:rPr>
          <w:b/>
        </w:rPr>
        <w:fldChar w:fldCharType="begin"/>
      </w:r>
      <w:r w:rsidR="00E6166C">
        <w:instrText xml:space="preserve"> TC "</w:instrText>
      </w:r>
      <w:bookmarkStart w:id="4" w:name="_Toc357689639"/>
      <w:r w:rsidR="00E6166C" w:rsidRPr="003F5E14">
        <w:rPr>
          <w:b/>
        </w:rPr>
        <w:instrText>C.</w:instrText>
      </w:r>
      <w:r w:rsidR="00E6166C" w:rsidRPr="003F5E14">
        <w:instrText xml:space="preserve"> </w:instrText>
      </w:r>
      <w:r w:rsidR="00E6166C" w:rsidRPr="003F5E14">
        <w:rPr>
          <w:b/>
        </w:rPr>
        <w:instrText>If the Commission Approves the Proposed Decoupling Mechanism, the Mechanism Should be Modified</w:instrText>
      </w:r>
      <w:bookmarkEnd w:id="4"/>
      <w:r w:rsidR="00E6166C">
        <w:instrText xml:space="preserve">" \f C \l "2" </w:instrText>
      </w:r>
      <w:r>
        <w:rPr>
          <w:b/>
        </w:rPr>
        <w:fldChar w:fldCharType="end"/>
      </w:r>
    </w:p>
    <w:p w:rsidR="0009362D" w:rsidRPr="0009362D" w:rsidRDefault="0009362D" w:rsidP="009D4C3D">
      <w:pPr>
        <w:spacing w:after="0" w:line="480" w:lineRule="auto"/>
        <w:jc w:val="both"/>
      </w:pPr>
      <w:r>
        <w:rPr>
          <w:b/>
        </w:rPr>
        <w:tab/>
      </w:r>
      <w:r w:rsidR="00F96335">
        <w:t>As discussed above, Nucor recommends that the Commission reject the proposed decoupling mechanism.  However, in the alternative, if the Commission decides to approve the proposed decoupling mechanism, Nucor recommends the following modifications.</w:t>
      </w:r>
    </w:p>
    <w:p w:rsidR="00923690" w:rsidRPr="005263A1" w:rsidRDefault="00923690" w:rsidP="005263A1">
      <w:pPr>
        <w:pStyle w:val="ListParagraph"/>
        <w:numPr>
          <w:ilvl w:val="0"/>
          <w:numId w:val="1"/>
        </w:numPr>
        <w:spacing w:after="0" w:line="480" w:lineRule="auto"/>
        <w:rPr>
          <w:b/>
        </w:rPr>
      </w:pPr>
      <w:r w:rsidRPr="005263A1">
        <w:rPr>
          <w:b/>
        </w:rPr>
        <w:t>The ROE Should be Reduced</w:t>
      </w:r>
      <w:r w:rsidR="001814D3">
        <w:rPr>
          <w:b/>
        </w:rPr>
        <w:fldChar w:fldCharType="begin"/>
      </w:r>
      <w:r w:rsidR="005263A1">
        <w:instrText xml:space="preserve"> TC "</w:instrText>
      </w:r>
      <w:bookmarkStart w:id="5" w:name="_Toc357689640"/>
      <w:r w:rsidR="005263A1" w:rsidRPr="00E65AAD">
        <w:rPr>
          <w:b/>
        </w:rPr>
        <w:instrText>1.  The ROE Should be Reduced</w:instrText>
      </w:r>
      <w:bookmarkEnd w:id="5"/>
      <w:r w:rsidR="005263A1">
        <w:instrText xml:space="preserve">" \f C \l "3" </w:instrText>
      </w:r>
      <w:r w:rsidR="001814D3">
        <w:rPr>
          <w:b/>
        </w:rPr>
        <w:fldChar w:fldCharType="end"/>
      </w:r>
    </w:p>
    <w:p w:rsidR="00546871" w:rsidRDefault="005F0F3B">
      <w:pPr>
        <w:spacing w:after="0" w:line="480" w:lineRule="auto"/>
        <w:ind w:firstLine="720"/>
        <w:jc w:val="both"/>
      </w:pPr>
      <w:r>
        <w:t>I</w:t>
      </w:r>
      <w:r w:rsidRPr="0071479D">
        <w:t>f full revenue decoupling is imposed on customers, then it is essential that the benefit of lower equity costs be recognized in customer rates.  Failure to adjust ROE would ignore one of the central tenets in the Commission’s report and policy statement.</w:t>
      </w:r>
      <w:r w:rsidR="00873C43">
        <w:rPr>
          <w:b/>
        </w:rPr>
        <w:tab/>
      </w:r>
      <w:r>
        <w:rPr>
          <w:b/>
        </w:rPr>
        <w:t xml:space="preserve"> </w:t>
      </w:r>
      <w:r w:rsidR="00873C43" w:rsidRPr="00873C43">
        <w:t xml:space="preserve">The </w:t>
      </w:r>
      <w:r w:rsidR="0009362D">
        <w:t xml:space="preserve">Joint Parties’ </w:t>
      </w:r>
      <w:r w:rsidR="00873C43" w:rsidRPr="00873C43">
        <w:t xml:space="preserve">proposal contains no </w:t>
      </w:r>
      <w:r>
        <w:t xml:space="preserve">such </w:t>
      </w:r>
      <w:r w:rsidR="00873C43" w:rsidRPr="00873C43">
        <w:t xml:space="preserve">adjustment </w:t>
      </w:r>
      <w:r w:rsidR="0081689C">
        <w:t>to</w:t>
      </w:r>
      <w:r w:rsidR="00873C43" w:rsidRPr="00873C43">
        <w:t xml:space="preserve"> the Company’s ROE.  Rather, the Joint Parties propose to allow PSE to continue to earn the 9.8% ROE ordered by the Commission in Docket Nos. UE-111048 and UG-111049, subject to an earnings test.  The earning test would allow PSE to earn up </w:t>
      </w:r>
      <w:r w:rsidR="006D4136">
        <w:t xml:space="preserve">to </w:t>
      </w:r>
      <w:r w:rsidR="00873C43" w:rsidRPr="00873C43">
        <w:t>25 basis points above its overall rate of return on rate base before rebating to customers 50 percent of the earnings in excess of this level.</w:t>
      </w:r>
      <w:r w:rsidR="008A0F71">
        <w:rPr>
          <w:rStyle w:val="FootnoteReference"/>
        </w:rPr>
        <w:footnoteReference w:id="9"/>
      </w:r>
    </w:p>
    <w:p w:rsidR="001F1F65" w:rsidRPr="00873C43" w:rsidRDefault="00873C43" w:rsidP="009D4C3D">
      <w:pPr>
        <w:spacing w:after="0" w:line="480" w:lineRule="auto"/>
        <w:jc w:val="both"/>
      </w:pPr>
      <w:r>
        <w:tab/>
      </w:r>
      <w:r w:rsidRPr="00873C43">
        <w:t xml:space="preserve">If full revenue decoupling is adopted, </w:t>
      </w:r>
      <w:r w:rsidR="0009362D">
        <w:t>the Commission should reduce</w:t>
      </w:r>
      <w:r w:rsidRPr="00873C43">
        <w:t xml:space="preserve"> PSE’s ROE by 25 basis points for the functions subject to the decoupling mechanism (i.e., electric and gas delivery).  This adjustment lies well within the range of ROE adjustments adopted by other commissions and is reasonable in light of the mitigation of earnings volatility that the mechanism would provide for PSE.</w:t>
      </w:r>
      <w:r w:rsidR="0009362D">
        <w:rPr>
          <w:rStyle w:val="FootnoteReference"/>
        </w:rPr>
        <w:footnoteReference w:id="10"/>
      </w:r>
      <w:r w:rsidRPr="00873C43">
        <w:t xml:space="preserve">  </w:t>
      </w:r>
      <w:r w:rsidR="00153400">
        <w:t>This</w:t>
      </w:r>
      <w:r w:rsidR="001F1F65" w:rsidRPr="001F1F65">
        <w:t xml:space="preserve"> adjustment should be applied as part of the ERF proceeding.  The adjustments result in a reduction in the ERF electric revenue requirement of approximately $5.1 million and in the ERF gas revenue requirement of approximately $3.1 million.</w:t>
      </w:r>
      <w:r w:rsidR="00CB0E80">
        <w:rPr>
          <w:rStyle w:val="FootnoteReference"/>
        </w:rPr>
        <w:footnoteReference w:id="11"/>
      </w:r>
    </w:p>
    <w:p w:rsidR="00923690" w:rsidRDefault="005263A1" w:rsidP="009D4C3D">
      <w:pPr>
        <w:spacing w:after="0" w:line="480" w:lineRule="auto"/>
        <w:ind w:left="720" w:firstLine="720"/>
        <w:rPr>
          <w:b/>
        </w:rPr>
      </w:pPr>
      <w:r>
        <w:rPr>
          <w:b/>
        </w:rPr>
        <w:t xml:space="preserve">2.  </w:t>
      </w:r>
      <w:r w:rsidR="00923690" w:rsidRPr="00803C59">
        <w:rPr>
          <w:b/>
        </w:rPr>
        <w:t>Found Margin Should be Incorporated by the Decoupling Mechanism</w:t>
      </w:r>
      <w:r w:rsidR="001814D3">
        <w:rPr>
          <w:b/>
        </w:rPr>
        <w:fldChar w:fldCharType="begin"/>
      </w:r>
      <w:r>
        <w:instrText xml:space="preserve"> TC "</w:instrText>
      </w:r>
      <w:bookmarkStart w:id="6" w:name="_Toc357689641"/>
      <w:r w:rsidRPr="00E65AAD">
        <w:rPr>
          <w:b/>
        </w:rPr>
        <w:instrText>2.  Found Margin Should be Incorporated by the Decoupling Mechanism</w:instrText>
      </w:r>
      <w:bookmarkEnd w:id="6"/>
      <w:r>
        <w:instrText xml:space="preserve">" \f C \l "3" </w:instrText>
      </w:r>
      <w:r w:rsidR="001814D3">
        <w:rPr>
          <w:b/>
        </w:rPr>
        <w:fldChar w:fldCharType="end"/>
      </w:r>
    </w:p>
    <w:p w:rsidR="001F1F65" w:rsidRPr="001F1F65" w:rsidRDefault="001F1F65" w:rsidP="009D4C3D">
      <w:pPr>
        <w:spacing w:after="0" w:line="480" w:lineRule="auto"/>
        <w:jc w:val="both"/>
      </w:pPr>
      <w:r>
        <w:rPr>
          <w:b/>
        </w:rPr>
        <w:tab/>
      </w:r>
      <w:r w:rsidR="00AC4FF3">
        <w:t xml:space="preserve">The proposal by the Joint Parties </w:t>
      </w:r>
      <w:r w:rsidR="00AF310F">
        <w:t xml:space="preserve">also </w:t>
      </w:r>
      <w:r w:rsidR="00AC4FF3">
        <w:t xml:space="preserve">does not provide for full recognition of </w:t>
      </w:r>
      <w:r w:rsidR="00AC4FF3" w:rsidRPr="009C1894">
        <w:rPr>
          <w:u w:val="single"/>
        </w:rPr>
        <w:t>found</w:t>
      </w:r>
      <w:r w:rsidR="00AC4FF3">
        <w:t xml:space="preserve"> margin to offset the </w:t>
      </w:r>
      <w:r w:rsidR="00AC4FF3" w:rsidRPr="009C1894">
        <w:rPr>
          <w:u w:val="single"/>
        </w:rPr>
        <w:t>lost</w:t>
      </w:r>
      <w:r w:rsidR="00AC4FF3">
        <w:t xml:space="preserve"> margin that would be charged to customers.  </w:t>
      </w:r>
      <w:r w:rsidRPr="001F1F65">
        <w:t xml:space="preserve">The concept of found </w:t>
      </w:r>
      <w:r w:rsidR="008E2B53">
        <w:t xml:space="preserve">margin </w:t>
      </w:r>
      <w:r w:rsidRPr="001F1F65">
        <w:t xml:space="preserve">is discussed at some length in the Commission’s report and policy statement.  The Commission’s statement emphasizes that a properly constructed full decoupling mechanism would balance out both lost and found margin from </w:t>
      </w:r>
      <w:r w:rsidRPr="00635F3E">
        <w:rPr>
          <w:i/>
        </w:rPr>
        <w:t>any</w:t>
      </w:r>
      <w:r w:rsidRPr="001F1F65">
        <w:t xml:space="preserve"> source.</w:t>
      </w:r>
      <w:r w:rsidR="00635F3E">
        <w:rPr>
          <w:rStyle w:val="FootnoteReference"/>
        </w:rPr>
        <w:footnoteReference w:id="12"/>
      </w:r>
      <w:r w:rsidRPr="001F1F65">
        <w:t xml:space="preserve"> The full revenue decoupling proposal advanced by the Joint Parties recognizes found margin only to the extent that it may affect allowed revenue per customer.  The proposal provides no recognition of found </w:t>
      </w:r>
      <w:r w:rsidR="008E2B53">
        <w:t>margin</w:t>
      </w:r>
      <w:r w:rsidRPr="001F1F65">
        <w:t xml:space="preserve"> that would be associated with growth in the number of customers.  Under the terms of the proposal, the full benefit of incremental fixed cost recovery associated with new customers accrues solely to PSE. </w:t>
      </w:r>
      <w:r w:rsidR="00BB3C47">
        <w:t xml:space="preserve"> </w:t>
      </w:r>
      <w:r w:rsidRPr="001F1F65">
        <w:t xml:space="preserve">If full revenue decoupling is approved by the Commission, the mechanism proposed by the Joint Parties should be modified to incorporate any found margin associated with growth in customer count as a credit against the </w:t>
      </w:r>
      <w:r w:rsidR="00546871">
        <w:t>decoupling</w:t>
      </w:r>
      <w:r w:rsidRPr="001F1F65">
        <w:t xml:space="preserve"> balancing account</w:t>
      </w:r>
      <w:r w:rsidR="0009763B">
        <w:t>.</w:t>
      </w:r>
    </w:p>
    <w:p w:rsidR="00923690" w:rsidRDefault="00923690" w:rsidP="009D4C3D">
      <w:pPr>
        <w:spacing w:after="0" w:line="480" w:lineRule="auto"/>
        <w:ind w:left="720" w:firstLine="720"/>
        <w:rPr>
          <w:b/>
        </w:rPr>
      </w:pPr>
      <w:r w:rsidRPr="00803C59">
        <w:rPr>
          <w:b/>
        </w:rPr>
        <w:t xml:space="preserve">3. </w:t>
      </w:r>
      <w:r w:rsidR="005263A1">
        <w:rPr>
          <w:b/>
        </w:rPr>
        <w:t xml:space="preserve"> </w:t>
      </w:r>
      <w:r w:rsidR="00043325">
        <w:rPr>
          <w:b/>
        </w:rPr>
        <w:t>The Revisions Negotiated By NWIGU Should Be Adopted</w:t>
      </w:r>
      <w:r w:rsidR="001814D3">
        <w:rPr>
          <w:b/>
        </w:rPr>
        <w:fldChar w:fldCharType="begin"/>
      </w:r>
      <w:r w:rsidR="005263A1">
        <w:instrText xml:space="preserve"> TC "</w:instrText>
      </w:r>
      <w:bookmarkStart w:id="7" w:name="_Toc357689642"/>
      <w:r w:rsidR="005263A1" w:rsidRPr="00E65AAD">
        <w:rPr>
          <w:b/>
        </w:rPr>
        <w:instrText>3.  Decoupling Should Not Apply to Gas Transportation Customers</w:instrText>
      </w:r>
      <w:bookmarkEnd w:id="7"/>
      <w:r w:rsidR="005263A1">
        <w:instrText xml:space="preserve">" \f C \l "3" </w:instrText>
      </w:r>
      <w:r w:rsidR="001814D3">
        <w:rPr>
          <w:b/>
        </w:rPr>
        <w:fldChar w:fldCharType="end"/>
      </w:r>
    </w:p>
    <w:p w:rsidR="00BB3C47" w:rsidRDefault="00BB3C47" w:rsidP="009D4C3D">
      <w:pPr>
        <w:spacing w:after="0" w:line="480" w:lineRule="auto"/>
        <w:ind w:firstLine="720"/>
        <w:jc w:val="both"/>
      </w:pPr>
      <w:r>
        <w:t>F</w:t>
      </w:r>
      <w:r w:rsidR="0009763B">
        <w:t>ull revenue decoupling should not apply to all gas rate schedules</w:t>
      </w:r>
      <w:r w:rsidR="0009763B" w:rsidRPr="0009763B">
        <w:t xml:space="preserve">.  </w:t>
      </w:r>
      <w:r w:rsidR="00043325">
        <w:t xml:space="preserve">In their initial </w:t>
      </w:r>
      <w:r w:rsidR="008E2B53">
        <w:t>s</w:t>
      </w:r>
      <w:r w:rsidR="00043325">
        <w:t>tipulation, t</w:t>
      </w:r>
      <w:r w:rsidR="0009763B" w:rsidRPr="0009763B">
        <w:t>he Joint Parties proposed to exclude gas lighting, gas water heater rentals, and spe</w:t>
      </w:r>
      <w:r>
        <w:t>cial contracts</w:t>
      </w:r>
      <w:r w:rsidR="00724568">
        <w:t>.</w:t>
      </w:r>
      <w:r>
        <w:t xml:space="preserve"> </w:t>
      </w:r>
      <w:r w:rsidR="00AF310F">
        <w:t xml:space="preserve">In their </w:t>
      </w:r>
      <w:r w:rsidR="008E2B53">
        <w:t>r</w:t>
      </w:r>
      <w:r w:rsidR="00043325">
        <w:t xml:space="preserve">evised </w:t>
      </w:r>
      <w:r w:rsidR="008E2B53">
        <w:t>s</w:t>
      </w:r>
      <w:r w:rsidR="00043325">
        <w:t>tipulation filed May 8, 2013 with t</w:t>
      </w:r>
      <w:r w:rsidR="00043325">
        <w:rPr>
          <w:rFonts w:cs="Times New Roman"/>
          <w:szCs w:val="24"/>
        </w:rPr>
        <w:t>he Northwest Industrial Gas Users (</w:t>
      </w:r>
      <w:r w:rsidR="00B44532">
        <w:rPr>
          <w:rFonts w:cs="Times New Roman"/>
          <w:szCs w:val="24"/>
        </w:rPr>
        <w:t>“</w:t>
      </w:r>
      <w:r w:rsidR="00043325">
        <w:rPr>
          <w:rFonts w:cs="Times New Roman"/>
          <w:szCs w:val="24"/>
        </w:rPr>
        <w:t>NWIGU</w:t>
      </w:r>
      <w:r w:rsidR="00B44532">
        <w:rPr>
          <w:rFonts w:cs="Times New Roman"/>
          <w:szCs w:val="24"/>
        </w:rPr>
        <w:t>”</w:t>
      </w:r>
      <w:r w:rsidR="00043325">
        <w:rPr>
          <w:rFonts w:cs="Times New Roman"/>
          <w:szCs w:val="24"/>
        </w:rPr>
        <w:t>),</w:t>
      </w:r>
      <w:r w:rsidR="000B1DAD">
        <w:rPr>
          <w:rFonts w:cs="Times New Roman"/>
          <w:szCs w:val="24"/>
        </w:rPr>
        <w:t xml:space="preserve"> </w:t>
      </w:r>
      <w:r w:rsidR="00C62CBF">
        <w:rPr>
          <w:rFonts w:cs="Times New Roman"/>
          <w:szCs w:val="24"/>
        </w:rPr>
        <w:t xml:space="preserve">Schedules 85, 85T, 87 and 87T of PSE’s natural gas tariff are removed from the decoupling mechanism and instead are treated consistently with </w:t>
      </w:r>
      <w:r w:rsidR="00B44532">
        <w:rPr>
          <w:rFonts w:cs="Times New Roman"/>
          <w:szCs w:val="24"/>
        </w:rPr>
        <w:t>“</w:t>
      </w:r>
      <w:r w:rsidR="00C62CBF">
        <w:rPr>
          <w:rFonts w:cs="Times New Roman"/>
          <w:szCs w:val="24"/>
        </w:rPr>
        <w:t>rate plan customers.</w:t>
      </w:r>
      <w:r w:rsidR="00B44532">
        <w:rPr>
          <w:rFonts w:cs="Times New Roman"/>
          <w:szCs w:val="24"/>
        </w:rPr>
        <w:t>”</w:t>
      </w:r>
      <w:r w:rsidR="00C62CBF">
        <w:rPr>
          <w:rFonts w:cs="Times New Roman"/>
          <w:szCs w:val="24"/>
        </w:rPr>
        <w:t xml:space="preserve">   The removal of these Schedules from the decoupling mechanism is appropriate.  </w:t>
      </w:r>
      <w:r w:rsidR="0009763B" w:rsidRPr="0009763B">
        <w:t xml:space="preserve">  First, maintaining a “fixed-cost recovery per customer” target – </w:t>
      </w:r>
      <w:r w:rsidR="00C62CBF">
        <w:t xml:space="preserve">as occurs with the decoupling </w:t>
      </w:r>
      <w:r w:rsidR="0009763B" w:rsidRPr="0009763B">
        <w:t xml:space="preserve">proposal – is not an appropriate rate design objective for </w:t>
      </w:r>
      <w:r w:rsidR="00C62CBF">
        <w:t xml:space="preserve">these Schedules, which </w:t>
      </w:r>
      <w:r w:rsidR="0009763B" w:rsidRPr="0009763B">
        <w:t>have heterogeneous populations and show a wide range of usage levels</w:t>
      </w:r>
      <w:r w:rsidR="00FB175C">
        <w:t>.</w:t>
      </w:r>
      <w:r w:rsidR="0009763B" w:rsidRPr="0009763B">
        <w:t xml:space="preserve">  Changes in the overall economy are far more likely to influence fixed-cost recovery per customer for </w:t>
      </w:r>
      <w:r w:rsidR="00FB175C">
        <w:t>these</w:t>
      </w:r>
      <w:r w:rsidR="0009763B" w:rsidRPr="0009763B">
        <w:t xml:space="preserve"> customers than energy conservation programs.  Application of decoupling to these customers would result in undue changes in rates in response to factors that are unrelated to energy conservation. </w:t>
      </w:r>
    </w:p>
    <w:p w:rsidR="000C49D3" w:rsidRDefault="00FB175C" w:rsidP="009D4C3D">
      <w:pPr>
        <w:spacing w:after="0" w:line="480" w:lineRule="auto"/>
        <w:ind w:firstLine="720"/>
        <w:jc w:val="both"/>
      </w:pPr>
      <w:r w:rsidRPr="0009763B">
        <w:t xml:space="preserve">Second, </w:t>
      </w:r>
      <w:r>
        <w:t xml:space="preserve">the group excluded by the </w:t>
      </w:r>
      <w:r w:rsidR="00507102">
        <w:t>r</w:t>
      </w:r>
      <w:r>
        <w:t xml:space="preserve">evised </w:t>
      </w:r>
      <w:r w:rsidR="00507102">
        <w:t>s</w:t>
      </w:r>
      <w:r>
        <w:t xml:space="preserve">tipulation includes large </w:t>
      </w:r>
      <w:r w:rsidRPr="0009763B">
        <w:t>gas transportation customers</w:t>
      </w:r>
      <w:r>
        <w:t>.  These customers</w:t>
      </w:r>
      <w:r w:rsidRPr="0009763B">
        <w:t xml:space="preserve"> </w:t>
      </w:r>
      <w:r w:rsidR="0009763B" w:rsidRPr="0009763B">
        <w:t xml:space="preserve">do not take their gas supply service from PSE.  In this sense, they are comparable to PSE’s electric retail wheeling customers, who are properly excluded from the Joint Parties’ revenue decoupling proposal.  </w:t>
      </w:r>
    </w:p>
    <w:p w:rsidR="0009763B" w:rsidRPr="0009763B" w:rsidRDefault="00507102" w:rsidP="009D4C3D">
      <w:pPr>
        <w:spacing w:after="0" w:line="480" w:lineRule="auto"/>
        <w:ind w:firstLine="720"/>
        <w:jc w:val="both"/>
      </w:pPr>
      <w:r>
        <w:t>Moreover</w:t>
      </w:r>
      <w:r w:rsidRPr="0009763B">
        <w:t xml:space="preserve">, gas transportation customers are not even eligible to participate in PSE’s energy efficiency programs.   Subjecting these customers to revenue decoupling under the guise of “removing PSE’s disincentive to support energy efficiency” </w:t>
      </w:r>
      <w:r>
        <w:t>would have been</w:t>
      </w:r>
      <w:r w:rsidRPr="0009763B">
        <w:t xml:space="preserve"> patently absurd.</w:t>
      </w:r>
      <w:r>
        <w:t xml:space="preserve">  In short, the revision to the </w:t>
      </w:r>
      <w:r w:rsidR="008E2B53">
        <w:t>s</w:t>
      </w:r>
      <w:r>
        <w:t>tipulation negotiated by NWIGU mitigates part of the harm to customers contained</w:t>
      </w:r>
      <w:r w:rsidR="008E2B53">
        <w:t xml:space="preserve"> in the initial version of the s</w:t>
      </w:r>
      <w:r>
        <w:t>tipulation.</w:t>
      </w:r>
    </w:p>
    <w:p w:rsidR="00C23E28" w:rsidRPr="00803C59" w:rsidRDefault="00C23E28" w:rsidP="009D4C3D">
      <w:pPr>
        <w:spacing w:after="0" w:line="480" w:lineRule="auto"/>
        <w:ind w:left="720" w:firstLine="720"/>
        <w:rPr>
          <w:b/>
        </w:rPr>
      </w:pPr>
      <w:r w:rsidRPr="00803C59">
        <w:rPr>
          <w:b/>
        </w:rPr>
        <w:t xml:space="preserve">4. </w:t>
      </w:r>
      <w:r w:rsidR="005263A1">
        <w:rPr>
          <w:b/>
        </w:rPr>
        <w:t xml:space="preserve"> </w:t>
      </w:r>
      <w:r w:rsidRPr="00803C59">
        <w:rPr>
          <w:b/>
        </w:rPr>
        <w:t>The Gas Decoupling Mechanism Should be Modified</w:t>
      </w:r>
      <w:r w:rsidR="001814D3">
        <w:rPr>
          <w:b/>
        </w:rPr>
        <w:fldChar w:fldCharType="begin"/>
      </w:r>
      <w:r w:rsidR="005263A1">
        <w:instrText xml:space="preserve"> TC "</w:instrText>
      </w:r>
      <w:bookmarkStart w:id="8" w:name="_Toc357689643"/>
      <w:r w:rsidR="005263A1" w:rsidRPr="00E65AAD">
        <w:rPr>
          <w:b/>
        </w:rPr>
        <w:instrText>4.  The Gas Decoupling Mechanism Should be Modified</w:instrText>
      </w:r>
      <w:bookmarkEnd w:id="8"/>
      <w:r w:rsidR="005263A1">
        <w:instrText xml:space="preserve">" \f C \l "3" </w:instrText>
      </w:r>
      <w:r w:rsidR="001814D3">
        <w:rPr>
          <w:b/>
        </w:rPr>
        <w:fldChar w:fldCharType="end"/>
      </w:r>
    </w:p>
    <w:p w:rsidR="00923690" w:rsidRDefault="000C49D3" w:rsidP="009D4C3D">
      <w:pPr>
        <w:spacing w:after="0" w:line="480" w:lineRule="auto"/>
        <w:ind w:firstLine="720"/>
        <w:jc w:val="both"/>
      </w:pPr>
      <w:r>
        <w:t>In addition to the substantive concerns expressed above, there are significant technical problems with the proposed implementation of the revenue decoupling mechanism</w:t>
      </w:r>
      <w:r w:rsidR="005553EA" w:rsidRPr="005553EA">
        <w:t xml:space="preserve">.  </w:t>
      </w:r>
      <w:r w:rsidR="00510683" w:rsidRPr="005553EA">
        <w:t>If a revenue decoupling mechanism is approved, it should be modified such that 100% of the contract firm revenues are excluded from the revenue decoupling adjustment (i.e., are treated as unvarying with variations in Dth per customer).</w:t>
      </w:r>
      <w:r w:rsidR="00510683">
        <w:t xml:space="preserve">  </w:t>
      </w:r>
      <w:r w:rsidR="005553EA" w:rsidRPr="005553EA">
        <w:t xml:space="preserve">PSE’s non-residential gas rate schedules provide an option for contract firm demand, for which customers pay a demand charge.  </w:t>
      </w:r>
      <w:r w:rsidR="00FC7401">
        <w:t>Customers</w:t>
      </w:r>
      <w:r w:rsidR="005553EA" w:rsidRPr="005553EA">
        <w:t xml:space="preserve"> subscribing to this option must contract on an annual basis.  Rather than treat contract firm demand revenues as fixed revenues, PSE includes these revenues in determining the “volumetric delivery revenue,” and will impute a reduction in these revenues whenever average throughput per customer declines – irrespective of the fact that customers have contracted for a fixed amount of firm service.  This treatment </w:t>
      </w:r>
      <w:r w:rsidR="00EC20A6">
        <w:t>would</w:t>
      </w:r>
      <w:r w:rsidR="005553EA" w:rsidRPr="005553EA">
        <w:t xml:space="preserve"> overstate the imputed revenue impact of a change in average throughput per customer. </w:t>
      </w:r>
    </w:p>
    <w:p w:rsidR="002268A4" w:rsidRDefault="002268A4" w:rsidP="009D4C3D">
      <w:pPr>
        <w:spacing w:after="0" w:line="480" w:lineRule="auto"/>
        <w:ind w:firstLine="720"/>
        <w:jc w:val="both"/>
      </w:pPr>
    </w:p>
    <w:p w:rsidR="00923690" w:rsidRPr="008D7684" w:rsidRDefault="00FE680E" w:rsidP="009D4C3D">
      <w:pPr>
        <w:spacing w:after="0" w:line="480" w:lineRule="auto"/>
        <w:rPr>
          <w:b/>
        </w:rPr>
      </w:pPr>
      <w:r w:rsidRPr="008D7684">
        <w:rPr>
          <w:b/>
        </w:rPr>
        <w:t xml:space="preserve">III. </w:t>
      </w:r>
      <w:r w:rsidR="009D4C3D">
        <w:rPr>
          <w:b/>
        </w:rPr>
        <w:tab/>
      </w:r>
      <w:r w:rsidR="009D4C3D" w:rsidRPr="008D7684">
        <w:rPr>
          <w:b/>
        </w:rPr>
        <w:t>CONCLUSION</w:t>
      </w:r>
      <w:r w:rsidR="001814D3">
        <w:rPr>
          <w:b/>
        </w:rPr>
        <w:fldChar w:fldCharType="begin"/>
      </w:r>
      <w:r w:rsidR="00E6166C">
        <w:instrText xml:space="preserve"> TC "</w:instrText>
      </w:r>
      <w:bookmarkStart w:id="9" w:name="_Toc357689644"/>
      <w:r w:rsidR="00E6166C" w:rsidRPr="003F5E14">
        <w:rPr>
          <w:b/>
        </w:rPr>
        <w:instrText>III. Conclusion</w:instrText>
      </w:r>
      <w:bookmarkEnd w:id="9"/>
      <w:r w:rsidR="00E6166C">
        <w:instrText xml:space="preserve">" \f C \l "1" </w:instrText>
      </w:r>
      <w:r w:rsidR="001814D3">
        <w:rPr>
          <w:b/>
        </w:rPr>
        <w:fldChar w:fldCharType="end"/>
      </w:r>
    </w:p>
    <w:p w:rsidR="008D7684" w:rsidRDefault="008D7684" w:rsidP="009D4C3D">
      <w:pPr>
        <w:spacing w:after="0" w:line="480" w:lineRule="auto"/>
        <w:jc w:val="both"/>
      </w:pPr>
      <w:r>
        <w:tab/>
        <w:t xml:space="preserve">For the reasons set forth above, Nucor respectfully requests that the Commission </w:t>
      </w:r>
      <w:r w:rsidR="006D4136">
        <w:t>reject the proposed decoupling mechanism.  In the alternative, Nucor requests that the Commission order the modifications discussed above</w:t>
      </w:r>
      <w:r>
        <w:t>.</w:t>
      </w:r>
    </w:p>
    <w:p w:rsidR="004219A7" w:rsidRDefault="004219A7" w:rsidP="009D4C3D">
      <w:pPr>
        <w:spacing w:after="0" w:line="480" w:lineRule="auto"/>
        <w:jc w:val="both"/>
      </w:pPr>
    </w:p>
    <w:p w:rsidR="006B02E7" w:rsidRDefault="006B02E7" w:rsidP="004219A7">
      <w:pPr>
        <w:spacing w:after="0" w:line="240" w:lineRule="auto"/>
        <w:ind w:left="5040"/>
        <w:jc w:val="both"/>
      </w:pPr>
      <w:r>
        <w:t>Respectfully submitted,</w:t>
      </w:r>
    </w:p>
    <w:p w:rsidR="000E5BB9" w:rsidRDefault="000E5BB9" w:rsidP="004219A7">
      <w:pPr>
        <w:spacing w:after="0" w:line="240" w:lineRule="auto"/>
        <w:ind w:left="5040"/>
        <w:jc w:val="both"/>
      </w:pPr>
    </w:p>
    <w:p w:rsidR="006B02E7" w:rsidRDefault="004219A7" w:rsidP="004219A7">
      <w:pPr>
        <w:spacing w:after="0" w:line="240" w:lineRule="auto"/>
        <w:ind w:left="5040"/>
        <w:jc w:val="both"/>
      </w:pPr>
      <w:r>
        <w:t>_____________________</w:t>
      </w:r>
    </w:p>
    <w:p w:rsidR="004219A7" w:rsidRDefault="004219A7" w:rsidP="004219A7">
      <w:pPr>
        <w:spacing w:after="0" w:line="240" w:lineRule="auto"/>
        <w:ind w:left="5040"/>
        <w:jc w:val="both"/>
      </w:pPr>
      <w:r>
        <w:t>Damon E. Xenopoulos, Esq.</w:t>
      </w:r>
    </w:p>
    <w:p w:rsidR="004219A7" w:rsidRDefault="004219A7" w:rsidP="004219A7">
      <w:pPr>
        <w:spacing w:after="0" w:line="240" w:lineRule="auto"/>
        <w:ind w:left="5040"/>
        <w:jc w:val="both"/>
      </w:pPr>
      <w:r>
        <w:t>Shaun C. Mohler, Esq.</w:t>
      </w:r>
    </w:p>
    <w:p w:rsidR="004219A7" w:rsidRDefault="004219A7" w:rsidP="004219A7">
      <w:pPr>
        <w:spacing w:after="0" w:line="240" w:lineRule="auto"/>
        <w:ind w:left="5040"/>
        <w:jc w:val="both"/>
      </w:pPr>
      <w:r>
        <w:t>Brickfield, Burchette, Ritts &amp; Stone, P.C.</w:t>
      </w:r>
    </w:p>
    <w:p w:rsidR="004219A7" w:rsidRDefault="004219A7" w:rsidP="004219A7">
      <w:pPr>
        <w:spacing w:after="0" w:line="240" w:lineRule="auto"/>
        <w:ind w:left="5040"/>
        <w:jc w:val="both"/>
      </w:pPr>
      <w:r>
        <w:t>1025 Thomas Jefferson Street, N.W.</w:t>
      </w:r>
    </w:p>
    <w:p w:rsidR="004219A7" w:rsidRDefault="004219A7" w:rsidP="004219A7">
      <w:pPr>
        <w:spacing w:after="0" w:line="240" w:lineRule="auto"/>
        <w:ind w:left="5040"/>
        <w:jc w:val="both"/>
      </w:pPr>
      <w:r>
        <w:t>8th Floor, West Tower</w:t>
      </w:r>
    </w:p>
    <w:p w:rsidR="004219A7" w:rsidRDefault="004219A7" w:rsidP="004219A7">
      <w:pPr>
        <w:spacing w:after="0" w:line="240" w:lineRule="auto"/>
        <w:ind w:left="5040"/>
        <w:jc w:val="both"/>
      </w:pPr>
      <w:r>
        <w:t>Washington, D.C. 20007</w:t>
      </w:r>
    </w:p>
    <w:p w:rsidR="004219A7" w:rsidRDefault="004219A7" w:rsidP="004219A7">
      <w:pPr>
        <w:spacing w:after="0" w:line="240" w:lineRule="auto"/>
        <w:ind w:left="5040"/>
        <w:jc w:val="both"/>
      </w:pPr>
      <w:r>
        <w:t>Phone: (202) 342-0800</w:t>
      </w:r>
    </w:p>
    <w:p w:rsidR="004219A7" w:rsidRDefault="004219A7" w:rsidP="004219A7">
      <w:pPr>
        <w:spacing w:after="0" w:line="240" w:lineRule="auto"/>
        <w:ind w:left="5040"/>
        <w:jc w:val="both"/>
      </w:pPr>
      <w:r>
        <w:t>Facsimile: (202) 342-0807</w:t>
      </w:r>
    </w:p>
    <w:p w:rsidR="004219A7" w:rsidRDefault="001814D3" w:rsidP="004219A7">
      <w:pPr>
        <w:spacing w:after="0" w:line="240" w:lineRule="auto"/>
        <w:ind w:left="5040"/>
        <w:jc w:val="both"/>
      </w:pPr>
      <w:hyperlink r:id="rId8" w:history="1">
        <w:r w:rsidR="004219A7" w:rsidRPr="00C05EAE">
          <w:rPr>
            <w:rStyle w:val="Hyperlink"/>
          </w:rPr>
          <w:t>dex@bbrslaw.com</w:t>
        </w:r>
      </w:hyperlink>
    </w:p>
    <w:p w:rsidR="004219A7" w:rsidRDefault="001814D3" w:rsidP="004219A7">
      <w:pPr>
        <w:spacing w:after="0" w:line="240" w:lineRule="auto"/>
        <w:ind w:left="5040"/>
        <w:jc w:val="both"/>
      </w:pPr>
      <w:hyperlink r:id="rId9" w:history="1">
        <w:r w:rsidR="004219A7" w:rsidRPr="00C05EAE">
          <w:rPr>
            <w:rStyle w:val="Hyperlink"/>
          </w:rPr>
          <w:t>scm@bbrslaw.com</w:t>
        </w:r>
      </w:hyperlink>
    </w:p>
    <w:p w:rsidR="004219A7" w:rsidRDefault="004219A7" w:rsidP="004219A7">
      <w:pPr>
        <w:spacing w:after="0" w:line="240" w:lineRule="auto"/>
        <w:ind w:left="5040"/>
        <w:jc w:val="both"/>
      </w:pPr>
    </w:p>
    <w:p w:rsidR="004219A7" w:rsidRDefault="004219A7" w:rsidP="004219A7">
      <w:pPr>
        <w:spacing w:after="0" w:line="240" w:lineRule="auto"/>
        <w:ind w:left="5040"/>
        <w:jc w:val="both"/>
      </w:pPr>
    </w:p>
    <w:p w:rsidR="004219A7" w:rsidRDefault="004219A7" w:rsidP="004219A7">
      <w:pPr>
        <w:spacing w:after="0" w:line="240" w:lineRule="auto"/>
      </w:pPr>
      <w:r>
        <w:t>May 30, 2013</w:t>
      </w:r>
    </w:p>
    <w:p w:rsidR="006B02E7" w:rsidRPr="00FE680E" w:rsidRDefault="006B02E7" w:rsidP="004219A7">
      <w:pPr>
        <w:spacing w:after="0" w:line="240" w:lineRule="auto"/>
        <w:ind w:left="5040"/>
        <w:jc w:val="both"/>
      </w:pPr>
    </w:p>
    <w:sectPr w:rsidR="006B02E7" w:rsidRPr="00FE680E" w:rsidSect="00D05B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32" w:rsidRDefault="00B44532" w:rsidP="005E5EA5">
      <w:pPr>
        <w:spacing w:after="0" w:line="240" w:lineRule="auto"/>
      </w:pPr>
      <w:r>
        <w:separator/>
      </w:r>
    </w:p>
  </w:endnote>
  <w:endnote w:type="continuationSeparator" w:id="0">
    <w:p w:rsidR="00B44532" w:rsidRDefault="00B44532" w:rsidP="005E5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478491"/>
      <w:docPartObj>
        <w:docPartGallery w:val="Page Numbers (Bottom of Page)"/>
        <w:docPartUnique/>
      </w:docPartObj>
    </w:sdtPr>
    <w:sdtContent>
      <w:p w:rsidR="00B44532" w:rsidRDefault="001814D3">
        <w:pPr>
          <w:pStyle w:val="Footer"/>
          <w:jc w:val="center"/>
        </w:pPr>
        <w:r>
          <w:fldChar w:fldCharType="begin"/>
        </w:r>
        <w:r>
          <w:instrText xml:space="preserve"> PAGE   \* MERGEFORMAT </w:instrText>
        </w:r>
        <w:r>
          <w:fldChar w:fldCharType="separate"/>
        </w:r>
        <w:r w:rsidR="00D01D99">
          <w:rPr>
            <w:noProof/>
          </w:rPr>
          <w:t>2</w:t>
        </w:r>
        <w:r>
          <w:fldChar w:fldCharType="end"/>
        </w:r>
      </w:p>
    </w:sdtContent>
  </w:sdt>
  <w:p w:rsidR="00B44532" w:rsidRDefault="00B445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32" w:rsidRDefault="00B44532" w:rsidP="005E5EA5">
      <w:pPr>
        <w:spacing w:after="0" w:line="240" w:lineRule="auto"/>
      </w:pPr>
      <w:r>
        <w:separator/>
      </w:r>
    </w:p>
  </w:footnote>
  <w:footnote w:type="continuationSeparator" w:id="0">
    <w:p w:rsidR="00B44532" w:rsidRDefault="00B44532" w:rsidP="005E5EA5">
      <w:pPr>
        <w:spacing w:after="0" w:line="240" w:lineRule="auto"/>
      </w:pPr>
      <w:r>
        <w:continuationSeparator/>
      </w:r>
    </w:p>
  </w:footnote>
  <w:footnote w:id="1">
    <w:p w:rsidR="00B44532" w:rsidRDefault="00B44532" w:rsidP="00DA4577">
      <w:pPr>
        <w:pStyle w:val="FootnoteText"/>
        <w:spacing w:after="120"/>
        <w:jc w:val="both"/>
      </w:pPr>
      <w:r>
        <w:rPr>
          <w:rStyle w:val="FootnoteReference"/>
        </w:rPr>
        <w:footnoteRef/>
      </w:r>
      <w:r>
        <w:t xml:space="preserve"> Prefiled Supplemental Direct Testimony of Jon A. Piliaris, on behalf of Puget Sound Energy, Dockets UE-121697 &amp; </w:t>
      </w:r>
      <w:r w:rsidRPr="004C0F6D">
        <w:t>UG-121705</w:t>
      </w:r>
      <w:r>
        <w:t xml:space="preserve"> (March 1, 2013) at 4.</w:t>
      </w:r>
    </w:p>
  </w:footnote>
  <w:footnote w:id="2">
    <w:p w:rsidR="00B44532" w:rsidRDefault="00B44532" w:rsidP="00DA4577">
      <w:pPr>
        <w:pStyle w:val="FootnoteText"/>
        <w:spacing w:after="120"/>
        <w:jc w:val="both"/>
      </w:pPr>
      <w:r>
        <w:rPr>
          <w:rStyle w:val="FootnoteReference"/>
        </w:rPr>
        <w:footnoteRef/>
      </w:r>
      <w:r>
        <w:t xml:space="preserve"> The proposed exceptions are gas lighting; gas water heater rental; gas schedules 85, 85T, 87 and 87T; electric lighting; and electric retail wheeling.  The rates for these classes, however, would be subject to the proposed K-factor increases.  Gas customers served under special contracts are also excluded from the decoupling proposal. </w:t>
      </w:r>
    </w:p>
  </w:footnote>
  <w:footnote w:id="3">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 at 8.</w:t>
      </w:r>
    </w:p>
  </w:footnote>
  <w:footnote w:id="4">
    <w:p w:rsidR="00B44532" w:rsidRDefault="00B44532" w:rsidP="00DA4577">
      <w:pPr>
        <w:pStyle w:val="FootnoteText"/>
        <w:spacing w:after="120"/>
        <w:jc w:val="both"/>
      </w:pPr>
      <w:r>
        <w:rPr>
          <w:rStyle w:val="FootnoteReference"/>
        </w:rPr>
        <w:footnoteRef/>
      </w:r>
      <w:r>
        <w:t xml:space="preserve"> Prefiled Direct Testimony of Katherine J. Barnard, on behalf of Puget Sound Energy, Dockets UE-121697 &amp; UG-121705 (consolidated) (March 1, 2013) at 7.</w:t>
      </w:r>
    </w:p>
  </w:footnote>
  <w:footnote w:id="5">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 at 8-9.</w:t>
      </w:r>
    </w:p>
  </w:footnote>
  <w:footnote w:id="6">
    <w:p w:rsidR="00B44532" w:rsidRDefault="00B44532" w:rsidP="00DA4577">
      <w:pPr>
        <w:pStyle w:val="FootnoteText"/>
        <w:spacing w:after="120"/>
        <w:jc w:val="both"/>
      </w:pPr>
      <w:r>
        <w:rPr>
          <w:rStyle w:val="FootnoteReference"/>
        </w:rPr>
        <w:footnoteRef/>
      </w:r>
      <w:r>
        <w:t xml:space="preserve"> Prefiled Response Testimony of Kevin C. Higgins, on behalf of Nucor Steel Seattle,</w:t>
      </w:r>
      <w:r w:rsidRPr="004838B7">
        <w:t xml:space="preserve"> </w:t>
      </w:r>
      <w:r>
        <w:t>Dockets UE-130137, et al. (April 26, 2013) at 8-9.</w:t>
      </w:r>
    </w:p>
  </w:footnote>
  <w:footnote w:id="7">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w:t>
      </w:r>
    </w:p>
  </w:footnote>
  <w:footnote w:id="8">
    <w:p w:rsidR="00B44532" w:rsidRPr="00B55B9A" w:rsidRDefault="00B44532" w:rsidP="00DA4577">
      <w:pPr>
        <w:pStyle w:val="FootnoteText"/>
        <w:spacing w:after="120"/>
        <w:jc w:val="both"/>
      </w:pPr>
      <w:r>
        <w:rPr>
          <w:rStyle w:val="FootnoteReference"/>
        </w:rPr>
        <w:footnoteRef/>
      </w:r>
      <w:r>
        <w:t xml:space="preserve"> </w:t>
      </w:r>
      <w:r>
        <w:rPr>
          <w:i/>
        </w:rPr>
        <w:t>Id</w:t>
      </w:r>
      <w:r>
        <w:t>. at 10.</w:t>
      </w:r>
    </w:p>
  </w:footnote>
  <w:footnote w:id="9">
    <w:p w:rsidR="00B44532" w:rsidRDefault="00B44532" w:rsidP="00DA4577">
      <w:pPr>
        <w:pStyle w:val="FootnoteText"/>
        <w:spacing w:after="120"/>
        <w:jc w:val="both"/>
      </w:pPr>
      <w:r>
        <w:rPr>
          <w:rStyle w:val="FootnoteReference"/>
        </w:rPr>
        <w:footnoteRef/>
      </w:r>
      <w:r>
        <w:t xml:space="preserve"> Prefiled Supplemental Direct Testimony of Jon A. Piliaris, on behalf of Puget Sound Energy, Dockets UE-121697 &amp; </w:t>
      </w:r>
      <w:r w:rsidRPr="004C0F6D">
        <w:t>UG-121705</w:t>
      </w:r>
      <w:r>
        <w:t xml:space="preserve"> (March 1, 2013) at 19.</w:t>
      </w:r>
    </w:p>
  </w:footnote>
  <w:footnote w:id="10">
    <w:p w:rsidR="00B44532" w:rsidRPr="000C6BE3" w:rsidRDefault="00B44532" w:rsidP="00DA4577">
      <w:pPr>
        <w:pStyle w:val="FootnoteText"/>
        <w:spacing w:after="120"/>
        <w:jc w:val="both"/>
      </w:pPr>
      <w:r>
        <w:rPr>
          <w:rStyle w:val="FootnoteReference"/>
        </w:rPr>
        <w:footnoteRef/>
      </w:r>
      <w:r>
        <w:t xml:space="preserve"> </w:t>
      </w:r>
      <w:r>
        <w:rPr>
          <w:i/>
        </w:rPr>
        <w:t>Id</w:t>
      </w:r>
      <w:r>
        <w:t xml:space="preserve">. at 20. </w:t>
      </w:r>
    </w:p>
  </w:footnote>
  <w:footnote w:id="11">
    <w:p w:rsidR="00B44532" w:rsidRDefault="00B44532" w:rsidP="00DA4577">
      <w:pPr>
        <w:pStyle w:val="FootnoteText"/>
        <w:spacing w:after="120"/>
        <w:jc w:val="both"/>
      </w:pPr>
      <w:r>
        <w:rPr>
          <w:rStyle w:val="FootnoteReference"/>
        </w:rPr>
        <w:footnoteRef/>
      </w:r>
      <w:r>
        <w:t xml:space="preserve"> Prefiled Response Testimony of Kevin C. Higgins, on behalf of The Kroger Co., Dockets UE-130137, et al. (April 26, 2013) at 12.</w:t>
      </w:r>
    </w:p>
  </w:footnote>
  <w:footnote w:id="12">
    <w:p w:rsidR="00B44532" w:rsidRDefault="00B44532" w:rsidP="00DA4577">
      <w:pPr>
        <w:pStyle w:val="FootnoteText"/>
        <w:spacing w:after="120"/>
        <w:jc w:val="both"/>
      </w:pPr>
      <w:r>
        <w:rPr>
          <w:rStyle w:val="FootnoteReference"/>
        </w:rPr>
        <w:footnoteRef/>
      </w:r>
      <w:r>
        <w:t xml:space="preserve"> </w:t>
      </w:r>
      <w:r w:rsidRPr="002938C8">
        <w:rPr>
          <w:i/>
        </w:rPr>
        <w:t>In re</w:t>
      </w:r>
      <w:r>
        <w:t xml:space="preserve"> </w:t>
      </w:r>
      <w:r w:rsidRPr="002938C8">
        <w:t>Washington Utilities and Transportation Commission’s Investigation into Energy Conservation Incentives</w:t>
      </w:r>
      <w:r>
        <w:t>, Docket No. U-100522,</w:t>
      </w:r>
      <w:r w:rsidRPr="00C45A0E">
        <w:rPr>
          <w:rFonts w:cs="Times New Roman"/>
        </w:rPr>
        <w:t xml:space="preserve"> </w:t>
      </w:r>
      <w:r w:rsidRPr="002938C8">
        <w:rPr>
          <w:rFonts w:cs="Times New Roman"/>
        </w:rPr>
        <w:t>Report and Policy Statement on Regulatory Mechanisms, Including Decoupling, to Encourage Utilities to Meet or Exceed Their Conservation Targets</w:t>
      </w:r>
      <w:r>
        <w:rPr>
          <w:rFonts w:cs="Times New Roman"/>
        </w:rPr>
        <w:t xml:space="preserve"> at ¶</w:t>
      </w:r>
      <w:r>
        <w:t xml:space="preserve"> 27 (November 4, 2010).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99" w:rsidRDefault="00D01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75C1"/>
    <w:multiLevelType w:val="hybridMultilevel"/>
    <w:tmpl w:val="3202EBA6"/>
    <w:lvl w:ilvl="0" w:tplc="2D465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649D0"/>
    <w:rsid w:val="000007A8"/>
    <w:rsid w:val="00001701"/>
    <w:rsid w:val="00002A58"/>
    <w:rsid w:val="00005C2F"/>
    <w:rsid w:val="000108B5"/>
    <w:rsid w:val="000109CD"/>
    <w:rsid w:val="000114A5"/>
    <w:rsid w:val="00020479"/>
    <w:rsid w:val="00026CDB"/>
    <w:rsid w:val="00027DC2"/>
    <w:rsid w:val="0003087C"/>
    <w:rsid w:val="000308CF"/>
    <w:rsid w:val="00036BA7"/>
    <w:rsid w:val="00043325"/>
    <w:rsid w:val="0004367E"/>
    <w:rsid w:val="00055F2D"/>
    <w:rsid w:val="00062C54"/>
    <w:rsid w:val="00063DA1"/>
    <w:rsid w:val="00066C00"/>
    <w:rsid w:val="0007043C"/>
    <w:rsid w:val="0007391D"/>
    <w:rsid w:val="0007541F"/>
    <w:rsid w:val="000812D0"/>
    <w:rsid w:val="000815AC"/>
    <w:rsid w:val="000905DA"/>
    <w:rsid w:val="00091BB4"/>
    <w:rsid w:val="0009362D"/>
    <w:rsid w:val="00093B25"/>
    <w:rsid w:val="00094D9F"/>
    <w:rsid w:val="00096C21"/>
    <w:rsid w:val="0009763B"/>
    <w:rsid w:val="000A307D"/>
    <w:rsid w:val="000B1DAD"/>
    <w:rsid w:val="000B5A98"/>
    <w:rsid w:val="000C49D3"/>
    <w:rsid w:val="000C6BE3"/>
    <w:rsid w:val="000D1366"/>
    <w:rsid w:val="000D684F"/>
    <w:rsid w:val="000E3DF9"/>
    <w:rsid w:val="000E5BB9"/>
    <w:rsid w:val="000F73A7"/>
    <w:rsid w:val="001113CD"/>
    <w:rsid w:val="001128BA"/>
    <w:rsid w:val="001157B4"/>
    <w:rsid w:val="00115CBE"/>
    <w:rsid w:val="001212BA"/>
    <w:rsid w:val="00124FF7"/>
    <w:rsid w:val="00127D56"/>
    <w:rsid w:val="001379E0"/>
    <w:rsid w:val="00141F3A"/>
    <w:rsid w:val="00152861"/>
    <w:rsid w:val="00153400"/>
    <w:rsid w:val="00155ABF"/>
    <w:rsid w:val="001613A6"/>
    <w:rsid w:val="001615EC"/>
    <w:rsid w:val="00167408"/>
    <w:rsid w:val="0016750D"/>
    <w:rsid w:val="00167BC6"/>
    <w:rsid w:val="00170834"/>
    <w:rsid w:val="00170A8C"/>
    <w:rsid w:val="001814D3"/>
    <w:rsid w:val="00187982"/>
    <w:rsid w:val="00192D2F"/>
    <w:rsid w:val="001A3621"/>
    <w:rsid w:val="001A39EA"/>
    <w:rsid w:val="001B10E4"/>
    <w:rsid w:val="001B34FE"/>
    <w:rsid w:val="001B575D"/>
    <w:rsid w:val="001C01DE"/>
    <w:rsid w:val="001C5FF0"/>
    <w:rsid w:val="001D0594"/>
    <w:rsid w:val="001D1391"/>
    <w:rsid w:val="001D23FC"/>
    <w:rsid w:val="001D2692"/>
    <w:rsid w:val="001D6AC7"/>
    <w:rsid w:val="001E516F"/>
    <w:rsid w:val="001F1F65"/>
    <w:rsid w:val="001F6A08"/>
    <w:rsid w:val="001F7D1A"/>
    <w:rsid w:val="002037F5"/>
    <w:rsid w:val="0020600B"/>
    <w:rsid w:val="00214B82"/>
    <w:rsid w:val="00223EE7"/>
    <w:rsid w:val="00225575"/>
    <w:rsid w:val="002268A4"/>
    <w:rsid w:val="00236843"/>
    <w:rsid w:val="002421B8"/>
    <w:rsid w:val="0024702C"/>
    <w:rsid w:val="0025252A"/>
    <w:rsid w:val="002568BB"/>
    <w:rsid w:val="0027159D"/>
    <w:rsid w:val="00274F40"/>
    <w:rsid w:val="00276788"/>
    <w:rsid w:val="002852B6"/>
    <w:rsid w:val="00290AF7"/>
    <w:rsid w:val="00291BC5"/>
    <w:rsid w:val="0029208A"/>
    <w:rsid w:val="00292A2E"/>
    <w:rsid w:val="002938C8"/>
    <w:rsid w:val="00293FAC"/>
    <w:rsid w:val="002A0649"/>
    <w:rsid w:val="002A1044"/>
    <w:rsid w:val="002A1DD4"/>
    <w:rsid w:val="002A5967"/>
    <w:rsid w:val="002B01FC"/>
    <w:rsid w:val="002B6A42"/>
    <w:rsid w:val="002B73DA"/>
    <w:rsid w:val="002C622A"/>
    <w:rsid w:val="002D07AA"/>
    <w:rsid w:val="002D2687"/>
    <w:rsid w:val="002D487A"/>
    <w:rsid w:val="002D79FC"/>
    <w:rsid w:val="002E1B86"/>
    <w:rsid w:val="002E32A6"/>
    <w:rsid w:val="002F26E9"/>
    <w:rsid w:val="003111FC"/>
    <w:rsid w:val="00316A21"/>
    <w:rsid w:val="00323B44"/>
    <w:rsid w:val="0032429C"/>
    <w:rsid w:val="003263C3"/>
    <w:rsid w:val="00335B87"/>
    <w:rsid w:val="00337767"/>
    <w:rsid w:val="003439DA"/>
    <w:rsid w:val="00344C2D"/>
    <w:rsid w:val="00346770"/>
    <w:rsid w:val="003511A8"/>
    <w:rsid w:val="0035669E"/>
    <w:rsid w:val="0036089D"/>
    <w:rsid w:val="00375BAD"/>
    <w:rsid w:val="00381E4F"/>
    <w:rsid w:val="00385501"/>
    <w:rsid w:val="00386986"/>
    <w:rsid w:val="00387311"/>
    <w:rsid w:val="00390207"/>
    <w:rsid w:val="00395A93"/>
    <w:rsid w:val="003A2195"/>
    <w:rsid w:val="003A2979"/>
    <w:rsid w:val="003A3FD8"/>
    <w:rsid w:val="003A63C6"/>
    <w:rsid w:val="003A722B"/>
    <w:rsid w:val="003B16B8"/>
    <w:rsid w:val="003B17F2"/>
    <w:rsid w:val="003B4BF2"/>
    <w:rsid w:val="003B5037"/>
    <w:rsid w:val="003B50E6"/>
    <w:rsid w:val="003C4278"/>
    <w:rsid w:val="003D0EF0"/>
    <w:rsid w:val="003D2D5E"/>
    <w:rsid w:val="003D4F63"/>
    <w:rsid w:val="003D4FB6"/>
    <w:rsid w:val="003E02FD"/>
    <w:rsid w:val="003E0787"/>
    <w:rsid w:val="003E0DF0"/>
    <w:rsid w:val="003E30FF"/>
    <w:rsid w:val="003E4736"/>
    <w:rsid w:val="003E74FD"/>
    <w:rsid w:val="003F32C7"/>
    <w:rsid w:val="00403973"/>
    <w:rsid w:val="00406897"/>
    <w:rsid w:val="00406EC2"/>
    <w:rsid w:val="00410EF2"/>
    <w:rsid w:val="004117C6"/>
    <w:rsid w:val="0042132D"/>
    <w:rsid w:val="004219A7"/>
    <w:rsid w:val="004274C1"/>
    <w:rsid w:val="00430D6B"/>
    <w:rsid w:val="00435610"/>
    <w:rsid w:val="00435F4F"/>
    <w:rsid w:val="004454DE"/>
    <w:rsid w:val="004526A3"/>
    <w:rsid w:val="00456638"/>
    <w:rsid w:val="00457E9B"/>
    <w:rsid w:val="004609FD"/>
    <w:rsid w:val="00465121"/>
    <w:rsid w:val="00466405"/>
    <w:rsid w:val="00466E3A"/>
    <w:rsid w:val="00473EE1"/>
    <w:rsid w:val="00490B7D"/>
    <w:rsid w:val="00493658"/>
    <w:rsid w:val="004A453C"/>
    <w:rsid w:val="004A49D0"/>
    <w:rsid w:val="004A65F5"/>
    <w:rsid w:val="004B485E"/>
    <w:rsid w:val="004B49C7"/>
    <w:rsid w:val="004C0F6D"/>
    <w:rsid w:val="004C3145"/>
    <w:rsid w:val="004C3945"/>
    <w:rsid w:val="004C729D"/>
    <w:rsid w:val="004D1D10"/>
    <w:rsid w:val="004D3D51"/>
    <w:rsid w:val="004F00A3"/>
    <w:rsid w:val="004F750A"/>
    <w:rsid w:val="00500C14"/>
    <w:rsid w:val="005048F8"/>
    <w:rsid w:val="005057CA"/>
    <w:rsid w:val="00507102"/>
    <w:rsid w:val="0050733E"/>
    <w:rsid w:val="00510683"/>
    <w:rsid w:val="0051139B"/>
    <w:rsid w:val="0051262E"/>
    <w:rsid w:val="0051594A"/>
    <w:rsid w:val="00515D8D"/>
    <w:rsid w:val="005239F3"/>
    <w:rsid w:val="005263A1"/>
    <w:rsid w:val="00527422"/>
    <w:rsid w:val="00532D21"/>
    <w:rsid w:val="00533B3F"/>
    <w:rsid w:val="00535683"/>
    <w:rsid w:val="00541B21"/>
    <w:rsid w:val="00546871"/>
    <w:rsid w:val="00546FE0"/>
    <w:rsid w:val="00547FA4"/>
    <w:rsid w:val="005539A9"/>
    <w:rsid w:val="00553A66"/>
    <w:rsid w:val="005553EA"/>
    <w:rsid w:val="00563638"/>
    <w:rsid w:val="00564110"/>
    <w:rsid w:val="005642E8"/>
    <w:rsid w:val="00564645"/>
    <w:rsid w:val="0056670A"/>
    <w:rsid w:val="005744FA"/>
    <w:rsid w:val="005829F5"/>
    <w:rsid w:val="00585268"/>
    <w:rsid w:val="00586500"/>
    <w:rsid w:val="005940B4"/>
    <w:rsid w:val="005945F6"/>
    <w:rsid w:val="005966E3"/>
    <w:rsid w:val="005A2456"/>
    <w:rsid w:val="005A5376"/>
    <w:rsid w:val="005A64BD"/>
    <w:rsid w:val="005A74EC"/>
    <w:rsid w:val="005B23E0"/>
    <w:rsid w:val="005B6E0E"/>
    <w:rsid w:val="005C00F8"/>
    <w:rsid w:val="005C015D"/>
    <w:rsid w:val="005C1487"/>
    <w:rsid w:val="005C1B48"/>
    <w:rsid w:val="005C64E6"/>
    <w:rsid w:val="005C6D92"/>
    <w:rsid w:val="005D6156"/>
    <w:rsid w:val="005D72EE"/>
    <w:rsid w:val="005E2B58"/>
    <w:rsid w:val="005E57A5"/>
    <w:rsid w:val="005E5EA5"/>
    <w:rsid w:val="005F0F3B"/>
    <w:rsid w:val="005F11B8"/>
    <w:rsid w:val="005F2F69"/>
    <w:rsid w:val="005F7163"/>
    <w:rsid w:val="005F7D15"/>
    <w:rsid w:val="006051A1"/>
    <w:rsid w:val="00606E53"/>
    <w:rsid w:val="006079C2"/>
    <w:rsid w:val="00610365"/>
    <w:rsid w:val="006164CA"/>
    <w:rsid w:val="00620AC0"/>
    <w:rsid w:val="00625AF0"/>
    <w:rsid w:val="00626C49"/>
    <w:rsid w:val="00630046"/>
    <w:rsid w:val="006319AE"/>
    <w:rsid w:val="006340FC"/>
    <w:rsid w:val="00635F3E"/>
    <w:rsid w:val="00636513"/>
    <w:rsid w:val="006403D5"/>
    <w:rsid w:val="00643C8E"/>
    <w:rsid w:val="0064415E"/>
    <w:rsid w:val="00645932"/>
    <w:rsid w:val="00646FE9"/>
    <w:rsid w:val="006470B2"/>
    <w:rsid w:val="006504EB"/>
    <w:rsid w:val="006530E0"/>
    <w:rsid w:val="006649D0"/>
    <w:rsid w:val="00667962"/>
    <w:rsid w:val="00670043"/>
    <w:rsid w:val="006702E9"/>
    <w:rsid w:val="006716D5"/>
    <w:rsid w:val="00677C76"/>
    <w:rsid w:val="00682A36"/>
    <w:rsid w:val="00687739"/>
    <w:rsid w:val="00690ADC"/>
    <w:rsid w:val="00694030"/>
    <w:rsid w:val="00694F99"/>
    <w:rsid w:val="0069597C"/>
    <w:rsid w:val="006A3892"/>
    <w:rsid w:val="006B02E7"/>
    <w:rsid w:val="006C08A8"/>
    <w:rsid w:val="006D4136"/>
    <w:rsid w:val="006D7CDB"/>
    <w:rsid w:val="006E4276"/>
    <w:rsid w:val="006E43F4"/>
    <w:rsid w:val="006F51E2"/>
    <w:rsid w:val="006F6D89"/>
    <w:rsid w:val="00700F5C"/>
    <w:rsid w:val="00702B93"/>
    <w:rsid w:val="007049B5"/>
    <w:rsid w:val="00705DB0"/>
    <w:rsid w:val="00707807"/>
    <w:rsid w:val="0071479D"/>
    <w:rsid w:val="00716A92"/>
    <w:rsid w:val="00720696"/>
    <w:rsid w:val="00722664"/>
    <w:rsid w:val="007238F1"/>
    <w:rsid w:val="00724568"/>
    <w:rsid w:val="007264CC"/>
    <w:rsid w:val="0073578A"/>
    <w:rsid w:val="00735999"/>
    <w:rsid w:val="00735A69"/>
    <w:rsid w:val="007369E6"/>
    <w:rsid w:val="00745EEA"/>
    <w:rsid w:val="007473AA"/>
    <w:rsid w:val="00750907"/>
    <w:rsid w:val="00751C1F"/>
    <w:rsid w:val="00763A4F"/>
    <w:rsid w:val="007768EE"/>
    <w:rsid w:val="00776FD2"/>
    <w:rsid w:val="007828C3"/>
    <w:rsid w:val="0078555B"/>
    <w:rsid w:val="00790A52"/>
    <w:rsid w:val="007A1C5A"/>
    <w:rsid w:val="007C79AB"/>
    <w:rsid w:val="007D1028"/>
    <w:rsid w:val="007D27ED"/>
    <w:rsid w:val="007D34BD"/>
    <w:rsid w:val="007D6E57"/>
    <w:rsid w:val="007E5558"/>
    <w:rsid w:val="007E593A"/>
    <w:rsid w:val="007F0EA0"/>
    <w:rsid w:val="007F2258"/>
    <w:rsid w:val="008005B7"/>
    <w:rsid w:val="00803C59"/>
    <w:rsid w:val="00805223"/>
    <w:rsid w:val="0080767A"/>
    <w:rsid w:val="00814DB8"/>
    <w:rsid w:val="0081689C"/>
    <w:rsid w:val="008177D0"/>
    <w:rsid w:val="00821629"/>
    <w:rsid w:val="00822243"/>
    <w:rsid w:val="00840005"/>
    <w:rsid w:val="008502AA"/>
    <w:rsid w:val="008505BA"/>
    <w:rsid w:val="0085135C"/>
    <w:rsid w:val="00857D14"/>
    <w:rsid w:val="0086463F"/>
    <w:rsid w:val="00866AC3"/>
    <w:rsid w:val="008672FF"/>
    <w:rsid w:val="00867C14"/>
    <w:rsid w:val="00870039"/>
    <w:rsid w:val="00873C43"/>
    <w:rsid w:val="0087761E"/>
    <w:rsid w:val="008801B1"/>
    <w:rsid w:val="008807C1"/>
    <w:rsid w:val="008819AF"/>
    <w:rsid w:val="008956B6"/>
    <w:rsid w:val="008959DE"/>
    <w:rsid w:val="008967C7"/>
    <w:rsid w:val="008A0F71"/>
    <w:rsid w:val="008A3CE4"/>
    <w:rsid w:val="008A7C84"/>
    <w:rsid w:val="008B5DE9"/>
    <w:rsid w:val="008B61F0"/>
    <w:rsid w:val="008C2C4A"/>
    <w:rsid w:val="008C6B9F"/>
    <w:rsid w:val="008C785C"/>
    <w:rsid w:val="008D10BA"/>
    <w:rsid w:val="008D58FA"/>
    <w:rsid w:val="008D7684"/>
    <w:rsid w:val="008E2B53"/>
    <w:rsid w:val="008E5062"/>
    <w:rsid w:val="008E5E08"/>
    <w:rsid w:val="008E7141"/>
    <w:rsid w:val="008F0DBC"/>
    <w:rsid w:val="008F5025"/>
    <w:rsid w:val="009019D0"/>
    <w:rsid w:val="009028AB"/>
    <w:rsid w:val="00904FBE"/>
    <w:rsid w:val="00905588"/>
    <w:rsid w:val="00910611"/>
    <w:rsid w:val="009210C0"/>
    <w:rsid w:val="00923690"/>
    <w:rsid w:val="00924545"/>
    <w:rsid w:val="00930DAE"/>
    <w:rsid w:val="009310EB"/>
    <w:rsid w:val="009315FB"/>
    <w:rsid w:val="009455AF"/>
    <w:rsid w:val="00945E2A"/>
    <w:rsid w:val="0094610E"/>
    <w:rsid w:val="00947402"/>
    <w:rsid w:val="00952FE7"/>
    <w:rsid w:val="00967C64"/>
    <w:rsid w:val="009750FA"/>
    <w:rsid w:val="009762FB"/>
    <w:rsid w:val="00982884"/>
    <w:rsid w:val="00987105"/>
    <w:rsid w:val="009935F8"/>
    <w:rsid w:val="00997CE1"/>
    <w:rsid w:val="009A5A14"/>
    <w:rsid w:val="009B1026"/>
    <w:rsid w:val="009B3A0B"/>
    <w:rsid w:val="009C1894"/>
    <w:rsid w:val="009C438B"/>
    <w:rsid w:val="009D21E6"/>
    <w:rsid w:val="009D4C3D"/>
    <w:rsid w:val="009E02FF"/>
    <w:rsid w:val="009E08E2"/>
    <w:rsid w:val="009E1C24"/>
    <w:rsid w:val="009F09BC"/>
    <w:rsid w:val="009F2342"/>
    <w:rsid w:val="009F323E"/>
    <w:rsid w:val="009F3658"/>
    <w:rsid w:val="009F3EA3"/>
    <w:rsid w:val="009F7C19"/>
    <w:rsid w:val="00A011D1"/>
    <w:rsid w:val="00A06713"/>
    <w:rsid w:val="00A15621"/>
    <w:rsid w:val="00A20617"/>
    <w:rsid w:val="00A212C7"/>
    <w:rsid w:val="00A25C26"/>
    <w:rsid w:val="00A25EDB"/>
    <w:rsid w:val="00A27104"/>
    <w:rsid w:val="00A275AE"/>
    <w:rsid w:val="00A32172"/>
    <w:rsid w:val="00A330E2"/>
    <w:rsid w:val="00A353BA"/>
    <w:rsid w:val="00A37B15"/>
    <w:rsid w:val="00A44BB4"/>
    <w:rsid w:val="00A44F85"/>
    <w:rsid w:val="00A53B50"/>
    <w:rsid w:val="00A5507F"/>
    <w:rsid w:val="00A71A44"/>
    <w:rsid w:val="00A73336"/>
    <w:rsid w:val="00A752F8"/>
    <w:rsid w:val="00A76ECE"/>
    <w:rsid w:val="00A77611"/>
    <w:rsid w:val="00A815C0"/>
    <w:rsid w:val="00A82952"/>
    <w:rsid w:val="00A82A0D"/>
    <w:rsid w:val="00AA346C"/>
    <w:rsid w:val="00AA620B"/>
    <w:rsid w:val="00AB19A9"/>
    <w:rsid w:val="00AB5CAF"/>
    <w:rsid w:val="00AB66D8"/>
    <w:rsid w:val="00AC0B54"/>
    <w:rsid w:val="00AC1426"/>
    <w:rsid w:val="00AC4FF3"/>
    <w:rsid w:val="00AD538C"/>
    <w:rsid w:val="00AD74EA"/>
    <w:rsid w:val="00AF0B57"/>
    <w:rsid w:val="00AF310F"/>
    <w:rsid w:val="00AF4899"/>
    <w:rsid w:val="00AF5205"/>
    <w:rsid w:val="00AF5614"/>
    <w:rsid w:val="00AF6C27"/>
    <w:rsid w:val="00B15C02"/>
    <w:rsid w:val="00B1725D"/>
    <w:rsid w:val="00B17C29"/>
    <w:rsid w:val="00B2460B"/>
    <w:rsid w:val="00B268D8"/>
    <w:rsid w:val="00B4051C"/>
    <w:rsid w:val="00B44532"/>
    <w:rsid w:val="00B44B95"/>
    <w:rsid w:val="00B53BC7"/>
    <w:rsid w:val="00B54AFB"/>
    <w:rsid w:val="00B55B9A"/>
    <w:rsid w:val="00B63651"/>
    <w:rsid w:val="00B6798E"/>
    <w:rsid w:val="00B76973"/>
    <w:rsid w:val="00BB07F1"/>
    <w:rsid w:val="00BB2CF7"/>
    <w:rsid w:val="00BB2D49"/>
    <w:rsid w:val="00BB372C"/>
    <w:rsid w:val="00BB3C47"/>
    <w:rsid w:val="00BB47E9"/>
    <w:rsid w:val="00BC2006"/>
    <w:rsid w:val="00BC50EA"/>
    <w:rsid w:val="00BD4D1A"/>
    <w:rsid w:val="00BF4E61"/>
    <w:rsid w:val="00BF767A"/>
    <w:rsid w:val="00C053F0"/>
    <w:rsid w:val="00C10AF6"/>
    <w:rsid w:val="00C20FA3"/>
    <w:rsid w:val="00C23E28"/>
    <w:rsid w:val="00C31B3D"/>
    <w:rsid w:val="00C331B6"/>
    <w:rsid w:val="00C360C7"/>
    <w:rsid w:val="00C41340"/>
    <w:rsid w:val="00C4544B"/>
    <w:rsid w:val="00C45A0E"/>
    <w:rsid w:val="00C45BA7"/>
    <w:rsid w:val="00C53D87"/>
    <w:rsid w:val="00C62CBF"/>
    <w:rsid w:val="00C65B20"/>
    <w:rsid w:val="00C729B1"/>
    <w:rsid w:val="00C87413"/>
    <w:rsid w:val="00C87EC1"/>
    <w:rsid w:val="00C95439"/>
    <w:rsid w:val="00C95A03"/>
    <w:rsid w:val="00C960BA"/>
    <w:rsid w:val="00C96EA8"/>
    <w:rsid w:val="00CA11DC"/>
    <w:rsid w:val="00CA1B32"/>
    <w:rsid w:val="00CA795E"/>
    <w:rsid w:val="00CB0E80"/>
    <w:rsid w:val="00CB764B"/>
    <w:rsid w:val="00CC348C"/>
    <w:rsid w:val="00CD40EC"/>
    <w:rsid w:val="00CD44E0"/>
    <w:rsid w:val="00CE1474"/>
    <w:rsid w:val="00CE14A9"/>
    <w:rsid w:val="00CE23D8"/>
    <w:rsid w:val="00CE3031"/>
    <w:rsid w:val="00CE6752"/>
    <w:rsid w:val="00D01D99"/>
    <w:rsid w:val="00D04B20"/>
    <w:rsid w:val="00D05B8A"/>
    <w:rsid w:val="00D06DBF"/>
    <w:rsid w:val="00D11D01"/>
    <w:rsid w:val="00D12243"/>
    <w:rsid w:val="00D15E0D"/>
    <w:rsid w:val="00D16C19"/>
    <w:rsid w:val="00D210DD"/>
    <w:rsid w:val="00D24981"/>
    <w:rsid w:val="00D25275"/>
    <w:rsid w:val="00D27BE7"/>
    <w:rsid w:val="00D3659E"/>
    <w:rsid w:val="00D3773C"/>
    <w:rsid w:val="00D4269E"/>
    <w:rsid w:val="00D4355A"/>
    <w:rsid w:val="00D44389"/>
    <w:rsid w:val="00D708B8"/>
    <w:rsid w:val="00D71FFA"/>
    <w:rsid w:val="00D732D4"/>
    <w:rsid w:val="00D756C4"/>
    <w:rsid w:val="00D823C5"/>
    <w:rsid w:val="00D8265D"/>
    <w:rsid w:val="00D83D73"/>
    <w:rsid w:val="00D85B3F"/>
    <w:rsid w:val="00D91D7A"/>
    <w:rsid w:val="00D9447D"/>
    <w:rsid w:val="00D97690"/>
    <w:rsid w:val="00DA1DF3"/>
    <w:rsid w:val="00DA20E0"/>
    <w:rsid w:val="00DA2917"/>
    <w:rsid w:val="00DA4577"/>
    <w:rsid w:val="00DA73F7"/>
    <w:rsid w:val="00DB1034"/>
    <w:rsid w:val="00DB670A"/>
    <w:rsid w:val="00DB74F5"/>
    <w:rsid w:val="00DB782E"/>
    <w:rsid w:val="00DC43F6"/>
    <w:rsid w:val="00DC4EC6"/>
    <w:rsid w:val="00DC52B4"/>
    <w:rsid w:val="00DD2F43"/>
    <w:rsid w:val="00DD4056"/>
    <w:rsid w:val="00DD6A4B"/>
    <w:rsid w:val="00DD6B18"/>
    <w:rsid w:val="00DF40DE"/>
    <w:rsid w:val="00E02E6F"/>
    <w:rsid w:val="00E12661"/>
    <w:rsid w:val="00E1370F"/>
    <w:rsid w:val="00E13BA7"/>
    <w:rsid w:val="00E163A8"/>
    <w:rsid w:val="00E16859"/>
    <w:rsid w:val="00E25089"/>
    <w:rsid w:val="00E25D87"/>
    <w:rsid w:val="00E26EC6"/>
    <w:rsid w:val="00E3128D"/>
    <w:rsid w:val="00E334B7"/>
    <w:rsid w:val="00E34411"/>
    <w:rsid w:val="00E47503"/>
    <w:rsid w:val="00E51ACF"/>
    <w:rsid w:val="00E55294"/>
    <w:rsid w:val="00E56EEE"/>
    <w:rsid w:val="00E6166C"/>
    <w:rsid w:val="00E624B6"/>
    <w:rsid w:val="00E650A7"/>
    <w:rsid w:val="00E65A3B"/>
    <w:rsid w:val="00E74192"/>
    <w:rsid w:val="00E76585"/>
    <w:rsid w:val="00E814DE"/>
    <w:rsid w:val="00E829CB"/>
    <w:rsid w:val="00E832CD"/>
    <w:rsid w:val="00E8741A"/>
    <w:rsid w:val="00E94686"/>
    <w:rsid w:val="00EA3879"/>
    <w:rsid w:val="00EA6100"/>
    <w:rsid w:val="00EB245D"/>
    <w:rsid w:val="00EB35E8"/>
    <w:rsid w:val="00EC20A6"/>
    <w:rsid w:val="00EC444F"/>
    <w:rsid w:val="00EC6295"/>
    <w:rsid w:val="00ED14BE"/>
    <w:rsid w:val="00ED2015"/>
    <w:rsid w:val="00ED36E9"/>
    <w:rsid w:val="00ED58B0"/>
    <w:rsid w:val="00ED69F9"/>
    <w:rsid w:val="00ED6CBE"/>
    <w:rsid w:val="00EE3173"/>
    <w:rsid w:val="00EE7290"/>
    <w:rsid w:val="00EE7FEB"/>
    <w:rsid w:val="00EF556C"/>
    <w:rsid w:val="00F062CD"/>
    <w:rsid w:val="00F0641F"/>
    <w:rsid w:val="00F11A7B"/>
    <w:rsid w:val="00F12EE8"/>
    <w:rsid w:val="00F1458C"/>
    <w:rsid w:val="00F2260E"/>
    <w:rsid w:val="00F25B8E"/>
    <w:rsid w:val="00F32BDF"/>
    <w:rsid w:val="00F4567C"/>
    <w:rsid w:val="00F51DF9"/>
    <w:rsid w:val="00F570A9"/>
    <w:rsid w:val="00F606BA"/>
    <w:rsid w:val="00F61B8A"/>
    <w:rsid w:val="00F630EA"/>
    <w:rsid w:val="00F63DF1"/>
    <w:rsid w:val="00F648A2"/>
    <w:rsid w:val="00F71BF8"/>
    <w:rsid w:val="00F72286"/>
    <w:rsid w:val="00F7773B"/>
    <w:rsid w:val="00F77C75"/>
    <w:rsid w:val="00F80D84"/>
    <w:rsid w:val="00F86A3A"/>
    <w:rsid w:val="00F907AB"/>
    <w:rsid w:val="00F957C4"/>
    <w:rsid w:val="00F96335"/>
    <w:rsid w:val="00F971E8"/>
    <w:rsid w:val="00F97C42"/>
    <w:rsid w:val="00FA3318"/>
    <w:rsid w:val="00FA363E"/>
    <w:rsid w:val="00FB131C"/>
    <w:rsid w:val="00FB175C"/>
    <w:rsid w:val="00FB1ECA"/>
    <w:rsid w:val="00FB51F4"/>
    <w:rsid w:val="00FB6605"/>
    <w:rsid w:val="00FC2E03"/>
    <w:rsid w:val="00FC6F58"/>
    <w:rsid w:val="00FC7401"/>
    <w:rsid w:val="00FD451C"/>
    <w:rsid w:val="00FE0607"/>
    <w:rsid w:val="00FE321C"/>
    <w:rsid w:val="00FE3902"/>
    <w:rsid w:val="00FE552F"/>
    <w:rsid w:val="00FE640C"/>
    <w:rsid w:val="00FE680E"/>
    <w:rsid w:val="00FF267D"/>
    <w:rsid w:val="00FF420B"/>
    <w:rsid w:val="00FF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7AB"/>
    <w:pPr>
      <w:spacing w:after="0" w:line="240" w:lineRule="auto"/>
    </w:pPr>
    <w:rPr>
      <w:rFonts w:ascii="Times New Roman" w:hAnsi="Times New Roman"/>
      <w:sz w:val="24"/>
    </w:rPr>
  </w:style>
  <w:style w:type="table" w:styleId="TableGrid">
    <w:name w:val="Table Grid"/>
    <w:basedOn w:val="TableNormal"/>
    <w:uiPriority w:val="59"/>
    <w:rsid w:val="00A8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E5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EA5"/>
    <w:rPr>
      <w:rFonts w:ascii="Times New Roman" w:hAnsi="Times New Roman"/>
      <w:sz w:val="20"/>
      <w:szCs w:val="20"/>
    </w:rPr>
  </w:style>
  <w:style w:type="character" w:styleId="FootnoteReference">
    <w:name w:val="footnote reference"/>
    <w:basedOn w:val="DefaultParagraphFont"/>
    <w:uiPriority w:val="99"/>
    <w:semiHidden/>
    <w:unhideWhenUsed/>
    <w:rsid w:val="005E5EA5"/>
    <w:rPr>
      <w:vertAlign w:val="superscript"/>
    </w:rPr>
  </w:style>
  <w:style w:type="paragraph" w:styleId="TOC1">
    <w:name w:val="toc 1"/>
    <w:basedOn w:val="Normal"/>
    <w:next w:val="Normal"/>
    <w:autoRedefine/>
    <w:uiPriority w:val="39"/>
    <w:unhideWhenUsed/>
    <w:rsid w:val="004D1D10"/>
    <w:pPr>
      <w:tabs>
        <w:tab w:val="right" w:leader="dot" w:pos="9350"/>
      </w:tabs>
      <w:spacing w:after="100"/>
      <w:ind w:left="720" w:hanging="720"/>
    </w:pPr>
  </w:style>
  <w:style w:type="paragraph" w:styleId="TOC2">
    <w:name w:val="toc 2"/>
    <w:basedOn w:val="Normal"/>
    <w:next w:val="Normal"/>
    <w:autoRedefine/>
    <w:uiPriority w:val="39"/>
    <w:unhideWhenUsed/>
    <w:rsid w:val="00E6166C"/>
    <w:pPr>
      <w:spacing w:after="100"/>
      <w:ind w:left="240"/>
    </w:pPr>
  </w:style>
  <w:style w:type="character" w:styleId="Hyperlink">
    <w:name w:val="Hyperlink"/>
    <w:basedOn w:val="DefaultParagraphFont"/>
    <w:uiPriority w:val="99"/>
    <w:unhideWhenUsed/>
    <w:rsid w:val="00E6166C"/>
    <w:rPr>
      <w:color w:val="0000FF" w:themeColor="hyperlink"/>
      <w:u w:val="single"/>
    </w:rPr>
  </w:style>
  <w:style w:type="paragraph" w:styleId="ListParagraph">
    <w:name w:val="List Paragraph"/>
    <w:basedOn w:val="Normal"/>
    <w:uiPriority w:val="34"/>
    <w:qFormat/>
    <w:rsid w:val="007F2258"/>
    <w:pPr>
      <w:ind w:left="720"/>
      <w:contextualSpacing/>
    </w:pPr>
  </w:style>
  <w:style w:type="paragraph" w:styleId="TOC3">
    <w:name w:val="toc 3"/>
    <w:basedOn w:val="Normal"/>
    <w:next w:val="Normal"/>
    <w:autoRedefine/>
    <w:uiPriority w:val="39"/>
    <w:unhideWhenUsed/>
    <w:rsid w:val="004D1D10"/>
    <w:pPr>
      <w:spacing w:after="100"/>
      <w:ind w:left="480"/>
    </w:pPr>
  </w:style>
  <w:style w:type="paragraph" w:styleId="Header">
    <w:name w:val="header"/>
    <w:basedOn w:val="Normal"/>
    <w:link w:val="HeaderChar"/>
    <w:uiPriority w:val="99"/>
    <w:semiHidden/>
    <w:unhideWhenUsed/>
    <w:rsid w:val="00D05B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B8A"/>
    <w:rPr>
      <w:rFonts w:ascii="Times New Roman" w:hAnsi="Times New Roman"/>
      <w:sz w:val="24"/>
    </w:rPr>
  </w:style>
  <w:style w:type="paragraph" w:styleId="Footer">
    <w:name w:val="footer"/>
    <w:basedOn w:val="Normal"/>
    <w:link w:val="FooterChar"/>
    <w:uiPriority w:val="99"/>
    <w:unhideWhenUsed/>
    <w:rsid w:val="00D0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8A"/>
    <w:rPr>
      <w:rFonts w:ascii="Times New Roman" w:hAnsi="Times New Roman"/>
      <w:sz w:val="24"/>
    </w:rPr>
  </w:style>
  <w:style w:type="paragraph" w:styleId="BalloonText">
    <w:name w:val="Balloon Text"/>
    <w:basedOn w:val="Normal"/>
    <w:link w:val="BalloonTextChar"/>
    <w:uiPriority w:val="99"/>
    <w:semiHidden/>
    <w:unhideWhenUsed/>
    <w:rsid w:val="00FA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18"/>
    <w:rPr>
      <w:rFonts w:ascii="Tahoma" w:hAnsi="Tahoma" w:cs="Tahoma"/>
      <w:sz w:val="16"/>
      <w:szCs w:val="16"/>
    </w:rPr>
  </w:style>
  <w:style w:type="character" w:styleId="CommentReference">
    <w:name w:val="annotation reference"/>
    <w:basedOn w:val="DefaultParagraphFont"/>
    <w:uiPriority w:val="99"/>
    <w:semiHidden/>
    <w:unhideWhenUsed/>
    <w:rsid w:val="005D6156"/>
    <w:rPr>
      <w:sz w:val="16"/>
      <w:szCs w:val="16"/>
    </w:rPr>
  </w:style>
  <w:style w:type="paragraph" w:styleId="CommentText">
    <w:name w:val="annotation text"/>
    <w:basedOn w:val="Normal"/>
    <w:link w:val="CommentTextChar"/>
    <w:uiPriority w:val="99"/>
    <w:semiHidden/>
    <w:unhideWhenUsed/>
    <w:rsid w:val="005D6156"/>
    <w:pPr>
      <w:spacing w:line="240" w:lineRule="auto"/>
    </w:pPr>
    <w:rPr>
      <w:sz w:val="20"/>
      <w:szCs w:val="20"/>
    </w:rPr>
  </w:style>
  <w:style w:type="character" w:customStyle="1" w:styleId="CommentTextChar">
    <w:name w:val="Comment Text Char"/>
    <w:basedOn w:val="DefaultParagraphFont"/>
    <w:link w:val="CommentText"/>
    <w:uiPriority w:val="99"/>
    <w:semiHidden/>
    <w:rsid w:val="005D61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D6156"/>
    <w:rPr>
      <w:b/>
      <w:bCs/>
    </w:rPr>
  </w:style>
  <w:style w:type="character" w:customStyle="1" w:styleId="CommentSubjectChar">
    <w:name w:val="Comment Subject Char"/>
    <w:basedOn w:val="CommentTextChar"/>
    <w:link w:val="CommentSubject"/>
    <w:uiPriority w:val="99"/>
    <w:semiHidden/>
    <w:rsid w:val="005D61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x@bbrslaw.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cm@bbrslaw.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E96FFF-8102-4869-8E3A-B33B23A9266E}"/>
</file>

<file path=customXml/itemProps2.xml><?xml version="1.0" encoding="utf-8"?>
<ds:datastoreItem xmlns:ds="http://schemas.openxmlformats.org/officeDocument/2006/customXml" ds:itemID="{C01689BF-330F-4750-A57F-15AD7620509A}"/>
</file>

<file path=customXml/itemProps3.xml><?xml version="1.0" encoding="utf-8"?>
<ds:datastoreItem xmlns:ds="http://schemas.openxmlformats.org/officeDocument/2006/customXml" ds:itemID="{B44B1526-B69D-40BD-B98D-10627BA496E2}"/>
</file>

<file path=customXml/itemProps4.xml><?xml version="1.0" encoding="utf-8"?>
<ds:datastoreItem xmlns:ds="http://schemas.openxmlformats.org/officeDocument/2006/customXml" ds:itemID="{8A233883-2568-4A12-8DD6-47D14838B595}"/>
</file>

<file path=customXml/itemProps5.xml><?xml version="1.0" encoding="utf-8"?>
<ds:datastoreItem xmlns:ds="http://schemas.openxmlformats.org/officeDocument/2006/customXml" ds:itemID="{E2C35183-DDB9-4283-9870-7CEE418B9947}"/>
</file>

<file path=docProps/app.xml><?xml version="1.0" encoding="utf-8"?>
<Properties xmlns="http://schemas.openxmlformats.org/officeDocument/2006/extended-properties" xmlns:vt="http://schemas.openxmlformats.org/officeDocument/2006/docPropsVTypes">
  <Pages>3</Pages>
  <Words>2422</Words>
  <Characters>13585</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gFAACRwgU2+mnxlGUn5/59Uy9TXZEfEP5EPOiAcHZPI78GbX9ovjtHaSeGwoKpoWEkKmBPSIX/4RjpJ0
wFTGrxZ2mETdBwMzvT9DwHe9pCeJvrGAtW/3pX3z+DNniZ5L4XFKb1+8IPTnRd7ilUIG7GgcTm/Y
goYq1iXVBQnI459hP2JkEsyfOnwZaNuD8v4WsKsjg2gGVZ85jk+W4kJXxGj5+hdsm+1CxaDnvTtg
1Y/+IifcNmgzWkHsR</vt:lpwstr>
  </property>
  <property fmtid="{D5CDD505-2E9C-101B-9397-08002B2CF9AE}" pid="3" name="MAIL_MSG_ID2">
    <vt:lpwstr>TWkHDl3Z74j83fMXjHEJz9A0HWl6krWpny88Q5G1Sk8S8r0GCDbFL0EVTRW
2Gydq6q1qAWzaBLtBL5LuTw2lUSXfVhHP6pc/g==</vt:lpwstr>
  </property>
  <property fmtid="{D5CDD505-2E9C-101B-9397-08002B2CF9AE}" pid="4" name="RESPONSE_SENDER_NAME">
    <vt:lpwstr>sAAA4E8dREqJqIolmRfGe9qtc0XdgM87DO9nmXuRvFN9H7I=</vt:lpwstr>
  </property>
  <property fmtid="{D5CDD505-2E9C-101B-9397-08002B2CF9AE}" pid="5" name="EMAIL_OWNER_ADDRESS">
    <vt:lpwstr>4AAA6DouqOs9baHMytjdcTd3+Z9SDtq1E51x82Mfua8wO/RE3UljaFw0Zg==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