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5B2D3" w14:textId="77777777" w:rsidR="00E6018A" w:rsidRPr="00DD7443" w:rsidRDefault="00E6018A" w:rsidP="007E08FF">
      <w:pPr>
        <w:spacing w:line="264" w:lineRule="auto"/>
        <w:jc w:val="center"/>
        <w:rPr>
          <w:b/>
        </w:rPr>
      </w:pPr>
      <w:r w:rsidRPr="00DD7443">
        <w:rPr>
          <w:b/>
        </w:rPr>
        <w:t>BEFORE THE WASHINGTON</w:t>
      </w:r>
    </w:p>
    <w:p w14:paraId="0EBA311B" w14:textId="77777777" w:rsidR="00E6018A" w:rsidRPr="00DD7443" w:rsidRDefault="00E6018A" w:rsidP="007E08FF">
      <w:pPr>
        <w:spacing w:line="264" w:lineRule="auto"/>
        <w:jc w:val="center"/>
        <w:rPr>
          <w:b/>
        </w:rPr>
      </w:pPr>
      <w:r w:rsidRPr="00DD7443">
        <w:rPr>
          <w:b/>
        </w:rPr>
        <w:t>UTILITIES AND TRANSPORTATION COMMISSION</w:t>
      </w:r>
    </w:p>
    <w:p w14:paraId="0315507D" w14:textId="77777777" w:rsidR="001D60AB" w:rsidRPr="00DD7443" w:rsidRDefault="001D60AB" w:rsidP="007E08FF">
      <w:pPr>
        <w:spacing w:line="264" w:lineRule="auto"/>
      </w:pPr>
    </w:p>
    <w:tbl>
      <w:tblPr>
        <w:tblW w:w="0" w:type="auto"/>
        <w:tblLook w:val="01E0" w:firstRow="1" w:lastRow="1" w:firstColumn="1" w:lastColumn="1" w:noHBand="0" w:noVBand="0"/>
      </w:tblPr>
      <w:tblGrid>
        <w:gridCol w:w="4196"/>
        <w:gridCol w:w="357"/>
        <w:gridCol w:w="4087"/>
      </w:tblGrid>
      <w:tr w:rsidR="00E6018A" w:rsidRPr="00DD7443" w14:paraId="31B1BF5C" w14:textId="77777777" w:rsidTr="00861037">
        <w:tc>
          <w:tcPr>
            <w:tcW w:w="4308" w:type="dxa"/>
          </w:tcPr>
          <w:p w14:paraId="63BD6F99" w14:textId="77777777" w:rsidR="00E6018A" w:rsidRPr="00DD7443" w:rsidRDefault="00E6018A" w:rsidP="007E08FF">
            <w:pPr>
              <w:spacing w:line="264" w:lineRule="auto"/>
            </w:pPr>
            <w:r w:rsidRPr="00DD7443">
              <w:t xml:space="preserve">In re Application of </w:t>
            </w:r>
          </w:p>
          <w:p w14:paraId="756F3685" w14:textId="77777777" w:rsidR="00E6018A" w:rsidRPr="00DD7443" w:rsidRDefault="00E6018A" w:rsidP="007E08FF">
            <w:pPr>
              <w:spacing w:line="264" w:lineRule="auto"/>
            </w:pPr>
          </w:p>
          <w:p w14:paraId="468B7969" w14:textId="77777777" w:rsidR="0012166C" w:rsidRPr="00DD7443" w:rsidRDefault="0012166C" w:rsidP="0012166C">
            <w:pPr>
              <w:spacing w:line="264" w:lineRule="auto"/>
            </w:pPr>
            <w:r w:rsidRPr="00DD7443">
              <w:t>HEATH, ANNAVILLA L. d/b/a MOVERS4U</w:t>
            </w:r>
          </w:p>
          <w:p w14:paraId="6FBD9CF7" w14:textId="77777777" w:rsidR="00CE0297" w:rsidRPr="00DD7443" w:rsidRDefault="00CE0297" w:rsidP="007E08FF">
            <w:pPr>
              <w:spacing w:line="264" w:lineRule="auto"/>
            </w:pPr>
          </w:p>
          <w:p w14:paraId="583B982E" w14:textId="77777777" w:rsidR="00E6018A" w:rsidRPr="00DD7443" w:rsidRDefault="00CE0297" w:rsidP="007E08FF">
            <w:pPr>
              <w:spacing w:line="264" w:lineRule="auto"/>
            </w:pPr>
            <w:r w:rsidRPr="00DD7443">
              <w:t>For a Permit to Operate as a Motor Carrier of Household Goods</w:t>
            </w:r>
          </w:p>
          <w:p w14:paraId="0149FEA5" w14:textId="77777777" w:rsidR="00E6018A" w:rsidRPr="00DD7443" w:rsidRDefault="00E6018A" w:rsidP="007E08FF">
            <w:pPr>
              <w:spacing w:line="264" w:lineRule="auto"/>
            </w:pPr>
            <w:r w:rsidRPr="00DD7443">
              <w:t xml:space="preserve">. . . . . . . . . . . . . . . . . . . . . . . . . . . . . . . . . </w:t>
            </w:r>
          </w:p>
        </w:tc>
        <w:tc>
          <w:tcPr>
            <w:tcW w:w="360" w:type="dxa"/>
          </w:tcPr>
          <w:p w14:paraId="0EBAC2EE" w14:textId="77777777" w:rsidR="00E6018A" w:rsidRPr="00DD7443" w:rsidRDefault="00E6018A" w:rsidP="007E08FF">
            <w:pPr>
              <w:spacing w:line="264" w:lineRule="auto"/>
            </w:pPr>
            <w:r w:rsidRPr="00DD7443">
              <w:t>)</w:t>
            </w:r>
          </w:p>
          <w:p w14:paraId="2DD4E6C6" w14:textId="77777777" w:rsidR="00E6018A" w:rsidRPr="00DD7443" w:rsidRDefault="00E6018A" w:rsidP="007E08FF">
            <w:pPr>
              <w:spacing w:line="264" w:lineRule="auto"/>
            </w:pPr>
            <w:r w:rsidRPr="00DD7443">
              <w:t>)</w:t>
            </w:r>
          </w:p>
          <w:p w14:paraId="5BA615C1" w14:textId="77777777" w:rsidR="00E6018A" w:rsidRPr="00DD7443" w:rsidRDefault="00E6018A" w:rsidP="007E08FF">
            <w:pPr>
              <w:spacing w:line="264" w:lineRule="auto"/>
            </w:pPr>
            <w:r w:rsidRPr="00DD7443">
              <w:t>)</w:t>
            </w:r>
          </w:p>
          <w:p w14:paraId="0D9D6AD1" w14:textId="77777777" w:rsidR="00E6018A" w:rsidRPr="00DD7443" w:rsidRDefault="00E6018A" w:rsidP="007E08FF">
            <w:pPr>
              <w:spacing w:line="264" w:lineRule="auto"/>
            </w:pPr>
            <w:r w:rsidRPr="00DD7443">
              <w:t>)</w:t>
            </w:r>
          </w:p>
          <w:p w14:paraId="6B1779B0" w14:textId="77777777" w:rsidR="00E6018A" w:rsidRPr="00DD7443" w:rsidRDefault="00E6018A" w:rsidP="007E08FF">
            <w:pPr>
              <w:spacing w:line="264" w:lineRule="auto"/>
            </w:pPr>
            <w:r w:rsidRPr="00DD7443">
              <w:t>)</w:t>
            </w:r>
          </w:p>
          <w:p w14:paraId="7EA443C1" w14:textId="77777777" w:rsidR="00E6018A" w:rsidRPr="00DD7443" w:rsidRDefault="00E6018A" w:rsidP="007E08FF">
            <w:pPr>
              <w:spacing w:line="264" w:lineRule="auto"/>
            </w:pPr>
            <w:r w:rsidRPr="00DD7443">
              <w:t>)</w:t>
            </w:r>
          </w:p>
          <w:p w14:paraId="7EC835D3" w14:textId="77777777" w:rsidR="00E6018A" w:rsidRPr="00DD7443" w:rsidRDefault="00E6018A" w:rsidP="007E08FF">
            <w:pPr>
              <w:spacing w:line="264" w:lineRule="auto"/>
            </w:pPr>
            <w:r w:rsidRPr="00DD7443">
              <w:t>)</w:t>
            </w:r>
          </w:p>
          <w:p w14:paraId="61C5E373" w14:textId="77777777" w:rsidR="00E6018A" w:rsidRPr="00DD7443" w:rsidRDefault="00E6018A" w:rsidP="004C7A8B">
            <w:pPr>
              <w:spacing w:line="264" w:lineRule="auto"/>
            </w:pPr>
            <w:r w:rsidRPr="00DD7443">
              <w:t>)</w:t>
            </w:r>
          </w:p>
        </w:tc>
        <w:tc>
          <w:tcPr>
            <w:tcW w:w="4188" w:type="dxa"/>
          </w:tcPr>
          <w:p w14:paraId="7FB3A018" w14:textId="77777777" w:rsidR="00E6018A" w:rsidRPr="00DD7443" w:rsidRDefault="00E6018A" w:rsidP="007E08FF">
            <w:pPr>
              <w:spacing w:line="264" w:lineRule="auto"/>
            </w:pPr>
            <w:r w:rsidRPr="00DD7443">
              <w:t>DOCKET TV-</w:t>
            </w:r>
            <w:r w:rsidR="0012166C" w:rsidRPr="00DD7443">
              <w:t>151116</w:t>
            </w:r>
          </w:p>
          <w:p w14:paraId="2911B973" w14:textId="77777777" w:rsidR="00E6018A" w:rsidRPr="00DD7443" w:rsidRDefault="00E6018A" w:rsidP="007E08FF">
            <w:pPr>
              <w:spacing w:line="264" w:lineRule="auto"/>
            </w:pPr>
          </w:p>
          <w:p w14:paraId="280426A7" w14:textId="77777777" w:rsidR="00CE0297" w:rsidRPr="00DD7443" w:rsidRDefault="00603594" w:rsidP="00CE0297">
            <w:pPr>
              <w:spacing w:line="264" w:lineRule="auto"/>
            </w:pPr>
            <w:r w:rsidRPr="00DD7443">
              <w:t>ORDER 01</w:t>
            </w:r>
          </w:p>
          <w:p w14:paraId="424B9F26" w14:textId="77777777" w:rsidR="00EF440C" w:rsidRPr="00DD7443" w:rsidRDefault="00EF440C" w:rsidP="007E08FF">
            <w:pPr>
              <w:spacing w:line="264" w:lineRule="auto"/>
            </w:pPr>
          </w:p>
          <w:p w14:paraId="6A253D68" w14:textId="77777777" w:rsidR="00EF440C" w:rsidRPr="00DD7443" w:rsidRDefault="00C04B3D" w:rsidP="00C04B3D">
            <w:pPr>
              <w:spacing w:line="264" w:lineRule="auto"/>
              <w:rPr>
                <w:b/>
              </w:rPr>
            </w:pPr>
            <w:r w:rsidRPr="00DD7443">
              <w:t>INITIAL ORDER DENYING</w:t>
            </w:r>
            <w:r w:rsidR="00603594" w:rsidRPr="00DD7443">
              <w:t xml:space="preserve"> APPLICATION FOR PERMANENT AUTHORITY</w:t>
            </w:r>
          </w:p>
        </w:tc>
      </w:tr>
    </w:tbl>
    <w:p w14:paraId="0B06FA93" w14:textId="77777777" w:rsidR="000F71CC" w:rsidRPr="00DD7443" w:rsidRDefault="000F71CC" w:rsidP="007E08FF">
      <w:pPr>
        <w:pStyle w:val="NoSpacing"/>
        <w:spacing w:line="264" w:lineRule="auto"/>
        <w:rPr>
          <w:sz w:val="24"/>
          <w:szCs w:val="24"/>
        </w:rPr>
      </w:pPr>
    </w:p>
    <w:p w14:paraId="25C79E30" w14:textId="77777777" w:rsidR="0012166C" w:rsidRPr="00DD7443" w:rsidRDefault="0012166C" w:rsidP="0012166C">
      <w:pPr>
        <w:pStyle w:val="NoSpacing"/>
        <w:spacing w:line="264" w:lineRule="auto"/>
        <w:jc w:val="center"/>
        <w:rPr>
          <w:b/>
          <w:sz w:val="24"/>
          <w:szCs w:val="24"/>
        </w:rPr>
      </w:pPr>
      <w:r w:rsidRPr="00DD7443">
        <w:rPr>
          <w:b/>
          <w:sz w:val="24"/>
          <w:szCs w:val="24"/>
        </w:rPr>
        <w:t>BACKGROUND</w:t>
      </w:r>
    </w:p>
    <w:p w14:paraId="760C6788" w14:textId="77777777" w:rsidR="004C7A8B" w:rsidRPr="00DD7443" w:rsidRDefault="004C7A8B" w:rsidP="007E08FF">
      <w:pPr>
        <w:pStyle w:val="NoSpacing"/>
        <w:spacing w:line="264" w:lineRule="auto"/>
        <w:rPr>
          <w:sz w:val="24"/>
          <w:szCs w:val="24"/>
        </w:rPr>
      </w:pPr>
    </w:p>
    <w:p w14:paraId="54ECD347" w14:textId="77777777" w:rsidR="00F537EA" w:rsidRPr="00DD7443" w:rsidRDefault="0012166C" w:rsidP="00F537EA">
      <w:pPr>
        <w:pStyle w:val="NoSpacing"/>
        <w:numPr>
          <w:ilvl w:val="0"/>
          <w:numId w:val="1"/>
        </w:numPr>
        <w:spacing w:line="264" w:lineRule="auto"/>
        <w:ind w:left="0" w:hanging="720"/>
        <w:rPr>
          <w:bCs/>
          <w:sz w:val="24"/>
          <w:szCs w:val="24"/>
        </w:rPr>
      </w:pPr>
      <w:r w:rsidRPr="00DD7443">
        <w:rPr>
          <w:sz w:val="24"/>
          <w:szCs w:val="24"/>
        </w:rPr>
        <w:t xml:space="preserve">On May 26, 2015, Annavilla L. Heath d/b/a Movers4U (Movers4U or </w:t>
      </w:r>
      <w:r w:rsidR="00F11E7B">
        <w:rPr>
          <w:sz w:val="24"/>
          <w:szCs w:val="24"/>
        </w:rPr>
        <w:t>Company</w:t>
      </w:r>
      <w:r w:rsidRPr="00DD7443">
        <w:rPr>
          <w:sz w:val="24"/>
          <w:szCs w:val="24"/>
        </w:rPr>
        <w:t xml:space="preserve">) filed with the Washington Utilities and Transportation Commission (Commission) an application for authority to operate as a household goods carrier in the state of Washington </w:t>
      </w:r>
      <w:r w:rsidR="00346603" w:rsidRPr="00DD7443">
        <w:rPr>
          <w:sz w:val="24"/>
          <w:szCs w:val="24"/>
        </w:rPr>
        <w:t xml:space="preserve">(Application) </w:t>
      </w:r>
      <w:r w:rsidRPr="00DD7443">
        <w:rPr>
          <w:sz w:val="24"/>
          <w:szCs w:val="24"/>
        </w:rPr>
        <w:t>under Revised Code of Washington (RCW) 81.80 and Washington Administrative Code (WAC) 480-15</w:t>
      </w:r>
      <w:r w:rsidR="00346603" w:rsidRPr="00DD7443">
        <w:rPr>
          <w:sz w:val="24"/>
          <w:szCs w:val="24"/>
        </w:rPr>
        <w:t>.</w:t>
      </w:r>
      <w:r w:rsidR="002F7D06" w:rsidRPr="00DD7443">
        <w:rPr>
          <w:sz w:val="24"/>
          <w:szCs w:val="24"/>
        </w:rPr>
        <w:t xml:space="preserve"> </w:t>
      </w:r>
    </w:p>
    <w:p w14:paraId="1C7222D6" w14:textId="77777777" w:rsidR="00A15C7A" w:rsidRPr="00DD7443" w:rsidRDefault="00A15C7A" w:rsidP="007E08FF">
      <w:pPr>
        <w:pStyle w:val="NoSpacing"/>
        <w:spacing w:line="264" w:lineRule="auto"/>
        <w:rPr>
          <w:sz w:val="24"/>
          <w:szCs w:val="24"/>
        </w:rPr>
      </w:pPr>
    </w:p>
    <w:p w14:paraId="61AF2FA0" w14:textId="77777777" w:rsidR="0012166C" w:rsidRPr="00DD7443" w:rsidRDefault="0012166C" w:rsidP="0012166C">
      <w:pPr>
        <w:pStyle w:val="NoSpacing"/>
        <w:numPr>
          <w:ilvl w:val="0"/>
          <w:numId w:val="1"/>
        </w:numPr>
        <w:spacing w:line="264" w:lineRule="auto"/>
        <w:ind w:left="0" w:hanging="720"/>
        <w:rPr>
          <w:sz w:val="24"/>
          <w:szCs w:val="24"/>
        </w:rPr>
      </w:pPr>
      <w:r w:rsidRPr="00DD7443">
        <w:rPr>
          <w:sz w:val="24"/>
          <w:szCs w:val="24"/>
        </w:rPr>
        <w:t>On August 18, 2015, the Commission issued a Notice of Intent to Deny Application for Permanent Authority and Notice of Opportu</w:t>
      </w:r>
      <w:r w:rsidR="00D00BE5" w:rsidRPr="00DD7443">
        <w:rPr>
          <w:sz w:val="24"/>
          <w:szCs w:val="24"/>
        </w:rPr>
        <w:t xml:space="preserve">nity for Hearing </w:t>
      </w:r>
      <w:r w:rsidR="00856DB3">
        <w:rPr>
          <w:sz w:val="24"/>
          <w:szCs w:val="24"/>
        </w:rPr>
        <w:t xml:space="preserve">(Notice) </w:t>
      </w:r>
      <w:r w:rsidR="00975510">
        <w:rPr>
          <w:sz w:val="24"/>
          <w:szCs w:val="24"/>
        </w:rPr>
        <w:t>resulting from</w:t>
      </w:r>
      <w:r w:rsidRPr="00DD7443">
        <w:rPr>
          <w:sz w:val="24"/>
          <w:szCs w:val="24"/>
        </w:rPr>
        <w:t xml:space="preserve"> </w:t>
      </w:r>
      <w:r w:rsidR="00CB5C8E">
        <w:rPr>
          <w:sz w:val="24"/>
          <w:szCs w:val="24"/>
        </w:rPr>
        <w:t>Commission s</w:t>
      </w:r>
      <w:r w:rsidR="00856DB3">
        <w:rPr>
          <w:sz w:val="24"/>
          <w:szCs w:val="24"/>
        </w:rPr>
        <w:t xml:space="preserve">taff’s (Staff) </w:t>
      </w:r>
      <w:r w:rsidR="00975510">
        <w:rPr>
          <w:sz w:val="24"/>
          <w:szCs w:val="24"/>
        </w:rPr>
        <w:t xml:space="preserve">allegations based on its </w:t>
      </w:r>
      <w:r w:rsidRPr="00DD7443">
        <w:rPr>
          <w:sz w:val="24"/>
          <w:szCs w:val="24"/>
        </w:rPr>
        <w:t xml:space="preserve">review and investigation of the </w:t>
      </w:r>
      <w:r w:rsidR="002F7D06" w:rsidRPr="00DD7443">
        <w:rPr>
          <w:sz w:val="24"/>
          <w:szCs w:val="24"/>
        </w:rPr>
        <w:t>A</w:t>
      </w:r>
      <w:r w:rsidRPr="00DD7443">
        <w:rPr>
          <w:sz w:val="24"/>
          <w:szCs w:val="24"/>
        </w:rPr>
        <w:t xml:space="preserve">pplication. The </w:t>
      </w:r>
      <w:r w:rsidR="00856DB3">
        <w:rPr>
          <w:sz w:val="24"/>
          <w:szCs w:val="24"/>
        </w:rPr>
        <w:t xml:space="preserve">Notice specified the following allegations: (1) </w:t>
      </w:r>
      <w:r w:rsidR="00B06A36" w:rsidRPr="00DD7443">
        <w:rPr>
          <w:sz w:val="24"/>
          <w:szCs w:val="24"/>
        </w:rPr>
        <w:t>the Application is misleading because it does</w:t>
      </w:r>
      <w:r w:rsidRPr="00DD7443">
        <w:rPr>
          <w:sz w:val="24"/>
          <w:szCs w:val="24"/>
        </w:rPr>
        <w:t xml:space="preserve"> not disclose </w:t>
      </w:r>
      <w:r w:rsidR="003549C4" w:rsidRPr="00DD7443">
        <w:rPr>
          <w:sz w:val="24"/>
          <w:szCs w:val="24"/>
        </w:rPr>
        <w:t>the</w:t>
      </w:r>
      <w:r w:rsidR="00D00BE5" w:rsidRPr="00DD7443">
        <w:rPr>
          <w:sz w:val="24"/>
          <w:szCs w:val="24"/>
        </w:rPr>
        <w:t xml:space="preserve"> involvement of Larry Heath, Annavilla</w:t>
      </w:r>
      <w:r w:rsidR="003549C4" w:rsidRPr="00DD7443">
        <w:rPr>
          <w:sz w:val="24"/>
          <w:szCs w:val="24"/>
        </w:rPr>
        <w:t xml:space="preserve"> Heath’s husband, </w:t>
      </w:r>
      <w:r w:rsidR="00B06A36" w:rsidRPr="00DD7443">
        <w:rPr>
          <w:sz w:val="24"/>
          <w:szCs w:val="24"/>
        </w:rPr>
        <w:t>in the ownership</w:t>
      </w:r>
      <w:r w:rsidR="002F4733">
        <w:rPr>
          <w:sz w:val="24"/>
          <w:szCs w:val="24"/>
        </w:rPr>
        <w:t xml:space="preserve"> and operation</w:t>
      </w:r>
      <w:r w:rsidR="00B06A36" w:rsidRPr="00DD7443">
        <w:rPr>
          <w:sz w:val="24"/>
          <w:szCs w:val="24"/>
        </w:rPr>
        <w:t xml:space="preserve"> </w:t>
      </w:r>
      <w:r w:rsidR="0064010D" w:rsidRPr="00DD7443">
        <w:rPr>
          <w:sz w:val="24"/>
          <w:szCs w:val="24"/>
        </w:rPr>
        <w:t>of Movers4U;</w:t>
      </w:r>
      <w:r w:rsidRPr="00DD7443">
        <w:rPr>
          <w:sz w:val="24"/>
          <w:szCs w:val="24"/>
        </w:rPr>
        <w:t xml:space="preserve"> </w:t>
      </w:r>
      <w:r w:rsidR="00856DB3">
        <w:rPr>
          <w:sz w:val="24"/>
          <w:szCs w:val="24"/>
        </w:rPr>
        <w:t>(</w:t>
      </w:r>
      <w:r w:rsidR="006057A9">
        <w:rPr>
          <w:sz w:val="24"/>
          <w:szCs w:val="24"/>
        </w:rPr>
        <w:t xml:space="preserve">2) </w:t>
      </w:r>
      <w:r w:rsidRPr="006023C5">
        <w:rPr>
          <w:sz w:val="24"/>
          <w:szCs w:val="24"/>
        </w:rPr>
        <w:t>Mr. Heath</w:t>
      </w:r>
      <w:r w:rsidR="00856DB3">
        <w:rPr>
          <w:sz w:val="24"/>
          <w:szCs w:val="24"/>
        </w:rPr>
        <w:t xml:space="preserve"> had</w:t>
      </w:r>
      <w:r w:rsidRPr="006023C5">
        <w:rPr>
          <w:sz w:val="24"/>
          <w:szCs w:val="24"/>
        </w:rPr>
        <w:t xml:space="preserve"> domestic violence </w:t>
      </w:r>
      <w:r w:rsidR="0064010D" w:rsidRPr="006023C5">
        <w:rPr>
          <w:sz w:val="24"/>
          <w:szCs w:val="24"/>
        </w:rPr>
        <w:t xml:space="preserve">felony assault </w:t>
      </w:r>
      <w:r w:rsidRPr="006023C5">
        <w:rPr>
          <w:sz w:val="24"/>
          <w:szCs w:val="24"/>
        </w:rPr>
        <w:t>conviction</w:t>
      </w:r>
      <w:r w:rsidR="00B06A36" w:rsidRPr="006023C5">
        <w:rPr>
          <w:sz w:val="24"/>
          <w:szCs w:val="24"/>
        </w:rPr>
        <w:t>s</w:t>
      </w:r>
      <w:r w:rsidRPr="006023C5">
        <w:rPr>
          <w:sz w:val="24"/>
          <w:szCs w:val="24"/>
        </w:rPr>
        <w:t xml:space="preserve"> in August 2010</w:t>
      </w:r>
      <w:r w:rsidR="006023C5" w:rsidRPr="006023C5">
        <w:rPr>
          <w:sz w:val="24"/>
          <w:szCs w:val="24"/>
        </w:rPr>
        <w:t xml:space="preserve"> and March </w:t>
      </w:r>
      <w:r w:rsidR="00B06A36" w:rsidRPr="006023C5">
        <w:rPr>
          <w:sz w:val="24"/>
          <w:szCs w:val="24"/>
        </w:rPr>
        <w:t>2006;</w:t>
      </w:r>
      <w:r w:rsidRPr="006023C5">
        <w:rPr>
          <w:sz w:val="24"/>
          <w:szCs w:val="24"/>
        </w:rPr>
        <w:t xml:space="preserve"> </w:t>
      </w:r>
      <w:r w:rsidR="00856DB3">
        <w:rPr>
          <w:sz w:val="24"/>
          <w:szCs w:val="24"/>
        </w:rPr>
        <w:t>(</w:t>
      </w:r>
      <w:r w:rsidR="006057A9">
        <w:rPr>
          <w:sz w:val="24"/>
          <w:szCs w:val="24"/>
        </w:rPr>
        <w:t xml:space="preserve">3) </w:t>
      </w:r>
      <w:r w:rsidRPr="006023C5">
        <w:rPr>
          <w:sz w:val="24"/>
          <w:szCs w:val="24"/>
        </w:rPr>
        <w:t>Mr. Heath</w:t>
      </w:r>
      <w:r w:rsidR="00856DB3">
        <w:rPr>
          <w:sz w:val="24"/>
          <w:szCs w:val="24"/>
        </w:rPr>
        <w:t xml:space="preserve"> had</w:t>
      </w:r>
      <w:r w:rsidRPr="006023C5">
        <w:rPr>
          <w:sz w:val="24"/>
          <w:szCs w:val="24"/>
        </w:rPr>
        <w:t xml:space="preserve"> second degree </w:t>
      </w:r>
      <w:r w:rsidR="00B06A36" w:rsidRPr="006023C5">
        <w:rPr>
          <w:sz w:val="24"/>
          <w:szCs w:val="24"/>
        </w:rPr>
        <w:t xml:space="preserve">felony </w:t>
      </w:r>
      <w:r w:rsidRPr="006023C5">
        <w:rPr>
          <w:sz w:val="24"/>
          <w:szCs w:val="24"/>
        </w:rPr>
        <w:t>theft conviction in June 2005</w:t>
      </w:r>
      <w:r w:rsidR="00B06A36" w:rsidRPr="006023C5">
        <w:rPr>
          <w:sz w:val="24"/>
          <w:szCs w:val="24"/>
        </w:rPr>
        <w:t xml:space="preserve">; and </w:t>
      </w:r>
      <w:r w:rsidR="00856DB3">
        <w:rPr>
          <w:sz w:val="24"/>
          <w:szCs w:val="24"/>
        </w:rPr>
        <w:t>(</w:t>
      </w:r>
      <w:r w:rsidR="006057A9">
        <w:rPr>
          <w:sz w:val="24"/>
          <w:szCs w:val="24"/>
        </w:rPr>
        <w:t xml:space="preserve">4) </w:t>
      </w:r>
      <w:r w:rsidR="00856DB3">
        <w:rPr>
          <w:sz w:val="24"/>
          <w:szCs w:val="24"/>
        </w:rPr>
        <w:t xml:space="preserve">the Commission assessed a $5,000 penalty against </w:t>
      </w:r>
      <w:r w:rsidR="00B06A36" w:rsidRPr="006023C5">
        <w:rPr>
          <w:sz w:val="24"/>
          <w:szCs w:val="24"/>
        </w:rPr>
        <w:t>Mr. Heath</w:t>
      </w:r>
      <w:r w:rsidR="00856DB3">
        <w:rPr>
          <w:sz w:val="24"/>
          <w:szCs w:val="24"/>
        </w:rPr>
        <w:t xml:space="preserve"> that remains</w:t>
      </w:r>
      <w:r w:rsidR="00B06A36" w:rsidRPr="006023C5">
        <w:rPr>
          <w:sz w:val="24"/>
          <w:szCs w:val="24"/>
        </w:rPr>
        <w:t xml:space="preserve"> outstanding</w:t>
      </w:r>
      <w:r w:rsidRPr="006023C5">
        <w:rPr>
          <w:sz w:val="24"/>
          <w:szCs w:val="24"/>
        </w:rPr>
        <w:t>.</w:t>
      </w:r>
      <w:r w:rsidRPr="00DD7443">
        <w:rPr>
          <w:sz w:val="24"/>
          <w:szCs w:val="24"/>
        </w:rPr>
        <w:t xml:space="preserve"> The Notice provided Movers4U the opportunity to request a hearing to contest </w:t>
      </w:r>
      <w:r w:rsidR="00B06A36" w:rsidRPr="00DD7443">
        <w:rPr>
          <w:sz w:val="24"/>
          <w:szCs w:val="24"/>
        </w:rPr>
        <w:t>these</w:t>
      </w:r>
      <w:r w:rsidRPr="00DD7443">
        <w:rPr>
          <w:sz w:val="24"/>
          <w:szCs w:val="24"/>
        </w:rPr>
        <w:t xml:space="preserve"> allegations by September 2, 2015.</w:t>
      </w:r>
    </w:p>
    <w:p w14:paraId="18C2FCB2" w14:textId="77777777" w:rsidR="007E08FF" w:rsidRPr="00DD7443" w:rsidRDefault="007E08FF" w:rsidP="007E08FF">
      <w:pPr>
        <w:pStyle w:val="NoSpacing"/>
        <w:spacing w:line="264" w:lineRule="auto"/>
        <w:rPr>
          <w:sz w:val="24"/>
          <w:szCs w:val="24"/>
        </w:rPr>
      </w:pPr>
    </w:p>
    <w:p w14:paraId="0B64FDE7" w14:textId="77777777" w:rsidR="007E08FF" w:rsidRPr="00DD7443" w:rsidRDefault="0012166C" w:rsidP="00002D0E">
      <w:pPr>
        <w:pStyle w:val="NoSpacing"/>
        <w:numPr>
          <w:ilvl w:val="0"/>
          <w:numId w:val="1"/>
        </w:numPr>
        <w:spacing w:line="264" w:lineRule="auto"/>
        <w:ind w:left="0" w:hanging="720"/>
        <w:rPr>
          <w:sz w:val="24"/>
          <w:szCs w:val="24"/>
        </w:rPr>
      </w:pPr>
      <w:r w:rsidRPr="00DD7443">
        <w:rPr>
          <w:sz w:val="24"/>
          <w:szCs w:val="24"/>
        </w:rPr>
        <w:t>On August 21, 2015, Movers4U filed with the Commission a Request for Hearing.</w:t>
      </w:r>
      <w:r w:rsidR="00002D0E" w:rsidRPr="00DD7443">
        <w:rPr>
          <w:sz w:val="24"/>
          <w:szCs w:val="24"/>
        </w:rPr>
        <w:t xml:space="preserve"> The Commission noticed the matter as a brief adjudicative proceeding and convened an evidentiary hearing before Administrative Law Judge Rayne Pearson on September 29, 2015, at 1:30 p.m.</w:t>
      </w:r>
    </w:p>
    <w:p w14:paraId="3C6D341A" w14:textId="77777777" w:rsidR="0012166C" w:rsidRPr="00DD7443" w:rsidRDefault="0012166C" w:rsidP="0012166C">
      <w:pPr>
        <w:pStyle w:val="ListParagraph"/>
      </w:pPr>
    </w:p>
    <w:p w14:paraId="4474913A" w14:textId="77777777" w:rsidR="0012166C" w:rsidRPr="00DD7443" w:rsidRDefault="0012166C" w:rsidP="005F0334">
      <w:pPr>
        <w:pStyle w:val="NoSpacing"/>
        <w:numPr>
          <w:ilvl w:val="0"/>
          <w:numId w:val="1"/>
        </w:numPr>
        <w:spacing w:line="264" w:lineRule="auto"/>
        <w:ind w:left="0" w:hanging="720"/>
        <w:rPr>
          <w:sz w:val="24"/>
          <w:szCs w:val="24"/>
        </w:rPr>
      </w:pPr>
      <w:r w:rsidRPr="00DD7443">
        <w:rPr>
          <w:rFonts w:eastAsia="Times New Roman"/>
          <w:sz w:val="24"/>
          <w:szCs w:val="24"/>
        </w:rPr>
        <w:t xml:space="preserve">At </w:t>
      </w:r>
      <w:r w:rsidR="00CB5C8E">
        <w:rPr>
          <w:rFonts w:eastAsia="Times New Roman"/>
          <w:sz w:val="24"/>
          <w:szCs w:val="24"/>
        </w:rPr>
        <w:t xml:space="preserve">the </w:t>
      </w:r>
      <w:r w:rsidRPr="00DD7443">
        <w:rPr>
          <w:rFonts w:eastAsia="Times New Roman"/>
          <w:sz w:val="24"/>
          <w:szCs w:val="24"/>
        </w:rPr>
        <w:t>hearing, Staff presented documentary evidence and the testimony of</w:t>
      </w:r>
      <w:r w:rsidR="00FF33D0" w:rsidRPr="00DD7443">
        <w:rPr>
          <w:rFonts w:eastAsia="Times New Roman"/>
          <w:sz w:val="24"/>
          <w:szCs w:val="24"/>
        </w:rPr>
        <w:t xml:space="preserve"> </w:t>
      </w:r>
      <w:r w:rsidR="00D00BE5" w:rsidRPr="00DD7443">
        <w:rPr>
          <w:rFonts w:eastAsia="Times New Roman"/>
          <w:sz w:val="24"/>
          <w:szCs w:val="24"/>
        </w:rPr>
        <w:t xml:space="preserve">compliance investigator </w:t>
      </w:r>
      <w:r w:rsidR="00FF33D0" w:rsidRPr="00DD7443">
        <w:rPr>
          <w:rFonts w:eastAsia="Times New Roman"/>
          <w:sz w:val="24"/>
          <w:szCs w:val="24"/>
        </w:rPr>
        <w:t xml:space="preserve">Darren Tinnerstet. </w:t>
      </w:r>
      <w:r w:rsidR="009B4372">
        <w:rPr>
          <w:rFonts w:eastAsia="Times New Roman"/>
          <w:sz w:val="24"/>
          <w:szCs w:val="24"/>
        </w:rPr>
        <w:t>Annavilla</w:t>
      </w:r>
      <w:r w:rsidR="00D00BE5" w:rsidRPr="00DD7443">
        <w:rPr>
          <w:rFonts w:eastAsia="Times New Roman"/>
          <w:sz w:val="24"/>
          <w:szCs w:val="24"/>
        </w:rPr>
        <w:t xml:space="preserve"> Heath and</w:t>
      </w:r>
      <w:r w:rsidR="009B4372">
        <w:rPr>
          <w:rFonts w:eastAsia="Times New Roman"/>
          <w:sz w:val="24"/>
          <w:szCs w:val="24"/>
        </w:rPr>
        <w:t xml:space="preserve"> Larry</w:t>
      </w:r>
      <w:r w:rsidR="00D00BE5" w:rsidRPr="00DD7443">
        <w:rPr>
          <w:rFonts w:eastAsia="Times New Roman"/>
          <w:sz w:val="24"/>
          <w:szCs w:val="24"/>
        </w:rPr>
        <w:t xml:space="preserve"> </w:t>
      </w:r>
      <w:r w:rsidR="003549C4" w:rsidRPr="00DD7443">
        <w:rPr>
          <w:rFonts w:eastAsia="Times New Roman"/>
          <w:sz w:val="24"/>
          <w:szCs w:val="24"/>
        </w:rPr>
        <w:t>Heath</w:t>
      </w:r>
      <w:r w:rsidR="00F11E7B">
        <w:rPr>
          <w:rFonts w:eastAsia="Times New Roman"/>
          <w:sz w:val="24"/>
          <w:szCs w:val="24"/>
        </w:rPr>
        <w:t xml:space="preserve"> testified for the Company</w:t>
      </w:r>
      <w:r w:rsidR="00FF33D0" w:rsidRPr="00DD7443">
        <w:rPr>
          <w:rFonts w:eastAsia="Times New Roman"/>
          <w:sz w:val="24"/>
          <w:szCs w:val="24"/>
        </w:rPr>
        <w:t xml:space="preserve">. </w:t>
      </w:r>
    </w:p>
    <w:p w14:paraId="46F4385C" w14:textId="77777777" w:rsidR="00AC10E1" w:rsidRPr="00DD7443" w:rsidRDefault="00AC10E1" w:rsidP="00AC10E1">
      <w:pPr>
        <w:pStyle w:val="ListParagraph"/>
        <w:ind w:left="0"/>
      </w:pPr>
    </w:p>
    <w:p w14:paraId="2222F68B" w14:textId="77777777" w:rsidR="00D00BE5" w:rsidRPr="00DD7443" w:rsidRDefault="00FF33D0" w:rsidP="002F4733">
      <w:pPr>
        <w:pStyle w:val="NoSpacing"/>
        <w:numPr>
          <w:ilvl w:val="0"/>
          <w:numId w:val="1"/>
        </w:numPr>
        <w:spacing w:line="264" w:lineRule="auto"/>
        <w:ind w:left="0" w:hanging="720"/>
        <w:rPr>
          <w:sz w:val="24"/>
          <w:szCs w:val="24"/>
        </w:rPr>
      </w:pPr>
      <w:r w:rsidRPr="00DD7443">
        <w:rPr>
          <w:sz w:val="24"/>
          <w:szCs w:val="24"/>
        </w:rPr>
        <w:lastRenderedPageBreak/>
        <w:t xml:space="preserve">Staff explained </w:t>
      </w:r>
      <w:r w:rsidR="00AC10E1" w:rsidRPr="00DD7443">
        <w:rPr>
          <w:sz w:val="24"/>
          <w:szCs w:val="24"/>
        </w:rPr>
        <w:t xml:space="preserve">in its opening statement </w:t>
      </w:r>
      <w:r w:rsidRPr="00DD7443">
        <w:rPr>
          <w:sz w:val="24"/>
          <w:szCs w:val="24"/>
        </w:rPr>
        <w:t xml:space="preserve">that </w:t>
      </w:r>
      <w:r w:rsidR="00F77D91" w:rsidRPr="00DD7443">
        <w:rPr>
          <w:sz w:val="24"/>
          <w:szCs w:val="24"/>
        </w:rPr>
        <w:t>Larry Heath, doing business as Northwest Moving Services, first</w:t>
      </w:r>
      <w:r w:rsidRPr="00DD7443">
        <w:rPr>
          <w:sz w:val="24"/>
          <w:szCs w:val="24"/>
        </w:rPr>
        <w:t xml:space="preserve"> came to </w:t>
      </w:r>
      <w:r w:rsidR="00B06A36" w:rsidRPr="00DD7443">
        <w:rPr>
          <w:sz w:val="24"/>
          <w:szCs w:val="24"/>
        </w:rPr>
        <w:t xml:space="preserve">Staff’s </w:t>
      </w:r>
      <w:r w:rsidRPr="00DD7443">
        <w:rPr>
          <w:sz w:val="24"/>
          <w:szCs w:val="24"/>
        </w:rPr>
        <w:t xml:space="preserve">attention in </w:t>
      </w:r>
      <w:r w:rsidR="00F77D91" w:rsidRPr="00DD7443">
        <w:rPr>
          <w:sz w:val="24"/>
          <w:szCs w:val="24"/>
        </w:rPr>
        <w:t>2011</w:t>
      </w:r>
      <w:r w:rsidRPr="00DD7443">
        <w:rPr>
          <w:sz w:val="24"/>
          <w:szCs w:val="24"/>
        </w:rPr>
        <w:t xml:space="preserve"> as an unpermitted household goods c</w:t>
      </w:r>
      <w:r w:rsidR="00AC10E1" w:rsidRPr="00DD7443">
        <w:rPr>
          <w:sz w:val="24"/>
          <w:szCs w:val="24"/>
        </w:rPr>
        <w:t>arrier</w:t>
      </w:r>
      <w:r w:rsidR="00F12C75" w:rsidRPr="00DD7443">
        <w:rPr>
          <w:sz w:val="24"/>
          <w:szCs w:val="24"/>
        </w:rPr>
        <w:t xml:space="preserve">. </w:t>
      </w:r>
      <w:r w:rsidR="00AC10E1" w:rsidRPr="00DD7443">
        <w:rPr>
          <w:sz w:val="24"/>
          <w:szCs w:val="24"/>
        </w:rPr>
        <w:t xml:space="preserve">In early 2012, </w:t>
      </w:r>
      <w:r w:rsidR="00CB5C8E">
        <w:rPr>
          <w:sz w:val="24"/>
          <w:szCs w:val="24"/>
        </w:rPr>
        <w:t xml:space="preserve">the Commission subpoenaed </w:t>
      </w:r>
      <w:r w:rsidR="00F12C75" w:rsidRPr="00DD7443">
        <w:rPr>
          <w:sz w:val="24"/>
          <w:szCs w:val="24"/>
        </w:rPr>
        <w:t xml:space="preserve">Mr. Heath to appear </w:t>
      </w:r>
      <w:r w:rsidR="00CB5C8E">
        <w:rPr>
          <w:sz w:val="24"/>
          <w:szCs w:val="24"/>
        </w:rPr>
        <w:t>at</w:t>
      </w:r>
      <w:r w:rsidR="0084652F">
        <w:rPr>
          <w:sz w:val="24"/>
          <w:szCs w:val="24"/>
        </w:rPr>
        <w:t xml:space="preserve"> a classification proceeding</w:t>
      </w:r>
      <w:r w:rsidR="002F4733">
        <w:rPr>
          <w:sz w:val="24"/>
          <w:szCs w:val="24"/>
        </w:rPr>
        <w:t>,</w:t>
      </w:r>
      <w:r w:rsidR="00F12C75" w:rsidRPr="00DD7443">
        <w:rPr>
          <w:sz w:val="24"/>
          <w:szCs w:val="24"/>
        </w:rPr>
        <w:t xml:space="preserve"> but </w:t>
      </w:r>
      <w:r w:rsidR="00CB5C8E">
        <w:rPr>
          <w:sz w:val="24"/>
          <w:szCs w:val="24"/>
        </w:rPr>
        <w:t xml:space="preserve">he </w:t>
      </w:r>
      <w:r w:rsidR="00F12C75" w:rsidRPr="00DD7443">
        <w:rPr>
          <w:sz w:val="24"/>
          <w:szCs w:val="24"/>
        </w:rPr>
        <w:t>did not</w:t>
      </w:r>
      <w:r w:rsidR="00CB5C8E">
        <w:rPr>
          <w:sz w:val="24"/>
          <w:szCs w:val="24"/>
        </w:rPr>
        <w:t xml:space="preserve"> comply</w:t>
      </w:r>
      <w:r w:rsidR="00F12C75" w:rsidRPr="00DD7443">
        <w:rPr>
          <w:sz w:val="24"/>
          <w:szCs w:val="24"/>
        </w:rPr>
        <w:t xml:space="preserve">. </w:t>
      </w:r>
      <w:r w:rsidR="00AC10E1" w:rsidRPr="00DD7443">
        <w:rPr>
          <w:sz w:val="24"/>
          <w:szCs w:val="24"/>
        </w:rPr>
        <w:t>Accordingly, o</w:t>
      </w:r>
      <w:r w:rsidR="00F12C75" w:rsidRPr="00DD7443">
        <w:rPr>
          <w:sz w:val="24"/>
          <w:szCs w:val="24"/>
        </w:rPr>
        <w:t xml:space="preserve">n January 25, 2012, the Commission </w:t>
      </w:r>
      <w:r w:rsidR="00CB5C8E">
        <w:rPr>
          <w:sz w:val="24"/>
          <w:szCs w:val="24"/>
        </w:rPr>
        <w:t>entered</w:t>
      </w:r>
      <w:r w:rsidR="0084652F">
        <w:rPr>
          <w:sz w:val="24"/>
          <w:szCs w:val="24"/>
        </w:rPr>
        <w:t xml:space="preserve"> Order 01 in Docket TV-111943</w:t>
      </w:r>
      <w:r w:rsidR="00F12C75" w:rsidRPr="00DD7443">
        <w:rPr>
          <w:sz w:val="24"/>
          <w:szCs w:val="24"/>
        </w:rPr>
        <w:t xml:space="preserve"> finding Mr. Heath in default for </w:t>
      </w:r>
      <w:r w:rsidR="00AC10E1" w:rsidRPr="00DD7443">
        <w:rPr>
          <w:sz w:val="24"/>
          <w:szCs w:val="24"/>
        </w:rPr>
        <w:t>failing</w:t>
      </w:r>
      <w:r w:rsidR="00F12C75" w:rsidRPr="00DD7443">
        <w:rPr>
          <w:sz w:val="24"/>
          <w:szCs w:val="24"/>
        </w:rPr>
        <w:t xml:space="preserve"> to appear and assessing a $5,000 penalty</w:t>
      </w:r>
      <w:r w:rsidR="006D463D" w:rsidRPr="00DD7443">
        <w:rPr>
          <w:sz w:val="24"/>
          <w:szCs w:val="24"/>
        </w:rPr>
        <w:t>.</w:t>
      </w:r>
      <w:r w:rsidR="00F12C75" w:rsidRPr="00DD7443">
        <w:rPr>
          <w:sz w:val="24"/>
          <w:szCs w:val="24"/>
        </w:rPr>
        <w:t xml:space="preserve"> </w:t>
      </w:r>
      <w:r w:rsidR="00B06A36" w:rsidRPr="00DD7443">
        <w:rPr>
          <w:sz w:val="24"/>
          <w:szCs w:val="24"/>
        </w:rPr>
        <w:t>To date, the penalty remains unpaid.</w:t>
      </w:r>
      <w:r w:rsidR="00CB5C8E">
        <w:rPr>
          <w:sz w:val="24"/>
          <w:szCs w:val="24"/>
        </w:rPr>
        <w:t xml:space="preserve"> Staff contends that Mr. Heath</w:t>
      </w:r>
      <w:r w:rsidR="003D3B7A">
        <w:rPr>
          <w:sz w:val="24"/>
          <w:szCs w:val="24"/>
        </w:rPr>
        <w:t>, not his wife,</w:t>
      </w:r>
      <w:r w:rsidR="00CB5C8E">
        <w:rPr>
          <w:sz w:val="24"/>
          <w:szCs w:val="24"/>
        </w:rPr>
        <w:t xml:space="preserve"> is the actual owner and operator of Movers4U and that the Application is his attempt to obtain a permit</w:t>
      </w:r>
      <w:r w:rsidR="003D3B7A">
        <w:rPr>
          <w:sz w:val="24"/>
          <w:szCs w:val="24"/>
        </w:rPr>
        <w:t xml:space="preserve"> to which he otherwise would not be entitled.</w:t>
      </w:r>
    </w:p>
    <w:p w14:paraId="3258F329" w14:textId="77777777" w:rsidR="00D00BE5" w:rsidRPr="00DD7443" w:rsidRDefault="00D00BE5" w:rsidP="00D00BE5">
      <w:pPr>
        <w:pStyle w:val="ListParagraph"/>
      </w:pPr>
    </w:p>
    <w:p w14:paraId="19753C5F" w14:textId="77777777" w:rsidR="00626874" w:rsidRPr="00DD7443" w:rsidRDefault="00D15D31" w:rsidP="002F4733">
      <w:pPr>
        <w:pStyle w:val="NoSpacing"/>
        <w:numPr>
          <w:ilvl w:val="0"/>
          <w:numId w:val="1"/>
        </w:numPr>
        <w:spacing w:line="264" w:lineRule="auto"/>
        <w:ind w:left="0" w:hanging="720"/>
        <w:rPr>
          <w:sz w:val="24"/>
          <w:szCs w:val="24"/>
        </w:rPr>
      </w:pPr>
      <w:r w:rsidRPr="00DD7443">
        <w:rPr>
          <w:sz w:val="24"/>
          <w:szCs w:val="24"/>
        </w:rPr>
        <w:t>Ms. Heath</w:t>
      </w:r>
      <w:r w:rsidR="006D463D" w:rsidRPr="00DD7443">
        <w:rPr>
          <w:sz w:val="24"/>
          <w:szCs w:val="24"/>
        </w:rPr>
        <w:t xml:space="preserve"> testified that </w:t>
      </w:r>
      <w:r w:rsidRPr="00DD7443">
        <w:rPr>
          <w:sz w:val="24"/>
          <w:szCs w:val="24"/>
        </w:rPr>
        <w:t xml:space="preserve">she intends to be the sole </w:t>
      </w:r>
      <w:r w:rsidR="00BC5FE5">
        <w:rPr>
          <w:sz w:val="24"/>
          <w:szCs w:val="24"/>
        </w:rPr>
        <w:t xml:space="preserve">owner and </w:t>
      </w:r>
      <w:r w:rsidRPr="00DD7443">
        <w:rPr>
          <w:sz w:val="24"/>
          <w:szCs w:val="24"/>
        </w:rPr>
        <w:t xml:space="preserve">operator of Movers4U, and that Mr. Heath would have no involvement in the </w:t>
      </w:r>
      <w:r w:rsidR="00F11E7B">
        <w:rPr>
          <w:sz w:val="24"/>
          <w:szCs w:val="24"/>
        </w:rPr>
        <w:t>C</w:t>
      </w:r>
      <w:r w:rsidRPr="00DD7443">
        <w:rPr>
          <w:sz w:val="24"/>
          <w:szCs w:val="24"/>
        </w:rPr>
        <w:t xml:space="preserve">ompany whatsoever. On cross-examination, Ms. Heath acknowledged that </w:t>
      </w:r>
      <w:r w:rsidR="006E576C" w:rsidRPr="00DD7443">
        <w:rPr>
          <w:sz w:val="24"/>
          <w:szCs w:val="24"/>
        </w:rPr>
        <w:t xml:space="preserve">she </w:t>
      </w:r>
      <w:r w:rsidRPr="00DD7443">
        <w:rPr>
          <w:sz w:val="24"/>
          <w:szCs w:val="24"/>
        </w:rPr>
        <w:t xml:space="preserve">has no experience in the household goods moving industry, does not have a driver’s license, and has never driven a moving truck. </w:t>
      </w:r>
      <w:r w:rsidR="00B06A36" w:rsidRPr="00DD7443">
        <w:rPr>
          <w:sz w:val="24"/>
          <w:szCs w:val="24"/>
        </w:rPr>
        <w:t xml:space="preserve">In response to </w:t>
      </w:r>
      <w:r w:rsidR="00345CA9">
        <w:rPr>
          <w:sz w:val="24"/>
          <w:szCs w:val="24"/>
        </w:rPr>
        <w:t>questions from</w:t>
      </w:r>
      <w:r w:rsidR="006E576C" w:rsidRPr="00DD7443">
        <w:rPr>
          <w:sz w:val="24"/>
          <w:szCs w:val="24"/>
        </w:rPr>
        <w:t xml:space="preserve"> Staff, Ms. Heath testified that she purchased three of the </w:t>
      </w:r>
      <w:r w:rsidR="00612BDD" w:rsidRPr="00DD7443">
        <w:rPr>
          <w:sz w:val="24"/>
          <w:szCs w:val="24"/>
        </w:rPr>
        <w:t xml:space="preserve">four </w:t>
      </w:r>
      <w:r w:rsidR="006E576C" w:rsidRPr="00DD7443">
        <w:rPr>
          <w:sz w:val="24"/>
          <w:szCs w:val="24"/>
        </w:rPr>
        <w:t xml:space="preserve">box trucks </w:t>
      </w:r>
      <w:r w:rsidR="00612BDD" w:rsidRPr="00DD7443">
        <w:rPr>
          <w:sz w:val="24"/>
          <w:szCs w:val="24"/>
        </w:rPr>
        <w:t xml:space="preserve">currently </w:t>
      </w:r>
      <w:r w:rsidR="006E576C" w:rsidRPr="00DD7443">
        <w:rPr>
          <w:sz w:val="24"/>
          <w:szCs w:val="24"/>
        </w:rPr>
        <w:t xml:space="preserve">parked at her residence from Mr. Heath. </w:t>
      </w:r>
      <w:r w:rsidR="00626874" w:rsidRPr="00DD7443">
        <w:rPr>
          <w:sz w:val="24"/>
          <w:szCs w:val="24"/>
        </w:rPr>
        <w:t xml:space="preserve">She further testified that Mr. Heath </w:t>
      </w:r>
      <w:r w:rsidR="006E576C" w:rsidRPr="00DD7443">
        <w:rPr>
          <w:sz w:val="24"/>
          <w:szCs w:val="24"/>
        </w:rPr>
        <w:t>uses the other box truck for his packing business</w:t>
      </w:r>
      <w:r w:rsidR="00626874" w:rsidRPr="00DD7443">
        <w:rPr>
          <w:sz w:val="24"/>
          <w:szCs w:val="24"/>
        </w:rPr>
        <w:t xml:space="preserve">, Northwest Packing Services. </w:t>
      </w:r>
    </w:p>
    <w:p w14:paraId="4199BF22" w14:textId="77777777" w:rsidR="00626874" w:rsidRPr="00DD7443" w:rsidRDefault="00626874" w:rsidP="00626874">
      <w:pPr>
        <w:pStyle w:val="ListParagraph"/>
      </w:pPr>
    </w:p>
    <w:p w14:paraId="42466527" w14:textId="77777777" w:rsidR="006E576C" w:rsidRPr="00DD7443" w:rsidRDefault="00D15D31" w:rsidP="002F4733">
      <w:pPr>
        <w:pStyle w:val="NoSpacing"/>
        <w:numPr>
          <w:ilvl w:val="0"/>
          <w:numId w:val="1"/>
        </w:numPr>
        <w:spacing w:line="264" w:lineRule="auto"/>
        <w:ind w:left="0" w:hanging="720"/>
        <w:rPr>
          <w:sz w:val="24"/>
          <w:szCs w:val="24"/>
        </w:rPr>
      </w:pPr>
      <w:r w:rsidRPr="00DD7443">
        <w:rPr>
          <w:sz w:val="24"/>
          <w:szCs w:val="24"/>
        </w:rPr>
        <w:t xml:space="preserve">Ms. Heath </w:t>
      </w:r>
      <w:r w:rsidR="00362005" w:rsidRPr="00DD7443">
        <w:rPr>
          <w:sz w:val="24"/>
          <w:szCs w:val="24"/>
        </w:rPr>
        <w:t>testified</w:t>
      </w:r>
      <w:r w:rsidRPr="00DD7443">
        <w:rPr>
          <w:sz w:val="24"/>
          <w:szCs w:val="24"/>
        </w:rPr>
        <w:t xml:space="preserve"> that, “We have hired one driver,” and, in response to questions from the bench, admitted she was referring to herself and her husband when she used the pronoun “we.”</w:t>
      </w:r>
      <w:r w:rsidR="00362005" w:rsidRPr="00DD7443">
        <w:rPr>
          <w:sz w:val="24"/>
          <w:szCs w:val="24"/>
        </w:rPr>
        <w:t xml:space="preserve"> </w:t>
      </w:r>
      <w:r w:rsidR="00D00BE5" w:rsidRPr="00DD7443">
        <w:rPr>
          <w:sz w:val="24"/>
          <w:szCs w:val="24"/>
        </w:rPr>
        <w:t xml:space="preserve">She subsequently denied, however, that Mr. Heath </w:t>
      </w:r>
      <w:r w:rsidR="00B06A36" w:rsidRPr="00DD7443">
        <w:rPr>
          <w:sz w:val="24"/>
          <w:szCs w:val="24"/>
        </w:rPr>
        <w:t>assisted with hiring the driver</w:t>
      </w:r>
      <w:r w:rsidR="006E576C" w:rsidRPr="00DD7443">
        <w:rPr>
          <w:sz w:val="24"/>
          <w:szCs w:val="24"/>
        </w:rPr>
        <w:t xml:space="preserve">. </w:t>
      </w:r>
    </w:p>
    <w:p w14:paraId="21A34EEE" w14:textId="77777777" w:rsidR="006E576C" w:rsidRPr="00DD7443" w:rsidRDefault="006E576C" w:rsidP="006E576C">
      <w:pPr>
        <w:pStyle w:val="ListParagraph"/>
      </w:pPr>
    </w:p>
    <w:p w14:paraId="1117B810" w14:textId="77777777" w:rsidR="005200FC" w:rsidRPr="00DD7443" w:rsidRDefault="00362005" w:rsidP="006370EA">
      <w:pPr>
        <w:pStyle w:val="NoSpacing"/>
        <w:numPr>
          <w:ilvl w:val="0"/>
          <w:numId w:val="1"/>
        </w:numPr>
        <w:spacing w:line="264" w:lineRule="auto"/>
        <w:ind w:left="0" w:hanging="720"/>
        <w:rPr>
          <w:sz w:val="24"/>
          <w:szCs w:val="24"/>
        </w:rPr>
      </w:pPr>
      <w:r w:rsidRPr="00DD7443">
        <w:rPr>
          <w:sz w:val="24"/>
          <w:szCs w:val="24"/>
        </w:rPr>
        <w:t>Ms. Heath testified that, to her knowledge, Mr. Heath has not performed any household goods moves since 2013.</w:t>
      </w:r>
      <w:r w:rsidR="003D3B7A">
        <w:rPr>
          <w:sz w:val="24"/>
          <w:szCs w:val="24"/>
        </w:rPr>
        <w:t xml:space="preserve"> </w:t>
      </w:r>
      <w:r w:rsidR="00F11E7B">
        <w:rPr>
          <w:sz w:val="24"/>
          <w:szCs w:val="24"/>
        </w:rPr>
        <w:t xml:space="preserve">The </w:t>
      </w:r>
      <w:r w:rsidR="002B615D" w:rsidRPr="00DD7443">
        <w:rPr>
          <w:sz w:val="24"/>
          <w:szCs w:val="24"/>
        </w:rPr>
        <w:t>Application</w:t>
      </w:r>
      <w:r w:rsidR="003D3B7A">
        <w:rPr>
          <w:sz w:val="24"/>
          <w:szCs w:val="24"/>
        </w:rPr>
        <w:t>, however,</w:t>
      </w:r>
      <w:r w:rsidR="002B615D" w:rsidRPr="00DD7443">
        <w:rPr>
          <w:sz w:val="24"/>
          <w:szCs w:val="24"/>
        </w:rPr>
        <w:t xml:space="preserve"> </w:t>
      </w:r>
      <w:r w:rsidR="00980E35" w:rsidRPr="00DD7443">
        <w:rPr>
          <w:sz w:val="24"/>
          <w:szCs w:val="24"/>
        </w:rPr>
        <w:t xml:space="preserve">includes a statement of support </w:t>
      </w:r>
      <w:r w:rsidR="002B615D" w:rsidRPr="00DD7443">
        <w:rPr>
          <w:sz w:val="24"/>
          <w:szCs w:val="24"/>
        </w:rPr>
        <w:t xml:space="preserve">from Wally Lane, the manager of Bucky’s </w:t>
      </w:r>
      <w:r w:rsidR="00980E35" w:rsidRPr="00DD7443">
        <w:rPr>
          <w:sz w:val="24"/>
          <w:szCs w:val="24"/>
        </w:rPr>
        <w:t xml:space="preserve">in Auburn, which </w:t>
      </w:r>
      <w:r w:rsidR="00B06A36" w:rsidRPr="00DD7443">
        <w:rPr>
          <w:sz w:val="24"/>
          <w:szCs w:val="24"/>
        </w:rPr>
        <w:t>states</w:t>
      </w:r>
      <w:r w:rsidR="002B615D" w:rsidRPr="00DD7443">
        <w:rPr>
          <w:sz w:val="24"/>
          <w:szCs w:val="24"/>
        </w:rPr>
        <w:t>, “They do a great job and care about the things they move,” and “</w:t>
      </w:r>
      <w:r w:rsidR="00980E35" w:rsidRPr="00DD7443">
        <w:rPr>
          <w:sz w:val="24"/>
          <w:szCs w:val="24"/>
        </w:rPr>
        <w:t>N</w:t>
      </w:r>
      <w:r w:rsidR="002B615D" w:rsidRPr="00DD7443">
        <w:rPr>
          <w:sz w:val="24"/>
          <w:szCs w:val="24"/>
        </w:rPr>
        <w:t xml:space="preserve">o scratching, denting, and covered.” In response to questions </w:t>
      </w:r>
      <w:r w:rsidR="00780899" w:rsidRPr="00DD7443">
        <w:rPr>
          <w:sz w:val="24"/>
          <w:szCs w:val="24"/>
        </w:rPr>
        <w:t xml:space="preserve">from the bench </w:t>
      </w:r>
      <w:r w:rsidR="00B06A36" w:rsidRPr="00DD7443">
        <w:rPr>
          <w:sz w:val="24"/>
          <w:szCs w:val="24"/>
        </w:rPr>
        <w:t xml:space="preserve">regarding to </w:t>
      </w:r>
      <w:r w:rsidR="0084652F">
        <w:rPr>
          <w:sz w:val="24"/>
          <w:szCs w:val="24"/>
        </w:rPr>
        <w:t>what</w:t>
      </w:r>
      <w:r w:rsidR="002B615D" w:rsidRPr="00DD7443">
        <w:rPr>
          <w:sz w:val="24"/>
          <w:szCs w:val="24"/>
        </w:rPr>
        <w:t xml:space="preserve"> </w:t>
      </w:r>
      <w:r w:rsidR="00B06A36" w:rsidRPr="00DD7443">
        <w:rPr>
          <w:sz w:val="24"/>
          <w:szCs w:val="24"/>
        </w:rPr>
        <w:t xml:space="preserve">and </w:t>
      </w:r>
      <w:r w:rsidR="0084652F">
        <w:rPr>
          <w:sz w:val="24"/>
          <w:szCs w:val="24"/>
        </w:rPr>
        <w:t>to whom</w:t>
      </w:r>
      <w:r w:rsidR="00B06A36" w:rsidRPr="00DD7443">
        <w:rPr>
          <w:sz w:val="24"/>
          <w:szCs w:val="24"/>
        </w:rPr>
        <w:t xml:space="preserve"> </w:t>
      </w:r>
      <w:r w:rsidR="002B615D" w:rsidRPr="00DD7443">
        <w:rPr>
          <w:sz w:val="24"/>
          <w:szCs w:val="24"/>
        </w:rPr>
        <w:t xml:space="preserve">these statements referred, Ms. Heath first explained that Mr. Lane </w:t>
      </w:r>
      <w:r w:rsidR="00506DCF" w:rsidRPr="00DD7443">
        <w:rPr>
          <w:sz w:val="24"/>
          <w:szCs w:val="24"/>
        </w:rPr>
        <w:t>must have mis</w:t>
      </w:r>
      <w:r w:rsidR="00B06A36" w:rsidRPr="00DD7443">
        <w:rPr>
          <w:sz w:val="24"/>
          <w:szCs w:val="24"/>
        </w:rPr>
        <w:t xml:space="preserve">understood the question, </w:t>
      </w:r>
      <w:r w:rsidR="002B615D" w:rsidRPr="00DD7443">
        <w:rPr>
          <w:sz w:val="24"/>
          <w:szCs w:val="24"/>
        </w:rPr>
        <w:t>then speculated that Mr. Lane was referring to Mr. Heath’s prior moving business</w:t>
      </w:r>
      <w:r w:rsidR="00980E35" w:rsidRPr="00DD7443">
        <w:rPr>
          <w:sz w:val="24"/>
          <w:szCs w:val="24"/>
        </w:rPr>
        <w:t>,</w:t>
      </w:r>
      <w:r w:rsidR="002B615D" w:rsidRPr="00DD7443">
        <w:rPr>
          <w:sz w:val="24"/>
          <w:szCs w:val="24"/>
        </w:rPr>
        <w:t xml:space="preserve"> and </w:t>
      </w:r>
      <w:r w:rsidR="00B06A36" w:rsidRPr="00DD7443">
        <w:rPr>
          <w:sz w:val="24"/>
          <w:szCs w:val="24"/>
        </w:rPr>
        <w:t xml:space="preserve">that he </w:t>
      </w:r>
      <w:r w:rsidR="0084652F">
        <w:rPr>
          <w:sz w:val="24"/>
          <w:szCs w:val="24"/>
        </w:rPr>
        <w:t>likel</w:t>
      </w:r>
      <w:r w:rsidR="00980E35" w:rsidRPr="00DD7443">
        <w:rPr>
          <w:sz w:val="24"/>
          <w:szCs w:val="24"/>
        </w:rPr>
        <w:t>y</w:t>
      </w:r>
      <w:r w:rsidR="002B615D" w:rsidRPr="00DD7443">
        <w:rPr>
          <w:sz w:val="24"/>
          <w:szCs w:val="24"/>
        </w:rPr>
        <w:t xml:space="preserve"> believed the Application belonged to Mr. Heath. Mr. Heath interjected to explain that he </w:t>
      </w:r>
      <w:r w:rsidR="00B06A36" w:rsidRPr="00DD7443">
        <w:rPr>
          <w:sz w:val="24"/>
          <w:szCs w:val="24"/>
        </w:rPr>
        <w:t>had</w:t>
      </w:r>
      <w:r w:rsidR="0084652F">
        <w:rPr>
          <w:sz w:val="24"/>
          <w:szCs w:val="24"/>
        </w:rPr>
        <w:t>, in fact,</w:t>
      </w:r>
      <w:r w:rsidR="00B06A36" w:rsidRPr="00DD7443">
        <w:rPr>
          <w:sz w:val="24"/>
          <w:szCs w:val="24"/>
        </w:rPr>
        <w:t xml:space="preserve"> </w:t>
      </w:r>
      <w:r w:rsidR="002B615D" w:rsidRPr="00DD7443">
        <w:rPr>
          <w:sz w:val="24"/>
          <w:szCs w:val="24"/>
        </w:rPr>
        <w:t xml:space="preserve">asked Mr. Lane to provide the </w:t>
      </w:r>
      <w:r w:rsidR="00B06A36" w:rsidRPr="00DD7443">
        <w:rPr>
          <w:sz w:val="24"/>
          <w:szCs w:val="24"/>
        </w:rPr>
        <w:t>statement of support</w:t>
      </w:r>
      <w:r w:rsidR="002B615D" w:rsidRPr="00DD7443">
        <w:rPr>
          <w:sz w:val="24"/>
          <w:szCs w:val="24"/>
        </w:rPr>
        <w:t xml:space="preserve">. </w:t>
      </w:r>
    </w:p>
    <w:p w14:paraId="55FCE8BF" w14:textId="77777777" w:rsidR="006E576C" w:rsidRPr="00DD7443" w:rsidRDefault="006E576C" w:rsidP="006E576C">
      <w:pPr>
        <w:pStyle w:val="ListParagraph"/>
      </w:pPr>
    </w:p>
    <w:p w14:paraId="6279C44C" w14:textId="77777777" w:rsidR="006E576C" w:rsidRPr="00DD7443" w:rsidRDefault="006E576C" w:rsidP="002F4733">
      <w:pPr>
        <w:pStyle w:val="NoSpacing"/>
        <w:numPr>
          <w:ilvl w:val="0"/>
          <w:numId w:val="1"/>
        </w:numPr>
        <w:spacing w:line="264" w:lineRule="auto"/>
        <w:ind w:left="0" w:hanging="720"/>
        <w:rPr>
          <w:sz w:val="24"/>
          <w:szCs w:val="24"/>
        </w:rPr>
      </w:pPr>
      <w:r w:rsidRPr="00DD7443">
        <w:rPr>
          <w:sz w:val="24"/>
          <w:szCs w:val="24"/>
        </w:rPr>
        <w:t>Mr. Heath testified that he owns a packing and labo</w:t>
      </w:r>
      <w:r w:rsidR="00D00BE5" w:rsidRPr="00DD7443">
        <w:rPr>
          <w:sz w:val="24"/>
          <w:szCs w:val="24"/>
        </w:rPr>
        <w:t>r service</w:t>
      </w:r>
      <w:r w:rsidRPr="00DD7443">
        <w:rPr>
          <w:sz w:val="24"/>
          <w:szCs w:val="24"/>
        </w:rPr>
        <w:t xml:space="preserve">. According to Mr. Heath, he uses two box trucks in the course of his business: one for packing and crating, and one to pick up free boxes and packing materials. </w:t>
      </w:r>
      <w:r w:rsidR="00B05A1D" w:rsidRPr="00DD7443">
        <w:rPr>
          <w:sz w:val="24"/>
          <w:szCs w:val="24"/>
        </w:rPr>
        <w:t xml:space="preserve">Mr. Heath further testified that he has not performed any household goods moves since receiving the Commission’s </w:t>
      </w:r>
      <w:r w:rsidR="006057A9">
        <w:rPr>
          <w:sz w:val="24"/>
          <w:szCs w:val="24"/>
        </w:rPr>
        <w:t>o</w:t>
      </w:r>
      <w:r w:rsidR="00B05A1D" w:rsidRPr="00DD7443">
        <w:rPr>
          <w:sz w:val="24"/>
          <w:szCs w:val="24"/>
        </w:rPr>
        <w:t xml:space="preserve">rder to cease and desist, </w:t>
      </w:r>
      <w:r w:rsidR="00612BDD" w:rsidRPr="00DD7443">
        <w:rPr>
          <w:sz w:val="24"/>
          <w:szCs w:val="24"/>
        </w:rPr>
        <w:t>which</w:t>
      </w:r>
      <w:r w:rsidR="0084652F">
        <w:rPr>
          <w:sz w:val="24"/>
          <w:szCs w:val="24"/>
        </w:rPr>
        <w:t>, he claims,</w:t>
      </w:r>
      <w:r w:rsidR="00612BDD" w:rsidRPr="00DD7443">
        <w:rPr>
          <w:sz w:val="24"/>
          <w:szCs w:val="24"/>
        </w:rPr>
        <w:t xml:space="preserve"> was </w:t>
      </w:r>
      <w:r w:rsidR="00B05A1D" w:rsidRPr="00DD7443">
        <w:rPr>
          <w:sz w:val="24"/>
          <w:szCs w:val="24"/>
        </w:rPr>
        <w:t>when</w:t>
      </w:r>
      <w:r w:rsidR="0084652F">
        <w:rPr>
          <w:sz w:val="24"/>
          <w:szCs w:val="24"/>
        </w:rPr>
        <w:t xml:space="preserve"> </w:t>
      </w:r>
      <w:r w:rsidR="00D00BE5" w:rsidRPr="00DD7443">
        <w:rPr>
          <w:sz w:val="24"/>
          <w:szCs w:val="24"/>
        </w:rPr>
        <w:t xml:space="preserve">he </w:t>
      </w:r>
      <w:r w:rsidR="00B05A1D" w:rsidRPr="00DD7443">
        <w:rPr>
          <w:sz w:val="24"/>
          <w:szCs w:val="24"/>
        </w:rPr>
        <w:t xml:space="preserve">first learned </w:t>
      </w:r>
      <w:r w:rsidR="00D00BE5" w:rsidRPr="00DD7443">
        <w:rPr>
          <w:sz w:val="24"/>
          <w:szCs w:val="24"/>
        </w:rPr>
        <w:t xml:space="preserve">that </w:t>
      </w:r>
      <w:r w:rsidR="00B05A1D" w:rsidRPr="00DD7443">
        <w:rPr>
          <w:sz w:val="24"/>
          <w:szCs w:val="24"/>
        </w:rPr>
        <w:t>he needed a permit to operate</w:t>
      </w:r>
      <w:r w:rsidR="0084652F">
        <w:rPr>
          <w:sz w:val="24"/>
          <w:szCs w:val="24"/>
        </w:rPr>
        <w:t xml:space="preserve"> </w:t>
      </w:r>
      <w:r w:rsidR="0084652F">
        <w:rPr>
          <w:sz w:val="24"/>
          <w:szCs w:val="24"/>
        </w:rPr>
        <w:lastRenderedPageBreak/>
        <w:t>as a household goods carrier</w:t>
      </w:r>
      <w:r w:rsidR="00B05A1D" w:rsidRPr="00DD7443">
        <w:rPr>
          <w:sz w:val="24"/>
          <w:szCs w:val="24"/>
        </w:rPr>
        <w:t>. Mr. Heath testi</w:t>
      </w:r>
      <w:r w:rsidR="003D3B7A">
        <w:rPr>
          <w:sz w:val="24"/>
          <w:szCs w:val="24"/>
        </w:rPr>
        <w:t>fied that</w:t>
      </w:r>
      <w:r w:rsidR="00B05A1D" w:rsidRPr="00DD7443">
        <w:rPr>
          <w:sz w:val="24"/>
          <w:szCs w:val="24"/>
        </w:rPr>
        <w:t xml:space="preserve"> he “definitely applied for” a household goods permit.</w:t>
      </w:r>
      <w:r w:rsidR="00B05A1D" w:rsidRPr="00DD7443">
        <w:rPr>
          <w:rStyle w:val="FootnoteReference"/>
          <w:sz w:val="24"/>
          <w:szCs w:val="24"/>
        </w:rPr>
        <w:footnoteReference w:id="1"/>
      </w:r>
    </w:p>
    <w:p w14:paraId="746C7A70" w14:textId="77777777" w:rsidR="00B05A1D" w:rsidRPr="00DD7443" w:rsidRDefault="00B05A1D" w:rsidP="00B05A1D">
      <w:pPr>
        <w:pStyle w:val="ListParagraph"/>
      </w:pPr>
    </w:p>
    <w:p w14:paraId="00A20AEF" w14:textId="77777777" w:rsidR="006E576C" w:rsidRDefault="00B05A1D" w:rsidP="002F4733">
      <w:pPr>
        <w:pStyle w:val="NoSpacing"/>
        <w:numPr>
          <w:ilvl w:val="0"/>
          <w:numId w:val="1"/>
        </w:numPr>
        <w:spacing w:line="264" w:lineRule="auto"/>
        <w:ind w:left="0" w:hanging="720"/>
        <w:rPr>
          <w:sz w:val="24"/>
          <w:szCs w:val="24"/>
        </w:rPr>
      </w:pPr>
      <w:r w:rsidRPr="00DD7443">
        <w:rPr>
          <w:sz w:val="24"/>
          <w:szCs w:val="24"/>
        </w:rPr>
        <w:t>Mr. Heath testified that he buys</w:t>
      </w:r>
      <w:r w:rsidR="00D00BE5" w:rsidRPr="00DD7443">
        <w:rPr>
          <w:sz w:val="24"/>
          <w:szCs w:val="24"/>
        </w:rPr>
        <w:t>, repairs,</w:t>
      </w:r>
      <w:r w:rsidRPr="00DD7443">
        <w:rPr>
          <w:sz w:val="24"/>
          <w:szCs w:val="24"/>
        </w:rPr>
        <w:t xml:space="preserve"> and sells box trucks. </w:t>
      </w:r>
      <w:r w:rsidR="0031074E">
        <w:rPr>
          <w:sz w:val="24"/>
          <w:szCs w:val="24"/>
        </w:rPr>
        <w:t>According to Mr. Heath’s testimony,</w:t>
      </w:r>
      <w:r w:rsidRPr="00DD7443">
        <w:rPr>
          <w:sz w:val="24"/>
          <w:szCs w:val="24"/>
        </w:rPr>
        <w:t xml:space="preserve"> there are</w:t>
      </w:r>
      <w:r w:rsidR="0031074E">
        <w:rPr>
          <w:sz w:val="24"/>
          <w:szCs w:val="24"/>
        </w:rPr>
        <w:t xml:space="preserve"> </w:t>
      </w:r>
      <w:r w:rsidR="00D00BE5" w:rsidRPr="00DD7443">
        <w:rPr>
          <w:sz w:val="24"/>
          <w:szCs w:val="24"/>
        </w:rPr>
        <w:t xml:space="preserve">only </w:t>
      </w:r>
      <w:r w:rsidRPr="00DD7443">
        <w:rPr>
          <w:sz w:val="24"/>
          <w:szCs w:val="24"/>
        </w:rPr>
        <w:t>four trucks</w:t>
      </w:r>
      <w:r w:rsidR="0031074E">
        <w:rPr>
          <w:sz w:val="24"/>
          <w:szCs w:val="24"/>
        </w:rPr>
        <w:t xml:space="preserve"> parked</w:t>
      </w:r>
      <w:r w:rsidRPr="00DD7443">
        <w:rPr>
          <w:sz w:val="24"/>
          <w:szCs w:val="24"/>
        </w:rPr>
        <w:t xml:space="preserve"> at his residence</w:t>
      </w:r>
      <w:r w:rsidR="009C6ADA">
        <w:rPr>
          <w:sz w:val="24"/>
          <w:szCs w:val="24"/>
        </w:rPr>
        <w:t xml:space="preserve"> because he </w:t>
      </w:r>
      <w:r w:rsidR="009C6ADA" w:rsidRPr="00DD7443">
        <w:rPr>
          <w:sz w:val="24"/>
          <w:szCs w:val="24"/>
        </w:rPr>
        <w:t>sold</w:t>
      </w:r>
      <w:r w:rsidR="009C6ADA">
        <w:rPr>
          <w:sz w:val="24"/>
          <w:szCs w:val="24"/>
        </w:rPr>
        <w:t xml:space="preserve"> </w:t>
      </w:r>
      <w:r w:rsidR="009C6ADA" w:rsidRPr="00DD7443">
        <w:rPr>
          <w:sz w:val="24"/>
          <w:szCs w:val="24"/>
        </w:rPr>
        <w:t xml:space="preserve">five </w:t>
      </w:r>
      <w:r w:rsidR="0031074E">
        <w:rPr>
          <w:sz w:val="24"/>
          <w:szCs w:val="24"/>
        </w:rPr>
        <w:t xml:space="preserve">of his </w:t>
      </w:r>
      <w:r w:rsidR="009C6ADA" w:rsidRPr="00DD7443">
        <w:rPr>
          <w:sz w:val="24"/>
          <w:szCs w:val="24"/>
        </w:rPr>
        <w:t>trucks</w:t>
      </w:r>
      <w:r w:rsidR="009C6ADA">
        <w:rPr>
          <w:sz w:val="24"/>
          <w:szCs w:val="24"/>
        </w:rPr>
        <w:t xml:space="preserve"> in</w:t>
      </w:r>
      <w:r w:rsidR="009C6ADA" w:rsidRPr="00DD7443">
        <w:rPr>
          <w:sz w:val="24"/>
          <w:szCs w:val="24"/>
        </w:rPr>
        <w:t xml:space="preserve"> April</w:t>
      </w:r>
      <w:r w:rsidR="009C6ADA">
        <w:rPr>
          <w:sz w:val="24"/>
          <w:szCs w:val="24"/>
        </w:rPr>
        <w:t xml:space="preserve"> of this year</w:t>
      </w:r>
      <w:r w:rsidRPr="00DD7443">
        <w:rPr>
          <w:sz w:val="24"/>
          <w:szCs w:val="24"/>
        </w:rPr>
        <w:t>.</w:t>
      </w:r>
      <w:r w:rsidR="002F4733" w:rsidRPr="00DD7443">
        <w:rPr>
          <w:rStyle w:val="FootnoteReference"/>
          <w:sz w:val="24"/>
          <w:szCs w:val="24"/>
        </w:rPr>
        <w:footnoteReference w:id="2"/>
      </w:r>
      <w:r w:rsidR="002F4733" w:rsidRPr="00DD7443">
        <w:rPr>
          <w:sz w:val="24"/>
          <w:szCs w:val="24"/>
        </w:rPr>
        <w:t xml:space="preserve"> </w:t>
      </w:r>
      <w:r w:rsidRPr="00DD7443">
        <w:rPr>
          <w:sz w:val="24"/>
          <w:szCs w:val="24"/>
        </w:rPr>
        <w:t xml:space="preserve"> </w:t>
      </w:r>
    </w:p>
    <w:p w14:paraId="638A2A32" w14:textId="77777777" w:rsidR="00BD09F9" w:rsidRPr="00DD7443" w:rsidRDefault="00BD09F9" w:rsidP="00BD09F9">
      <w:pPr>
        <w:pStyle w:val="NoSpacing"/>
        <w:spacing w:line="264" w:lineRule="auto"/>
        <w:rPr>
          <w:sz w:val="24"/>
          <w:szCs w:val="24"/>
        </w:rPr>
      </w:pPr>
    </w:p>
    <w:p w14:paraId="4681A2EC" w14:textId="77777777" w:rsidR="006E576C" w:rsidRPr="00DD7443" w:rsidRDefault="006E576C" w:rsidP="002F4733">
      <w:pPr>
        <w:pStyle w:val="NoSpacing"/>
        <w:numPr>
          <w:ilvl w:val="0"/>
          <w:numId w:val="1"/>
        </w:numPr>
        <w:spacing w:line="264" w:lineRule="auto"/>
        <w:ind w:left="0" w:hanging="720"/>
        <w:rPr>
          <w:sz w:val="24"/>
          <w:szCs w:val="24"/>
        </w:rPr>
      </w:pPr>
      <w:r w:rsidRPr="00DD7443">
        <w:rPr>
          <w:sz w:val="24"/>
          <w:szCs w:val="24"/>
        </w:rPr>
        <w:t>M</w:t>
      </w:r>
      <w:r w:rsidR="00831AA4" w:rsidRPr="00DD7443">
        <w:rPr>
          <w:sz w:val="24"/>
          <w:szCs w:val="24"/>
        </w:rPr>
        <w:t xml:space="preserve">r. Tinnerstet testified that Staff believes </w:t>
      </w:r>
      <w:r w:rsidR="00BC5FE5">
        <w:rPr>
          <w:sz w:val="24"/>
          <w:szCs w:val="24"/>
        </w:rPr>
        <w:t>Movers4U</w:t>
      </w:r>
      <w:r w:rsidR="00831AA4" w:rsidRPr="00DD7443">
        <w:rPr>
          <w:sz w:val="24"/>
          <w:szCs w:val="24"/>
        </w:rPr>
        <w:t xml:space="preserve">’s </w:t>
      </w:r>
      <w:r w:rsidR="00D00BE5" w:rsidRPr="00DD7443">
        <w:rPr>
          <w:sz w:val="24"/>
          <w:szCs w:val="24"/>
        </w:rPr>
        <w:t>A</w:t>
      </w:r>
      <w:r w:rsidR="00831AA4" w:rsidRPr="00DD7443">
        <w:rPr>
          <w:sz w:val="24"/>
          <w:szCs w:val="24"/>
        </w:rPr>
        <w:t xml:space="preserve">pplication contains false or misleading information because it fails to disclose Mr. Heath’s involvement in the </w:t>
      </w:r>
      <w:r w:rsidR="00BF67C2">
        <w:rPr>
          <w:sz w:val="24"/>
          <w:szCs w:val="24"/>
        </w:rPr>
        <w:t>C</w:t>
      </w:r>
      <w:r w:rsidR="00831AA4" w:rsidRPr="00DD7443">
        <w:rPr>
          <w:sz w:val="24"/>
          <w:szCs w:val="24"/>
        </w:rPr>
        <w:t xml:space="preserve">ompany, and that Mr. Heath’s involvement in the </w:t>
      </w:r>
      <w:r w:rsidR="00BF67C2">
        <w:rPr>
          <w:sz w:val="24"/>
          <w:szCs w:val="24"/>
        </w:rPr>
        <w:t>C</w:t>
      </w:r>
      <w:r w:rsidR="00831AA4" w:rsidRPr="00DD7443">
        <w:rPr>
          <w:sz w:val="24"/>
          <w:szCs w:val="24"/>
        </w:rPr>
        <w:t xml:space="preserve">ompany is actively being concealed because of his outstanding penalty and criminal convictions. </w:t>
      </w:r>
      <w:r w:rsidR="00867B45" w:rsidRPr="00DD7443">
        <w:rPr>
          <w:sz w:val="24"/>
          <w:szCs w:val="24"/>
        </w:rPr>
        <w:t xml:space="preserve">Mr. Tinnerstet testified that there is no record of Mr. Heath having ever applied for a household goods moving permit from the Commission. </w:t>
      </w:r>
    </w:p>
    <w:p w14:paraId="7654061B" w14:textId="77777777" w:rsidR="00D00BE5" w:rsidRPr="00DD7443" w:rsidRDefault="00D00BE5" w:rsidP="00D00BE5">
      <w:pPr>
        <w:pStyle w:val="NoSpacing"/>
        <w:spacing w:line="264" w:lineRule="auto"/>
        <w:rPr>
          <w:sz w:val="24"/>
          <w:szCs w:val="24"/>
        </w:rPr>
      </w:pPr>
    </w:p>
    <w:p w14:paraId="107B39DD" w14:textId="77777777" w:rsidR="00BC5FE5" w:rsidRDefault="00831AA4" w:rsidP="00BC5FE5">
      <w:pPr>
        <w:pStyle w:val="NoSpacing"/>
        <w:numPr>
          <w:ilvl w:val="0"/>
          <w:numId w:val="1"/>
        </w:numPr>
        <w:spacing w:line="264" w:lineRule="auto"/>
        <w:ind w:left="0" w:hanging="720"/>
        <w:rPr>
          <w:sz w:val="24"/>
          <w:szCs w:val="24"/>
        </w:rPr>
      </w:pPr>
      <w:r w:rsidRPr="00DD7443">
        <w:rPr>
          <w:sz w:val="24"/>
          <w:szCs w:val="24"/>
        </w:rPr>
        <w:t xml:space="preserve">Mr. Tinnerstet testified that he obtained </w:t>
      </w:r>
      <w:r w:rsidR="00BC5FE5">
        <w:rPr>
          <w:sz w:val="24"/>
          <w:szCs w:val="24"/>
        </w:rPr>
        <w:t xml:space="preserve">the following posts, dated June 1, 2015, from Mr. Heath’s Facebook page: </w:t>
      </w:r>
    </w:p>
    <w:p w14:paraId="62679718" w14:textId="77777777" w:rsidR="00BC5FE5" w:rsidRDefault="00BC5FE5" w:rsidP="00BC5FE5">
      <w:pPr>
        <w:pStyle w:val="ListParagraph"/>
      </w:pPr>
    </w:p>
    <w:p w14:paraId="3B1C5C52" w14:textId="77777777" w:rsidR="00BC5FE5" w:rsidRDefault="00BC5FE5" w:rsidP="00BC5FE5">
      <w:pPr>
        <w:pStyle w:val="NoSpacing"/>
        <w:numPr>
          <w:ilvl w:val="1"/>
          <w:numId w:val="1"/>
        </w:numPr>
        <w:spacing w:line="264" w:lineRule="auto"/>
        <w:rPr>
          <w:sz w:val="24"/>
          <w:szCs w:val="24"/>
        </w:rPr>
      </w:pPr>
      <w:r>
        <w:rPr>
          <w:sz w:val="24"/>
          <w:szCs w:val="24"/>
        </w:rPr>
        <w:t>A</w:t>
      </w:r>
      <w:r w:rsidR="00831AA4" w:rsidRPr="00BC5FE5">
        <w:rPr>
          <w:sz w:val="24"/>
          <w:szCs w:val="24"/>
        </w:rPr>
        <w:t xml:space="preserve"> photo of eight box trucks parked in front </w:t>
      </w:r>
      <w:r w:rsidR="00D00BE5" w:rsidRPr="00BC5FE5">
        <w:rPr>
          <w:sz w:val="24"/>
          <w:szCs w:val="24"/>
        </w:rPr>
        <w:t>of the Heath residence</w:t>
      </w:r>
      <w:r>
        <w:rPr>
          <w:sz w:val="24"/>
          <w:szCs w:val="24"/>
        </w:rPr>
        <w:t>.</w:t>
      </w:r>
      <w:r w:rsidR="006057A9" w:rsidRPr="00BC5FE5">
        <w:rPr>
          <w:sz w:val="24"/>
          <w:szCs w:val="24"/>
        </w:rPr>
        <w:t xml:space="preserve"> </w:t>
      </w:r>
    </w:p>
    <w:p w14:paraId="4A0E7F25" w14:textId="77777777" w:rsidR="00BC5FE5" w:rsidRDefault="00BC5FE5" w:rsidP="00BC5FE5">
      <w:pPr>
        <w:pStyle w:val="NoSpacing"/>
        <w:numPr>
          <w:ilvl w:val="1"/>
          <w:numId w:val="1"/>
        </w:numPr>
        <w:spacing w:line="264" w:lineRule="auto"/>
        <w:rPr>
          <w:sz w:val="24"/>
          <w:szCs w:val="24"/>
        </w:rPr>
      </w:pPr>
      <w:r>
        <w:rPr>
          <w:sz w:val="24"/>
          <w:szCs w:val="24"/>
        </w:rPr>
        <w:t>A</w:t>
      </w:r>
      <w:r w:rsidR="006057A9" w:rsidRPr="00BC5FE5">
        <w:rPr>
          <w:sz w:val="24"/>
          <w:szCs w:val="24"/>
        </w:rPr>
        <w:t xml:space="preserve"> </w:t>
      </w:r>
      <w:r w:rsidR="00311988" w:rsidRPr="00BC5FE5">
        <w:rPr>
          <w:sz w:val="24"/>
          <w:szCs w:val="24"/>
        </w:rPr>
        <w:t>photo of five box trucks with the caption, “Our most used trucks, out almost every day</w:t>
      </w:r>
      <w:r w:rsidR="00345CA9">
        <w:rPr>
          <w:sz w:val="24"/>
          <w:szCs w:val="24"/>
        </w:rPr>
        <w:t>!</w:t>
      </w:r>
      <w:r>
        <w:rPr>
          <w:sz w:val="24"/>
          <w:szCs w:val="24"/>
        </w:rPr>
        <w:t>”</w:t>
      </w:r>
      <w:r w:rsidR="00311988" w:rsidRPr="00DD7443">
        <w:rPr>
          <w:rStyle w:val="FootnoteReference"/>
          <w:sz w:val="24"/>
          <w:szCs w:val="24"/>
        </w:rPr>
        <w:footnoteReference w:id="3"/>
      </w:r>
      <w:r w:rsidR="00311988" w:rsidRPr="00BC5FE5">
        <w:rPr>
          <w:sz w:val="24"/>
          <w:szCs w:val="24"/>
        </w:rPr>
        <w:t xml:space="preserve"> </w:t>
      </w:r>
    </w:p>
    <w:p w14:paraId="2930819D" w14:textId="77777777" w:rsidR="00BC5FE5" w:rsidRDefault="00BC5FE5" w:rsidP="00BC5FE5">
      <w:pPr>
        <w:pStyle w:val="NoSpacing"/>
        <w:numPr>
          <w:ilvl w:val="1"/>
          <w:numId w:val="1"/>
        </w:numPr>
        <w:spacing w:line="264" w:lineRule="auto"/>
        <w:rPr>
          <w:sz w:val="24"/>
          <w:szCs w:val="24"/>
        </w:rPr>
      </w:pPr>
      <w:r>
        <w:rPr>
          <w:sz w:val="24"/>
          <w:szCs w:val="24"/>
        </w:rPr>
        <w:t>M</w:t>
      </w:r>
      <w:r w:rsidR="00311988" w:rsidRPr="00BC5FE5">
        <w:rPr>
          <w:sz w:val="24"/>
          <w:szCs w:val="24"/>
        </w:rPr>
        <w:t>ultiple pictures of box trucks bearing the caption, “Our ever-growing business, trucks number 7 and 8. Thanks Lord for the blessin</w:t>
      </w:r>
      <w:r>
        <w:rPr>
          <w:sz w:val="24"/>
          <w:szCs w:val="24"/>
        </w:rPr>
        <w:t>gs, time to have a great season.</w:t>
      </w:r>
      <w:r w:rsidR="00311988" w:rsidRPr="00BC5FE5">
        <w:rPr>
          <w:sz w:val="24"/>
          <w:szCs w:val="24"/>
        </w:rPr>
        <w:t>”</w:t>
      </w:r>
      <w:r w:rsidR="00311988" w:rsidRPr="00DD7443">
        <w:rPr>
          <w:rStyle w:val="FootnoteReference"/>
          <w:sz w:val="24"/>
          <w:szCs w:val="24"/>
        </w:rPr>
        <w:footnoteReference w:id="4"/>
      </w:r>
      <w:r w:rsidR="00311988" w:rsidRPr="00BC5FE5">
        <w:rPr>
          <w:sz w:val="24"/>
          <w:szCs w:val="24"/>
        </w:rPr>
        <w:t xml:space="preserve"> </w:t>
      </w:r>
    </w:p>
    <w:p w14:paraId="44E92F57" w14:textId="77777777" w:rsidR="00831AA4" w:rsidRDefault="00BC5FE5" w:rsidP="00BC5FE5">
      <w:pPr>
        <w:pStyle w:val="NoSpacing"/>
        <w:numPr>
          <w:ilvl w:val="1"/>
          <w:numId w:val="1"/>
        </w:numPr>
        <w:spacing w:line="264" w:lineRule="auto"/>
        <w:rPr>
          <w:sz w:val="24"/>
          <w:szCs w:val="24"/>
        </w:rPr>
      </w:pPr>
      <w:r>
        <w:rPr>
          <w:sz w:val="24"/>
          <w:szCs w:val="24"/>
        </w:rPr>
        <w:t xml:space="preserve">A photo </w:t>
      </w:r>
      <w:r w:rsidR="00311988" w:rsidRPr="00BC5FE5">
        <w:rPr>
          <w:sz w:val="24"/>
          <w:szCs w:val="24"/>
        </w:rPr>
        <w:t>of three box trucks with the caption, “The three big boys, our true moneymakers</w:t>
      </w:r>
      <w:r w:rsidR="00345CA9">
        <w:rPr>
          <w:sz w:val="24"/>
          <w:szCs w:val="24"/>
        </w:rPr>
        <w:t>!</w:t>
      </w:r>
      <w:r w:rsidR="00311988" w:rsidRPr="00BC5FE5">
        <w:rPr>
          <w:sz w:val="24"/>
          <w:szCs w:val="24"/>
        </w:rPr>
        <w:t>”</w:t>
      </w:r>
      <w:r w:rsidR="00311988" w:rsidRPr="00DD7443">
        <w:rPr>
          <w:rStyle w:val="FootnoteReference"/>
          <w:sz w:val="24"/>
          <w:szCs w:val="24"/>
        </w:rPr>
        <w:footnoteReference w:id="5"/>
      </w:r>
    </w:p>
    <w:p w14:paraId="40C9E523" w14:textId="77777777" w:rsidR="00BD09F9" w:rsidRPr="00BC5FE5" w:rsidRDefault="00BD09F9" w:rsidP="00BD09F9">
      <w:pPr>
        <w:pStyle w:val="NoSpacing"/>
        <w:spacing w:line="264" w:lineRule="auto"/>
        <w:ind w:left="1440"/>
        <w:rPr>
          <w:sz w:val="24"/>
          <w:szCs w:val="24"/>
        </w:rPr>
      </w:pPr>
    </w:p>
    <w:p w14:paraId="1C6842F6" w14:textId="77777777" w:rsidR="00BD09F9" w:rsidRDefault="009B4372" w:rsidP="009B4372">
      <w:pPr>
        <w:pStyle w:val="NoSpacing"/>
        <w:spacing w:line="264" w:lineRule="auto"/>
        <w:rPr>
          <w:sz w:val="24"/>
          <w:szCs w:val="24"/>
        </w:rPr>
      </w:pPr>
      <w:r>
        <w:rPr>
          <w:sz w:val="24"/>
          <w:szCs w:val="24"/>
        </w:rPr>
        <w:t xml:space="preserve">Staff </w:t>
      </w:r>
      <w:r w:rsidR="008A718E">
        <w:rPr>
          <w:sz w:val="24"/>
          <w:szCs w:val="24"/>
        </w:rPr>
        <w:t xml:space="preserve">believes that Mr. and Ms. Heath </w:t>
      </w:r>
      <w:r w:rsidR="00B75FF6">
        <w:rPr>
          <w:sz w:val="24"/>
          <w:szCs w:val="24"/>
        </w:rPr>
        <w:t xml:space="preserve">currently </w:t>
      </w:r>
      <w:r>
        <w:rPr>
          <w:sz w:val="24"/>
          <w:szCs w:val="24"/>
        </w:rPr>
        <w:t>own at least eight trucks</w:t>
      </w:r>
      <w:r w:rsidR="008A718E">
        <w:rPr>
          <w:sz w:val="24"/>
          <w:szCs w:val="24"/>
        </w:rPr>
        <w:t>.</w:t>
      </w:r>
    </w:p>
    <w:p w14:paraId="66DDA9A3" w14:textId="77777777" w:rsidR="009B4372" w:rsidRDefault="009B4372" w:rsidP="009B4372">
      <w:pPr>
        <w:pStyle w:val="NoSpacing"/>
        <w:spacing w:line="264" w:lineRule="auto"/>
        <w:rPr>
          <w:sz w:val="24"/>
          <w:szCs w:val="24"/>
        </w:rPr>
      </w:pPr>
      <w:r>
        <w:rPr>
          <w:sz w:val="24"/>
          <w:szCs w:val="24"/>
        </w:rPr>
        <w:t xml:space="preserve"> </w:t>
      </w:r>
    </w:p>
    <w:p w14:paraId="60C1BCFC" w14:textId="77777777" w:rsidR="00FF33D0" w:rsidRDefault="00612BDD" w:rsidP="00FF33D0">
      <w:pPr>
        <w:pStyle w:val="NoSpacing"/>
        <w:numPr>
          <w:ilvl w:val="0"/>
          <w:numId w:val="1"/>
        </w:numPr>
        <w:spacing w:line="264" w:lineRule="auto"/>
        <w:ind w:left="0" w:hanging="720"/>
        <w:rPr>
          <w:sz w:val="24"/>
          <w:szCs w:val="24"/>
        </w:rPr>
      </w:pPr>
      <w:r w:rsidRPr="00DD7443">
        <w:rPr>
          <w:sz w:val="24"/>
          <w:szCs w:val="24"/>
        </w:rPr>
        <w:t xml:space="preserve">Mr. Tinnerstet </w:t>
      </w:r>
      <w:r w:rsidR="00311988" w:rsidRPr="00DD7443">
        <w:rPr>
          <w:sz w:val="24"/>
          <w:szCs w:val="24"/>
        </w:rPr>
        <w:t>testified that</w:t>
      </w:r>
      <w:r w:rsidR="002F4733">
        <w:rPr>
          <w:sz w:val="24"/>
          <w:szCs w:val="24"/>
        </w:rPr>
        <w:t>, as part of Staff’s investigation of the Application,</w:t>
      </w:r>
      <w:r w:rsidR="00FF33D0" w:rsidRPr="00DD7443">
        <w:rPr>
          <w:sz w:val="24"/>
          <w:szCs w:val="24"/>
        </w:rPr>
        <w:t xml:space="preserve"> Staff requested Washington State Patrol (WSP) background check</w:t>
      </w:r>
      <w:r w:rsidR="00BC5FE5">
        <w:rPr>
          <w:sz w:val="24"/>
          <w:szCs w:val="24"/>
        </w:rPr>
        <w:t>s</w:t>
      </w:r>
      <w:r w:rsidR="00FF33D0" w:rsidRPr="00DD7443">
        <w:rPr>
          <w:sz w:val="24"/>
          <w:szCs w:val="24"/>
        </w:rPr>
        <w:t xml:space="preserve"> </w:t>
      </w:r>
      <w:r w:rsidR="002F4733">
        <w:rPr>
          <w:sz w:val="24"/>
          <w:szCs w:val="24"/>
        </w:rPr>
        <w:t>for</w:t>
      </w:r>
      <w:r w:rsidR="00FF33D0" w:rsidRPr="00DD7443">
        <w:rPr>
          <w:sz w:val="24"/>
          <w:szCs w:val="24"/>
        </w:rPr>
        <w:t xml:space="preserve"> </w:t>
      </w:r>
      <w:r w:rsidR="006D463D" w:rsidRPr="00DD7443">
        <w:rPr>
          <w:sz w:val="24"/>
          <w:szCs w:val="24"/>
        </w:rPr>
        <w:t>Mr. and Ms. Heath</w:t>
      </w:r>
      <w:r w:rsidR="00F563EA" w:rsidRPr="00DD7443">
        <w:rPr>
          <w:sz w:val="24"/>
          <w:szCs w:val="24"/>
        </w:rPr>
        <w:t xml:space="preserve">. </w:t>
      </w:r>
      <w:r w:rsidR="00FF33D0" w:rsidRPr="00DD7443">
        <w:rPr>
          <w:sz w:val="24"/>
          <w:szCs w:val="24"/>
        </w:rPr>
        <w:t xml:space="preserve">On </w:t>
      </w:r>
      <w:r w:rsidR="00E35272" w:rsidRPr="00DD7443">
        <w:rPr>
          <w:sz w:val="24"/>
          <w:szCs w:val="24"/>
        </w:rPr>
        <w:t>June 5,</w:t>
      </w:r>
      <w:r w:rsidR="006D463D" w:rsidRPr="00DD7443">
        <w:rPr>
          <w:sz w:val="24"/>
          <w:szCs w:val="24"/>
        </w:rPr>
        <w:t xml:space="preserve"> 2015</w:t>
      </w:r>
      <w:r w:rsidR="00FF33D0" w:rsidRPr="00DD7443">
        <w:rPr>
          <w:sz w:val="24"/>
          <w:szCs w:val="24"/>
        </w:rPr>
        <w:t xml:space="preserve">, WSP provided a Washington Access to Criminal History (WATCH) report </w:t>
      </w:r>
      <w:r w:rsidR="00FF33D0" w:rsidRPr="00DD7443">
        <w:rPr>
          <w:sz w:val="24"/>
          <w:szCs w:val="24"/>
        </w:rPr>
        <w:lastRenderedPageBreak/>
        <w:t xml:space="preserve">showing that Mr. </w:t>
      </w:r>
      <w:r w:rsidR="006D463D" w:rsidRPr="00DD7443">
        <w:rPr>
          <w:sz w:val="24"/>
          <w:szCs w:val="24"/>
        </w:rPr>
        <w:t xml:space="preserve">Heath </w:t>
      </w:r>
      <w:r w:rsidR="00311988" w:rsidRPr="00DD7443">
        <w:rPr>
          <w:sz w:val="24"/>
          <w:szCs w:val="24"/>
        </w:rPr>
        <w:t>was con</w:t>
      </w:r>
      <w:r w:rsidR="00F563EA" w:rsidRPr="00DD7443">
        <w:rPr>
          <w:sz w:val="24"/>
          <w:szCs w:val="24"/>
        </w:rPr>
        <w:t>victed of felony assault on August 31,</w:t>
      </w:r>
      <w:r w:rsidR="00311988" w:rsidRPr="00DD7443">
        <w:rPr>
          <w:sz w:val="24"/>
          <w:szCs w:val="24"/>
        </w:rPr>
        <w:t xml:space="preserve"> 2010, which falls within the five year window </w:t>
      </w:r>
      <w:r w:rsidR="00867B45" w:rsidRPr="00DD7443">
        <w:rPr>
          <w:sz w:val="24"/>
          <w:szCs w:val="24"/>
        </w:rPr>
        <w:t>automatically barring</w:t>
      </w:r>
      <w:r w:rsidR="00311988" w:rsidRPr="00DD7443">
        <w:rPr>
          <w:sz w:val="24"/>
          <w:szCs w:val="24"/>
        </w:rPr>
        <w:t xml:space="preserve"> an applicant from obtaining </w:t>
      </w:r>
      <w:r w:rsidR="004050A6" w:rsidRPr="00DD7443">
        <w:rPr>
          <w:sz w:val="24"/>
          <w:szCs w:val="24"/>
        </w:rPr>
        <w:t>a permit</w:t>
      </w:r>
      <w:r w:rsidR="00311988" w:rsidRPr="00DD7443">
        <w:rPr>
          <w:sz w:val="24"/>
          <w:szCs w:val="24"/>
        </w:rPr>
        <w:t>.</w:t>
      </w:r>
      <w:r w:rsidRPr="00DD7443">
        <w:rPr>
          <w:rStyle w:val="FootnoteReference"/>
          <w:sz w:val="24"/>
          <w:szCs w:val="24"/>
        </w:rPr>
        <w:footnoteReference w:id="6"/>
      </w:r>
      <w:r w:rsidRPr="00DD7443">
        <w:rPr>
          <w:sz w:val="24"/>
          <w:szCs w:val="24"/>
        </w:rPr>
        <w:t xml:space="preserve"> </w:t>
      </w:r>
      <w:r w:rsidR="00E35272" w:rsidRPr="00DD7443">
        <w:rPr>
          <w:sz w:val="24"/>
          <w:szCs w:val="24"/>
        </w:rPr>
        <w:t>The WATCH report also showed a second felony assault in 2006 and a felony theft in 2005.</w:t>
      </w:r>
      <w:r w:rsidR="00D00BE5" w:rsidRPr="00DD7443">
        <w:rPr>
          <w:sz w:val="24"/>
          <w:szCs w:val="24"/>
        </w:rPr>
        <w:t xml:space="preserve"> </w:t>
      </w:r>
    </w:p>
    <w:p w14:paraId="037C0989" w14:textId="77777777" w:rsidR="00BD09F9" w:rsidRPr="00DD7443" w:rsidRDefault="00BD09F9" w:rsidP="00BD09F9">
      <w:pPr>
        <w:pStyle w:val="NoSpacing"/>
        <w:spacing w:line="264" w:lineRule="auto"/>
        <w:rPr>
          <w:sz w:val="24"/>
          <w:szCs w:val="24"/>
        </w:rPr>
      </w:pPr>
    </w:p>
    <w:p w14:paraId="48867528" w14:textId="77777777" w:rsidR="00FF33D0" w:rsidRPr="00DD7443" w:rsidRDefault="00FF33D0" w:rsidP="00FF33D0">
      <w:pPr>
        <w:pStyle w:val="NoSpacing"/>
        <w:numPr>
          <w:ilvl w:val="0"/>
          <w:numId w:val="1"/>
        </w:numPr>
        <w:spacing w:line="264" w:lineRule="auto"/>
        <w:ind w:left="0" w:hanging="720"/>
        <w:rPr>
          <w:sz w:val="24"/>
          <w:szCs w:val="24"/>
        </w:rPr>
      </w:pPr>
      <w:r w:rsidRPr="00DD7443">
        <w:rPr>
          <w:sz w:val="24"/>
          <w:szCs w:val="24"/>
        </w:rPr>
        <w:t>Staff recommend</w:t>
      </w:r>
      <w:r w:rsidR="003D3B7A">
        <w:rPr>
          <w:sz w:val="24"/>
          <w:szCs w:val="24"/>
        </w:rPr>
        <w:t>ed</w:t>
      </w:r>
      <w:r w:rsidRPr="00DD7443">
        <w:rPr>
          <w:sz w:val="24"/>
          <w:szCs w:val="24"/>
        </w:rPr>
        <w:t xml:space="preserve"> that the Commission deny </w:t>
      </w:r>
      <w:r w:rsidR="006D463D" w:rsidRPr="00DD7443">
        <w:rPr>
          <w:sz w:val="24"/>
          <w:szCs w:val="24"/>
        </w:rPr>
        <w:t>Movers4U</w:t>
      </w:r>
      <w:r w:rsidRPr="00DD7443">
        <w:rPr>
          <w:sz w:val="24"/>
          <w:szCs w:val="24"/>
        </w:rPr>
        <w:t xml:space="preserve">’s application as not in the public interest. Staff believes that </w:t>
      </w:r>
      <w:r w:rsidR="006D463D" w:rsidRPr="00DD7443">
        <w:rPr>
          <w:sz w:val="24"/>
          <w:szCs w:val="24"/>
        </w:rPr>
        <w:t>Ms. Heath</w:t>
      </w:r>
      <w:r w:rsidRPr="00DD7443">
        <w:rPr>
          <w:sz w:val="24"/>
          <w:szCs w:val="24"/>
        </w:rPr>
        <w:t xml:space="preserve"> intentionally sub</w:t>
      </w:r>
      <w:r w:rsidR="00867B45" w:rsidRPr="00DD7443">
        <w:rPr>
          <w:sz w:val="24"/>
          <w:szCs w:val="24"/>
        </w:rPr>
        <w:t>mitted an A</w:t>
      </w:r>
      <w:r w:rsidRPr="00DD7443">
        <w:rPr>
          <w:sz w:val="24"/>
          <w:szCs w:val="24"/>
        </w:rPr>
        <w:t>pplication that contain</w:t>
      </w:r>
      <w:r w:rsidR="00867B45" w:rsidRPr="00DD7443">
        <w:rPr>
          <w:sz w:val="24"/>
          <w:szCs w:val="24"/>
        </w:rPr>
        <w:t xml:space="preserve">s </w:t>
      </w:r>
      <w:r w:rsidRPr="00DD7443">
        <w:rPr>
          <w:sz w:val="24"/>
          <w:szCs w:val="24"/>
        </w:rPr>
        <w:t>false information to conceal the fact that h</w:t>
      </w:r>
      <w:r w:rsidR="006D463D" w:rsidRPr="00DD7443">
        <w:rPr>
          <w:sz w:val="24"/>
          <w:szCs w:val="24"/>
        </w:rPr>
        <w:t>er husband and</w:t>
      </w:r>
      <w:r w:rsidRPr="00DD7443">
        <w:rPr>
          <w:sz w:val="24"/>
          <w:szCs w:val="24"/>
        </w:rPr>
        <w:t xml:space="preserve"> business partner, </w:t>
      </w:r>
      <w:r w:rsidR="006D463D" w:rsidRPr="00DD7443">
        <w:rPr>
          <w:sz w:val="24"/>
          <w:szCs w:val="24"/>
        </w:rPr>
        <w:t>Larry Heath</w:t>
      </w:r>
      <w:r w:rsidRPr="00DD7443">
        <w:rPr>
          <w:sz w:val="24"/>
          <w:szCs w:val="24"/>
        </w:rPr>
        <w:t xml:space="preserve">, </w:t>
      </w:r>
      <w:r w:rsidR="006D463D" w:rsidRPr="00DD7443">
        <w:rPr>
          <w:sz w:val="24"/>
          <w:szCs w:val="24"/>
        </w:rPr>
        <w:t xml:space="preserve">has </w:t>
      </w:r>
      <w:r w:rsidR="0031074E">
        <w:rPr>
          <w:sz w:val="24"/>
          <w:szCs w:val="24"/>
        </w:rPr>
        <w:t>a 2010 criminal conviction</w:t>
      </w:r>
      <w:r w:rsidR="006D463D" w:rsidRPr="00DD7443">
        <w:rPr>
          <w:sz w:val="24"/>
          <w:szCs w:val="24"/>
        </w:rPr>
        <w:t xml:space="preserve"> </w:t>
      </w:r>
      <w:r w:rsidR="00612BDD" w:rsidRPr="00DD7443">
        <w:rPr>
          <w:sz w:val="24"/>
          <w:szCs w:val="24"/>
        </w:rPr>
        <w:t xml:space="preserve">and an outstanding </w:t>
      </w:r>
      <w:r w:rsidR="006057A9">
        <w:rPr>
          <w:sz w:val="24"/>
          <w:szCs w:val="24"/>
        </w:rPr>
        <w:t xml:space="preserve">$5,000 </w:t>
      </w:r>
      <w:r w:rsidR="00612BDD" w:rsidRPr="00DD7443">
        <w:rPr>
          <w:sz w:val="24"/>
          <w:szCs w:val="24"/>
        </w:rPr>
        <w:t xml:space="preserve">penalty </w:t>
      </w:r>
      <w:r w:rsidR="006057A9">
        <w:rPr>
          <w:sz w:val="24"/>
          <w:szCs w:val="24"/>
        </w:rPr>
        <w:t>owed to the Commission</w:t>
      </w:r>
      <w:r w:rsidR="00D00BE5" w:rsidRPr="00DD7443">
        <w:rPr>
          <w:sz w:val="24"/>
          <w:szCs w:val="24"/>
        </w:rPr>
        <w:t xml:space="preserve">, </w:t>
      </w:r>
      <w:r w:rsidR="00867B45" w:rsidRPr="00DD7443">
        <w:rPr>
          <w:sz w:val="24"/>
          <w:szCs w:val="24"/>
        </w:rPr>
        <w:t>both of which</w:t>
      </w:r>
      <w:r w:rsidR="00612BDD" w:rsidRPr="00DD7443">
        <w:rPr>
          <w:sz w:val="24"/>
          <w:szCs w:val="24"/>
        </w:rPr>
        <w:t xml:space="preserve"> </w:t>
      </w:r>
      <w:r w:rsidR="00867B45" w:rsidRPr="00DD7443">
        <w:rPr>
          <w:sz w:val="24"/>
          <w:szCs w:val="24"/>
        </w:rPr>
        <w:t xml:space="preserve">automatically </w:t>
      </w:r>
      <w:r w:rsidR="00612BDD" w:rsidRPr="00DD7443">
        <w:rPr>
          <w:sz w:val="24"/>
          <w:szCs w:val="24"/>
        </w:rPr>
        <w:t>disqual</w:t>
      </w:r>
      <w:r w:rsidR="00867B45" w:rsidRPr="00DD7443">
        <w:rPr>
          <w:sz w:val="24"/>
          <w:szCs w:val="24"/>
        </w:rPr>
        <w:t>ify</w:t>
      </w:r>
      <w:r w:rsidR="00D00BE5" w:rsidRPr="00DD7443">
        <w:rPr>
          <w:sz w:val="24"/>
          <w:szCs w:val="24"/>
        </w:rPr>
        <w:t xml:space="preserve"> </w:t>
      </w:r>
      <w:r w:rsidR="00612BDD" w:rsidRPr="00DD7443">
        <w:rPr>
          <w:sz w:val="24"/>
          <w:szCs w:val="24"/>
        </w:rPr>
        <w:t>him from obtaining a permit</w:t>
      </w:r>
      <w:r w:rsidRPr="00DD7443">
        <w:rPr>
          <w:sz w:val="24"/>
          <w:szCs w:val="24"/>
        </w:rPr>
        <w:t xml:space="preserve">. </w:t>
      </w:r>
    </w:p>
    <w:p w14:paraId="694955B2" w14:textId="77777777" w:rsidR="002A3E9B" w:rsidRPr="00DD7443" w:rsidRDefault="002A3E9B" w:rsidP="002A3E9B">
      <w:pPr>
        <w:pStyle w:val="ListParagraph"/>
      </w:pPr>
    </w:p>
    <w:p w14:paraId="3D698985" w14:textId="77777777" w:rsidR="002A3E9B" w:rsidRPr="00DD7443" w:rsidRDefault="002A3E9B" w:rsidP="00FF33D0">
      <w:pPr>
        <w:pStyle w:val="NoSpacing"/>
        <w:numPr>
          <w:ilvl w:val="0"/>
          <w:numId w:val="1"/>
        </w:numPr>
        <w:spacing w:line="264" w:lineRule="auto"/>
        <w:ind w:left="0" w:hanging="720"/>
        <w:rPr>
          <w:sz w:val="24"/>
          <w:szCs w:val="24"/>
        </w:rPr>
      </w:pPr>
      <w:r w:rsidRPr="00DD7443">
        <w:rPr>
          <w:sz w:val="24"/>
          <w:szCs w:val="24"/>
        </w:rPr>
        <w:t xml:space="preserve">On September 30, 2015, Ms. Heath sent an ex parte communication to Judge Pearson via email that offered additional information related to her husband’s 2010 domestic violence conviction, and reiterated that that Mr. Heath “will not be </w:t>
      </w:r>
      <w:r w:rsidR="00FB375E" w:rsidRPr="00DD7443">
        <w:rPr>
          <w:sz w:val="24"/>
          <w:szCs w:val="24"/>
        </w:rPr>
        <w:t>part of the ownership” of Movers4U. On October 8, 2015, Staff filed a response to the ex parte communication. In its response, Sta</w:t>
      </w:r>
      <w:r w:rsidR="00867B45" w:rsidRPr="00DD7443">
        <w:rPr>
          <w:sz w:val="24"/>
          <w:szCs w:val="24"/>
        </w:rPr>
        <w:t>ff argues that its position is</w:t>
      </w:r>
      <w:r w:rsidR="00FB375E" w:rsidRPr="00DD7443">
        <w:rPr>
          <w:sz w:val="24"/>
          <w:szCs w:val="24"/>
        </w:rPr>
        <w:t xml:space="preserve"> supported by the record evidence already presented at hearing, and the circumstances in this case should cause the Commission to deny the Application. Staff requests that the Commission consider the ex parte communication in light of </w:t>
      </w:r>
      <w:r w:rsidR="003D3B7A">
        <w:rPr>
          <w:sz w:val="24"/>
          <w:szCs w:val="24"/>
        </w:rPr>
        <w:t>that evidence</w:t>
      </w:r>
      <w:r w:rsidR="00FB375E" w:rsidRPr="00DD7443">
        <w:rPr>
          <w:sz w:val="24"/>
          <w:szCs w:val="24"/>
        </w:rPr>
        <w:t xml:space="preserve"> </w:t>
      </w:r>
      <w:r w:rsidR="00AA2E1F" w:rsidRPr="00DD7443">
        <w:rPr>
          <w:sz w:val="24"/>
          <w:szCs w:val="24"/>
        </w:rPr>
        <w:t xml:space="preserve">afford it </w:t>
      </w:r>
      <w:r w:rsidR="003D3B7A">
        <w:rPr>
          <w:sz w:val="24"/>
          <w:szCs w:val="24"/>
        </w:rPr>
        <w:t xml:space="preserve">no </w:t>
      </w:r>
      <w:r w:rsidR="00AA2E1F" w:rsidRPr="00DD7443">
        <w:rPr>
          <w:sz w:val="24"/>
          <w:szCs w:val="24"/>
        </w:rPr>
        <w:t>weight.</w:t>
      </w:r>
    </w:p>
    <w:p w14:paraId="14CD96D3" w14:textId="77777777" w:rsidR="007E08FF" w:rsidRPr="00DD7443" w:rsidRDefault="007E08FF" w:rsidP="007E08FF">
      <w:pPr>
        <w:pStyle w:val="NoSpacing"/>
        <w:spacing w:line="264" w:lineRule="auto"/>
        <w:rPr>
          <w:sz w:val="24"/>
          <w:szCs w:val="24"/>
        </w:rPr>
      </w:pPr>
    </w:p>
    <w:p w14:paraId="2E1FD885" w14:textId="77777777" w:rsidR="008350FD" w:rsidRPr="00BD09F9" w:rsidRDefault="0012166C" w:rsidP="00603594">
      <w:pPr>
        <w:pStyle w:val="NoSpacing"/>
        <w:numPr>
          <w:ilvl w:val="0"/>
          <w:numId w:val="1"/>
        </w:numPr>
        <w:spacing w:line="264" w:lineRule="auto"/>
        <w:ind w:left="0" w:hanging="720"/>
        <w:rPr>
          <w:sz w:val="24"/>
          <w:szCs w:val="24"/>
        </w:rPr>
      </w:pPr>
      <w:r w:rsidRPr="00DD7443">
        <w:rPr>
          <w:bCs/>
          <w:sz w:val="24"/>
          <w:szCs w:val="24"/>
        </w:rPr>
        <w:t>Brett Shearer</w:t>
      </w:r>
      <w:r w:rsidR="00603594" w:rsidRPr="00DD7443">
        <w:rPr>
          <w:bCs/>
          <w:sz w:val="24"/>
          <w:szCs w:val="24"/>
        </w:rPr>
        <w:t xml:space="preserve">, Assistant Attorney General, Olympia, Washington, represented Commission Staff </w:t>
      </w:r>
      <w:r w:rsidR="00603594" w:rsidRPr="00DD7443">
        <w:rPr>
          <w:rFonts w:eastAsia="Times New Roman"/>
          <w:sz w:val="24"/>
          <w:szCs w:val="24"/>
        </w:rPr>
        <w:t>(Staff).</w:t>
      </w:r>
      <w:r w:rsidR="00603594" w:rsidRPr="00DD7443">
        <w:rPr>
          <w:rFonts w:eastAsia="Times New Roman"/>
          <w:bCs/>
          <w:sz w:val="24"/>
          <w:szCs w:val="24"/>
          <w:vertAlign w:val="superscript"/>
        </w:rPr>
        <w:footnoteReference w:id="7"/>
      </w:r>
      <w:r w:rsidR="00603594" w:rsidRPr="00DD7443">
        <w:rPr>
          <w:rFonts w:eastAsia="Times New Roman"/>
          <w:sz w:val="24"/>
          <w:szCs w:val="24"/>
        </w:rPr>
        <w:t xml:space="preserve"> </w:t>
      </w:r>
      <w:r w:rsidRPr="00DD7443">
        <w:rPr>
          <w:bCs/>
          <w:sz w:val="24"/>
          <w:szCs w:val="24"/>
        </w:rPr>
        <w:t>Annavilla Heath</w:t>
      </w:r>
      <w:r w:rsidR="00603594" w:rsidRPr="00DD7443">
        <w:rPr>
          <w:bCs/>
          <w:sz w:val="24"/>
          <w:szCs w:val="24"/>
        </w:rPr>
        <w:t xml:space="preserve">, </w:t>
      </w:r>
      <w:r w:rsidR="004C7A8B" w:rsidRPr="00DD7443">
        <w:rPr>
          <w:bCs/>
          <w:i/>
          <w:sz w:val="24"/>
          <w:szCs w:val="24"/>
        </w:rPr>
        <w:t>pro se</w:t>
      </w:r>
      <w:r w:rsidR="004C7A8B" w:rsidRPr="00DD7443">
        <w:rPr>
          <w:bCs/>
          <w:sz w:val="24"/>
          <w:szCs w:val="24"/>
        </w:rPr>
        <w:t xml:space="preserve">, </w:t>
      </w:r>
      <w:r w:rsidRPr="00DD7443">
        <w:rPr>
          <w:bCs/>
          <w:sz w:val="24"/>
          <w:szCs w:val="24"/>
        </w:rPr>
        <w:t>Sumner</w:t>
      </w:r>
      <w:r w:rsidR="004C7A8B" w:rsidRPr="00DD7443">
        <w:rPr>
          <w:bCs/>
          <w:sz w:val="24"/>
          <w:szCs w:val="24"/>
        </w:rPr>
        <w:t>,</w:t>
      </w:r>
      <w:r w:rsidR="00603594" w:rsidRPr="00DD7443">
        <w:rPr>
          <w:bCs/>
          <w:sz w:val="24"/>
          <w:szCs w:val="24"/>
        </w:rPr>
        <w:t xml:space="preserve"> Washington, represented </w:t>
      </w:r>
      <w:r w:rsidRPr="00DD7443">
        <w:rPr>
          <w:bCs/>
          <w:sz w:val="24"/>
          <w:szCs w:val="24"/>
        </w:rPr>
        <w:t>Movers4U</w:t>
      </w:r>
      <w:r w:rsidR="00603594" w:rsidRPr="00DD7443">
        <w:rPr>
          <w:bCs/>
          <w:sz w:val="24"/>
          <w:szCs w:val="24"/>
        </w:rPr>
        <w:t>.</w:t>
      </w:r>
    </w:p>
    <w:p w14:paraId="16C2452E" w14:textId="77777777" w:rsidR="00BD09F9" w:rsidRPr="00DD7443" w:rsidRDefault="00BD09F9" w:rsidP="00BD09F9">
      <w:pPr>
        <w:pStyle w:val="NoSpacing"/>
        <w:spacing w:line="264" w:lineRule="auto"/>
        <w:rPr>
          <w:sz w:val="24"/>
          <w:szCs w:val="24"/>
        </w:rPr>
      </w:pPr>
    </w:p>
    <w:p w14:paraId="35E4A78A" w14:textId="77777777" w:rsidR="00603594" w:rsidRPr="00DD7443" w:rsidRDefault="0012166C" w:rsidP="00BD09F9">
      <w:pPr>
        <w:pStyle w:val="ListParagraph"/>
        <w:ind w:left="0"/>
        <w:jc w:val="center"/>
        <w:rPr>
          <w:b/>
        </w:rPr>
      </w:pPr>
      <w:r w:rsidRPr="00DD7443">
        <w:rPr>
          <w:b/>
        </w:rPr>
        <w:t>DISCUSSION AND DECISION</w:t>
      </w:r>
    </w:p>
    <w:p w14:paraId="1FFC2AF5" w14:textId="77777777" w:rsidR="0012166C" w:rsidRPr="00DD7443" w:rsidRDefault="0012166C" w:rsidP="00603594">
      <w:pPr>
        <w:pStyle w:val="ListParagraph"/>
      </w:pPr>
    </w:p>
    <w:p w14:paraId="2808B9F8" w14:textId="77777777" w:rsidR="00E01E9F" w:rsidRDefault="00603594" w:rsidP="00E01E9F">
      <w:pPr>
        <w:pStyle w:val="NoSpacing"/>
        <w:numPr>
          <w:ilvl w:val="0"/>
          <w:numId w:val="1"/>
        </w:numPr>
        <w:spacing w:line="264" w:lineRule="auto"/>
        <w:ind w:left="0" w:hanging="720"/>
        <w:rPr>
          <w:sz w:val="24"/>
          <w:szCs w:val="24"/>
        </w:rPr>
      </w:pPr>
      <w:r w:rsidRPr="00DD7443">
        <w:rPr>
          <w:sz w:val="24"/>
          <w:szCs w:val="24"/>
        </w:rPr>
        <w:t xml:space="preserve">RCW 81.80.075(1) requires the Commission to issue a household goods permit to any qualified applicant found to be fit, willing, and able to perform the services proposed and conform to the applicable laws, requirements, rules, and regulations of the Commission.  </w:t>
      </w:r>
      <w:r w:rsidR="00D2498B">
        <w:rPr>
          <w:sz w:val="24"/>
          <w:szCs w:val="24"/>
        </w:rPr>
        <w:t>A</w:t>
      </w:r>
      <w:r w:rsidR="00E01E9F">
        <w:rPr>
          <w:sz w:val="24"/>
          <w:szCs w:val="24"/>
        </w:rPr>
        <w:t xml:space="preserve">s the applicant, </w:t>
      </w:r>
      <w:r w:rsidR="00D2498B">
        <w:rPr>
          <w:sz w:val="24"/>
          <w:szCs w:val="24"/>
        </w:rPr>
        <w:t xml:space="preserve">Movers4U </w:t>
      </w:r>
      <w:r w:rsidR="00E01E9F">
        <w:rPr>
          <w:sz w:val="24"/>
          <w:szCs w:val="24"/>
        </w:rPr>
        <w:t xml:space="preserve">bears the burden of proving that it is fit, willing, and able to conduct business as a household goods carrier, and that issuing a permit to the Company is in the public interest. </w:t>
      </w:r>
    </w:p>
    <w:p w14:paraId="71D32513" w14:textId="77777777" w:rsidR="00BD09F9" w:rsidRPr="00DD7443" w:rsidRDefault="00BD09F9" w:rsidP="00BD09F9">
      <w:pPr>
        <w:pStyle w:val="NoSpacing"/>
        <w:spacing w:line="264" w:lineRule="auto"/>
        <w:rPr>
          <w:sz w:val="24"/>
          <w:szCs w:val="24"/>
        </w:rPr>
      </w:pPr>
    </w:p>
    <w:p w14:paraId="4C423CC4" w14:textId="77777777" w:rsidR="00603594" w:rsidRDefault="00603594" w:rsidP="00603594">
      <w:pPr>
        <w:pStyle w:val="NoSpacing"/>
        <w:numPr>
          <w:ilvl w:val="0"/>
          <w:numId w:val="1"/>
        </w:numPr>
        <w:spacing w:line="264" w:lineRule="auto"/>
        <w:ind w:left="0" w:hanging="720"/>
        <w:rPr>
          <w:sz w:val="24"/>
          <w:szCs w:val="24"/>
        </w:rPr>
      </w:pPr>
      <w:r w:rsidRPr="00DD7443">
        <w:rPr>
          <w:sz w:val="24"/>
          <w:szCs w:val="24"/>
        </w:rPr>
        <w:lastRenderedPageBreak/>
        <w:t>WAC 480-15-</w:t>
      </w:r>
      <w:r w:rsidR="004C7A8B" w:rsidRPr="00DD7443">
        <w:rPr>
          <w:sz w:val="24"/>
          <w:szCs w:val="24"/>
        </w:rPr>
        <w:t>302 and -305</w:t>
      </w:r>
      <w:r w:rsidRPr="00DD7443">
        <w:rPr>
          <w:sz w:val="24"/>
          <w:szCs w:val="24"/>
        </w:rPr>
        <w:t xml:space="preserve"> </w:t>
      </w:r>
      <w:r w:rsidR="00105048" w:rsidRPr="00DD7443">
        <w:rPr>
          <w:sz w:val="24"/>
          <w:szCs w:val="24"/>
        </w:rPr>
        <w:t>set out the various criteria for obtaining provisional or permanent authority to operate</w:t>
      </w:r>
      <w:r w:rsidR="0012166C" w:rsidRPr="00DD7443">
        <w:rPr>
          <w:sz w:val="24"/>
          <w:szCs w:val="24"/>
        </w:rPr>
        <w:t xml:space="preserve"> as a household goods company. </w:t>
      </w:r>
      <w:r w:rsidR="001F103D" w:rsidRPr="00DD7443">
        <w:rPr>
          <w:sz w:val="24"/>
          <w:szCs w:val="24"/>
        </w:rPr>
        <w:t xml:space="preserve">As relevant to </w:t>
      </w:r>
      <w:r w:rsidR="00105048" w:rsidRPr="00DD7443">
        <w:rPr>
          <w:sz w:val="24"/>
          <w:szCs w:val="24"/>
        </w:rPr>
        <w:t xml:space="preserve">this matter, the rules </w:t>
      </w:r>
      <w:r w:rsidRPr="00DD7443">
        <w:rPr>
          <w:sz w:val="24"/>
          <w:szCs w:val="24"/>
        </w:rPr>
        <w:t>explain that the Commission may deny applications</w:t>
      </w:r>
      <w:r w:rsidR="00105048" w:rsidRPr="00DD7443">
        <w:rPr>
          <w:sz w:val="24"/>
          <w:szCs w:val="24"/>
        </w:rPr>
        <w:t>:</w:t>
      </w:r>
      <w:r w:rsidR="00A854E0" w:rsidRPr="00DD7443">
        <w:rPr>
          <w:sz w:val="24"/>
          <w:szCs w:val="24"/>
        </w:rPr>
        <w:t xml:space="preserve"> </w:t>
      </w:r>
      <w:r w:rsidR="00105048" w:rsidRPr="00DD7443">
        <w:rPr>
          <w:sz w:val="24"/>
          <w:szCs w:val="24"/>
        </w:rPr>
        <w:t xml:space="preserve">(a) that </w:t>
      </w:r>
      <w:r w:rsidR="00A854E0" w:rsidRPr="00DD7443">
        <w:rPr>
          <w:sz w:val="24"/>
          <w:szCs w:val="24"/>
        </w:rPr>
        <w:t>contain</w:t>
      </w:r>
      <w:r w:rsidR="004C7A8B" w:rsidRPr="00DD7443">
        <w:rPr>
          <w:sz w:val="24"/>
          <w:szCs w:val="24"/>
        </w:rPr>
        <w:t xml:space="preserve"> any indication of fraud, misrepresentation, or erroneous information;</w:t>
      </w:r>
      <w:r w:rsidR="004C7A8B" w:rsidRPr="00DD7443">
        <w:rPr>
          <w:sz w:val="24"/>
          <w:szCs w:val="24"/>
          <w:vertAlign w:val="superscript"/>
        </w:rPr>
        <w:t xml:space="preserve"> </w:t>
      </w:r>
      <w:r w:rsidR="004C7A8B" w:rsidRPr="00DD7443">
        <w:rPr>
          <w:sz w:val="24"/>
          <w:szCs w:val="24"/>
          <w:vertAlign w:val="superscript"/>
        </w:rPr>
        <w:footnoteReference w:id="8"/>
      </w:r>
      <w:r w:rsidR="004C7A8B" w:rsidRPr="00DD7443">
        <w:rPr>
          <w:sz w:val="24"/>
          <w:szCs w:val="24"/>
        </w:rPr>
        <w:t xml:space="preserve"> </w:t>
      </w:r>
      <w:r w:rsidR="00105048" w:rsidRPr="00DD7443">
        <w:rPr>
          <w:sz w:val="24"/>
          <w:szCs w:val="24"/>
        </w:rPr>
        <w:t>(b) </w:t>
      </w:r>
      <w:r w:rsidR="004C7A8B" w:rsidRPr="00DD7443">
        <w:rPr>
          <w:sz w:val="24"/>
          <w:szCs w:val="24"/>
        </w:rPr>
        <w:t xml:space="preserve">when </w:t>
      </w:r>
      <w:r w:rsidR="00105048" w:rsidRPr="00DD7443">
        <w:rPr>
          <w:sz w:val="24"/>
          <w:szCs w:val="24"/>
        </w:rPr>
        <w:t>an</w:t>
      </w:r>
      <w:r w:rsidR="004C7A8B" w:rsidRPr="00DD7443">
        <w:rPr>
          <w:sz w:val="24"/>
          <w:szCs w:val="24"/>
        </w:rPr>
        <w:t xml:space="preserve"> </w:t>
      </w:r>
      <w:r w:rsidRPr="00DD7443">
        <w:rPr>
          <w:sz w:val="24"/>
          <w:szCs w:val="24"/>
        </w:rPr>
        <w:t xml:space="preserve">applicant has been convicted of </w:t>
      </w:r>
      <w:r w:rsidR="00A854E0" w:rsidRPr="00DD7443">
        <w:rPr>
          <w:sz w:val="24"/>
          <w:szCs w:val="24"/>
        </w:rPr>
        <w:t>certain specified</w:t>
      </w:r>
      <w:r w:rsidRPr="00DD7443">
        <w:rPr>
          <w:sz w:val="24"/>
          <w:szCs w:val="24"/>
        </w:rPr>
        <w:t xml:space="preserve"> crime</w:t>
      </w:r>
      <w:r w:rsidR="00A854E0" w:rsidRPr="00DD7443">
        <w:rPr>
          <w:sz w:val="24"/>
          <w:szCs w:val="24"/>
        </w:rPr>
        <w:t>s within the past five years</w:t>
      </w:r>
      <w:r w:rsidR="004C7A8B" w:rsidRPr="00DD7443">
        <w:rPr>
          <w:sz w:val="24"/>
          <w:szCs w:val="24"/>
        </w:rPr>
        <w:t>;</w:t>
      </w:r>
      <w:r w:rsidRPr="00DD7443">
        <w:rPr>
          <w:sz w:val="24"/>
          <w:szCs w:val="24"/>
          <w:vertAlign w:val="superscript"/>
        </w:rPr>
        <w:footnoteReference w:id="9"/>
      </w:r>
      <w:r w:rsidRPr="00DD7443">
        <w:rPr>
          <w:sz w:val="24"/>
          <w:szCs w:val="24"/>
        </w:rPr>
        <w:t xml:space="preserve"> </w:t>
      </w:r>
      <w:r w:rsidR="00105048" w:rsidRPr="00DD7443">
        <w:rPr>
          <w:sz w:val="24"/>
          <w:szCs w:val="24"/>
        </w:rPr>
        <w:t xml:space="preserve">(c) </w:t>
      </w:r>
      <w:r w:rsidRPr="00DD7443">
        <w:rPr>
          <w:sz w:val="24"/>
          <w:szCs w:val="24"/>
        </w:rPr>
        <w:t>when</w:t>
      </w:r>
      <w:r w:rsidR="00506DCF" w:rsidRPr="00DD7443">
        <w:rPr>
          <w:sz w:val="24"/>
          <w:szCs w:val="24"/>
        </w:rPr>
        <w:t xml:space="preserve"> an applicant has been convicted of a crime more than five years prior to the date of the application and the Commission determines that the nature or extent of the crime(s) will likely interfere with the proper operation of a household goods moving company;</w:t>
      </w:r>
      <w:r w:rsidR="00506DCF" w:rsidRPr="00DD7443">
        <w:rPr>
          <w:rStyle w:val="FootnoteReference"/>
          <w:sz w:val="24"/>
          <w:szCs w:val="24"/>
        </w:rPr>
        <w:footnoteReference w:id="10"/>
      </w:r>
      <w:r w:rsidR="000B35F0" w:rsidRPr="00DD7443">
        <w:rPr>
          <w:sz w:val="24"/>
          <w:szCs w:val="24"/>
        </w:rPr>
        <w:t xml:space="preserve"> (d) </w:t>
      </w:r>
      <w:r w:rsidR="007653E2">
        <w:rPr>
          <w:sz w:val="24"/>
          <w:szCs w:val="24"/>
        </w:rPr>
        <w:t xml:space="preserve">when </w:t>
      </w:r>
      <w:r w:rsidR="000B35F0" w:rsidRPr="00DD7443">
        <w:rPr>
          <w:sz w:val="24"/>
          <w:szCs w:val="24"/>
        </w:rPr>
        <w:t>the applicant has an outstanding Commission-issued monetary penalty;</w:t>
      </w:r>
      <w:r w:rsidR="000B35F0" w:rsidRPr="00DD7443">
        <w:rPr>
          <w:rStyle w:val="FootnoteReference"/>
          <w:sz w:val="24"/>
          <w:szCs w:val="24"/>
        </w:rPr>
        <w:footnoteReference w:id="11"/>
      </w:r>
      <w:r w:rsidR="000B35F0" w:rsidRPr="00DD7443">
        <w:rPr>
          <w:sz w:val="24"/>
          <w:szCs w:val="24"/>
        </w:rPr>
        <w:t>or (e)</w:t>
      </w:r>
      <w:r w:rsidRPr="00DD7443">
        <w:rPr>
          <w:sz w:val="24"/>
          <w:szCs w:val="24"/>
        </w:rPr>
        <w:t xml:space="preserve"> </w:t>
      </w:r>
      <w:r w:rsidR="007653E2">
        <w:rPr>
          <w:sz w:val="24"/>
          <w:szCs w:val="24"/>
        </w:rPr>
        <w:t xml:space="preserve">when </w:t>
      </w:r>
      <w:r w:rsidRPr="00DD7443">
        <w:rPr>
          <w:sz w:val="24"/>
          <w:szCs w:val="24"/>
        </w:rPr>
        <w:t>other circumstances cause the Commission to believe issuing a permit is not in the public interest.</w:t>
      </w:r>
      <w:r w:rsidRPr="00DD7443">
        <w:rPr>
          <w:sz w:val="24"/>
          <w:szCs w:val="24"/>
          <w:vertAlign w:val="superscript"/>
        </w:rPr>
        <w:footnoteReference w:id="12"/>
      </w:r>
    </w:p>
    <w:p w14:paraId="24221694" w14:textId="77777777" w:rsidR="009D1457" w:rsidRPr="00DD7443" w:rsidRDefault="009D1457" w:rsidP="009D1457">
      <w:pPr>
        <w:pStyle w:val="ListParagraph"/>
      </w:pPr>
    </w:p>
    <w:p w14:paraId="4AC8EA68" w14:textId="77777777" w:rsidR="00983C52" w:rsidRPr="00B02CFE" w:rsidRDefault="000C0A91" w:rsidP="00B02CFE">
      <w:pPr>
        <w:pStyle w:val="NoSpacing"/>
        <w:numPr>
          <w:ilvl w:val="0"/>
          <w:numId w:val="1"/>
        </w:numPr>
        <w:spacing w:line="264" w:lineRule="auto"/>
        <w:ind w:left="0" w:hanging="720"/>
        <w:rPr>
          <w:sz w:val="24"/>
          <w:szCs w:val="24"/>
        </w:rPr>
      </w:pPr>
      <w:r w:rsidRPr="00B02CFE">
        <w:rPr>
          <w:b/>
          <w:sz w:val="24"/>
          <w:szCs w:val="24"/>
        </w:rPr>
        <w:t>Misleading Application.</w:t>
      </w:r>
      <w:r w:rsidR="00BF67C2" w:rsidRPr="00B02CFE">
        <w:rPr>
          <w:sz w:val="24"/>
          <w:szCs w:val="24"/>
        </w:rPr>
        <w:t xml:space="preserve"> </w:t>
      </w:r>
      <w:r w:rsidR="0087517D">
        <w:rPr>
          <w:sz w:val="24"/>
          <w:szCs w:val="24"/>
        </w:rPr>
        <w:t>The evidence presented at hearing shows a</w:t>
      </w:r>
      <w:r w:rsidR="00906CDE" w:rsidRPr="00B02CFE">
        <w:rPr>
          <w:sz w:val="24"/>
          <w:szCs w:val="24"/>
        </w:rPr>
        <w:t xml:space="preserve"> substantial overlap between Mr. Heath’s packing and labor-only moving business and Ms. Heath’s proposed full-service moving company</w:t>
      </w:r>
      <w:r w:rsidR="0087517D">
        <w:rPr>
          <w:sz w:val="24"/>
          <w:szCs w:val="24"/>
        </w:rPr>
        <w:t>, including an unexplained discrepancy related to the number of trucks owned by the Heaths and how those trucks are used. C</w:t>
      </w:r>
      <w:r w:rsidR="00906CDE" w:rsidRPr="00B02CFE">
        <w:rPr>
          <w:sz w:val="24"/>
          <w:szCs w:val="24"/>
        </w:rPr>
        <w:t>oupled with Ms. Heath’s total lack of experience in the household goods moving industry</w:t>
      </w:r>
      <w:r w:rsidR="0087517D">
        <w:rPr>
          <w:sz w:val="24"/>
          <w:szCs w:val="24"/>
        </w:rPr>
        <w:t xml:space="preserve">, </w:t>
      </w:r>
      <w:r w:rsidR="005A7FEC" w:rsidRPr="00B02CFE">
        <w:rPr>
          <w:sz w:val="24"/>
          <w:szCs w:val="24"/>
        </w:rPr>
        <w:t xml:space="preserve">the </w:t>
      </w:r>
      <w:r w:rsidR="0087517D">
        <w:rPr>
          <w:sz w:val="24"/>
          <w:szCs w:val="24"/>
        </w:rPr>
        <w:t xml:space="preserve">evidence establishes </w:t>
      </w:r>
      <w:r w:rsidR="00906CDE" w:rsidRPr="00B02CFE">
        <w:rPr>
          <w:sz w:val="24"/>
          <w:szCs w:val="24"/>
        </w:rPr>
        <w:t>that</w:t>
      </w:r>
      <w:r w:rsidR="00E01E9F" w:rsidRPr="00B02CFE">
        <w:rPr>
          <w:sz w:val="24"/>
          <w:szCs w:val="24"/>
        </w:rPr>
        <w:t>,</w:t>
      </w:r>
      <w:r w:rsidR="005A7FEC" w:rsidRPr="00B02CFE">
        <w:rPr>
          <w:sz w:val="24"/>
          <w:szCs w:val="24"/>
        </w:rPr>
        <w:t xml:space="preserve"> a</w:t>
      </w:r>
      <w:r w:rsidR="00E01E9F" w:rsidRPr="00B02CFE">
        <w:rPr>
          <w:sz w:val="24"/>
          <w:szCs w:val="24"/>
        </w:rPr>
        <w:t>t</w:t>
      </w:r>
      <w:r w:rsidR="005A7FEC" w:rsidRPr="00B02CFE">
        <w:rPr>
          <w:sz w:val="24"/>
          <w:szCs w:val="24"/>
        </w:rPr>
        <w:t xml:space="preserve"> a minimum,</w:t>
      </w:r>
      <w:r w:rsidR="00906CDE" w:rsidRPr="00B02CFE">
        <w:rPr>
          <w:sz w:val="24"/>
          <w:szCs w:val="24"/>
        </w:rPr>
        <w:t xml:space="preserve"> Mr. and Ms. Heath are in business together as movers</w:t>
      </w:r>
      <w:r w:rsidR="00BF67C2" w:rsidRPr="00B02CFE">
        <w:rPr>
          <w:sz w:val="24"/>
          <w:szCs w:val="24"/>
        </w:rPr>
        <w:t>.</w:t>
      </w:r>
      <w:r w:rsidR="00906CDE" w:rsidRPr="00B02CFE">
        <w:rPr>
          <w:sz w:val="24"/>
          <w:szCs w:val="24"/>
        </w:rPr>
        <w:t xml:space="preserve"> </w:t>
      </w:r>
      <w:r w:rsidR="00B95870">
        <w:rPr>
          <w:sz w:val="24"/>
          <w:szCs w:val="24"/>
        </w:rPr>
        <w:t>Accordingly, the Application is misleading by failing to disclose the Company’s true ownership and operations.</w:t>
      </w:r>
    </w:p>
    <w:p w14:paraId="18D56BEE" w14:textId="77777777" w:rsidR="001139D3" w:rsidRDefault="001139D3" w:rsidP="0087517D">
      <w:pPr>
        <w:pStyle w:val="ListParagraph"/>
        <w:ind w:left="0"/>
      </w:pPr>
    </w:p>
    <w:p w14:paraId="4E9A3C43" w14:textId="77777777" w:rsidR="00AF42B6" w:rsidRPr="00DD7443" w:rsidRDefault="00FF33D0" w:rsidP="002F4733">
      <w:pPr>
        <w:pStyle w:val="NoSpacing"/>
        <w:numPr>
          <w:ilvl w:val="0"/>
          <w:numId w:val="1"/>
        </w:numPr>
        <w:spacing w:line="264" w:lineRule="auto"/>
        <w:ind w:left="0" w:hanging="720"/>
        <w:rPr>
          <w:sz w:val="24"/>
          <w:szCs w:val="24"/>
        </w:rPr>
      </w:pPr>
      <w:r w:rsidRPr="00DD7443">
        <w:rPr>
          <w:b/>
          <w:sz w:val="24"/>
          <w:szCs w:val="24"/>
        </w:rPr>
        <w:t>Disqualifying Criminal Record.</w:t>
      </w:r>
      <w:r w:rsidR="00904F4B" w:rsidRPr="00DD7443">
        <w:rPr>
          <w:b/>
          <w:sz w:val="24"/>
          <w:szCs w:val="24"/>
        </w:rPr>
        <w:t xml:space="preserve"> </w:t>
      </w:r>
      <w:r w:rsidR="004050A6" w:rsidRPr="00DD7443">
        <w:rPr>
          <w:sz w:val="24"/>
          <w:szCs w:val="24"/>
        </w:rPr>
        <w:t>W</w:t>
      </w:r>
      <w:r w:rsidR="00904F4B" w:rsidRPr="00DD7443">
        <w:rPr>
          <w:sz w:val="24"/>
          <w:szCs w:val="24"/>
        </w:rPr>
        <w:t xml:space="preserve">AC 480-15-302(8) requires </w:t>
      </w:r>
      <w:r w:rsidR="00AF42B6" w:rsidRPr="00DD7443">
        <w:rPr>
          <w:sz w:val="24"/>
          <w:szCs w:val="24"/>
        </w:rPr>
        <w:t>criminal background checks for each person named in an application for a household goods moving permit</w:t>
      </w:r>
      <w:r w:rsidR="0057764C" w:rsidRPr="00DD7443">
        <w:rPr>
          <w:sz w:val="24"/>
          <w:szCs w:val="24"/>
        </w:rPr>
        <w:t>. In pertinent part, t</w:t>
      </w:r>
      <w:r w:rsidR="00904F4B" w:rsidRPr="00DD7443">
        <w:rPr>
          <w:sz w:val="24"/>
          <w:szCs w:val="24"/>
        </w:rPr>
        <w:t xml:space="preserve">he rule </w:t>
      </w:r>
      <w:r w:rsidR="00AF42B6" w:rsidRPr="00DD7443">
        <w:rPr>
          <w:sz w:val="24"/>
          <w:szCs w:val="24"/>
        </w:rPr>
        <w:t>state</w:t>
      </w:r>
      <w:r w:rsidR="00904F4B" w:rsidRPr="00DD7443">
        <w:rPr>
          <w:sz w:val="24"/>
          <w:szCs w:val="24"/>
        </w:rPr>
        <w:t>s</w:t>
      </w:r>
      <w:r w:rsidR="00D22EF7" w:rsidRPr="00DD7443">
        <w:rPr>
          <w:sz w:val="24"/>
          <w:szCs w:val="24"/>
        </w:rPr>
        <w:t>:</w:t>
      </w:r>
    </w:p>
    <w:p w14:paraId="0E06B607" w14:textId="77777777" w:rsidR="00AF42B6" w:rsidRPr="00DD7443" w:rsidRDefault="00AF42B6" w:rsidP="00AF42B6">
      <w:pPr>
        <w:pStyle w:val="ListParagraph"/>
        <w:rPr>
          <w:highlight w:val="yellow"/>
        </w:rPr>
      </w:pPr>
    </w:p>
    <w:p w14:paraId="3281DC4C" w14:textId="77777777" w:rsidR="00AF42B6" w:rsidRPr="00DD7443" w:rsidRDefault="00AF42B6" w:rsidP="0057764C">
      <w:pPr>
        <w:pStyle w:val="NoSpacing"/>
        <w:spacing w:line="264" w:lineRule="auto"/>
        <w:ind w:left="720" w:right="720"/>
        <w:rPr>
          <w:sz w:val="24"/>
          <w:szCs w:val="24"/>
        </w:rPr>
      </w:pPr>
      <w:r w:rsidRPr="00DD7443">
        <w:rPr>
          <w:sz w:val="24"/>
          <w:szCs w:val="24"/>
        </w:rPr>
        <w:t xml:space="preserve">The Commission will not grant provisional authority if any named person has, within the past five years, been convicted of any crime involving theft, burglary, </w:t>
      </w:r>
      <w:r w:rsidR="00F563EA" w:rsidRPr="00DD7443">
        <w:rPr>
          <w:sz w:val="24"/>
          <w:szCs w:val="24"/>
        </w:rPr>
        <w:t xml:space="preserve">assault, </w:t>
      </w:r>
      <w:r w:rsidRPr="00DD7443">
        <w:rPr>
          <w:sz w:val="24"/>
          <w:szCs w:val="24"/>
        </w:rPr>
        <w:t>se</w:t>
      </w:r>
      <w:r w:rsidR="00F563EA" w:rsidRPr="00DD7443">
        <w:rPr>
          <w:sz w:val="24"/>
          <w:szCs w:val="24"/>
        </w:rPr>
        <w:t xml:space="preserve">xual misconduct, identity theft, </w:t>
      </w:r>
      <w:r w:rsidRPr="00DD7443">
        <w:rPr>
          <w:sz w:val="24"/>
          <w:szCs w:val="24"/>
        </w:rPr>
        <w:t>fraud, false statements, or the manufacture, sale, or distribution of a controlled substance.</w:t>
      </w:r>
      <w:r w:rsidR="00D22EF7" w:rsidRPr="00DD7443">
        <w:rPr>
          <w:rStyle w:val="FootnoteReference"/>
          <w:sz w:val="24"/>
          <w:szCs w:val="24"/>
        </w:rPr>
        <w:footnoteReference w:id="13"/>
      </w:r>
    </w:p>
    <w:p w14:paraId="3AED1A77" w14:textId="77777777" w:rsidR="00D22EF7" w:rsidRPr="00DD7443" w:rsidRDefault="00D22EF7" w:rsidP="0087517D">
      <w:pPr>
        <w:pStyle w:val="NoSpacing"/>
        <w:spacing w:line="264" w:lineRule="auto"/>
        <w:ind w:right="720"/>
        <w:rPr>
          <w:sz w:val="24"/>
          <w:szCs w:val="24"/>
        </w:rPr>
      </w:pPr>
    </w:p>
    <w:p w14:paraId="351D0C51" w14:textId="77777777" w:rsidR="00D70874" w:rsidRDefault="003859C5" w:rsidP="00E01E9F">
      <w:pPr>
        <w:pStyle w:val="NoSpacing"/>
        <w:numPr>
          <w:ilvl w:val="0"/>
          <w:numId w:val="1"/>
        </w:numPr>
        <w:spacing w:line="264" w:lineRule="auto"/>
        <w:ind w:left="0" w:hanging="720"/>
        <w:rPr>
          <w:sz w:val="24"/>
          <w:szCs w:val="24"/>
        </w:rPr>
      </w:pPr>
      <w:r>
        <w:rPr>
          <w:sz w:val="24"/>
          <w:szCs w:val="24"/>
        </w:rPr>
        <w:lastRenderedPageBreak/>
        <w:t>Mr. Heath, at least in part, owns and operates Movers4U. His August 2010 conviction for felony assault was within five years of the date the Company filed the Application and disqualifies Mr. Heath and Movers4U from obtaining a</w:t>
      </w:r>
      <w:r w:rsidR="0057764C" w:rsidRPr="00DD7443">
        <w:rPr>
          <w:sz w:val="24"/>
          <w:szCs w:val="24"/>
        </w:rPr>
        <w:t xml:space="preserve"> household goods permit</w:t>
      </w:r>
      <w:r w:rsidR="00657028" w:rsidRPr="00DD7443">
        <w:rPr>
          <w:sz w:val="24"/>
          <w:szCs w:val="24"/>
        </w:rPr>
        <w:t>.</w:t>
      </w:r>
      <w:r w:rsidR="00E01E9F">
        <w:rPr>
          <w:rStyle w:val="FootnoteReference"/>
          <w:sz w:val="24"/>
          <w:szCs w:val="24"/>
        </w:rPr>
        <w:footnoteReference w:id="14"/>
      </w:r>
      <w:r w:rsidR="00D70874" w:rsidRPr="00DD7443">
        <w:rPr>
          <w:sz w:val="24"/>
          <w:szCs w:val="24"/>
        </w:rPr>
        <w:t xml:space="preserve"> </w:t>
      </w:r>
    </w:p>
    <w:p w14:paraId="366E4509" w14:textId="77777777" w:rsidR="00BD09F9" w:rsidRPr="00E01E9F" w:rsidRDefault="00BD09F9" w:rsidP="00BD09F9">
      <w:pPr>
        <w:pStyle w:val="NoSpacing"/>
        <w:spacing w:line="264" w:lineRule="auto"/>
        <w:rPr>
          <w:sz w:val="24"/>
          <w:szCs w:val="24"/>
        </w:rPr>
      </w:pPr>
    </w:p>
    <w:p w14:paraId="3F5B3A4B" w14:textId="77777777" w:rsidR="009260F5" w:rsidRPr="00DD7443" w:rsidRDefault="00B66549" w:rsidP="009260F5">
      <w:pPr>
        <w:pStyle w:val="NoSpacing"/>
        <w:numPr>
          <w:ilvl w:val="0"/>
          <w:numId w:val="1"/>
        </w:numPr>
        <w:spacing w:line="264" w:lineRule="auto"/>
        <w:ind w:left="0" w:hanging="720"/>
        <w:rPr>
          <w:b/>
          <w:sz w:val="24"/>
          <w:szCs w:val="24"/>
        </w:rPr>
      </w:pPr>
      <w:r w:rsidRPr="00DD7443">
        <w:rPr>
          <w:b/>
          <w:sz w:val="24"/>
          <w:szCs w:val="24"/>
        </w:rPr>
        <w:t xml:space="preserve">Outstanding Penalty. </w:t>
      </w:r>
      <w:r w:rsidRPr="00DD7443">
        <w:rPr>
          <w:sz w:val="24"/>
          <w:szCs w:val="24"/>
        </w:rPr>
        <w:t xml:space="preserve">Under WAC 480-15-305(1)(f), the Commission will not grant permanent authority to an applicant </w:t>
      </w:r>
      <w:r w:rsidR="009260F5" w:rsidRPr="00DD7443">
        <w:rPr>
          <w:sz w:val="24"/>
          <w:szCs w:val="24"/>
        </w:rPr>
        <w:t xml:space="preserve">who has an outstanding Commission-issued monetary penalty. On January 25, 2012, the Commission found Mr. Heath in default for failing to appear at a household goods carrier classification hearing and assessed a $5,000 penalty. To date, the penalty remains unpaid. </w:t>
      </w:r>
      <w:r w:rsidR="003859C5">
        <w:rPr>
          <w:sz w:val="24"/>
          <w:szCs w:val="24"/>
        </w:rPr>
        <w:t>Mr. Heath and Movers4U may not obtain a permit as long as that penalty is outstanding.</w:t>
      </w:r>
    </w:p>
    <w:p w14:paraId="29D828C9" w14:textId="77777777" w:rsidR="00774E58" w:rsidRPr="00DD7443" w:rsidRDefault="00774E58" w:rsidP="00D70874">
      <w:pPr>
        <w:pStyle w:val="ListParagraph"/>
        <w:ind w:left="0"/>
      </w:pPr>
    </w:p>
    <w:p w14:paraId="64A1832E" w14:textId="77777777" w:rsidR="00941D68" w:rsidRDefault="00590E7B" w:rsidP="002F4733">
      <w:pPr>
        <w:pStyle w:val="NoSpacing"/>
        <w:numPr>
          <w:ilvl w:val="0"/>
          <w:numId w:val="1"/>
        </w:numPr>
        <w:spacing w:line="264" w:lineRule="auto"/>
        <w:ind w:left="0" w:hanging="720"/>
        <w:rPr>
          <w:sz w:val="24"/>
          <w:szCs w:val="24"/>
        </w:rPr>
      </w:pPr>
      <w:r w:rsidRPr="00DD7443">
        <w:rPr>
          <w:b/>
          <w:sz w:val="24"/>
          <w:szCs w:val="24"/>
        </w:rPr>
        <w:t>Other Circumstances</w:t>
      </w:r>
      <w:r w:rsidR="00941D68" w:rsidRPr="00DD7443">
        <w:rPr>
          <w:b/>
          <w:sz w:val="24"/>
          <w:szCs w:val="24"/>
        </w:rPr>
        <w:t>.</w:t>
      </w:r>
      <w:r w:rsidR="00941D68" w:rsidRPr="00DD7443">
        <w:rPr>
          <w:sz w:val="24"/>
          <w:szCs w:val="24"/>
        </w:rPr>
        <w:t xml:space="preserve"> </w:t>
      </w:r>
      <w:r w:rsidR="00D50A38" w:rsidRPr="00DD7443">
        <w:rPr>
          <w:sz w:val="24"/>
          <w:szCs w:val="24"/>
        </w:rPr>
        <w:t xml:space="preserve">Commission rules allow denial of an application when “other circumstances exist” </w:t>
      </w:r>
      <w:r w:rsidR="003043AC" w:rsidRPr="00DD7443">
        <w:rPr>
          <w:sz w:val="24"/>
          <w:szCs w:val="24"/>
        </w:rPr>
        <w:t>demonstrating</w:t>
      </w:r>
      <w:r w:rsidR="00D50A38" w:rsidRPr="00DD7443">
        <w:rPr>
          <w:sz w:val="24"/>
          <w:szCs w:val="24"/>
        </w:rPr>
        <w:t xml:space="preserve"> that granting the permit would not be in the public interest. </w:t>
      </w:r>
      <w:r w:rsidR="003859C5">
        <w:rPr>
          <w:sz w:val="24"/>
          <w:szCs w:val="24"/>
        </w:rPr>
        <w:t>Such circumstances exist here.</w:t>
      </w:r>
    </w:p>
    <w:p w14:paraId="23326596" w14:textId="77777777" w:rsidR="00BD09F9" w:rsidRPr="00DD7443" w:rsidRDefault="00BD09F9" w:rsidP="00BD09F9">
      <w:pPr>
        <w:pStyle w:val="NoSpacing"/>
        <w:spacing w:line="264" w:lineRule="auto"/>
        <w:rPr>
          <w:sz w:val="24"/>
          <w:szCs w:val="24"/>
        </w:rPr>
      </w:pPr>
    </w:p>
    <w:p w14:paraId="5F6FF838" w14:textId="77777777" w:rsidR="00384C8C" w:rsidRDefault="003859C5" w:rsidP="006370EA">
      <w:pPr>
        <w:pStyle w:val="NoSpacing"/>
        <w:numPr>
          <w:ilvl w:val="0"/>
          <w:numId w:val="1"/>
        </w:numPr>
        <w:spacing w:line="264" w:lineRule="auto"/>
        <w:ind w:left="0" w:hanging="720"/>
        <w:rPr>
          <w:sz w:val="24"/>
          <w:szCs w:val="24"/>
        </w:rPr>
      </w:pPr>
      <w:r>
        <w:rPr>
          <w:sz w:val="24"/>
          <w:szCs w:val="24"/>
        </w:rPr>
        <w:t xml:space="preserve">Both Ms. and Mr. Heath demonstrated a fundamental lack of candor in this proceeding that demonstrates they are unlikely to comply with Commission regulations. </w:t>
      </w:r>
      <w:r w:rsidR="00F0770B" w:rsidRPr="00DD7443">
        <w:rPr>
          <w:sz w:val="24"/>
          <w:szCs w:val="24"/>
        </w:rPr>
        <w:t xml:space="preserve">Ms. Heath </w:t>
      </w:r>
      <w:r w:rsidR="00872812">
        <w:rPr>
          <w:sz w:val="24"/>
          <w:szCs w:val="24"/>
        </w:rPr>
        <w:t>repeated</w:t>
      </w:r>
      <w:r>
        <w:rPr>
          <w:sz w:val="24"/>
          <w:szCs w:val="24"/>
        </w:rPr>
        <w:t>ly</w:t>
      </w:r>
      <w:r w:rsidR="00872812">
        <w:rPr>
          <w:sz w:val="24"/>
          <w:szCs w:val="24"/>
        </w:rPr>
        <w:t xml:space="preserve"> use</w:t>
      </w:r>
      <w:r>
        <w:rPr>
          <w:sz w:val="24"/>
          <w:szCs w:val="24"/>
        </w:rPr>
        <w:t>d</w:t>
      </w:r>
      <w:r w:rsidR="00872812">
        <w:rPr>
          <w:sz w:val="24"/>
          <w:szCs w:val="24"/>
        </w:rPr>
        <w:t xml:space="preserve"> the pronoun “we” when referring to the Company’s operations</w:t>
      </w:r>
      <w:r>
        <w:rPr>
          <w:sz w:val="24"/>
          <w:szCs w:val="24"/>
        </w:rPr>
        <w:t>,</w:t>
      </w:r>
      <w:r w:rsidR="008A718E">
        <w:rPr>
          <w:rStyle w:val="FootnoteReference"/>
          <w:sz w:val="24"/>
          <w:szCs w:val="24"/>
        </w:rPr>
        <w:footnoteReference w:id="15"/>
      </w:r>
      <w:r>
        <w:rPr>
          <w:sz w:val="24"/>
          <w:szCs w:val="24"/>
        </w:rPr>
        <w:t xml:space="preserve"> which unambiguously demonstrated that both she and her husband are involved, despite her representations to the contrary. </w:t>
      </w:r>
      <w:r w:rsidRPr="00CC0575">
        <w:rPr>
          <w:sz w:val="24"/>
          <w:szCs w:val="24"/>
        </w:rPr>
        <w:t xml:space="preserve">Her </w:t>
      </w:r>
      <w:r w:rsidR="00F0770B" w:rsidRPr="00CC0575">
        <w:rPr>
          <w:sz w:val="24"/>
          <w:szCs w:val="24"/>
        </w:rPr>
        <w:t xml:space="preserve">attempt to </w:t>
      </w:r>
      <w:r w:rsidRPr="00CC0575">
        <w:rPr>
          <w:sz w:val="24"/>
          <w:szCs w:val="24"/>
        </w:rPr>
        <w:t xml:space="preserve">reconcile </w:t>
      </w:r>
      <w:r w:rsidR="00F0770B" w:rsidRPr="00CC0575">
        <w:rPr>
          <w:sz w:val="24"/>
          <w:szCs w:val="24"/>
        </w:rPr>
        <w:t xml:space="preserve">Mr. Lane’s statement of support </w:t>
      </w:r>
      <w:r w:rsidRPr="00CC0575">
        <w:rPr>
          <w:sz w:val="24"/>
          <w:szCs w:val="24"/>
        </w:rPr>
        <w:t xml:space="preserve">and the testimony that Mr. Heath had not conducted prior </w:t>
      </w:r>
      <w:r w:rsidR="00CC0575" w:rsidRPr="00CC0575">
        <w:rPr>
          <w:sz w:val="24"/>
          <w:szCs w:val="24"/>
        </w:rPr>
        <w:t xml:space="preserve">moves </w:t>
      </w:r>
      <w:r w:rsidR="00B24BF8" w:rsidRPr="00CC0575">
        <w:rPr>
          <w:sz w:val="24"/>
          <w:szCs w:val="24"/>
        </w:rPr>
        <w:t xml:space="preserve">as a misunderstanding </w:t>
      </w:r>
      <w:r w:rsidRPr="00CC0575">
        <w:rPr>
          <w:sz w:val="24"/>
          <w:szCs w:val="24"/>
        </w:rPr>
        <w:t>lacks any</w:t>
      </w:r>
      <w:r w:rsidR="00F0770B" w:rsidRPr="00CC0575">
        <w:rPr>
          <w:sz w:val="24"/>
          <w:szCs w:val="24"/>
        </w:rPr>
        <w:t xml:space="preserve"> credibility.</w:t>
      </w:r>
      <w:r w:rsidR="00F0770B" w:rsidRPr="00DD7443">
        <w:rPr>
          <w:sz w:val="24"/>
          <w:szCs w:val="24"/>
        </w:rPr>
        <w:t xml:space="preserve"> </w:t>
      </w:r>
      <w:r w:rsidR="00F0770B" w:rsidRPr="003859C5">
        <w:rPr>
          <w:sz w:val="24"/>
          <w:szCs w:val="24"/>
        </w:rPr>
        <w:t>Mr. Heath</w:t>
      </w:r>
      <w:r w:rsidRPr="003859C5">
        <w:rPr>
          <w:sz w:val="24"/>
          <w:szCs w:val="24"/>
        </w:rPr>
        <w:t>, for his part,</w:t>
      </w:r>
      <w:r w:rsidR="00F0770B" w:rsidRPr="003859C5">
        <w:rPr>
          <w:sz w:val="24"/>
          <w:szCs w:val="24"/>
        </w:rPr>
        <w:t xml:space="preserve"> testified that he performed household goods moves </w:t>
      </w:r>
      <w:r w:rsidR="000F300A" w:rsidRPr="003859C5">
        <w:rPr>
          <w:sz w:val="24"/>
          <w:szCs w:val="24"/>
        </w:rPr>
        <w:t>in</w:t>
      </w:r>
      <w:r w:rsidR="00F0770B" w:rsidRPr="003859C5">
        <w:rPr>
          <w:sz w:val="24"/>
          <w:szCs w:val="24"/>
        </w:rPr>
        <w:t xml:space="preserve"> 2011, then later stated, “I was never a household goods mover.”</w:t>
      </w:r>
      <w:r w:rsidR="00F0770B" w:rsidRPr="00DD7443">
        <w:rPr>
          <w:rStyle w:val="FootnoteReference"/>
          <w:sz w:val="24"/>
          <w:szCs w:val="24"/>
        </w:rPr>
        <w:footnoteReference w:id="16"/>
      </w:r>
      <w:r w:rsidR="00F0770B" w:rsidRPr="003859C5">
        <w:rPr>
          <w:sz w:val="24"/>
          <w:szCs w:val="24"/>
        </w:rPr>
        <w:t xml:space="preserve"> </w:t>
      </w:r>
      <w:r>
        <w:rPr>
          <w:sz w:val="24"/>
          <w:szCs w:val="24"/>
        </w:rPr>
        <w:t>He made equally</w:t>
      </w:r>
      <w:r w:rsidR="00F0770B" w:rsidRPr="003859C5">
        <w:rPr>
          <w:sz w:val="24"/>
          <w:szCs w:val="24"/>
        </w:rPr>
        <w:t xml:space="preserve"> inconsistent statements about the number and use of his box trucks</w:t>
      </w:r>
      <w:r>
        <w:rPr>
          <w:sz w:val="24"/>
          <w:szCs w:val="24"/>
        </w:rPr>
        <w:t>. The Heaths’ false and misleading testimony</w:t>
      </w:r>
      <w:r w:rsidRPr="003859C5">
        <w:rPr>
          <w:sz w:val="24"/>
          <w:szCs w:val="24"/>
        </w:rPr>
        <w:t xml:space="preserve"> </w:t>
      </w:r>
      <w:r>
        <w:rPr>
          <w:sz w:val="24"/>
          <w:szCs w:val="24"/>
        </w:rPr>
        <w:t>demonstrates</w:t>
      </w:r>
      <w:r w:rsidRPr="003859C5">
        <w:rPr>
          <w:sz w:val="24"/>
          <w:szCs w:val="24"/>
        </w:rPr>
        <w:t xml:space="preserve"> that </w:t>
      </w:r>
      <w:r>
        <w:rPr>
          <w:sz w:val="24"/>
          <w:szCs w:val="24"/>
        </w:rPr>
        <w:t>they cannot be trusted to provide household goods moving services consistent with the public interest</w:t>
      </w:r>
      <w:r w:rsidR="00BD09F9">
        <w:rPr>
          <w:sz w:val="24"/>
          <w:szCs w:val="24"/>
        </w:rPr>
        <w:t>.</w:t>
      </w:r>
    </w:p>
    <w:p w14:paraId="6592562E" w14:textId="77777777" w:rsidR="00BD09F9" w:rsidRPr="003859C5" w:rsidRDefault="00BD09F9" w:rsidP="00BD09F9">
      <w:pPr>
        <w:pStyle w:val="NoSpacing"/>
        <w:spacing w:line="264" w:lineRule="auto"/>
        <w:rPr>
          <w:sz w:val="24"/>
          <w:szCs w:val="24"/>
        </w:rPr>
      </w:pPr>
    </w:p>
    <w:p w14:paraId="3A011ABF" w14:textId="77777777" w:rsidR="00872812" w:rsidRPr="00DD7443" w:rsidRDefault="003859C5" w:rsidP="00F0770B">
      <w:pPr>
        <w:pStyle w:val="NoSpacing"/>
        <w:numPr>
          <w:ilvl w:val="0"/>
          <w:numId w:val="1"/>
        </w:numPr>
        <w:spacing w:line="264" w:lineRule="auto"/>
        <w:ind w:left="0" w:hanging="720"/>
        <w:rPr>
          <w:sz w:val="24"/>
          <w:szCs w:val="24"/>
        </w:rPr>
      </w:pPr>
      <w:r>
        <w:rPr>
          <w:sz w:val="24"/>
          <w:szCs w:val="24"/>
        </w:rPr>
        <w:t xml:space="preserve">Even </w:t>
      </w:r>
      <w:r w:rsidR="005F48A3">
        <w:rPr>
          <w:sz w:val="24"/>
          <w:szCs w:val="24"/>
        </w:rPr>
        <w:t xml:space="preserve">viewed only on its </w:t>
      </w:r>
      <w:r>
        <w:rPr>
          <w:sz w:val="24"/>
          <w:szCs w:val="24"/>
        </w:rPr>
        <w:t>face</w:t>
      </w:r>
      <w:r w:rsidR="005F48A3">
        <w:rPr>
          <w:sz w:val="24"/>
          <w:szCs w:val="24"/>
        </w:rPr>
        <w:t>,</w:t>
      </w:r>
      <w:r>
        <w:rPr>
          <w:sz w:val="24"/>
          <w:szCs w:val="24"/>
        </w:rPr>
        <w:t xml:space="preserve"> the Application fails to demonstrate that</w:t>
      </w:r>
      <w:r w:rsidR="00872812">
        <w:rPr>
          <w:sz w:val="24"/>
          <w:szCs w:val="24"/>
        </w:rPr>
        <w:t xml:space="preserve"> Movers4U is fit</w:t>
      </w:r>
      <w:r w:rsidR="00CA3E34">
        <w:rPr>
          <w:sz w:val="24"/>
          <w:szCs w:val="24"/>
        </w:rPr>
        <w:t xml:space="preserve"> or able</w:t>
      </w:r>
      <w:r w:rsidR="00872812">
        <w:rPr>
          <w:sz w:val="24"/>
          <w:szCs w:val="24"/>
        </w:rPr>
        <w:t xml:space="preserve"> to provide household goods moving services. Ms. Heath has no experience in the moving industry, does not have a driver’s license, and has never driven a moving truck. Issuing a permit to </w:t>
      </w:r>
      <w:r w:rsidR="00CA3E34">
        <w:rPr>
          <w:sz w:val="24"/>
          <w:szCs w:val="24"/>
        </w:rPr>
        <w:t>a</w:t>
      </w:r>
      <w:r>
        <w:rPr>
          <w:sz w:val="24"/>
          <w:szCs w:val="24"/>
        </w:rPr>
        <w:t>n unqualified and inexperienced applicant</w:t>
      </w:r>
      <w:r w:rsidR="0084754F">
        <w:rPr>
          <w:sz w:val="24"/>
          <w:szCs w:val="24"/>
        </w:rPr>
        <w:t xml:space="preserve"> would be contrary to </w:t>
      </w:r>
      <w:r w:rsidR="00872812">
        <w:rPr>
          <w:sz w:val="24"/>
          <w:szCs w:val="24"/>
        </w:rPr>
        <w:t>the public interest.</w:t>
      </w:r>
      <w:r w:rsidR="0084754F">
        <w:rPr>
          <w:sz w:val="24"/>
          <w:szCs w:val="24"/>
        </w:rPr>
        <w:t xml:space="preserve"> </w:t>
      </w:r>
    </w:p>
    <w:p w14:paraId="576BEAC6" w14:textId="77777777" w:rsidR="001A4AB1" w:rsidRPr="00DD7443" w:rsidRDefault="001A4AB1" w:rsidP="001A4AB1">
      <w:pPr>
        <w:pStyle w:val="ListParagraph"/>
      </w:pPr>
    </w:p>
    <w:p w14:paraId="621AA284" w14:textId="77777777" w:rsidR="00590E7B" w:rsidRPr="0084754F" w:rsidRDefault="00A95B54" w:rsidP="005104EC">
      <w:pPr>
        <w:pStyle w:val="NoSpacing"/>
        <w:numPr>
          <w:ilvl w:val="0"/>
          <w:numId w:val="1"/>
        </w:numPr>
        <w:spacing w:line="264" w:lineRule="auto"/>
        <w:ind w:left="0" w:hanging="720"/>
        <w:rPr>
          <w:sz w:val="24"/>
          <w:szCs w:val="24"/>
        </w:rPr>
      </w:pPr>
      <w:r w:rsidRPr="0084754F">
        <w:rPr>
          <w:b/>
          <w:sz w:val="24"/>
          <w:szCs w:val="24"/>
        </w:rPr>
        <w:t>Decision.</w:t>
      </w:r>
      <w:r w:rsidR="009C7E33">
        <w:rPr>
          <w:sz w:val="24"/>
          <w:szCs w:val="24"/>
        </w:rPr>
        <w:t xml:space="preserve"> </w:t>
      </w:r>
      <w:r w:rsidR="0084754F" w:rsidRPr="0084754F">
        <w:rPr>
          <w:sz w:val="24"/>
          <w:szCs w:val="24"/>
        </w:rPr>
        <w:t>Movers4U</w:t>
      </w:r>
      <w:r w:rsidRPr="0084754F">
        <w:rPr>
          <w:sz w:val="24"/>
          <w:szCs w:val="24"/>
        </w:rPr>
        <w:t xml:space="preserve"> </w:t>
      </w:r>
      <w:r w:rsidR="003859C5">
        <w:rPr>
          <w:sz w:val="24"/>
          <w:szCs w:val="24"/>
        </w:rPr>
        <w:t xml:space="preserve">has failed to </w:t>
      </w:r>
      <w:r w:rsidR="0084754F" w:rsidRPr="0084754F">
        <w:rPr>
          <w:sz w:val="24"/>
          <w:szCs w:val="24"/>
        </w:rPr>
        <w:t xml:space="preserve">demonstrate its fitness </w:t>
      </w:r>
      <w:r w:rsidR="003859C5">
        <w:rPr>
          <w:sz w:val="24"/>
          <w:szCs w:val="24"/>
        </w:rPr>
        <w:t xml:space="preserve">and ability </w:t>
      </w:r>
      <w:r w:rsidR="0084754F" w:rsidRPr="0084754F">
        <w:rPr>
          <w:sz w:val="24"/>
          <w:szCs w:val="24"/>
        </w:rPr>
        <w:t>to operate as a household goods carrier</w:t>
      </w:r>
      <w:r w:rsidR="001A4AB1" w:rsidRPr="0084754F">
        <w:rPr>
          <w:sz w:val="24"/>
          <w:szCs w:val="24"/>
        </w:rPr>
        <w:t xml:space="preserve">. </w:t>
      </w:r>
      <w:r w:rsidR="001D5932">
        <w:rPr>
          <w:sz w:val="24"/>
          <w:szCs w:val="24"/>
        </w:rPr>
        <w:t>T</w:t>
      </w:r>
      <w:r w:rsidR="001A4AB1" w:rsidRPr="0084754F">
        <w:rPr>
          <w:sz w:val="24"/>
          <w:szCs w:val="24"/>
        </w:rPr>
        <w:t xml:space="preserve">he Commission </w:t>
      </w:r>
      <w:r w:rsidR="0084754F" w:rsidRPr="0084754F">
        <w:rPr>
          <w:sz w:val="24"/>
          <w:szCs w:val="24"/>
        </w:rPr>
        <w:t>finds t</w:t>
      </w:r>
      <w:r w:rsidR="001A4AB1" w:rsidRPr="0084754F">
        <w:rPr>
          <w:sz w:val="24"/>
          <w:szCs w:val="24"/>
        </w:rPr>
        <w:t xml:space="preserve">hat </w:t>
      </w:r>
      <w:r w:rsidR="00CA3E34" w:rsidRPr="0084754F">
        <w:rPr>
          <w:sz w:val="24"/>
          <w:szCs w:val="24"/>
        </w:rPr>
        <w:t>the Company</w:t>
      </w:r>
      <w:r w:rsidR="00904F4B" w:rsidRPr="0084754F">
        <w:rPr>
          <w:sz w:val="24"/>
          <w:szCs w:val="24"/>
        </w:rPr>
        <w:t>’s Application i</w:t>
      </w:r>
      <w:r w:rsidR="00B00FA6" w:rsidRPr="0084754F">
        <w:rPr>
          <w:sz w:val="24"/>
          <w:szCs w:val="24"/>
        </w:rPr>
        <w:t>s misleading</w:t>
      </w:r>
      <w:r w:rsidR="001D5932">
        <w:rPr>
          <w:sz w:val="24"/>
          <w:szCs w:val="24"/>
        </w:rPr>
        <w:t>;</w:t>
      </w:r>
      <w:r w:rsidR="0084754F" w:rsidRPr="0084754F">
        <w:rPr>
          <w:sz w:val="24"/>
          <w:szCs w:val="24"/>
        </w:rPr>
        <w:t xml:space="preserve"> that</w:t>
      </w:r>
      <w:r w:rsidR="00590E7B" w:rsidRPr="0084754F">
        <w:rPr>
          <w:sz w:val="24"/>
          <w:szCs w:val="24"/>
        </w:rPr>
        <w:t xml:space="preserve"> Mr. Heath’s 2010 felony conviction and outstanding Commission-issued penalty bar him from obtaining a permit u</w:t>
      </w:r>
      <w:r w:rsidR="001D5932">
        <w:rPr>
          <w:sz w:val="24"/>
          <w:szCs w:val="24"/>
        </w:rPr>
        <w:t>nder the Application before us;</w:t>
      </w:r>
      <w:r w:rsidR="0084754F" w:rsidRPr="0084754F">
        <w:rPr>
          <w:sz w:val="24"/>
          <w:szCs w:val="24"/>
        </w:rPr>
        <w:t xml:space="preserve"> </w:t>
      </w:r>
      <w:r w:rsidR="0084754F">
        <w:rPr>
          <w:sz w:val="24"/>
          <w:szCs w:val="24"/>
        </w:rPr>
        <w:t>and</w:t>
      </w:r>
      <w:r w:rsidR="00590E7B" w:rsidRPr="0084754F">
        <w:rPr>
          <w:sz w:val="24"/>
          <w:szCs w:val="24"/>
        </w:rPr>
        <w:t xml:space="preserve"> that both Ms. Heath’s and Mr. Heath’s lack of credibility</w:t>
      </w:r>
      <w:r w:rsidR="0084754F">
        <w:rPr>
          <w:sz w:val="24"/>
          <w:szCs w:val="24"/>
        </w:rPr>
        <w:t xml:space="preserve"> and fitness</w:t>
      </w:r>
      <w:r w:rsidR="00590E7B" w:rsidRPr="0084754F">
        <w:rPr>
          <w:sz w:val="24"/>
          <w:szCs w:val="24"/>
        </w:rPr>
        <w:t xml:space="preserve"> represent “other circumstanc</w:t>
      </w:r>
      <w:r w:rsidR="00B00FA6" w:rsidRPr="0084754F">
        <w:rPr>
          <w:sz w:val="24"/>
          <w:szCs w:val="24"/>
        </w:rPr>
        <w:t>es” that require denial of the A</w:t>
      </w:r>
      <w:r w:rsidR="00590E7B" w:rsidRPr="0084754F">
        <w:rPr>
          <w:sz w:val="24"/>
          <w:szCs w:val="24"/>
        </w:rPr>
        <w:t>pplication.</w:t>
      </w:r>
    </w:p>
    <w:p w14:paraId="32D99412" w14:textId="77777777" w:rsidR="00904F4B" w:rsidRPr="00DD7443" w:rsidRDefault="00904F4B" w:rsidP="00904F4B">
      <w:pPr>
        <w:pStyle w:val="ListParagraph"/>
      </w:pPr>
    </w:p>
    <w:p w14:paraId="60124284" w14:textId="77777777" w:rsidR="00974B52" w:rsidRDefault="0084754F" w:rsidP="00590E7B">
      <w:pPr>
        <w:pStyle w:val="NoSpacing"/>
        <w:numPr>
          <w:ilvl w:val="0"/>
          <w:numId w:val="1"/>
        </w:numPr>
        <w:spacing w:line="264" w:lineRule="auto"/>
        <w:ind w:left="0" w:hanging="720"/>
        <w:rPr>
          <w:sz w:val="24"/>
          <w:szCs w:val="24"/>
        </w:rPr>
      </w:pPr>
      <w:r>
        <w:rPr>
          <w:sz w:val="24"/>
          <w:szCs w:val="24"/>
        </w:rPr>
        <w:t>Accordingly</w:t>
      </w:r>
      <w:r w:rsidR="00974B52" w:rsidRPr="00DD7443">
        <w:rPr>
          <w:sz w:val="24"/>
          <w:szCs w:val="24"/>
        </w:rPr>
        <w:t xml:space="preserve">, </w:t>
      </w:r>
      <w:r w:rsidR="00590E7B" w:rsidRPr="00DD7443">
        <w:rPr>
          <w:sz w:val="24"/>
          <w:szCs w:val="24"/>
        </w:rPr>
        <w:t>Movers4U’s A</w:t>
      </w:r>
      <w:r w:rsidR="00A95B54" w:rsidRPr="00DD7443">
        <w:rPr>
          <w:sz w:val="24"/>
          <w:szCs w:val="24"/>
        </w:rPr>
        <w:t>pplication for</w:t>
      </w:r>
      <w:r w:rsidR="001A4AB1" w:rsidRPr="00DD7443">
        <w:rPr>
          <w:sz w:val="24"/>
          <w:szCs w:val="24"/>
        </w:rPr>
        <w:t xml:space="preserve"> </w:t>
      </w:r>
      <w:r w:rsidR="00A95B54" w:rsidRPr="00DD7443">
        <w:rPr>
          <w:sz w:val="24"/>
          <w:szCs w:val="24"/>
        </w:rPr>
        <w:t xml:space="preserve">permanent authority </w:t>
      </w:r>
      <w:r w:rsidR="001A4AB1" w:rsidRPr="00DD7443">
        <w:rPr>
          <w:sz w:val="24"/>
          <w:szCs w:val="24"/>
        </w:rPr>
        <w:t>to conduct intrastate moves w</w:t>
      </w:r>
      <w:r w:rsidR="00A95B54" w:rsidRPr="00DD7443">
        <w:rPr>
          <w:sz w:val="24"/>
          <w:szCs w:val="24"/>
        </w:rPr>
        <w:t xml:space="preserve">ithin the state of Washington </w:t>
      </w:r>
      <w:r w:rsidR="00B00FA6" w:rsidRPr="00DD7443">
        <w:rPr>
          <w:sz w:val="24"/>
          <w:szCs w:val="24"/>
        </w:rPr>
        <w:t>is denied</w:t>
      </w:r>
      <w:r w:rsidR="00974B52" w:rsidRPr="00DD7443">
        <w:rPr>
          <w:sz w:val="24"/>
          <w:szCs w:val="24"/>
        </w:rPr>
        <w:t>.</w:t>
      </w:r>
    </w:p>
    <w:p w14:paraId="378EA2D6" w14:textId="77777777" w:rsidR="00BD09F9" w:rsidRPr="00DD7443" w:rsidRDefault="00BD09F9" w:rsidP="00BD09F9">
      <w:pPr>
        <w:pStyle w:val="NoSpacing"/>
        <w:spacing w:line="264" w:lineRule="auto"/>
        <w:rPr>
          <w:sz w:val="24"/>
          <w:szCs w:val="24"/>
        </w:rPr>
      </w:pPr>
    </w:p>
    <w:p w14:paraId="7609C042" w14:textId="77777777" w:rsidR="00F563EA" w:rsidRDefault="00F563EA" w:rsidP="00F563EA">
      <w:pPr>
        <w:pStyle w:val="NoSpacing"/>
        <w:spacing w:line="264" w:lineRule="auto"/>
        <w:jc w:val="center"/>
        <w:rPr>
          <w:b/>
          <w:sz w:val="24"/>
          <w:szCs w:val="24"/>
        </w:rPr>
      </w:pPr>
      <w:r w:rsidRPr="00DD7443">
        <w:rPr>
          <w:b/>
          <w:sz w:val="24"/>
          <w:szCs w:val="24"/>
        </w:rPr>
        <w:t>FINDINGS AND CONCLUSIONS</w:t>
      </w:r>
    </w:p>
    <w:p w14:paraId="6F219FFB" w14:textId="77777777" w:rsidR="00BD09F9" w:rsidRPr="00DD7443" w:rsidRDefault="00BD09F9" w:rsidP="00F563EA">
      <w:pPr>
        <w:pStyle w:val="NoSpacing"/>
        <w:spacing w:line="264" w:lineRule="auto"/>
        <w:jc w:val="center"/>
        <w:rPr>
          <w:b/>
          <w:sz w:val="24"/>
          <w:szCs w:val="24"/>
        </w:rPr>
      </w:pPr>
    </w:p>
    <w:p w14:paraId="780351B2" w14:textId="77777777" w:rsidR="00F563EA" w:rsidRDefault="00F563EA" w:rsidP="00BD09F9">
      <w:pPr>
        <w:pStyle w:val="NoSpacing"/>
        <w:numPr>
          <w:ilvl w:val="0"/>
          <w:numId w:val="1"/>
        </w:numPr>
        <w:tabs>
          <w:tab w:val="left" w:pos="0"/>
        </w:tabs>
        <w:spacing w:line="264" w:lineRule="auto"/>
        <w:ind w:hanging="1440"/>
        <w:rPr>
          <w:sz w:val="24"/>
          <w:szCs w:val="24"/>
        </w:rPr>
      </w:pPr>
      <w:r w:rsidRPr="00DD7443">
        <w:rPr>
          <w:sz w:val="24"/>
          <w:szCs w:val="24"/>
        </w:rPr>
        <w:t>(1)</w:t>
      </w:r>
      <w:r w:rsidRPr="00DD7443">
        <w:rPr>
          <w:sz w:val="24"/>
          <w:szCs w:val="24"/>
        </w:rPr>
        <w:tab/>
        <w:t>The Washington Utilities and Transportation Commission is an agency of the State of Washington, vested by statute with authority to regulate rates, rules, regulations, and practices of public service companies, including household goods companies, and has jurisdiction over the parties and subject matter of this proceeding.</w:t>
      </w:r>
    </w:p>
    <w:p w14:paraId="32622110" w14:textId="77777777" w:rsidR="00BD09F9" w:rsidRPr="00DD7443" w:rsidRDefault="00BD09F9" w:rsidP="00BD09F9">
      <w:pPr>
        <w:pStyle w:val="NoSpacing"/>
        <w:spacing w:line="264" w:lineRule="auto"/>
        <w:rPr>
          <w:sz w:val="24"/>
          <w:szCs w:val="24"/>
        </w:rPr>
      </w:pPr>
    </w:p>
    <w:p w14:paraId="799B1EFA" w14:textId="77777777" w:rsidR="00F563EA" w:rsidRDefault="00F563EA" w:rsidP="00BD09F9">
      <w:pPr>
        <w:pStyle w:val="NoSpacing"/>
        <w:numPr>
          <w:ilvl w:val="0"/>
          <w:numId w:val="1"/>
        </w:numPr>
        <w:tabs>
          <w:tab w:val="left" w:pos="0"/>
        </w:tabs>
        <w:spacing w:line="264" w:lineRule="auto"/>
        <w:ind w:hanging="1440"/>
        <w:rPr>
          <w:sz w:val="24"/>
          <w:szCs w:val="24"/>
        </w:rPr>
      </w:pPr>
      <w:r w:rsidRPr="00DD7443">
        <w:rPr>
          <w:sz w:val="24"/>
          <w:szCs w:val="24"/>
        </w:rPr>
        <w:t>(2)</w:t>
      </w:r>
      <w:r w:rsidRPr="00DD7443">
        <w:rPr>
          <w:sz w:val="24"/>
          <w:szCs w:val="24"/>
        </w:rPr>
        <w:tab/>
      </w:r>
      <w:r w:rsidR="00872812">
        <w:rPr>
          <w:sz w:val="24"/>
          <w:szCs w:val="24"/>
        </w:rPr>
        <w:t>The Application filed by</w:t>
      </w:r>
      <w:r w:rsidRPr="00DD7443">
        <w:rPr>
          <w:sz w:val="24"/>
          <w:szCs w:val="24"/>
        </w:rPr>
        <w:t xml:space="preserve"> Movers4U </w:t>
      </w:r>
      <w:r w:rsidR="00872812">
        <w:rPr>
          <w:sz w:val="24"/>
          <w:szCs w:val="24"/>
        </w:rPr>
        <w:t>for</w:t>
      </w:r>
      <w:r w:rsidRPr="00DD7443">
        <w:rPr>
          <w:sz w:val="24"/>
          <w:szCs w:val="24"/>
        </w:rPr>
        <w:t xml:space="preserve"> authority to operate as a ho</w:t>
      </w:r>
      <w:r w:rsidR="00872812">
        <w:rPr>
          <w:sz w:val="24"/>
          <w:szCs w:val="24"/>
        </w:rPr>
        <w:t>usehold goods moving company is misleading because it fails to disclose Mr. Heath</w:t>
      </w:r>
      <w:r w:rsidR="001D5932">
        <w:rPr>
          <w:sz w:val="24"/>
          <w:szCs w:val="24"/>
        </w:rPr>
        <w:t xml:space="preserve">’s role </w:t>
      </w:r>
      <w:r w:rsidR="00872812">
        <w:rPr>
          <w:sz w:val="24"/>
          <w:szCs w:val="24"/>
        </w:rPr>
        <w:t>in the ownership and operation of the Company.</w:t>
      </w:r>
    </w:p>
    <w:p w14:paraId="4F00578D" w14:textId="77777777" w:rsidR="00BD09F9" w:rsidRPr="00DD7443" w:rsidRDefault="00BD09F9" w:rsidP="00BD09F9">
      <w:pPr>
        <w:pStyle w:val="NoSpacing"/>
        <w:spacing w:line="264" w:lineRule="auto"/>
        <w:rPr>
          <w:sz w:val="24"/>
          <w:szCs w:val="24"/>
        </w:rPr>
      </w:pPr>
    </w:p>
    <w:p w14:paraId="5B2BAA71" w14:textId="77777777" w:rsidR="00F563EA" w:rsidRDefault="00F563EA" w:rsidP="00BD09F9">
      <w:pPr>
        <w:pStyle w:val="NoSpacing"/>
        <w:numPr>
          <w:ilvl w:val="0"/>
          <w:numId w:val="1"/>
        </w:numPr>
        <w:tabs>
          <w:tab w:val="left" w:pos="0"/>
        </w:tabs>
        <w:spacing w:line="264" w:lineRule="auto"/>
        <w:ind w:hanging="1440"/>
        <w:rPr>
          <w:sz w:val="24"/>
          <w:szCs w:val="24"/>
        </w:rPr>
      </w:pPr>
      <w:r w:rsidRPr="00872812">
        <w:rPr>
          <w:sz w:val="24"/>
          <w:szCs w:val="24"/>
        </w:rPr>
        <w:t>(3)</w:t>
      </w:r>
      <w:r w:rsidRPr="00872812">
        <w:rPr>
          <w:sz w:val="24"/>
          <w:szCs w:val="24"/>
        </w:rPr>
        <w:tab/>
        <w:t>On August 31, 2010, Larry Heath was convicted of felony assault, which falls within the five year</w:t>
      </w:r>
      <w:r w:rsidR="00BE0A44" w:rsidRPr="00872812">
        <w:rPr>
          <w:sz w:val="24"/>
          <w:szCs w:val="24"/>
        </w:rPr>
        <w:t xml:space="preserve"> window that automatically bars </w:t>
      </w:r>
      <w:r w:rsidRPr="00872812">
        <w:rPr>
          <w:sz w:val="24"/>
          <w:szCs w:val="24"/>
        </w:rPr>
        <w:t xml:space="preserve">an applicant from obtaining a permit. </w:t>
      </w:r>
    </w:p>
    <w:p w14:paraId="3536924F" w14:textId="77777777" w:rsidR="00BD09F9" w:rsidRPr="00872812" w:rsidRDefault="00BD09F9" w:rsidP="00BD09F9">
      <w:pPr>
        <w:pStyle w:val="NoSpacing"/>
        <w:spacing w:line="264" w:lineRule="auto"/>
        <w:rPr>
          <w:sz w:val="24"/>
          <w:szCs w:val="24"/>
        </w:rPr>
      </w:pPr>
    </w:p>
    <w:p w14:paraId="0997B1B3" w14:textId="77777777" w:rsidR="00F563EA" w:rsidRDefault="00BE0A44" w:rsidP="00BD09F9">
      <w:pPr>
        <w:pStyle w:val="NoSpacing"/>
        <w:numPr>
          <w:ilvl w:val="0"/>
          <w:numId w:val="1"/>
        </w:numPr>
        <w:tabs>
          <w:tab w:val="left" w:pos="0"/>
        </w:tabs>
        <w:spacing w:line="264" w:lineRule="auto"/>
        <w:ind w:hanging="1440"/>
        <w:rPr>
          <w:sz w:val="24"/>
          <w:szCs w:val="24"/>
        </w:rPr>
      </w:pPr>
      <w:r>
        <w:rPr>
          <w:sz w:val="24"/>
          <w:szCs w:val="24"/>
        </w:rPr>
        <w:t>(</w:t>
      </w:r>
      <w:r w:rsidR="00872812">
        <w:rPr>
          <w:sz w:val="24"/>
          <w:szCs w:val="24"/>
        </w:rPr>
        <w:t>4</w:t>
      </w:r>
      <w:r w:rsidR="00BD09F9">
        <w:rPr>
          <w:sz w:val="24"/>
          <w:szCs w:val="24"/>
        </w:rPr>
        <w:t>)</w:t>
      </w:r>
      <w:r w:rsidR="0033794A" w:rsidRPr="00DD7443">
        <w:rPr>
          <w:sz w:val="24"/>
          <w:szCs w:val="24"/>
        </w:rPr>
        <w:tab/>
      </w:r>
      <w:r w:rsidR="00872812">
        <w:rPr>
          <w:sz w:val="24"/>
          <w:szCs w:val="24"/>
        </w:rPr>
        <w:t xml:space="preserve">On </w:t>
      </w:r>
      <w:r w:rsidR="00872812" w:rsidRPr="00DD7443">
        <w:rPr>
          <w:sz w:val="24"/>
          <w:szCs w:val="24"/>
        </w:rPr>
        <w:t>January 25, 2012, the Commission assess</w:t>
      </w:r>
      <w:r w:rsidR="00872812">
        <w:rPr>
          <w:sz w:val="24"/>
          <w:szCs w:val="24"/>
        </w:rPr>
        <w:t>ed</w:t>
      </w:r>
      <w:r w:rsidR="00872812" w:rsidRPr="00DD7443">
        <w:rPr>
          <w:sz w:val="24"/>
          <w:szCs w:val="24"/>
        </w:rPr>
        <w:t xml:space="preserve"> a $5,000 penalty</w:t>
      </w:r>
      <w:r w:rsidR="00872812">
        <w:rPr>
          <w:sz w:val="24"/>
          <w:szCs w:val="24"/>
        </w:rPr>
        <w:t xml:space="preserve"> against Mr. Heath</w:t>
      </w:r>
      <w:r w:rsidR="00872812" w:rsidRPr="00DD7443">
        <w:rPr>
          <w:sz w:val="24"/>
          <w:szCs w:val="24"/>
        </w:rPr>
        <w:t>. To d</w:t>
      </w:r>
      <w:r w:rsidR="00872812">
        <w:rPr>
          <w:sz w:val="24"/>
          <w:szCs w:val="24"/>
        </w:rPr>
        <w:t xml:space="preserve">ate, the penalty remains unpaid, which </w:t>
      </w:r>
      <w:r w:rsidR="00872812" w:rsidRPr="00872812">
        <w:rPr>
          <w:sz w:val="24"/>
          <w:szCs w:val="24"/>
        </w:rPr>
        <w:t xml:space="preserve">automatically bars </w:t>
      </w:r>
      <w:r w:rsidR="00872812">
        <w:rPr>
          <w:sz w:val="24"/>
          <w:szCs w:val="24"/>
        </w:rPr>
        <w:t>Mr. Heath</w:t>
      </w:r>
      <w:r w:rsidR="00872812" w:rsidRPr="00872812">
        <w:rPr>
          <w:sz w:val="24"/>
          <w:szCs w:val="24"/>
        </w:rPr>
        <w:t xml:space="preserve"> from obtaining a </w:t>
      </w:r>
      <w:r w:rsidR="00872812">
        <w:rPr>
          <w:sz w:val="24"/>
          <w:szCs w:val="24"/>
        </w:rPr>
        <w:t xml:space="preserve">permit. </w:t>
      </w:r>
    </w:p>
    <w:p w14:paraId="1B88E111" w14:textId="77777777" w:rsidR="00BD09F9" w:rsidRPr="00DD7443" w:rsidRDefault="00BD09F9" w:rsidP="00BD09F9">
      <w:pPr>
        <w:pStyle w:val="NoSpacing"/>
        <w:spacing w:line="264" w:lineRule="auto"/>
        <w:rPr>
          <w:sz w:val="24"/>
          <w:szCs w:val="24"/>
        </w:rPr>
      </w:pPr>
    </w:p>
    <w:p w14:paraId="6D2F1620" w14:textId="77777777" w:rsidR="00872812" w:rsidRDefault="00F563EA" w:rsidP="00BD09F9">
      <w:pPr>
        <w:pStyle w:val="NoSpacing"/>
        <w:numPr>
          <w:ilvl w:val="0"/>
          <w:numId w:val="1"/>
        </w:numPr>
        <w:tabs>
          <w:tab w:val="left" w:pos="0"/>
        </w:tabs>
        <w:spacing w:line="264" w:lineRule="auto"/>
        <w:ind w:hanging="1440"/>
        <w:rPr>
          <w:sz w:val="24"/>
          <w:szCs w:val="24"/>
        </w:rPr>
      </w:pPr>
      <w:r w:rsidRPr="00DD7443">
        <w:rPr>
          <w:sz w:val="24"/>
          <w:szCs w:val="24"/>
        </w:rPr>
        <w:t>(</w:t>
      </w:r>
      <w:r w:rsidR="00872812">
        <w:rPr>
          <w:sz w:val="24"/>
          <w:szCs w:val="24"/>
        </w:rPr>
        <w:t>5</w:t>
      </w:r>
      <w:r w:rsidRPr="00DD7443">
        <w:rPr>
          <w:sz w:val="24"/>
          <w:szCs w:val="24"/>
        </w:rPr>
        <w:t>)</w:t>
      </w:r>
      <w:r w:rsidRPr="00DD7443">
        <w:rPr>
          <w:sz w:val="24"/>
          <w:szCs w:val="24"/>
        </w:rPr>
        <w:tab/>
        <w:t xml:space="preserve">Both Ms. Heath’s and Mr. Heath’s inconsistent and contradictory testimony at hearing demonstrate a lack of integrity, which constitutes </w:t>
      </w:r>
      <w:r w:rsidR="004C3947">
        <w:rPr>
          <w:sz w:val="24"/>
          <w:szCs w:val="24"/>
        </w:rPr>
        <w:t>“</w:t>
      </w:r>
      <w:r w:rsidRPr="00DD7443">
        <w:rPr>
          <w:sz w:val="24"/>
          <w:szCs w:val="24"/>
        </w:rPr>
        <w:t>other circumstances</w:t>
      </w:r>
      <w:r w:rsidR="004C3947">
        <w:rPr>
          <w:sz w:val="24"/>
          <w:szCs w:val="24"/>
        </w:rPr>
        <w:t>”</w:t>
      </w:r>
      <w:r w:rsidRPr="00DD7443">
        <w:rPr>
          <w:sz w:val="24"/>
          <w:szCs w:val="24"/>
        </w:rPr>
        <w:t xml:space="preserve"> warranting denial of the Application.</w:t>
      </w:r>
    </w:p>
    <w:p w14:paraId="4270B85F" w14:textId="77777777" w:rsidR="00BD09F9" w:rsidRDefault="00BD09F9" w:rsidP="00BD09F9">
      <w:pPr>
        <w:pStyle w:val="NoSpacing"/>
        <w:spacing w:line="264" w:lineRule="auto"/>
        <w:rPr>
          <w:sz w:val="24"/>
          <w:szCs w:val="24"/>
        </w:rPr>
      </w:pPr>
    </w:p>
    <w:p w14:paraId="795DD9F8" w14:textId="77777777" w:rsidR="00F563EA" w:rsidRDefault="00872812" w:rsidP="00BD09F9">
      <w:pPr>
        <w:pStyle w:val="NoSpacing"/>
        <w:numPr>
          <w:ilvl w:val="0"/>
          <w:numId w:val="1"/>
        </w:numPr>
        <w:tabs>
          <w:tab w:val="left" w:pos="0"/>
        </w:tabs>
        <w:spacing w:line="264" w:lineRule="auto"/>
        <w:ind w:hanging="1440"/>
        <w:rPr>
          <w:sz w:val="24"/>
          <w:szCs w:val="24"/>
        </w:rPr>
      </w:pPr>
      <w:r>
        <w:rPr>
          <w:sz w:val="24"/>
          <w:szCs w:val="24"/>
        </w:rPr>
        <w:t>(6)</w:t>
      </w:r>
      <w:r>
        <w:rPr>
          <w:sz w:val="24"/>
          <w:szCs w:val="24"/>
        </w:rPr>
        <w:tab/>
        <w:t xml:space="preserve">Movers4U failed to demonstrate that it is fit, willing, and able to provide household goods moving services. </w:t>
      </w:r>
    </w:p>
    <w:p w14:paraId="207FE78C" w14:textId="77777777" w:rsidR="00BD09F9" w:rsidRPr="00DD7443" w:rsidRDefault="00BD09F9" w:rsidP="00BD09F9">
      <w:pPr>
        <w:pStyle w:val="NoSpacing"/>
        <w:spacing w:line="264" w:lineRule="auto"/>
        <w:rPr>
          <w:sz w:val="24"/>
          <w:szCs w:val="24"/>
        </w:rPr>
      </w:pPr>
    </w:p>
    <w:p w14:paraId="65E2A16D" w14:textId="77777777" w:rsidR="001A4AB1" w:rsidRPr="00DD7443" w:rsidRDefault="00BE0A44" w:rsidP="00BD09F9">
      <w:pPr>
        <w:pStyle w:val="NoSpacing"/>
        <w:numPr>
          <w:ilvl w:val="0"/>
          <w:numId w:val="1"/>
        </w:numPr>
        <w:tabs>
          <w:tab w:val="left" w:pos="0"/>
        </w:tabs>
        <w:spacing w:line="264" w:lineRule="auto"/>
        <w:ind w:hanging="1440"/>
        <w:rPr>
          <w:sz w:val="24"/>
          <w:szCs w:val="24"/>
        </w:rPr>
      </w:pPr>
      <w:r>
        <w:rPr>
          <w:sz w:val="24"/>
          <w:szCs w:val="24"/>
        </w:rPr>
        <w:t>(</w:t>
      </w:r>
      <w:r w:rsidR="00872812">
        <w:rPr>
          <w:sz w:val="24"/>
          <w:szCs w:val="24"/>
        </w:rPr>
        <w:t>7</w:t>
      </w:r>
      <w:r w:rsidR="00BD4803" w:rsidRPr="00DD7443">
        <w:rPr>
          <w:sz w:val="24"/>
          <w:szCs w:val="24"/>
        </w:rPr>
        <w:t>)</w:t>
      </w:r>
      <w:r w:rsidR="00BD4803" w:rsidRPr="00DD7443">
        <w:rPr>
          <w:sz w:val="24"/>
          <w:szCs w:val="24"/>
        </w:rPr>
        <w:tab/>
        <w:t>For each of the reasons set forth above, the Commi</w:t>
      </w:r>
      <w:r w:rsidR="004C3947">
        <w:rPr>
          <w:sz w:val="24"/>
          <w:szCs w:val="24"/>
        </w:rPr>
        <w:t>ssion should deny</w:t>
      </w:r>
      <w:r w:rsidR="00BD09F9">
        <w:rPr>
          <w:sz w:val="24"/>
          <w:szCs w:val="24"/>
        </w:rPr>
        <w:t xml:space="preserve"> </w:t>
      </w:r>
      <w:r w:rsidR="00BD4803" w:rsidRPr="00DD7443">
        <w:rPr>
          <w:sz w:val="24"/>
          <w:szCs w:val="24"/>
        </w:rPr>
        <w:t>Movers4U’s Application for permanent authority to operate as a household goods carrier in the state of Washington.</w:t>
      </w:r>
    </w:p>
    <w:p w14:paraId="4257BBF2" w14:textId="77777777" w:rsidR="008C5468" w:rsidRPr="00DD7443" w:rsidRDefault="008C5468" w:rsidP="00603594">
      <w:pPr>
        <w:spacing w:line="288" w:lineRule="auto"/>
      </w:pPr>
    </w:p>
    <w:p w14:paraId="3AD21B97" w14:textId="77777777" w:rsidR="00603594" w:rsidRPr="00DD7443" w:rsidRDefault="00603594" w:rsidP="00CC2F7B">
      <w:pPr>
        <w:spacing w:line="264" w:lineRule="auto"/>
        <w:jc w:val="center"/>
        <w:rPr>
          <w:b/>
        </w:rPr>
      </w:pPr>
      <w:r w:rsidRPr="00DD7443">
        <w:rPr>
          <w:b/>
        </w:rPr>
        <w:t>ORDER</w:t>
      </w:r>
    </w:p>
    <w:p w14:paraId="2979402E" w14:textId="77777777" w:rsidR="00603594" w:rsidRPr="00DD7443" w:rsidRDefault="00603594" w:rsidP="00603594">
      <w:pPr>
        <w:spacing w:line="264" w:lineRule="auto"/>
      </w:pPr>
    </w:p>
    <w:p w14:paraId="2B9FF3C3" w14:textId="77777777" w:rsidR="00603594" w:rsidRPr="00DD7443" w:rsidRDefault="00603594" w:rsidP="00603594">
      <w:pPr>
        <w:spacing w:line="264" w:lineRule="auto"/>
      </w:pPr>
      <w:r w:rsidRPr="00DD7443">
        <w:t>THE COMMISSION ORDERS THAT:</w:t>
      </w:r>
    </w:p>
    <w:p w14:paraId="32574B85" w14:textId="77777777" w:rsidR="00603594" w:rsidRPr="00DD7443" w:rsidRDefault="00603594" w:rsidP="00603594">
      <w:pPr>
        <w:spacing w:line="264" w:lineRule="auto"/>
      </w:pPr>
    </w:p>
    <w:p w14:paraId="59F8F253" w14:textId="77777777" w:rsidR="00603594" w:rsidRPr="00DD7443" w:rsidRDefault="00603594" w:rsidP="00603594">
      <w:pPr>
        <w:pStyle w:val="NoSpacing"/>
        <w:numPr>
          <w:ilvl w:val="0"/>
          <w:numId w:val="1"/>
        </w:numPr>
        <w:spacing w:line="264" w:lineRule="auto"/>
        <w:ind w:left="0" w:hanging="720"/>
        <w:rPr>
          <w:sz w:val="24"/>
          <w:szCs w:val="24"/>
        </w:rPr>
      </w:pPr>
      <w:r w:rsidRPr="00DD7443">
        <w:rPr>
          <w:sz w:val="24"/>
          <w:szCs w:val="24"/>
        </w:rPr>
        <w:t xml:space="preserve">The </w:t>
      </w:r>
      <w:r w:rsidR="00BD4803" w:rsidRPr="00DD7443">
        <w:rPr>
          <w:sz w:val="24"/>
          <w:szCs w:val="24"/>
        </w:rPr>
        <w:t>A</w:t>
      </w:r>
      <w:r w:rsidRPr="00DD7443">
        <w:rPr>
          <w:sz w:val="24"/>
          <w:szCs w:val="24"/>
        </w:rPr>
        <w:t xml:space="preserve">pplication filed by </w:t>
      </w:r>
      <w:r w:rsidR="00FF33D0" w:rsidRPr="00DD7443">
        <w:rPr>
          <w:sz w:val="24"/>
          <w:szCs w:val="24"/>
        </w:rPr>
        <w:t xml:space="preserve">Annavilla L. Heath d/b/a Movers4U </w:t>
      </w:r>
      <w:r w:rsidRPr="00DD7443">
        <w:rPr>
          <w:sz w:val="24"/>
          <w:szCs w:val="24"/>
        </w:rPr>
        <w:t xml:space="preserve">on </w:t>
      </w:r>
      <w:r w:rsidR="00FF33D0" w:rsidRPr="00DD7443">
        <w:rPr>
          <w:sz w:val="24"/>
          <w:szCs w:val="24"/>
        </w:rPr>
        <w:t>May 26, 2015</w:t>
      </w:r>
      <w:r w:rsidR="00BD4803" w:rsidRPr="00DD7443">
        <w:rPr>
          <w:sz w:val="24"/>
          <w:szCs w:val="24"/>
        </w:rPr>
        <w:t xml:space="preserve">, for permanent authority </w:t>
      </w:r>
      <w:r w:rsidRPr="00DD7443">
        <w:rPr>
          <w:sz w:val="24"/>
          <w:szCs w:val="24"/>
        </w:rPr>
        <w:t xml:space="preserve">to operate as a household goods carrier in the state of Washington is </w:t>
      </w:r>
      <w:r w:rsidR="00FF33D0" w:rsidRPr="00DD7443">
        <w:rPr>
          <w:sz w:val="24"/>
          <w:szCs w:val="24"/>
        </w:rPr>
        <w:t>DENIED</w:t>
      </w:r>
      <w:r w:rsidR="00D22EF7" w:rsidRPr="00DD7443">
        <w:rPr>
          <w:sz w:val="24"/>
          <w:szCs w:val="24"/>
        </w:rPr>
        <w:t>.</w:t>
      </w:r>
    </w:p>
    <w:p w14:paraId="3E753F28" w14:textId="77777777" w:rsidR="00603594" w:rsidRPr="00DD7443" w:rsidRDefault="00603594" w:rsidP="00603594">
      <w:pPr>
        <w:spacing w:line="264" w:lineRule="auto"/>
      </w:pPr>
    </w:p>
    <w:p w14:paraId="3304B5AD" w14:textId="77777777" w:rsidR="00603594" w:rsidRPr="00DD7443" w:rsidRDefault="00603594" w:rsidP="00603594">
      <w:pPr>
        <w:spacing w:line="264" w:lineRule="auto"/>
      </w:pPr>
      <w:r w:rsidRPr="00DD7443">
        <w:t xml:space="preserve">DATED at Olympia, Washington, and effective </w:t>
      </w:r>
      <w:r w:rsidR="00BD4803" w:rsidRPr="00DD7443">
        <w:t xml:space="preserve">October </w:t>
      </w:r>
      <w:r w:rsidR="001D5932">
        <w:t>22</w:t>
      </w:r>
      <w:r w:rsidR="00BD4803" w:rsidRPr="00DD7443">
        <w:t xml:space="preserve">, </w:t>
      </w:r>
      <w:r w:rsidR="00FF33D0" w:rsidRPr="00DD7443">
        <w:t>2015</w:t>
      </w:r>
      <w:r w:rsidRPr="00DD7443">
        <w:t>.</w:t>
      </w:r>
    </w:p>
    <w:p w14:paraId="56BA8703" w14:textId="77777777" w:rsidR="00603594" w:rsidRPr="00DD7443" w:rsidRDefault="00603594" w:rsidP="00603594">
      <w:pPr>
        <w:spacing w:line="264" w:lineRule="auto"/>
      </w:pPr>
    </w:p>
    <w:p w14:paraId="4CDA5DC6" w14:textId="77777777" w:rsidR="00603594" w:rsidRPr="00DD7443" w:rsidRDefault="00603594" w:rsidP="00603594">
      <w:pPr>
        <w:spacing w:line="264" w:lineRule="auto"/>
        <w:jc w:val="center"/>
      </w:pPr>
      <w:r w:rsidRPr="00DD7443">
        <w:t>WASHINGTON UTILITIES AND TRANSPORTATION COMMISSION</w:t>
      </w:r>
    </w:p>
    <w:p w14:paraId="704C4D0B" w14:textId="77777777" w:rsidR="00603594" w:rsidRPr="00DD7443" w:rsidRDefault="00603594" w:rsidP="00603594">
      <w:pPr>
        <w:spacing w:line="264" w:lineRule="auto"/>
      </w:pPr>
    </w:p>
    <w:p w14:paraId="3A349037" w14:textId="77777777" w:rsidR="00603594" w:rsidRPr="00DD7443" w:rsidRDefault="00603594" w:rsidP="00603594">
      <w:pPr>
        <w:spacing w:line="264" w:lineRule="auto"/>
      </w:pPr>
    </w:p>
    <w:p w14:paraId="0D8D5325" w14:textId="77777777" w:rsidR="00603594" w:rsidRPr="00DD7443" w:rsidRDefault="00603594" w:rsidP="00603594">
      <w:pPr>
        <w:spacing w:line="264" w:lineRule="auto"/>
      </w:pPr>
    </w:p>
    <w:p w14:paraId="01BB58A9" w14:textId="77777777" w:rsidR="00603594" w:rsidRPr="00DD7443" w:rsidRDefault="00603594" w:rsidP="00603594">
      <w:pPr>
        <w:spacing w:line="264" w:lineRule="auto"/>
      </w:pPr>
    </w:p>
    <w:p w14:paraId="0B44F0F0" w14:textId="77777777" w:rsidR="00603594" w:rsidRPr="00DD7443" w:rsidRDefault="00321A1D" w:rsidP="00603594">
      <w:pPr>
        <w:spacing w:line="264" w:lineRule="auto"/>
      </w:pPr>
      <w:r w:rsidRPr="00DD7443">
        <w:tab/>
      </w:r>
      <w:r w:rsidRPr="00DD7443">
        <w:tab/>
      </w:r>
      <w:r w:rsidRPr="00DD7443">
        <w:tab/>
      </w:r>
      <w:r w:rsidRPr="00DD7443">
        <w:tab/>
      </w:r>
      <w:r w:rsidRPr="00DD7443">
        <w:tab/>
      </w:r>
      <w:r w:rsidR="00FF33D0" w:rsidRPr="00DD7443">
        <w:t>RAYNE PEARSON</w:t>
      </w:r>
    </w:p>
    <w:p w14:paraId="6EDBDABD" w14:textId="77777777" w:rsidR="00DD02CB" w:rsidRPr="00DD7443" w:rsidRDefault="00603594" w:rsidP="00321A1D">
      <w:pPr>
        <w:spacing w:line="264" w:lineRule="auto"/>
        <w:ind w:left="2880" w:firstLine="720"/>
        <w:rPr>
          <w:rFonts w:ascii="Palatino Linotype" w:hAnsi="Palatino Linotype"/>
        </w:rPr>
      </w:pPr>
      <w:r w:rsidRPr="00DD7443">
        <w:t>Administrative Law Judge</w:t>
      </w:r>
    </w:p>
    <w:p w14:paraId="0363744C" w14:textId="77777777" w:rsidR="00BD09F9" w:rsidRDefault="00BD09F9" w:rsidP="00DD02CB">
      <w:pPr>
        <w:spacing w:line="264" w:lineRule="auto"/>
        <w:ind w:left="2160"/>
        <w:rPr>
          <w:rFonts w:ascii="Palatino Linotype" w:hAnsi="Palatino Linotype"/>
        </w:rPr>
      </w:pPr>
      <w:r>
        <w:rPr>
          <w:rFonts w:ascii="Palatino Linotype" w:hAnsi="Palatino Linotype"/>
        </w:rPr>
        <w:br w:type="page"/>
      </w:r>
    </w:p>
    <w:p w14:paraId="197144AE" w14:textId="77777777" w:rsidR="00603594" w:rsidRPr="00DD7443" w:rsidRDefault="00603594" w:rsidP="00BD09F9">
      <w:pPr>
        <w:spacing w:line="264" w:lineRule="auto"/>
        <w:jc w:val="center"/>
        <w:rPr>
          <w:b/>
        </w:rPr>
      </w:pPr>
      <w:r w:rsidRPr="00DD7443">
        <w:rPr>
          <w:b/>
        </w:rPr>
        <w:lastRenderedPageBreak/>
        <w:t>NOTICE TO PARTIES</w:t>
      </w:r>
    </w:p>
    <w:p w14:paraId="29647C1D" w14:textId="77777777" w:rsidR="00603594" w:rsidRPr="00DD7443" w:rsidRDefault="00603594" w:rsidP="00603594">
      <w:pPr>
        <w:spacing w:line="264" w:lineRule="auto"/>
      </w:pPr>
    </w:p>
    <w:p w14:paraId="0EFA2128" w14:textId="11D9656E" w:rsidR="00603594" w:rsidRPr="00DD7443" w:rsidRDefault="00603594" w:rsidP="00603594">
      <w:pPr>
        <w:spacing w:line="264" w:lineRule="auto"/>
        <w:rPr>
          <w:rFonts w:eastAsia="Calibri"/>
        </w:rPr>
      </w:pPr>
      <w:r w:rsidRPr="00DD7443">
        <w:rPr>
          <w:rFonts w:eastAsia="Calibri"/>
        </w:rPr>
        <w:t>This is an Initial Order. The action proposed in this Initi</w:t>
      </w:r>
      <w:r w:rsidR="00340629">
        <w:rPr>
          <w:rFonts w:eastAsia="Calibri"/>
        </w:rPr>
        <w:t xml:space="preserve">al Order is not yet effective. </w:t>
      </w:r>
      <w:bookmarkStart w:id="0" w:name="_GoBack"/>
      <w:bookmarkEnd w:id="0"/>
      <w:r w:rsidRPr="00DD7443">
        <w:rPr>
          <w:rFonts w:eastAsia="Calibri"/>
        </w:rPr>
        <w:t>If you disagree with th</w:t>
      </w:r>
      <w:r w:rsidR="00171DC2">
        <w:rPr>
          <w:rFonts w:eastAsia="Calibri"/>
        </w:rPr>
        <w:t>is Initial Order and want the C</w:t>
      </w:r>
      <w:r w:rsidRPr="00DD7443">
        <w:rPr>
          <w:rFonts w:eastAsia="Calibri"/>
        </w:rPr>
        <w:t>om</w:t>
      </w:r>
      <w:r w:rsidR="00340629">
        <w:rPr>
          <w:rFonts w:eastAsia="Calibri"/>
        </w:rPr>
        <w:t>m</w:t>
      </w:r>
      <w:r w:rsidRPr="00DD7443">
        <w:rPr>
          <w:rFonts w:eastAsia="Calibri"/>
        </w:rPr>
        <w:t>ission to consider your comments, you must take specific action within the time limits outlined below. If you agree with this Initial Order, and you would like the Order to become final before the time limits expire, you may send a letter to the Commission, waiving your right to petition for administrative review.</w:t>
      </w:r>
    </w:p>
    <w:p w14:paraId="2CD6ACFC" w14:textId="77777777" w:rsidR="00603594" w:rsidRPr="00DD7443" w:rsidRDefault="00603594" w:rsidP="00603594">
      <w:pPr>
        <w:spacing w:line="264" w:lineRule="auto"/>
        <w:rPr>
          <w:rFonts w:eastAsia="Calibri"/>
        </w:rPr>
      </w:pPr>
    </w:p>
    <w:p w14:paraId="42B714E4" w14:textId="77777777" w:rsidR="00603594" w:rsidRPr="00DD7443" w:rsidRDefault="00603594" w:rsidP="00603594">
      <w:pPr>
        <w:spacing w:line="264" w:lineRule="auto"/>
        <w:rPr>
          <w:rFonts w:eastAsia="Calibri"/>
        </w:rPr>
      </w:pPr>
      <w:r w:rsidRPr="00DD7443">
        <w:rPr>
          <w:rFonts w:eastAsia="Calibri"/>
        </w:rPr>
        <w:t xml:space="preserve">WAC 480-07-825(2) provides that any party to this proceeding has twenty (20) days after the entry of this Initial Order to file a </w:t>
      </w:r>
      <w:r w:rsidRPr="00DD7443">
        <w:rPr>
          <w:rFonts w:eastAsia="Calibri"/>
          <w:i/>
        </w:rPr>
        <w:t>Petition for Administrative Review</w:t>
      </w:r>
      <w:r w:rsidRPr="00DD7443">
        <w:rPr>
          <w:rFonts w:eastAsia="Calibri"/>
        </w:rPr>
        <w:t xml:space="preserve">. What must be included in any Petition and other requirements for a Petition are stated in WAC 480-07-825(3). WAC 480-07-825(4) states that any party may file an </w:t>
      </w:r>
      <w:r w:rsidRPr="00DD7443">
        <w:rPr>
          <w:rFonts w:eastAsia="Calibri"/>
          <w:i/>
        </w:rPr>
        <w:t xml:space="preserve">Answer </w:t>
      </w:r>
      <w:r w:rsidRPr="00DD7443">
        <w:rPr>
          <w:rFonts w:eastAsia="Calibri"/>
        </w:rPr>
        <w:t xml:space="preserve">to a Petition for review within ten (10) days after service of the Petition.  </w:t>
      </w:r>
    </w:p>
    <w:p w14:paraId="04A94466" w14:textId="77777777" w:rsidR="00603594" w:rsidRPr="00DD7443" w:rsidRDefault="00603594" w:rsidP="00603594">
      <w:pPr>
        <w:spacing w:line="264" w:lineRule="auto"/>
        <w:rPr>
          <w:rFonts w:eastAsia="Calibri"/>
        </w:rPr>
      </w:pPr>
    </w:p>
    <w:p w14:paraId="6CB1C129" w14:textId="77777777" w:rsidR="00603594" w:rsidRPr="00DD7443" w:rsidRDefault="00603594" w:rsidP="00603594">
      <w:pPr>
        <w:spacing w:line="264" w:lineRule="auto"/>
        <w:rPr>
          <w:rFonts w:eastAsia="Calibri"/>
        </w:rPr>
      </w:pPr>
      <w:r w:rsidRPr="00DD7443">
        <w:rPr>
          <w:rFonts w:eastAsia="Calibri"/>
        </w:rPr>
        <w:t>WAC 480-07-830 provides that before entry of a Final Order any party may file a Petition to Reopen a contested proceeding to permit receipt of evidence essential to a decision, but unavailable and not reasonably discoverable at the time of hearing, or for other good and sufficient cause. No Answer to a Petition to Reopen will be accepted for filing absent express notice by the Commission calling for such answer.</w:t>
      </w:r>
    </w:p>
    <w:p w14:paraId="7A4C465D" w14:textId="77777777" w:rsidR="00603594" w:rsidRPr="00DD7443" w:rsidRDefault="00603594" w:rsidP="00603594">
      <w:pPr>
        <w:spacing w:line="264" w:lineRule="auto"/>
        <w:rPr>
          <w:rFonts w:eastAsia="Calibri"/>
        </w:rPr>
      </w:pPr>
    </w:p>
    <w:p w14:paraId="5B346362" w14:textId="77777777" w:rsidR="00603594" w:rsidRPr="00DD7443" w:rsidRDefault="00603594" w:rsidP="00603594">
      <w:pPr>
        <w:spacing w:line="264" w:lineRule="auto"/>
        <w:rPr>
          <w:rFonts w:eastAsia="Calibri"/>
        </w:rPr>
      </w:pPr>
      <w:r w:rsidRPr="00DD7443">
        <w:rPr>
          <w:rFonts w:eastAsia="Calibri"/>
        </w:rPr>
        <w:t>RCW 80.01.060(3) provides that an Initial Order will become final without further Commission action if no party seeks administrative review of the Initial Order and if the Commission fails to exercise administrative review on its own motion.</w:t>
      </w:r>
    </w:p>
    <w:p w14:paraId="03D57B59" w14:textId="77777777" w:rsidR="00603594" w:rsidRPr="00DD7443" w:rsidRDefault="00603594" w:rsidP="00603594">
      <w:pPr>
        <w:spacing w:line="264" w:lineRule="auto"/>
        <w:rPr>
          <w:rFonts w:eastAsia="Calibri"/>
        </w:rPr>
      </w:pPr>
    </w:p>
    <w:p w14:paraId="2FE9C985" w14:textId="77777777" w:rsidR="00603594" w:rsidRPr="00DD7443" w:rsidRDefault="00603594" w:rsidP="00603594">
      <w:pPr>
        <w:spacing w:line="264" w:lineRule="auto"/>
        <w:rPr>
          <w:rFonts w:eastAsia="Calibri"/>
        </w:rPr>
      </w:pPr>
      <w:r w:rsidRPr="00DD7443">
        <w:rPr>
          <w:rFonts w:eastAsia="Calibri"/>
        </w:rPr>
        <w:t>One copy of any Petition or Answer filed must be served on each party of record with proof of service as required</w:t>
      </w:r>
      <w:r w:rsidR="00FF33D0" w:rsidRPr="00DD7443">
        <w:rPr>
          <w:rFonts w:eastAsia="Calibri"/>
        </w:rPr>
        <w:t xml:space="preserve"> by WAC 480-07-150(8) and (9). </w:t>
      </w:r>
      <w:r w:rsidRPr="00DD7443">
        <w:rPr>
          <w:rFonts w:eastAsia="Calibri"/>
        </w:rPr>
        <w:t xml:space="preserve">An Original and </w:t>
      </w:r>
      <w:r w:rsidRPr="00DD7443">
        <w:rPr>
          <w:rFonts w:eastAsia="Calibri"/>
          <w:b/>
        </w:rPr>
        <w:t>seven (7)</w:t>
      </w:r>
      <w:r w:rsidRPr="00DD7443">
        <w:rPr>
          <w:rFonts w:eastAsia="Calibri"/>
        </w:rPr>
        <w:t xml:space="preserve"> copies of any Petition or Answer must be filed by mail delivery to:</w:t>
      </w:r>
    </w:p>
    <w:p w14:paraId="36E4B208" w14:textId="77777777" w:rsidR="00603594" w:rsidRPr="00DD7443" w:rsidRDefault="00603594" w:rsidP="00603594">
      <w:pPr>
        <w:spacing w:line="264" w:lineRule="auto"/>
        <w:rPr>
          <w:rFonts w:eastAsia="Calibri"/>
        </w:rPr>
      </w:pPr>
    </w:p>
    <w:p w14:paraId="7E8EB804" w14:textId="6A71C037" w:rsidR="00603594" w:rsidRPr="00DD7443" w:rsidRDefault="00340629" w:rsidP="00603594">
      <w:pPr>
        <w:spacing w:line="264" w:lineRule="auto"/>
        <w:rPr>
          <w:rFonts w:eastAsia="Calibri"/>
        </w:rPr>
      </w:pPr>
      <w:r>
        <w:rPr>
          <w:rFonts w:eastAsia="Calibri"/>
        </w:rPr>
        <w:t>Attn:</w:t>
      </w:r>
      <w:r w:rsidR="00603594" w:rsidRPr="00DD7443">
        <w:rPr>
          <w:rFonts w:eastAsia="Calibri"/>
        </w:rPr>
        <w:t xml:space="preserve"> </w:t>
      </w:r>
      <w:r w:rsidR="000E0452" w:rsidRPr="00DD7443">
        <w:rPr>
          <w:rFonts w:eastAsia="Calibri"/>
        </w:rPr>
        <w:t>Steven V. King</w:t>
      </w:r>
      <w:r>
        <w:rPr>
          <w:rFonts w:eastAsia="Calibri"/>
        </w:rPr>
        <w:t>,</w:t>
      </w:r>
      <w:r w:rsidR="000E0452" w:rsidRPr="00DD7443">
        <w:rPr>
          <w:rFonts w:eastAsia="Calibri"/>
        </w:rPr>
        <w:t xml:space="preserve"> </w:t>
      </w:r>
      <w:r w:rsidR="00603594" w:rsidRPr="00DD7443">
        <w:rPr>
          <w:rFonts w:eastAsia="Calibri"/>
        </w:rPr>
        <w:t>Executive Director and Secretary</w:t>
      </w:r>
    </w:p>
    <w:p w14:paraId="44366CDC" w14:textId="77777777" w:rsidR="00603594" w:rsidRPr="00DD7443" w:rsidRDefault="00603594" w:rsidP="00603594">
      <w:pPr>
        <w:spacing w:line="264" w:lineRule="auto"/>
        <w:rPr>
          <w:rFonts w:eastAsia="Calibri"/>
        </w:rPr>
      </w:pPr>
      <w:r w:rsidRPr="00DD7443">
        <w:rPr>
          <w:rFonts w:eastAsia="Calibri"/>
        </w:rPr>
        <w:t>Washington Utilities and Transportation Commission</w:t>
      </w:r>
    </w:p>
    <w:p w14:paraId="76FB140D" w14:textId="77777777" w:rsidR="00603594" w:rsidRPr="00DD7443" w:rsidRDefault="00603594" w:rsidP="00603594">
      <w:pPr>
        <w:spacing w:line="264" w:lineRule="auto"/>
        <w:rPr>
          <w:rFonts w:eastAsia="Calibri"/>
        </w:rPr>
      </w:pPr>
      <w:r w:rsidRPr="00DD7443">
        <w:rPr>
          <w:rFonts w:eastAsia="Calibri"/>
        </w:rPr>
        <w:t>P.O. Box 47250</w:t>
      </w:r>
    </w:p>
    <w:p w14:paraId="193D38A7" w14:textId="77777777" w:rsidR="00282E89" w:rsidRPr="00DD7443" w:rsidRDefault="00603594" w:rsidP="00603594">
      <w:pPr>
        <w:spacing w:line="264" w:lineRule="auto"/>
        <w:rPr>
          <w:rFonts w:eastAsia="Calibri"/>
        </w:rPr>
      </w:pPr>
      <w:r w:rsidRPr="00DD7443">
        <w:rPr>
          <w:rFonts w:eastAsia="Calibri"/>
        </w:rPr>
        <w:t>Olympia, Washington  98504-7250</w:t>
      </w:r>
    </w:p>
    <w:sectPr w:rsidR="00282E89" w:rsidRPr="00DD7443" w:rsidSect="00BD09F9">
      <w:headerReference w:type="default" r:id="rId11"/>
      <w:headerReference w:type="first" r:id="rId12"/>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0BC22" w14:textId="77777777" w:rsidR="008B202E" w:rsidRDefault="008B202E" w:rsidP="000B0ECF">
      <w:r>
        <w:separator/>
      </w:r>
    </w:p>
  </w:endnote>
  <w:endnote w:type="continuationSeparator" w:id="0">
    <w:p w14:paraId="0B0B5D93" w14:textId="77777777" w:rsidR="008B202E" w:rsidRDefault="008B202E" w:rsidP="000B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175F2" w14:textId="77777777" w:rsidR="008B202E" w:rsidRDefault="008B202E" w:rsidP="000B0ECF">
      <w:r>
        <w:separator/>
      </w:r>
    </w:p>
  </w:footnote>
  <w:footnote w:type="continuationSeparator" w:id="0">
    <w:p w14:paraId="7840A881" w14:textId="77777777" w:rsidR="008B202E" w:rsidRDefault="008B202E" w:rsidP="000B0ECF">
      <w:r>
        <w:continuationSeparator/>
      </w:r>
    </w:p>
  </w:footnote>
  <w:footnote w:id="1">
    <w:p w14:paraId="4C19216E" w14:textId="77777777" w:rsidR="002F4733" w:rsidRPr="00B75FF6" w:rsidRDefault="002F4733" w:rsidP="00BD09F9">
      <w:pPr>
        <w:pStyle w:val="FootnoteText"/>
        <w:spacing w:after="120"/>
        <w:rPr>
          <w:sz w:val="22"/>
          <w:szCs w:val="22"/>
        </w:rPr>
      </w:pPr>
      <w:r w:rsidRPr="00BD4803">
        <w:rPr>
          <w:rStyle w:val="FootnoteReference"/>
        </w:rPr>
        <w:footnoteRef/>
      </w:r>
      <w:r w:rsidRPr="00BD4803">
        <w:t xml:space="preserve"> </w:t>
      </w:r>
      <w:r w:rsidRPr="00B75FF6">
        <w:rPr>
          <w:sz w:val="22"/>
          <w:szCs w:val="22"/>
        </w:rPr>
        <w:t>Larry Heath, TR 30:12-13.</w:t>
      </w:r>
    </w:p>
  </w:footnote>
  <w:footnote w:id="2">
    <w:p w14:paraId="7B2467B4" w14:textId="77777777" w:rsidR="002F4733" w:rsidRPr="00B75FF6" w:rsidRDefault="002F4733" w:rsidP="00BD09F9">
      <w:pPr>
        <w:pStyle w:val="NoSpacing"/>
        <w:spacing w:after="120"/>
        <w:rPr>
          <w:sz w:val="22"/>
        </w:rPr>
      </w:pPr>
      <w:r w:rsidRPr="00B75FF6">
        <w:rPr>
          <w:rStyle w:val="FootnoteReference"/>
          <w:sz w:val="22"/>
        </w:rPr>
        <w:footnoteRef/>
      </w:r>
      <w:r w:rsidRPr="00B75FF6">
        <w:rPr>
          <w:sz w:val="22"/>
        </w:rPr>
        <w:t xml:space="preserve"> Judge Pearson issued a bench request for documentation that the five trucks were sold, which Mr. Heath stated he would provide by October 6, 2015. Mr. Heath failed to respond to the bench request. </w:t>
      </w:r>
    </w:p>
  </w:footnote>
  <w:footnote w:id="3">
    <w:p w14:paraId="3EAB5010" w14:textId="77777777" w:rsidR="002F4733" w:rsidRPr="00B75FF6" w:rsidRDefault="002F4733" w:rsidP="00BD09F9">
      <w:pPr>
        <w:pStyle w:val="FootnoteText"/>
        <w:spacing w:after="120"/>
        <w:rPr>
          <w:sz w:val="22"/>
          <w:szCs w:val="22"/>
        </w:rPr>
      </w:pPr>
      <w:r w:rsidRPr="00B75FF6">
        <w:rPr>
          <w:rStyle w:val="FootnoteReference"/>
          <w:sz w:val="22"/>
          <w:szCs w:val="22"/>
        </w:rPr>
        <w:footnoteRef/>
      </w:r>
      <w:r w:rsidRPr="00B75FF6">
        <w:rPr>
          <w:sz w:val="22"/>
          <w:szCs w:val="22"/>
        </w:rPr>
        <w:t xml:space="preserve"> Tinnerstet, TR 47:17-18.</w:t>
      </w:r>
    </w:p>
  </w:footnote>
  <w:footnote w:id="4">
    <w:p w14:paraId="4D2B5066" w14:textId="77777777" w:rsidR="002F4733" w:rsidRPr="00B75FF6" w:rsidRDefault="002F4733" w:rsidP="00BD09F9">
      <w:pPr>
        <w:pStyle w:val="FootnoteText"/>
        <w:spacing w:after="120"/>
        <w:rPr>
          <w:sz w:val="22"/>
          <w:szCs w:val="22"/>
        </w:rPr>
      </w:pPr>
      <w:r w:rsidRPr="00B75FF6">
        <w:rPr>
          <w:rStyle w:val="FootnoteReference"/>
          <w:sz w:val="22"/>
          <w:szCs w:val="22"/>
        </w:rPr>
        <w:footnoteRef/>
      </w:r>
      <w:r w:rsidRPr="00B75FF6">
        <w:rPr>
          <w:sz w:val="22"/>
          <w:szCs w:val="22"/>
        </w:rPr>
        <w:t xml:space="preserve"> </w:t>
      </w:r>
      <w:r w:rsidRPr="00B75FF6">
        <w:rPr>
          <w:i/>
          <w:sz w:val="22"/>
          <w:szCs w:val="22"/>
        </w:rPr>
        <w:t>Id.</w:t>
      </w:r>
      <w:r w:rsidRPr="00B75FF6">
        <w:rPr>
          <w:sz w:val="22"/>
          <w:szCs w:val="22"/>
        </w:rPr>
        <w:t>, at 48:4-6.</w:t>
      </w:r>
    </w:p>
  </w:footnote>
  <w:footnote w:id="5">
    <w:p w14:paraId="11B84A0D" w14:textId="77777777" w:rsidR="002F4733" w:rsidRDefault="002F4733" w:rsidP="00BD09F9">
      <w:pPr>
        <w:pStyle w:val="FootnoteText"/>
        <w:spacing w:after="120"/>
      </w:pPr>
      <w:r w:rsidRPr="00B75FF6">
        <w:rPr>
          <w:rStyle w:val="FootnoteReference"/>
          <w:sz w:val="22"/>
          <w:szCs w:val="22"/>
        </w:rPr>
        <w:footnoteRef/>
      </w:r>
      <w:r w:rsidRPr="00B75FF6">
        <w:rPr>
          <w:sz w:val="22"/>
          <w:szCs w:val="22"/>
        </w:rPr>
        <w:t xml:space="preserve"> </w:t>
      </w:r>
      <w:r w:rsidRPr="00B75FF6">
        <w:rPr>
          <w:i/>
          <w:sz w:val="22"/>
          <w:szCs w:val="22"/>
        </w:rPr>
        <w:t>Id.</w:t>
      </w:r>
      <w:r w:rsidRPr="00B75FF6">
        <w:rPr>
          <w:sz w:val="22"/>
          <w:szCs w:val="22"/>
        </w:rPr>
        <w:t>, at 48:13-14.</w:t>
      </w:r>
    </w:p>
  </w:footnote>
  <w:footnote w:id="6">
    <w:p w14:paraId="65FD84E6" w14:textId="77777777" w:rsidR="002F4733" w:rsidRDefault="002F4733" w:rsidP="00BD09F9">
      <w:pPr>
        <w:pStyle w:val="FootnoteText"/>
        <w:spacing w:after="120"/>
      </w:pPr>
      <w:r>
        <w:rPr>
          <w:rStyle w:val="FootnoteReference"/>
        </w:rPr>
        <w:footnoteRef/>
      </w:r>
      <w:r>
        <w:t xml:space="preserve"> WAC </w:t>
      </w:r>
      <w:r w:rsidRPr="00612BDD">
        <w:rPr>
          <w:sz w:val="22"/>
          <w:szCs w:val="22"/>
        </w:rPr>
        <w:t>480-15-302(8)(a).</w:t>
      </w:r>
    </w:p>
  </w:footnote>
  <w:footnote w:id="7">
    <w:p w14:paraId="49E063E4" w14:textId="77777777" w:rsidR="002F4733" w:rsidRPr="004C7A8B" w:rsidRDefault="002F4733" w:rsidP="00BD09F9">
      <w:pPr>
        <w:spacing w:after="120"/>
        <w:rPr>
          <w:sz w:val="22"/>
          <w:szCs w:val="22"/>
        </w:rPr>
      </w:pPr>
      <w:r w:rsidRPr="00D61373">
        <w:rPr>
          <w:rStyle w:val="FootnoteReference"/>
          <w:sz w:val="22"/>
          <w:szCs w:val="22"/>
        </w:rPr>
        <w:footnoteRef/>
      </w:r>
      <w:r w:rsidRPr="00D61373">
        <w:rPr>
          <w:sz w:val="22"/>
          <w:szCs w:val="22"/>
        </w:rPr>
        <w:t xml:space="preserve"> In adjudications the Commission’s regulatory staff participates like any other party, while the Administrative Law Judge or the Commissioners make the decision.  To assure fairness, the Commissioners and the presiding administrative law judge do not discuss the merits of the proceeding with regulatory staff or any other party without giving notice and opportunity for all parties to participate.  </w:t>
      </w:r>
      <w:r w:rsidRPr="00D61373">
        <w:rPr>
          <w:i/>
          <w:sz w:val="22"/>
          <w:szCs w:val="22"/>
        </w:rPr>
        <w:t xml:space="preserve">See </w:t>
      </w:r>
      <w:r w:rsidRPr="004C7A8B">
        <w:rPr>
          <w:sz w:val="22"/>
          <w:szCs w:val="22"/>
        </w:rPr>
        <w:t>RCW 34.05.455.</w:t>
      </w:r>
    </w:p>
  </w:footnote>
  <w:footnote w:id="8">
    <w:p w14:paraId="4064F0BA" w14:textId="77777777" w:rsidR="002F4733" w:rsidRPr="00506DCF" w:rsidRDefault="002F4733" w:rsidP="00BD09F9">
      <w:pPr>
        <w:pStyle w:val="FootnoteText"/>
        <w:spacing w:after="120"/>
        <w:rPr>
          <w:sz w:val="22"/>
          <w:szCs w:val="22"/>
        </w:rPr>
      </w:pPr>
      <w:r w:rsidRPr="00506DCF">
        <w:rPr>
          <w:rStyle w:val="FootnoteReference"/>
          <w:sz w:val="22"/>
          <w:szCs w:val="22"/>
        </w:rPr>
        <w:footnoteRef/>
      </w:r>
      <w:r w:rsidRPr="00506DCF">
        <w:rPr>
          <w:sz w:val="22"/>
          <w:szCs w:val="22"/>
        </w:rPr>
        <w:t xml:space="preserve"> WAC 480-15-302(2).</w:t>
      </w:r>
    </w:p>
  </w:footnote>
  <w:footnote w:id="9">
    <w:p w14:paraId="7B73F3AC" w14:textId="77777777" w:rsidR="002F4733" w:rsidRPr="006D463D" w:rsidRDefault="002F4733" w:rsidP="00BD09F9">
      <w:pPr>
        <w:pStyle w:val="FootnoteText"/>
        <w:spacing w:after="120"/>
        <w:rPr>
          <w:sz w:val="22"/>
          <w:szCs w:val="22"/>
          <w:highlight w:val="yellow"/>
        </w:rPr>
      </w:pPr>
      <w:r w:rsidRPr="00506DCF">
        <w:rPr>
          <w:rStyle w:val="FootnoteReference"/>
          <w:sz w:val="22"/>
          <w:szCs w:val="22"/>
        </w:rPr>
        <w:footnoteRef/>
      </w:r>
      <w:r w:rsidRPr="00506DCF">
        <w:rPr>
          <w:sz w:val="22"/>
          <w:szCs w:val="22"/>
        </w:rPr>
        <w:t xml:space="preserve"> WAC 480-15-302(8).</w:t>
      </w:r>
    </w:p>
  </w:footnote>
  <w:footnote w:id="10">
    <w:p w14:paraId="2A58011A" w14:textId="77777777" w:rsidR="002F4733" w:rsidRPr="000B35F0" w:rsidRDefault="002F4733" w:rsidP="00BD09F9">
      <w:pPr>
        <w:pStyle w:val="FootnoteText"/>
        <w:spacing w:after="120"/>
        <w:rPr>
          <w:sz w:val="22"/>
          <w:szCs w:val="22"/>
        </w:rPr>
      </w:pPr>
      <w:r w:rsidRPr="000B35F0">
        <w:rPr>
          <w:rStyle w:val="FootnoteReference"/>
          <w:sz w:val="22"/>
          <w:szCs w:val="22"/>
        </w:rPr>
        <w:footnoteRef/>
      </w:r>
      <w:r w:rsidRPr="000B35F0">
        <w:rPr>
          <w:sz w:val="22"/>
          <w:szCs w:val="22"/>
        </w:rPr>
        <w:t xml:space="preserve"> WAC 480-15-302(8) and WAC 480-15-305(2).</w:t>
      </w:r>
    </w:p>
  </w:footnote>
  <w:footnote w:id="11">
    <w:p w14:paraId="0D2F006A" w14:textId="77777777" w:rsidR="002F4733" w:rsidRPr="000B35F0" w:rsidRDefault="002F4733" w:rsidP="00BD09F9">
      <w:pPr>
        <w:pStyle w:val="FootnoteText"/>
        <w:spacing w:after="120"/>
        <w:rPr>
          <w:sz w:val="22"/>
          <w:szCs w:val="22"/>
        </w:rPr>
      </w:pPr>
      <w:r w:rsidRPr="000B35F0">
        <w:rPr>
          <w:rStyle w:val="FootnoteReference"/>
          <w:sz w:val="22"/>
          <w:szCs w:val="22"/>
        </w:rPr>
        <w:footnoteRef/>
      </w:r>
      <w:r w:rsidRPr="000B35F0">
        <w:rPr>
          <w:sz w:val="22"/>
          <w:szCs w:val="22"/>
        </w:rPr>
        <w:t xml:space="preserve"> WAC 480-15-305(1)(f).</w:t>
      </w:r>
    </w:p>
  </w:footnote>
  <w:footnote w:id="12">
    <w:p w14:paraId="5F2F9E4D" w14:textId="77777777" w:rsidR="002F4733" w:rsidRPr="00347E18" w:rsidRDefault="002F4733" w:rsidP="00BD09F9">
      <w:pPr>
        <w:pStyle w:val="FootnoteText"/>
        <w:spacing w:after="120"/>
      </w:pPr>
      <w:r w:rsidRPr="000B35F0">
        <w:rPr>
          <w:rStyle w:val="FootnoteReference"/>
          <w:sz w:val="22"/>
          <w:szCs w:val="22"/>
        </w:rPr>
        <w:footnoteRef/>
      </w:r>
      <w:r w:rsidRPr="000B35F0">
        <w:rPr>
          <w:sz w:val="22"/>
          <w:szCs w:val="22"/>
        </w:rPr>
        <w:t xml:space="preserve"> WAC 480-15-302(13) and WAC 480-15-305(1)(j).</w:t>
      </w:r>
    </w:p>
  </w:footnote>
  <w:footnote w:id="13">
    <w:p w14:paraId="40D8C7DD" w14:textId="77777777" w:rsidR="002F4733" w:rsidRPr="00590E7B" w:rsidRDefault="002F4733" w:rsidP="00BD09F9">
      <w:pPr>
        <w:pStyle w:val="FootnoteText"/>
        <w:spacing w:after="120"/>
        <w:rPr>
          <w:sz w:val="22"/>
          <w:szCs w:val="22"/>
          <w:highlight w:val="yellow"/>
        </w:rPr>
      </w:pPr>
      <w:r w:rsidRPr="00590E7B">
        <w:rPr>
          <w:rStyle w:val="FootnoteReference"/>
          <w:sz w:val="22"/>
          <w:szCs w:val="22"/>
        </w:rPr>
        <w:footnoteRef/>
      </w:r>
      <w:r w:rsidRPr="00590E7B">
        <w:rPr>
          <w:sz w:val="22"/>
          <w:szCs w:val="22"/>
        </w:rPr>
        <w:t xml:space="preserve"> WAC 480-15-302(8)(a). </w:t>
      </w:r>
    </w:p>
  </w:footnote>
  <w:footnote w:id="14">
    <w:p w14:paraId="57784599" w14:textId="77777777" w:rsidR="00E01E9F" w:rsidRDefault="00E01E9F" w:rsidP="00BD09F9">
      <w:pPr>
        <w:pStyle w:val="FootnoteText"/>
        <w:spacing w:after="120"/>
      </w:pPr>
      <w:r>
        <w:rPr>
          <w:rStyle w:val="FootnoteReference"/>
        </w:rPr>
        <w:footnoteRef/>
      </w:r>
      <w:r>
        <w:t xml:space="preserve"> </w:t>
      </w:r>
      <w:r w:rsidRPr="00E01E9F">
        <w:rPr>
          <w:sz w:val="22"/>
          <w:szCs w:val="22"/>
        </w:rPr>
        <w:t>While Staff alleged in the Notice of Intent to Deny that Mr. Heath’s other convictions – assault in 2006 and theft in 2005 – would likely interfere with the proper operation of a household goods moving company</w:t>
      </w:r>
      <w:r w:rsidR="0087517D">
        <w:rPr>
          <w:sz w:val="22"/>
          <w:szCs w:val="22"/>
        </w:rPr>
        <w:t xml:space="preserve"> and therefore disqualify Mr. Heath from obtaining a permit under WAC 480-15-302(8)(b)</w:t>
      </w:r>
      <w:r w:rsidRPr="00E01E9F">
        <w:rPr>
          <w:sz w:val="22"/>
          <w:szCs w:val="22"/>
        </w:rPr>
        <w:t>, Staff did not advance any argument at hearing to support this allegation. The Commission is concerned, however, about the nature of Mr. Heath’s other felony convictions, which indicate a propensity for violence and dishonesty, particularly in light of Mr. Heath’s behavior at hearing. Mr. Heath’s contradictory statements made under oath, coupled with his numerous, aggravated outbursts, raise grave concerns about Mr. Heath’s fitness to operate as a household goods carrier in the event he were to submit an application in his own name now that the five-year period has expired.</w:t>
      </w:r>
    </w:p>
  </w:footnote>
  <w:footnote w:id="15">
    <w:p w14:paraId="3C12D008" w14:textId="77777777" w:rsidR="008A718E" w:rsidRPr="008A718E" w:rsidRDefault="008A718E" w:rsidP="00BD09F9">
      <w:pPr>
        <w:pStyle w:val="FootnoteText"/>
        <w:spacing w:after="120"/>
        <w:rPr>
          <w:sz w:val="22"/>
          <w:szCs w:val="22"/>
        </w:rPr>
      </w:pPr>
      <w:r w:rsidRPr="008A718E">
        <w:rPr>
          <w:rStyle w:val="FootnoteReference"/>
          <w:sz w:val="22"/>
          <w:szCs w:val="22"/>
        </w:rPr>
        <w:footnoteRef/>
      </w:r>
      <w:r w:rsidRPr="008A718E">
        <w:rPr>
          <w:sz w:val="22"/>
          <w:szCs w:val="22"/>
        </w:rPr>
        <w:t xml:space="preserve"> In Ms. Heath’s ex parte communication to Judge Pearson, she claimed her limitations with the English language caused her to confuse the pronouns “I” and “we.” We do not find this explanation credible.</w:t>
      </w:r>
    </w:p>
  </w:footnote>
  <w:footnote w:id="16">
    <w:p w14:paraId="38C38764" w14:textId="77777777" w:rsidR="002F4733" w:rsidRDefault="002F4733" w:rsidP="00BD09F9">
      <w:pPr>
        <w:pStyle w:val="FootnoteText"/>
        <w:spacing w:after="120"/>
      </w:pPr>
      <w:r>
        <w:rPr>
          <w:rStyle w:val="FootnoteReference"/>
        </w:rPr>
        <w:footnoteRef/>
      </w:r>
      <w:r>
        <w:t xml:space="preserve"> Larry Heath, TR 65:14.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7454" w14:textId="77777777" w:rsidR="002F4733" w:rsidRDefault="002F4733" w:rsidP="00282E89">
    <w:pPr>
      <w:pStyle w:val="Header"/>
      <w:tabs>
        <w:tab w:val="clear" w:pos="4680"/>
        <w:tab w:val="clear" w:pos="9360"/>
        <w:tab w:val="center" w:pos="0"/>
        <w:tab w:val="right" w:pos="8550"/>
      </w:tabs>
      <w:rPr>
        <w:b/>
        <w:sz w:val="20"/>
        <w:szCs w:val="20"/>
      </w:rPr>
    </w:pPr>
    <w:r w:rsidRPr="00282E89">
      <w:rPr>
        <w:b/>
        <w:sz w:val="20"/>
        <w:szCs w:val="20"/>
      </w:rPr>
      <w:t>DOCKET TV-</w:t>
    </w:r>
    <w:r>
      <w:rPr>
        <w:b/>
        <w:sz w:val="20"/>
        <w:szCs w:val="20"/>
      </w:rPr>
      <w:t>151116</w:t>
    </w:r>
    <w:r w:rsidRPr="00282E89">
      <w:rPr>
        <w:b/>
        <w:sz w:val="20"/>
        <w:szCs w:val="20"/>
      </w:rPr>
      <w:tab/>
      <w:t xml:space="preserve">PAGE </w:t>
    </w:r>
    <w:r w:rsidRPr="00282E89">
      <w:rPr>
        <w:b/>
        <w:sz w:val="20"/>
        <w:szCs w:val="20"/>
      </w:rPr>
      <w:fldChar w:fldCharType="begin"/>
    </w:r>
    <w:r w:rsidRPr="00282E89">
      <w:rPr>
        <w:b/>
        <w:sz w:val="20"/>
        <w:szCs w:val="20"/>
      </w:rPr>
      <w:instrText xml:space="preserve"> PAGE   \* MERGEFORMAT </w:instrText>
    </w:r>
    <w:r w:rsidRPr="00282E89">
      <w:rPr>
        <w:b/>
        <w:sz w:val="20"/>
        <w:szCs w:val="20"/>
      </w:rPr>
      <w:fldChar w:fldCharType="separate"/>
    </w:r>
    <w:r w:rsidR="00363E8E">
      <w:rPr>
        <w:b/>
        <w:noProof/>
        <w:sz w:val="20"/>
        <w:szCs w:val="20"/>
      </w:rPr>
      <w:t>8</w:t>
    </w:r>
    <w:r w:rsidRPr="00282E89">
      <w:rPr>
        <w:b/>
        <w:sz w:val="20"/>
        <w:szCs w:val="20"/>
      </w:rPr>
      <w:fldChar w:fldCharType="end"/>
    </w:r>
  </w:p>
  <w:p w14:paraId="03758260" w14:textId="77777777" w:rsidR="002F4733" w:rsidRPr="00282E89" w:rsidRDefault="002F4733" w:rsidP="00282E89">
    <w:pPr>
      <w:pStyle w:val="Header"/>
      <w:tabs>
        <w:tab w:val="clear" w:pos="4680"/>
        <w:tab w:val="clear" w:pos="9360"/>
        <w:tab w:val="center" w:pos="0"/>
        <w:tab w:val="right" w:pos="8550"/>
      </w:tabs>
      <w:rPr>
        <w:b/>
        <w:sz w:val="20"/>
        <w:szCs w:val="20"/>
      </w:rPr>
    </w:pPr>
    <w:r>
      <w:rPr>
        <w:b/>
        <w:sz w:val="20"/>
        <w:szCs w:val="20"/>
      </w:rPr>
      <w:t>ORDER 01</w:t>
    </w:r>
  </w:p>
  <w:p w14:paraId="4E1757C5" w14:textId="77777777" w:rsidR="002F4733" w:rsidRPr="00282E89" w:rsidRDefault="002F4733" w:rsidP="00282E89">
    <w:pPr>
      <w:pStyle w:val="Header"/>
      <w:tabs>
        <w:tab w:val="clear" w:pos="4680"/>
        <w:tab w:val="clear" w:pos="9360"/>
        <w:tab w:val="center" w:pos="0"/>
        <w:tab w:val="right" w:pos="855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89F9C" w14:textId="113C44BF" w:rsidR="00551870" w:rsidRPr="00551870" w:rsidRDefault="00551870" w:rsidP="00551870">
    <w:pPr>
      <w:pStyle w:val="Header"/>
      <w:jc w:val="right"/>
      <w:rPr>
        <w:b/>
        <w:sz w:val="20"/>
      </w:rPr>
    </w:pPr>
    <w:r>
      <w:rPr>
        <w:b/>
        <w:sz w:val="20"/>
      </w:rPr>
      <w:t>[Service date October 22,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009B7"/>
    <w:multiLevelType w:val="hybridMultilevel"/>
    <w:tmpl w:val="190C266E"/>
    <w:lvl w:ilvl="0" w:tplc="46A47482">
      <w:start w:val="1"/>
      <w:numFmt w:val="decimal"/>
      <w:lvlText w:val="%1"/>
      <w:lvlJc w:val="left"/>
      <w:pPr>
        <w:ind w:left="720" w:hanging="360"/>
      </w:pPr>
      <w:rPr>
        <w:rFonts w:hint="default"/>
        <w:b w:val="0"/>
        <w:i/>
        <w:strike w:val="0"/>
        <w:dstrike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8A"/>
    <w:rsid w:val="00000925"/>
    <w:rsid w:val="0000122F"/>
    <w:rsid w:val="00002D0E"/>
    <w:rsid w:val="00017CD7"/>
    <w:rsid w:val="00070367"/>
    <w:rsid w:val="000703AE"/>
    <w:rsid w:val="000864D4"/>
    <w:rsid w:val="000B0ECF"/>
    <w:rsid w:val="000B35F0"/>
    <w:rsid w:val="000B6B9E"/>
    <w:rsid w:val="000C0A91"/>
    <w:rsid w:val="000D7048"/>
    <w:rsid w:val="000E0452"/>
    <w:rsid w:val="000F300A"/>
    <w:rsid w:val="000F47DC"/>
    <w:rsid w:val="000F71CC"/>
    <w:rsid w:val="00102520"/>
    <w:rsid w:val="00105048"/>
    <w:rsid w:val="00110800"/>
    <w:rsid w:val="001139D3"/>
    <w:rsid w:val="0012166C"/>
    <w:rsid w:val="00126596"/>
    <w:rsid w:val="00130E33"/>
    <w:rsid w:val="00135683"/>
    <w:rsid w:val="00135765"/>
    <w:rsid w:val="001516E5"/>
    <w:rsid w:val="00156CA9"/>
    <w:rsid w:val="00171DC2"/>
    <w:rsid w:val="0018501F"/>
    <w:rsid w:val="00190269"/>
    <w:rsid w:val="00195B19"/>
    <w:rsid w:val="001A4AB1"/>
    <w:rsid w:val="001B152D"/>
    <w:rsid w:val="001C21B1"/>
    <w:rsid w:val="001D199F"/>
    <w:rsid w:val="001D5932"/>
    <w:rsid w:val="001D60AB"/>
    <w:rsid w:val="001F103D"/>
    <w:rsid w:val="0020743A"/>
    <w:rsid w:val="00216CFC"/>
    <w:rsid w:val="00220C12"/>
    <w:rsid w:val="0024616D"/>
    <w:rsid w:val="00282E89"/>
    <w:rsid w:val="00293767"/>
    <w:rsid w:val="002A3E9B"/>
    <w:rsid w:val="002B271D"/>
    <w:rsid w:val="002B615D"/>
    <w:rsid w:val="002C3E7B"/>
    <w:rsid w:val="002F4733"/>
    <w:rsid w:val="002F4F31"/>
    <w:rsid w:val="002F7D06"/>
    <w:rsid w:val="00303202"/>
    <w:rsid w:val="003043AC"/>
    <w:rsid w:val="0031074E"/>
    <w:rsid w:val="00311988"/>
    <w:rsid w:val="00314C20"/>
    <w:rsid w:val="00321A1D"/>
    <w:rsid w:val="00335AF9"/>
    <w:rsid w:val="0033794A"/>
    <w:rsid w:val="00340629"/>
    <w:rsid w:val="00345CA9"/>
    <w:rsid w:val="00346603"/>
    <w:rsid w:val="003549C4"/>
    <w:rsid w:val="00362005"/>
    <w:rsid w:val="00362DE2"/>
    <w:rsid w:val="00363E8E"/>
    <w:rsid w:val="003701A3"/>
    <w:rsid w:val="00384C8C"/>
    <w:rsid w:val="003859C5"/>
    <w:rsid w:val="003954CA"/>
    <w:rsid w:val="003C4601"/>
    <w:rsid w:val="003D3B7A"/>
    <w:rsid w:val="003F60C4"/>
    <w:rsid w:val="004050A6"/>
    <w:rsid w:val="00410B21"/>
    <w:rsid w:val="00435C9A"/>
    <w:rsid w:val="00443384"/>
    <w:rsid w:val="00455E06"/>
    <w:rsid w:val="0046012F"/>
    <w:rsid w:val="00464CF9"/>
    <w:rsid w:val="004709A9"/>
    <w:rsid w:val="004B251F"/>
    <w:rsid w:val="004C3947"/>
    <w:rsid w:val="004C7A8B"/>
    <w:rsid w:val="004E499E"/>
    <w:rsid w:val="004E5C65"/>
    <w:rsid w:val="00506DCF"/>
    <w:rsid w:val="005200FC"/>
    <w:rsid w:val="00536C70"/>
    <w:rsid w:val="00544D5E"/>
    <w:rsid w:val="00551870"/>
    <w:rsid w:val="00560D2F"/>
    <w:rsid w:val="00565ECF"/>
    <w:rsid w:val="0057764C"/>
    <w:rsid w:val="00590E7B"/>
    <w:rsid w:val="00594BB0"/>
    <w:rsid w:val="005A7FEC"/>
    <w:rsid w:val="005D5B91"/>
    <w:rsid w:val="005F0334"/>
    <w:rsid w:val="005F2B80"/>
    <w:rsid w:val="005F379C"/>
    <w:rsid w:val="005F48A3"/>
    <w:rsid w:val="006023C5"/>
    <w:rsid w:val="00603594"/>
    <w:rsid w:val="006057A9"/>
    <w:rsid w:val="00612BDD"/>
    <w:rsid w:val="00626874"/>
    <w:rsid w:val="006370EA"/>
    <w:rsid w:val="0064010D"/>
    <w:rsid w:val="00657028"/>
    <w:rsid w:val="00660E52"/>
    <w:rsid w:val="006646BB"/>
    <w:rsid w:val="00675A43"/>
    <w:rsid w:val="00692796"/>
    <w:rsid w:val="006B34E9"/>
    <w:rsid w:val="006D463D"/>
    <w:rsid w:val="006D5C00"/>
    <w:rsid w:val="006E576C"/>
    <w:rsid w:val="006F5F05"/>
    <w:rsid w:val="00740864"/>
    <w:rsid w:val="007653E2"/>
    <w:rsid w:val="00774E58"/>
    <w:rsid w:val="00780899"/>
    <w:rsid w:val="00783972"/>
    <w:rsid w:val="0078659A"/>
    <w:rsid w:val="00797AA1"/>
    <w:rsid w:val="007B5CFD"/>
    <w:rsid w:val="007C17D7"/>
    <w:rsid w:val="007E08FF"/>
    <w:rsid w:val="007E5F66"/>
    <w:rsid w:val="007E7BC7"/>
    <w:rsid w:val="007F7CB2"/>
    <w:rsid w:val="00823DBC"/>
    <w:rsid w:val="00831AA4"/>
    <w:rsid w:val="00831B4C"/>
    <w:rsid w:val="00833952"/>
    <w:rsid w:val="008350FD"/>
    <w:rsid w:val="0084652F"/>
    <w:rsid w:val="0084754F"/>
    <w:rsid w:val="00856DB3"/>
    <w:rsid w:val="00861037"/>
    <w:rsid w:val="00867B45"/>
    <w:rsid w:val="00872812"/>
    <w:rsid w:val="00874932"/>
    <w:rsid w:val="0087517D"/>
    <w:rsid w:val="00877BD6"/>
    <w:rsid w:val="0088482A"/>
    <w:rsid w:val="00894D3E"/>
    <w:rsid w:val="008A718E"/>
    <w:rsid w:val="008B202E"/>
    <w:rsid w:val="008B4CE9"/>
    <w:rsid w:val="008C5468"/>
    <w:rsid w:val="008F50B7"/>
    <w:rsid w:val="00904F4B"/>
    <w:rsid w:val="00906CDE"/>
    <w:rsid w:val="00914265"/>
    <w:rsid w:val="00917181"/>
    <w:rsid w:val="009260F5"/>
    <w:rsid w:val="00941D68"/>
    <w:rsid w:val="009672C7"/>
    <w:rsid w:val="009673C1"/>
    <w:rsid w:val="0097005E"/>
    <w:rsid w:val="00974B52"/>
    <w:rsid w:val="00975510"/>
    <w:rsid w:val="00980E35"/>
    <w:rsid w:val="00983C52"/>
    <w:rsid w:val="009B4372"/>
    <w:rsid w:val="009C6ADA"/>
    <w:rsid w:val="009C7E33"/>
    <w:rsid w:val="009D1457"/>
    <w:rsid w:val="009E0560"/>
    <w:rsid w:val="009E3EC7"/>
    <w:rsid w:val="00A10AF7"/>
    <w:rsid w:val="00A15C7A"/>
    <w:rsid w:val="00A251CE"/>
    <w:rsid w:val="00A26BF0"/>
    <w:rsid w:val="00A53271"/>
    <w:rsid w:val="00A5642A"/>
    <w:rsid w:val="00A735F4"/>
    <w:rsid w:val="00A762D1"/>
    <w:rsid w:val="00A8302E"/>
    <w:rsid w:val="00A854E0"/>
    <w:rsid w:val="00A94A94"/>
    <w:rsid w:val="00A95B54"/>
    <w:rsid w:val="00AA2E1F"/>
    <w:rsid w:val="00AB54AC"/>
    <w:rsid w:val="00AC07CA"/>
    <w:rsid w:val="00AC10E1"/>
    <w:rsid w:val="00AC5C22"/>
    <w:rsid w:val="00AF42B6"/>
    <w:rsid w:val="00B00FA6"/>
    <w:rsid w:val="00B02CFE"/>
    <w:rsid w:val="00B05A1D"/>
    <w:rsid w:val="00B06A36"/>
    <w:rsid w:val="00B126A4"/>
    <w:rsid w:val="00B24BF8"/>
    <w:rsid w:val="00B25FF6"/>
    <w:rsid w:val="00B66549"/>
    <w:rsid w:val="00B72A7B"/>
    <w:rsid w:val="00B75FF6"/>
    <w:rsid w:val="00B91E44"/>
    <w:rsid w:val="00B92FCA"/>
    <w:rsid w:val="00B95870"/>
    <w:rsid w:val="00BC52B9"/>
    <w:rsid w:val="00BC5FE5"/>
    <w:rsid w:val="00BD09F9"/>
    <w:rsid w:val="00BD4803"/>
    <w:rsid w:val="00BE0A44"/>
    <w:rsid w:val="00BE4631"/>
    <w:rsid w:val="00BF67C2"/>
    <w:rsid w:val="00C04B3D"/>
    <w:rsid w:val="00C6348D"/>
    <w:rsid w:val="00C70253"/>
    <w:rsid w:val="00C9570D"/>
    <w:rsid w:val="00CA3E34"/>
    <w:rsid w:val="00CB5C8E"/>
    <w:rsid w:val="00CC0575"/>
    <w:rsid w:val="00CC2F7B"/>
    <w:rsid w:val="00CE0297"/>
    <w:rsid w:val="00D00BE5"/>
    <w:rsid w:val="00D15D31"/>
    <w:rsid w:val="00D22EF7"/>
    <w:rsid w:val="00D2498B"/>
    <w:rsid w:val="00D326AF"/>
    <w:rsid w:val="00D50A38"/>
    <w:rsid w:val="00D55D54"/>
    <w:rsid w:val="00D70874"/>
    <w:rsid w:val="00DB4B4D"/>
    <w:rsid w:val="00DD02CB"/>
    <w:rsid w:val="00DD5E0F"/>
    <w:rsid w:val="00DD6766"/>
    <w:rsid w:val="00DD7443"/>
    <w:rsid w:val="00E01E9F"/>
    <w:rsid w:val="00E03198"/>
    <w:rsid w:val="00E06CCE"/>
    <w:rsid w:val="00E35272"/>
    <w:rsid w:val="00E6018A"/>
    <w:rsid w:val="00E73ED8"/>
    <w:rsid w:val="00EB0519"/>
    <w:rsid w:val="00EB5D6F"/>
    <w:rsid w:val="00EC434A"/>
    <w:rsid w:val="00EF440C"/>
    <w:rsid w:val="00F05D08"/>
    <w:rsid w:val="00F0717E"/>
    <w:rsid w:val="00F0770B"/>
    <w:rsid w:val="00F11E7B"/>
    <w:rsid w:val="00F12C75"/>
    <w:rsid w:val="00F227AA"/>
    <w:rsid w:val="00F537EA"/>
    <w:rsid w:val="00F563EA"/>
    <w:rsid w:val="00F65245"/>
    <w:rsid w:val="00F77D91"/>
    <w:rsid w:val="00F8319C"/>
    <w:rsid w:val="00F86F4C"/>
    <w:rsid w:val="00FA17BF"/>
    <w:rsid w:val="00FB375E"/>
    <w:rsid w:val="00FB64A4"/>
    <w:rsid w:val="00FC5FD5"/>
    <w:rsid w:val="00FE4FE0"/>
    <w:rsid w:val="00FF22A2"/>
    <w:rsid w:val="00FF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CB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8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18A"/>
    <w:rPr>
      <w:sz w:val="25"/>
      <w:szCs w:val="22"/>
    </w:rPr>
  </w:style>
  <w:style w:type="paragraph" w:styleId="FootnoteText">
    <w:name w:val="footnote text"/>
    <w:basedOn w:val="Normal"/>
    <w:link w:val="FootnoteTextChar"/>
    <w:uiPriority w:val="99"/>
    <w:semiHidden/>
    <w:unhideWhenUsed/>
    <w:rsid w:val="000B0ECF"/>
    <w:rPr>
      <w:sz w:val="20"/>
      <w:szCs w:val="20"/>
    </w:rPr>
  </w:style>
  <w:style w:type="character" w:customStyle="1" w:styleId="FootnoteTextChar">
    <w:name w:val="Footnote Text Char"/>
    <w:link w:val="FootnoteText"/>
    <w:uiPriority w:val="99"/>
    <w:semiHidden/>
    <w:rsid w:val="000B0ECF"/>
    <w:rPr>
      <w:rFonts w:eastAsia="Times New Roman"/>
    </w:rPr>
  </w:style>
  <w:style w:type="character" w:styleId="FootnoteReference">
    <w:name w:val="footnote reference"/>
    <w:semiHidden/>
    <w:unhideWhenUsed/>
    <w:rsid w:val="000B0ECF"/>
    <w:rPr>
      <w:vertAlign w:val="superscript"/>
    </w:rPr>
  </w:style>
  <w:style w:type="paragraph" w:styleId="ListParagraph">
    <w:name w:val="List Paragraph"/>
    <w:basedOn w:val="Normal"/>
    <w:uiPriority w:val="34"/>
    <w:qFormat/>
    <w:rsid w:val="005F0334"/>
    <w:pPr>
      <w:ind w:left="720"/>
    </w:pPr>
  </w:style>
  <w:style w:type="paragraph" w:styleId="Footer">
    <w:name w:val="footer"/>
    <w:basedOn w:val="Normal"/>
    <w:link w:val="FooterChar"/>
    <w:uiPriority w:val="99"/>
    <w:unhideWhenUsed/>
    <w:rsid w:val="00282E89"/>
    <w:pPr>
      <w:tabs>
        <w:tab w:val="center" w:pos="4320"/>
        <w:tab w:val="right" w:pos="8640"/>
      </w:tabs>
      <w:spacing w:after="200" w:line="276" w:lineRule="auto"/>
    </w:pPr>
    <w:rPr>
      <w:rFonts w:ascii="Calibri" w:hAnsi="Calibri"/>
      <w:sz w:val="22"/>
      <w:szCs w:val="22"/>
    </w:rPr>
  </w:style>
  <w:style w:type="character" w:customStyle="1" w:styleId="FooterChar">
    <w:name w:val="Footer Char"/>
    <w:link w:val="Footer"/>
    <w:uiPriority w:val="99"/>
    <w:rsid w:val="00282E89"/>
    <w:rPr>
      <w:rFonts w:ascii="Calibri" w:eastAsia="Times New Roman" w:hAnsi="Calibri" w:cs="Times New Roman"/>
      <w:sz w:val="22"/>
      <w:szCs w:val="22"/>
    </w:rPr>
  </w:style>
  <w:style w:type="paragraph" w:styleId="Header">
    <w:name w:val="header"/>
    <w:basedOn w:val="Normal"/>
    <w:link w:val="HeaderChar"/>
    <w:uiPriority w:val="99"/>
    <w:unhideWhenUsed/>
    <w:rsid w:val="00282E89"/>
    <w:pPr>
      <w:tabs>
        <w:tab w:val="center" w:pos="4680"/>
        <w:tab w:val="right" w:pos="9360"/>
      </w:tabs>
    </w:pPr>
  </w:style>
  <w:style w:type="character" w:customStyle="1" w:styleId="HeaderChar">
    <w:name w:val="Header Char"/>
    <w:link w:val="Header"/>
    <w:uiPriority w:val="99"/>
    <w:rsid w:val="00282E89"/>
    <w:rPr>
      <w:rFonts w:eastAsia="Times New Roman"/>
      <w:sz w:val="24"/>
      <w:szCs w:val="24"/>
    </w:rPr>
  </w:style>
  <w:style w:type="character" w:styleId="Hyperlink">
    <w:name w:val="Hyperlink"/>
    <w:uiPriority w:val="99"/>
    <w:unhideWhenUsed/>
    <w:rsid w:val="007C17D7"/>
    <w:rPr>
      <w:color w:val="0000FF"/>
      <w:u w:val="single"/>
    </w:rPr>
  </w:style>
  <w:style w:type="paragraph" w:styleId="Title">
    <w:name w:val="Title"/>
    <w:basedOn w:val="Normal"/>
    <w:next w:val="Normal"/>
    <w:link w:val="TitleChar"/>
    <w:uiPriority w:val="10"/>
    <w:qFormat/>
    <w:rsid w:val="00603594"/>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03594"/>
    <w:rPr>
      <w:rFonts w:ascii="Cambria" w:eastAsia="Times New Roman" w:hAnsi="Cambria" w:cs="Times New Roman"/>
      <w:b/>
      <w:bCs/>
      <w:kern w:val="28"/>
      <w:sz w:val="32"/>
      <w:szCs w:val="32"/>
    </w:rPr>
  </w:style>
  <w:style w:type="character" w:styleId="CommentReference">
    <w:name w:val="annotation reference"/>
    <w:uiPriority w:val="99"/>
    <w:semiHidden/>
    <w:unhideWhenUsed/>
    <w:rsid w:val="00675A43"/>
    <w:rPr>
      <w:sz w:val="16"/>
      <w:szCs w:val="16"/>
    </w:rPr>
  </w:style>
  <w:style w:type="paragraph" w:styleId="CommentText">
    <w:name w:val="annotation text"/>
    <w:basedOn w:val="Normal"/>
    <w:link w:val="CommentTextChar"/>
    <w:uiPriority w:val="99"/>
    <w:semiHidden/>
    <w:unhideWhenUsed/>
    <w:rsid w:val="00675A43"/>
    <w:rPr>
      <w:sz w:val="20"/>
      <w:szCs w:val="20"/>
    </w:rPr>
  </w:style>
  <w:style w:type="character" w:customStyle="1" w:styleId="CommentTextChar">
    <w:name w:val="Comment Text Char"/>
    <w:link w:val="CommentText"/>
    <w:uiPriority w:val="99"/>
    <w:semiHidden/>
    <w:rsid w:val="00675A43"/>
    <w:rPr>
      <w:rFonts w:eastAsia="Times New Roman"/>
    </w:rPr>
  </w:style>
  <w:style w:type="paragraph" w:styleId="CommentSubject">
    <w:name w:val="annotation subject"/>
    <w:basedOn w:val="CommentText"/>
    <w:next w:val="CommentText"/>
    <w:link w:val="CommentSubjectChar"/>
    <w:uiPriority w:val="99"/>
    <w:semiHidden/>
    <w:unhideWhenUsed/>
    <w:rsid w:val="00675A43"/>
    <w:rPr>
      <w:b/>
      <w:bCs/>
    </w:rPr>
  </w:style>
  <w:style w:type="character" w:customStyle="1" w:styleId="CommentSubjectChar">
    <w:name w:val="Comment Subject Char"/>
    <w:link w:val="CommentSubject"/>
    <w:uiPriority w:val="99"/>
    <w:semiHidden/>
    <w:rsid w:val="00675A43"/>
    <w:rPr>
      <w:rFonts w:eastAsia="Times New Roman"/>
      <w:b/>
      <w:bCs/>
    </w:rPr>
  </w:style>
  <w:style w:type="paragraph" w:styleId="BalloonText">
    <w:name w:val="Balloon Text"/>
    <w:basedOn w:val="Normal"/>
    <w:link w:val="BalloonTextChar"/>
    <w:uiPriority w:val="99"/>
    <w:semiHidden/>
    <w:unhideWhenUsed/>
    <w:rsid w:val="00675A43"/>
    <w:rPr>
      <w:rFonts w:ascii="Tahoma" w:hAnsi="Tahoma" w:cs="Tahoma"/>
      <w:sz w:val="16"/>
      <w:szCs w:val="16"/>
    </w:rPr>
  </w:style>
  <w:style w:type="character" w:customStyle="1" w:styleId="BalloonTextChar">
    <w:name w:val="Balloon Text Char"/>
    <w:link w:val="BalloonText"/>
    <w:uiPriority w:val="99"/>
    <w:semiHidden/>
    <w:rsid w:val="00675A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Certificate</CaseType>
    <IndustryCode xmlns="dc463f71-b30c-4ab2-9473-d307f9d35888">207</IndustryCode>
    <CaseStatus xmlns="dc463f71-b30c-4ab2-9473-d307f9d35888">Closed</CaseStatus>
    <OpenedDate xmlns="dc463f71-b30c-4ab2-9473-d307f9d35888">2015-05-26T07:00:00+00:00</OpenedDate>
    <Date1 xmlns="dc463f71-b30c-4ab2-9473-d307f9d35888">2015-10-22T07:00:00+00:00</Date1>
    <IsDocumentOrder xmlns="dc463f71-b30c-4ab2-9473-d307f9d35888">true</IsDocumentOrder>
    <IsHighlyConfidential xmlns="dc463f71-b30c-4ab2-9473-d307f9d35888">false</IsHighlyConfidential>
    <CaseCompanyNames xmlns="dc463f71-b30c-4ab2-9473-d307f9d35888">Heath, Annavila L.</CaseCompanyNames>
    <DocketNumber xmlns="dc463f71-b30c-4ab2-9473-d307f9d35888">151116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A9B1A22918554C9D4D638CF2DF238A" ma:contentTypeVersion="119" ma:contentTypeDescription="" ma:contentTypeScope="" ma:versionID="6c6366bada8ec69d47c459664b640c9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B7595-F8D9-425A-A742-D3E8BA1B7F2E}"/>
</file>

<file path=customXml/itemProps2.xml><?xml version="1.0" encoding="utf-8"?>
<ds:datastoreItem xmlns:ds="http://schemas.openxmlformats.org/officeDocument/2006/customXml" ds:itemID="{3E78AC35-3C9C-4C20-A1D8-3AA6AD024401}"/>
</file>

<file path=customXml/itemProps3.xml><?xml version="1.0" encoding="utf-8"?>
<ds:datastoreItem xmlns:ds="http://schemas.openxmlformats.org/officeDocument/2006/customXml" ds:itemID="{F5059C6C-0ADF-4BC4-A9D6-D57D5B5FC1CE}"/>
</file>

<file path=customXml/itemProps4.xml><?xml version="1.0" encoding="utf-8"?>
<ds:datastoreItem xmlns:ds="http://schemas.openxmlformats.org/officeDocument/2006/customXml" ds:itemID="{37F74947-8FDB-42D7-9F39-6C1191B0A5F8}"/>
</file>

<file path=customXml/itemProps5.xml><?xml version="1.0" encoding="utf-8"?>
<ds:datastoreItem xmlns:ds="http://schemas.openxmlformats.org/officeDocument/2006/customXml" ds:itemID="{B6979714-50DC-4372-AAD2-DF94298272ED}"/>
</file>

<file path=docProps/app.xml><?xml version="1.0" encoding="utf-8"?>
<Properties xmlns="http://schemas.openxmlformats.org/officeDocument/2006/extended-properties" xmlns:vt="http://schemas.openxmlformats.org/officeDocument/2006/docPropsVTypes">
  <Template>Normal</Template>
  <TotalTime>0</TotalTime>
  <Pages>9</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17045</CharactersWithSpaces>
  <SharedDoc>false</SharedDoc>
  <HLinks>
    <vt:vector size="6" baseType="variant">
      <vt:variant>
        <vt:i4>3276897</vt:i4>
      </vt:variant>
      <vt:variant>
        <vt:i4>0</vt:i4>
      </vt:variant>
      <vt:variant>
        <vt:i4>0</vt:i4>
      </vt:variant>
      <vt:variant>
        <vt:i4>5</vt:i4>
      </vt:variant>
      <vt:variant>
        <vt:lpwstr>http://www.bandzmoving.com/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2015-10-22T22:10:00Z</dcterms:created>
  <dcterms:modified xsi:type="dcterms:W3CDTF">2015-10-22T22:10:00Z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0x0101006E56B4D1795A2E4DB2F0B01679ED314A0058A9B1A22918554C9D4D638CF2DF238A</vt:lpwstr>
  </property>
  <property fmtid="{D5CDD505-2E9C-101B-9397-08002B2CF9AE}" pid="3" name="_docset_NoMedatataSyncRequired">
    <vt:lpwstr>False</vt:lpwstr>
  </property>
</Properties>
</file>