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C2D9E" w14:textId="77777777" w:rsidR="00E86E01" w:rsidRDefault="00E86E01" w:rsidP="00E86E01">
      <w:pPr>
        <w:rPr>
          <w:rFonts w:ascii="Times New Roman" w:hAnsi="Times New Roman"/>
        </w:rPr>
      </w:pPr>
      <w:bookmarkStart w:id="0" w:name="_GoBack"/>
      <w:bookmarkEnd w:id="0"/>
      <w:r>
        <w:rPr>
          <w:rFonts w:ascii="Times New Roman" w:hAnsi="Times New Roman"/>
        </w:rPr>
        <w:t>Agenda Date:</w:t>
      </w:r>
      <w:r>
        <w:rPr>
          <w:rFonts w:ascii="Times New Roman" w:hAnsi="Times New Roman"/>
        </w:rPr>
        <w:tab/>
      </w:r>
      <w:r>
        <w:rPr>
          <w:rFonts w:ascii="Times New Roman" w:hAnsi="Times New Roman"/>
        </w:rPr>
        <w:tab/>
        <w:t>June 23</w:t>
      </w:r>
      <w:r w:rsidR="00C20049">
        <w:rPr>
          <w:rFonts w:ascii="Times New Roman" w:hAnsi="Times New Roman"/>
        </w:rPr>
        <w:t>, 2016</w:t>
      </w:r>
    </w:p>
    <w:p w14:paraId="6C1C2D9F" w14:textId="4535A68E" w:rsidR="00E86E01" w:rsidRDefault="00E86E01" w:rsidP="00E86E01">
      <w:pPr>
        <w:ind w:left="2160" w:hanging="2160"/>
        <w:rPr>
          <w:rFonts w:ascii="Times New Roman" w:hAnsi="Times New Roman"/>
        </w:rPr>
      </w:pPr>
      <w:r>
        <w:rPr>
          <w:rFonts w:ascii="Times New Roman" w:hAnsi="Times New Roman"/>
        </w:rPr>
        <w:t>Item Number:</w:t>
      </w:r>
      <w:r>
        <w:rPr>
          <w:rFonts w:ascii="Times New Roman" w:hAnsi="Times New Roman"/>
        </w:rPr>
        <w:tab/>
      </w:r>
      <w:r w:rsidR="00ED41B8">
        <w:rPr>
          <w:rFonts w:ascii="Times New Roman" w:hAnsi="Times New Roman"/>
        </w:rPr>
        <w:t>A1</w:t>
      </w:r>
    </w:p>
    <w:p w14:paraId="6C1C2DA0" w14:textId="77777777" w:rsidR="00E86E01" w:rsidRDefault="00E86E01" w:rsidP="00E86E01">
      <w:pPr>
        <w:rPr>
          <w:rFonts w:ascii="Times New Roman" w:hAnsi="Times New Roman"/>
        </w:rPr>
      </w:pPr>
    </w:p>
    <w:p w14:paraId="6C1C2DA1" w14:textId="77777777" w:rsidR="00E86E01" w:rsidRDefault="00E86E01" w:rsidP="00E86E01">
      <w:pPr>
        <w:rPr>
          <w:rFonts w:ascii="Times New Roman" w:hAnsi="Times New Roman"/>
          <w:b/>
          <w:bCs/>
        </w:rPr>
      </w:pPr>
      <w:r>
        <w:rPr>
          <w:rFonts w:ascii="Times New Roman" w:hAnsi="Times New Roman"/>
          <w:b/>
          <w:bCs/>
        </w:rPr>
        <w:t>Docket:</w:t>
      </w:r>
      <w:r>
        <w:rPr>
          <w:rFonts w:ascii="Times New Roman" w:hAnsi="Times New Roman"/>
          <w:b/>
          <w:bCs/>
        </w:rPr>
        <w:tab/>
      </w:r>
      <w:r>
        <w:rPr>
          <w:rFonts w:ascii="Times New Roman" w:hAnsi="Times New Roman"/>
          <w:b/>
          <w:bCs/>
        </w:rPr>
        <w:tab/>
        <w:t>UE-140800</w:t>
      </w:r>
    </w:p>
    <w:p w14:paraId="6C1C2DA2" w14:textId="36436769" w:rsidR="00E86E01" w:rsidRDefault="00E86E01" w:rsidP="00E86E01">
      <w:pPr>
        <w:rPr>
          <w:rFonts w:ascii="Times New Roman" w:hAnsi="Times New Roman"/>
        </w:rPr>
      </w:pPr>
      <w:r>
        <w:rPr>
          <w:rFonts w:ascii="Times New Roman" w:hAnsi="Times New Roman"/>
        </w:rPr>
        <w:t>Company:</w:t>
      </w:r>
      <w:r>
        <w:rPr>
          <w:rFonts w:ascii="Times New Roman" w:hAnsi="Times New Roman"/>
        </w:rPr>
        <w:tab/>
      </w:r>
      <w:r>
        <w:rPr>
          <w:rFonts w:ascii="Times New Roman" w:hAnsi="Times New Roman"/>
        </w:rPr>
        <w:tab/>
        <w:t>Puget Sound Energy</w:t>
      </w:r>
    </w:p>
    <w:p w14:paraId="6C1C2DA3" w14:textId="77777777" w:rsidR="00E86E01" w:rsidRDefault="00E86E01" w:rsidP="00E86E01">
      <w:pPr>
        <w:rPr>
          <w:rFonts w:ascii="Times New Roman" w:hAnsi="Times New Roman"/>
        </w:rPr>
      </w:pPr>
    </w:p>
    <w:p w14:paraId="6C1C2DA4" w14:textId="77777777" w:rsidR="00E86E01" w:rsidRDefault="00E86E01" w:rsidP="00E86E01">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Jeremy Twitchell, Regulatory Analyst</w:t>
      </w:r>
    </w:p>
    <w:p w14:paraId="6C1C2DA5" w14:textId="77777777" w:rsidR="00E86E01" w:rsidRDefault="00E86E01" w:rsidP="00E86E01">
      <w:pPr>
        <w:rPr>
          <w:rFonts w:ascii="Times New Roman" w:hAnsi="Times New Roman"/>
        </w:rPr>
      </w:pPr>
    </w:p>
    <w:p w14:paraId="6C1C2DA6" w14:textId="77777777" w:rsidR="00E86E01" w:rsidRDefault="00E86E01" w:rsidP="00E86E01">
      <w:pPr>
        <w:rPr>
          <w:rFonts w:ascii="Times New Roman" w:hAnsi="Times New Roman"/>
          <w:b/>
          <w:bCs/>
          <w:u w:val="single"/>
        </w:rPr>
      </w:pPr>
      <w:r>
        <w:rPr>
          <w:rFonts w:ascii="Times New Roman" w:hAnsi="Times New Roman"/>
          <w:b/>
          <w:bCs/>
          <w:u w:val="single"/>
        </w:rPr>
        <w:t>Recommendation</w:t>
      </w:r>
    </w:p>
    <w:p w14:paraId="6C1C2DA7" w14:textId="77777777" w:rsidR="00E86E01" w:rsidRDefault="00E86E01" w:rsidP="00E86E01">
      <w:pPr>
        <w:rPr>
          <w:rFonts w:ascii="Times New Roman" w:hAnsi="Times New Roman"/>
        </w:rPr>
      </w:pPr>
    </w:p>
    <w:p w14:paraId="6C1C2DA8" w14:textId="77777777" w:rsidR="00E86E01" w:rsidRDefault="00E86E01" w:rsidP="00E86E01">
      <w:pPr>
        <w:rPr>
          <w:rFonts w:ascii="Times New Roman" w:hAnsi="Times New Roman"/>
        </w:rPr>
      </w:pPr>
      <w:r>
        <w:rPr>
          <w:rFonts w:ascii="Times New Roman" w:hAnsi="Times New Roman"/>
        </w:rPr>
        <w:t>Issue an Order in Docket UE-140800:</w:t>
      </w:r>
    </w:p>
    <w:p w14:paraId="6C1C2DA9" w14:textId="77777777" w:rsidR="00E86E01" w:rsidRDefault="00E86E01" w:rsidP="00E86E01">
      <w:pPr>
        <w:rPr>
          <w:rFonts w:ascii="Times New Roman" w:hAnsi="Times New Roman"/>
        </w:rPr>
      </w:pPr>
    </w:p>
    <w:p w14:paraId="6C1C2DAA" w14:textId="261D1D35" w:rsidR="00203A45" w:rsidRDefault="00E86E01" w:rsidP="00E86E01">
      <w:pPr>
        <w:ind w:left="720" w:hanging="720"/>
        <w:rPr>
          <w:rFonts w:ascii="Times New Roman" w:hAnsi="Times New Roman"/>
        </w:rPr>
      </w:pPr>
      <w:r>
        <w:rPr>
          <w:rFonts w:ascii="Times New Roman" w:hAnsi="Times New Roman"/>
        </w:rPr>
        <w:t>(1)</w:t>
      </w:r>
      <w:r w:rsidR="00203A45">
        <w:rPr>
          <w:rFonts w:ascii="Times New Roman" w:hAnsi="Times New Roman"/>
        </w:rPr>
        <w:tab/>
        <w:t xml:space="preserve">Granting the petition of Puget Sound Energy to waive WAC 480-109-200(3) in relation to </w:t>
      </w:r>
      <w:r w:rsidR="00C20049">
        <w:rPr>
          <w:rFonts w:ascii="Times New Roman" w:hAnsi="Times New Roman"/>
        </w:rPr>
        <w:t xml:space="preserve">Puget Sound Energy’s </w:t>
      </w:r>
      <w:r w:rsidR="00546DF7">
        <w:rPr>
          <w:rFonts w:ascii="Times New Roman" w:hAnsi="Times New Roman"/>
        </w:rPr>
        <w:t>2014 i</w:t>
      </w:r>
      <w:r w:rsidR="00C20049">
        <w:rPr>
          <w:rFonts w:ascii="Times New Roman" w:hAnsi="Times New Roman"/>
        </w:rPr>
        <w:t xml:space="preserve">ncremental hydropower production. </w:t>
      </w:r>
    </w:p>
    <w:p w14:paraId="6C1C2DAB" w14:textId="45F631ED" w:rsidR="00E86E01" w:rsidRDefault="00203A45" w:rsidP="00E86E01">
      <w:pPr>
        <w:ind w:left="720" w:hanging="720"/>
        <w:rPr>
          <w:rFonts w:ascii="Times New Roman" w:hAnsi="Times New Roman"/>
        </w:rPr>
      </w:pPr>
      <w:r>
        <w:rPr>
          <w:rFonts w:ascii="Times New Roman" w:hAnsi="Times New Roman"/>
        </w:rPr>
        <w:t>(2)</w:t>
      </w:r>
      <w:r>
        <w:rPr>
          <w:rFonts w:ascii="Times New Roman" w:hAnsi="Times New Roman"/>
        </w:rPr>
        <w:tab/>
      </w:r>
      <w:r w:rsidR="00E86E01">
        <w:rPr>
          <w:rFonts w:ascii="Times New Roman" w:hAnsi="Times New Roman"/>
        </w:rPr>
        <w:t>Finding that Puget Sound Energy complied with the final renewable portfolio standard reporting requirements in WAC 480-109-210(6).</w:t>
      </w:r>
    </w:p>
    <w:p w14:paraId="6C1C2DAC" w14:textId="10E6295E" w:rsidR="00E86E01" w:rsidRDefault="00E86E01" w:rsidP="00546DF7">
      <w:pPr>
        <w:ind w:left="720" w:hanging="720"/>
        <w:rPr>
          <w:rFonts w:ascii="Times New Roman" w:hAnsi="Times New Roman"/>
        </w:rPr>
      </w:pPr>
      <w:r>
        <w:rPr>
          <w:rFonts w:ascii="Times New Roman" w:hAnsi="Times New Roman"/>
        </w:rPr>
        <w:t>(</w:t>
      </w:r>
      <w:r w:rsidR="00203A45">
        <w:rPr>
          <w:rFonts w:ascii="Times New Roman" w:hAnsi="Times New Roman"/>
        </w:rPr>
        <w:t>3</w:t>
      </w:r>
      <w:r>
        <w:rPr>
          <w:rFonts w:ascii="Times New Roman" w:hAnsi="Times New Roman"/>
        </w:rPr>
        <w:t>)</w:t>
      </w:r>
      <w:r>
        <w:rPr>
          <w:rFonts w:ascii="Times New Roman" w:hAnsi="Times New Roman"/>
        </w:rPr>
        <w:tab/>
      </w:r>
      <w:r w:rsidR="00203A45">
        <w:rPr>
          <w:rFonts w:ascii="Times New Roman" w:hAnsi="Times New Roman"/>
        </w:rPr>
        <w:t>Finding that Puget Sound Energy</w:t>
      </w:r>
      <w:r>
        <w:rPr>
          <w:rFonts w:ascii="Times New Roman" w:hAnsi="Times New Roman"/>
        </w:rPr>
        <w:t xml:space="preserve"> </w:t>
      </w:r>
      <w:r w:rsidR="00546DF7">
        <w:rPr>
          <w:rFonts w:ascii="Times New Roman" w:hAnsi="Times New Roman"/>
        </w:rPr>
        <w:t xml:space="preserve">has met its 2014 renewable portfolio standard target of </w:t>
      </w:r>
      <w:r w:rsidR="00BC68DE">
        <w:rPr>
          <w:rFonts w:ascii="Times New Roman" w:hAnsi="Times New Roman"/>
        </w:rPr>
        <w:t>635,202</w:t>
      </w:r>
      <w:r>
        <w:rPr>
          <w:rFonts w:ascii="Times New Roman" w:hAnsi="Times New Roman"/>
        </w:rPr>
        <w:t xml:space="preserve"> megawatt-hours</w:t>
      </w:r>
      <w:r w:rsidR="00546DF7">
        <w:rPr>
          <w:rFonts w:ascii="Times New Roman" w:hAnsi="Times New Roman"/>
        </w:rPr>
        <w:t xml:space="preserve"> and</w:t>
      </w:r>
      <w:r>
        <w:rPr>
          <w:rFonts w:ascii="Times New Roman" w:hAnsi="Times New Roman"/>
        </w:rPr>
        <w:t xml:space="preserve"> retired corresponding certificates in </w:t>
      </w:r>
      <w:r w:rsidR="00203A45">
        <w:rPr>
          <w:rFonts w:ascii="Times New Roman" w:hAnsi="Times New Roman"/>
        </w:rPr>
        <w:t>the Western Renewable Energy Generation Information System</w:t>
      </w:r>
      <w:r w:rsidR="00546DF7">
        <w:rPr>
          <w:rFonts w:ascii="Times New Roman" w:hAnsi="Times New Roman"/>
        </w:rPr>
        <w:t xml:space="preserve"> where possible</w:t>
      </w:r>
      <w:r>
        <w:rPr>
          <w:rFonts w:ascii="Times New Roman" w:hAnsi="Times New Roman"/>
        </w:rPr>
        <w:t>.</w:t>
      </w:r>
    </w:p>
    <w:p w14:paraId="6C1C2DAD" w14:textId="77777777" w:rsidR="00546DF7" w:rsidRDefault="00546DF7" w:rsidP="00546DF7">
      <w:pPr>
        <w:ind w:left="720" w:hanging="720"/>
        <w:rPr>
          <w:rFonts w:ascii="Times New Roman" w:hAnsi="Times New Roman"/>
        </w:rPr>
      </w:pPr>
    </w:p>
    <w:p w14:paraId="6C1C2DAE" w14:textId="77777777" w:rsidR="00E86E01" w:rsidRDefault="00E86E01" w:rsidP="00E86E01">
      <w:pPr>
        <w:rPr>
          <w:rFonts w:ascii="Times New Roman" w:hAnsi="Times New Roman"/>
          <w:b/>
          <w:u w:val="single"/>
        </w:rPr>
      </w:pPr>
      <w:r>
        <w:rPr>
          <w:rFonts w:ascii="Times New Roman" w:hAnsi="Times New Roman"/>
          <w:b/>
          <w:u w:val="single"/>
        </w:rPr>
        <w:t>Background</w:t>
      </w:r>
    </w:p>
    <w:p w14:paraId="6C1C2DAF" w14:textId="77777777" w:rsidR="00E86E01" w:rsidRDefault="00E86E01" w:rsidP="00E86E01">
      <w:pPr>
        <w:rPr>
          <w:rFonts w:ascii="Times New Roman" w:hAnsi="Times New Roman"/>
        </w:rPr>
      </w:pPr>
    </w:p>
    <w:p w14:paraId="6C1C2DB0" w14:textId="77777777" w:rsidR="009646CC" w:rsidRDefault="00633600" w:rsidP="00E86E01">
      <w:pPr>
        <w:rPr>
          <w:rFonts w:ascii="Times New Roman" w:hAnsi="Times New Roman"/>
        </w:rPr>
      </w:pPr>
      <w:r>
        <w:rPr>
          <w:rFonts w:ascii="Times New Roman" w:hAnsi="Times New Roman"/>
        </w:rPr>
        <w:t>WAC 480-109-210</w:t>
      </w:r>
      <w:r w:rsidR="000E1BA7">
        <w:rPr>
          <w:rFonts w:ascii="Times New Roman" w:hAnsi="Times New Roman"/>
        </w:rPr>
        <w:t xml:space="preserve"> describes the </w:t>
      </w:r>
      <w:r w:rsidR="00AB3031">
        <w:rPr>
          <w:rFonts w:ascii="Times New Roman" w:hAnsi="Times New Roman"/>
        </w:rPr>
        <w:t xml:space="preserve">two-step </w:t>
      </w:r>
      <w:r w:rsidR="000E1BA7">
        <w:rPr>
          <w:rFonts w:ascii="Times New Roman" w:hAnsi="Times New Roman"/>
        </w:rPr>
        <w:t>process by which t</w:t>
      </w:r>
      <w:r w:rsidR="00E86E01">
        <w:rPr>
          <w:rFonts w:ascii="Times New Roman" w:hAnsi="Times New Roman"/>
        </w:rPr>
        <w:t xml:space="preserve">he Washington Utilities and Transportation Commission (commission) </w:t>
      </w:r>
      <w:r w:rsidR="00AB3031">
        <w:rPr>
          <w:rFonts w:ascii="Times New Roman" w:hAnsi="Times New Roman"/>
        </w:rPr>
        <w:t>determines whether a utility</w:t>
      </w:r>
      <w:r w:rsidR="000E1BA7">
        <w:rPr>
          <w:rFonts w:ascii="Times New Roman" w:hAnsi="Times New Roman"/>
        </w:rPr>
        <w:t xml:space="preserve"> has complied with the renewable portfolio standard (RPS). WAC 480-109-210(1) </w:t>
      </w:r>
      <w:r w:rsidR="00AB3031">
        <w:rPr>
          <w:rFonts w:ascii="Times New Roman" w:hAnsi="Times New Roman"/>
        </w:rPr>
        <w:t xml:space="preserve">requires a utility to file an initial report each year in which it documents the resources that it acquired or contracted to acquire to meet that year’s RPS </w:t>
      </w:r>
      <w:r w:rsidR="009646CC">
        <w:rPr>
          <w:rFonts w:ascii="Times New Roman" w:hAnsi="Times New Roman"/>
        </w:rPr>
        <w:t>target</w:t>
      </w:r>
      <w:r w:rsidR="00AB3031">
        <w:rPr>
          <w:rFonts w:ascii="Times New Roman" w:hAnsi="Times New Roman"/>
        </w:rPr>
        <w:t xml:space="preserve">. </w:t>
      </w:r>
    </w:p>
    <w:p w14:paraId="6C1C2DB1" w14:textId="77777777" w:rsidR="009646CC" w:rsidRDefault="009646CC" w:rsidP="00E86E01">
      <w:pPr>
        <w:rPr>
          <w:rFonts w:ascii="Times New Roman" w:hAnsi="Times New Roman"/>
        </w:rPr>
      </w:pPr>
    </w:p>
    <w:p w14:paraId="6C1C2DB2" w14:textId="77777777" w:rsidR="00AB3031" w:rsidRDefault="00AB3031" w:rsidP="00E86E01">
      <w:pPr>
        <w:rPr>
          <w:rFonts w:ascii="Times New Roman" w:hAnsi="Times New Roman"/>
        </w:rPr>
      </w:pPr>
      <w:r>
        <w:rPr>
          <w:rFonts w:ascii="Times New Roman" w:hAnsi="Times New Roman"/>
        </w:rPr>
        <w:t>WAC 480-109-210(6) then requires a utility to file</w:t>
      </w:r>
      <w:r w:rsidR="009646CC">
        <w:rPr>
          <w:rFonts w:ascii="Times New Roman" w:hAnsi="Times New Roman"/>
        </w:rPr>
        <w:t xml:space="preserve"> a final compliance report within the next two years that identifies the specific resources that the utility used to meet the target and documents that the utility retired corresponding certificates in the Western Renewable Energy Generation Information System (WREGIS).</w:t>
      </w:r>
    </w:p>
    <w:p w14:paraId="6C1C2DB3" w14:textId="77777777" w:rsidR="00AB3031" w:rsidRDefault="00AB3031" w:rsidP="00E86E01">
      <w:pPr>
        <w:rPr>
          <w:rFonts w:ascii="Times New Roman" w:hAnsi="Times New Roman"/>
        </w:rPr>
      </w:pPr>
    </w:p>
    <w:p w14:paraId="6C1C2DB4" w14:textId="77777777" w:rsidR="00E86E01" w:rsidRDefault="009646CC" w:rsidP="009646CC">
      <w:pPr>
        <w:rPr>
          <w:rFonts w:ascii="Times New Roman" w:hAnsi="Times New Roman"/>
        </w:rPr>
      </w:pPr>
      <w:r>
        <w:rPr>
          <w:rFonts w:ascii="Times New Roman" w:hAnsi="Times New Roman"/>
        </w:rPr>
        <w:t xml:space="preserve">The commission </w:t>
      </w:r>
      <w:r w:rsidR="00E86E01">
        <w:rPr>
          <w:rFonts w:ascii="Times New Roman" w:hAnsi="Times New Roman"/>
        </w:rPr>
        <w:t xml:space="preserve">issued Order 01 in this docket on </w:t>
      </w:r>
      <w:r w:rsidR="00312128">
        <w:rPr>
          <w:rFonts w:ascii="Times New Roman" w:hAnsi="Times New Roman"/>
        </w:rPr>
        <w:t>July 31, 2014</w:t>
      </w:r>
      <w:r w:rsidR="00E86E01">
        <w:rPr>
          <w:rFonts w:ascii="Times New Roman" w:hAnsi="Times New Roman"/>
        </w:rPr>
        <w:t xml:space="preserve">, which approved </w:t>
      </w:r>
      <w:r w:rsidR="00312128">
        <w:rPr>
          <w:rFonts w:ascii="Times New Roman" w:hAnsi="Times New Roman"/>
        </w:rPr>
        <w:t>PSE</w:t>
      </w:r>
      <w:r>
        <w:rPr>
          <w:rFonts w:ascii="Times New Roman" w:hAnsi="Times New Roman"/>
        </w:rPr>
        <w:t xml:space="preserve">’s </w:t>
      </w:r>
      <w:r w:rsidR="00312128">
        <w:rPr>
          <w:rFonts w:ascii="Times New Roman" w:hAnsi="Times New Roman"/>
        </w:rPr>
        <w:t>calculation of its 2014</w:t>
      </w:r>
      <w:r w:rsidR="00E86E01">
        <w:rPr>
          <w:rFonts w:ascii="Times New Roman" w:hAnsi="Times New Roman"/>
        </w:rPr>
        <w:t xml:space="preserve"> renewable energy target as </w:t>
      </w:r>
      <w:r w:rsidR="00312128">
        <w:rPr>
          <w:rFonts w:ascii="Times New Roman" w:hAnsi="Times New Roman"/>
        </w:rPr>
        <w:t>635,202</w:t>
      </w:r>
      <w:r w:rsidR="00E86E01">
        <w:rPr>
          <w:rFonts w:ascii="Times New Roman" w:hAnsi="Times New Roman"/>
        </w:rPr>
        <w:t xml:space="preserve"> megawatt-hours</w:t>
      </w:r>
      <w:r>
        <w:rPr>
          <w:rFonts w:ascii="Times New Roman" w:hAnsi="Times New Roman"/>
        </w:rPr>
        <w:t xml:space="preserve"> (MWh)</w:t>
      </w:r>
      <w:r w:rsidR="00E86E01">
        <w:rPr>
          <w:rFonts w:ascii="Times New Roman" w:hAnsi="Times New Roman"/>
        </w:rPr>
        <w:t xml:space="preserve">. </w:t>
      </w:r>
    </w:p>
    <w:p w14:paraId="6C1C2DB5" w14:textId="77777777" w:rsidR="00E86E01" w:rsidRDefault="00E86E01" w:rsidP="00E86E01">
      <w:pPr>
        <w:rPr>
          <w:rFonts w:ascii="Times New Roman" w:hAnsi="Times New Roman"/>
        </w:rPr>
      </w:pPr>
    </w:p>
    <w:p w14:paraId="6C1C2DB6" w14:textId="77777777" w:rsidR="00E86E01" w:rsidRDefault="00E86E01" w:rsidP="00E86E01">
      <w:pPr>
        <w:rPr>
          <w:rFonts w:ascii="Times New Roman" w:hAnsi="Times New Roman"/>
        </w:rPr>
      </w:pPr>
      <w:r>
        <w:rPr>
          <w:rFonts w:ascii="Times New Roman" w:hAnsi="Times New Roman"/>
          <w:b/>
          <w:u w:val="single"/>
        </w:rPr>
        <w:t>Discussion</w:t>
      </w:r>
    </w:p>
    <w:p w14:paraId="6C1C2DB7" w14:textId="77777777" w:rsidR="00E86E01" w:rsidRDefault="00E86E01" w:rsidP="00E86E01">
      <w:pPr>
        <w:rPr>
          <w:rFonts w:ascii="Times New Roman" w:hAnsi="Times New Roman"/>
        </w:rPr>
      </w:pPr>
    </w:p>
    <w:p w14:paraId="6C1C2DB8" w14:textId="77777777" w:rsidR="00E86E01" w:rsidRDefault="00EC4808" w:rsidP="00E86E01">
      <w:pPr>
        <w:rPr>
          <w:rFonts w:ascii="Times New Roman" w:hAnsi="Times New Roman"/>
        </w:rPr>
      </w:pPr>
      <w:r>
        <w:rPr>
          <w:rFonts w:ascii="Times New Roman" w:hAnsi="Times New Roman"/>
        </w:rPr>
        <w:t xml:space="preserve">PSE made two filings related to its 2014 RPS target on May 27, 2016. The first is a petition for the commission to waive WAC 480-109-200(3) as it relates to the company’s use of incremental hydro toward the 2014 target. The rule in question requires all resources used for RPS compliance to be registered in WREGIS and for corresponding certificates to be retired in WREGIS for all MWh used to meet the target. </w:t>
      </w:r>
    </w:p>
    <w:p w14:paraId="6C1C2DB9" w14:textId="77777777" w:rsidR="00EC4808" w:rsidRDefault="00EC4808" w:rsidP="00E86E01">
      <w:pPr>
        <w:rPr>
          <w:rFonts w:ascii="Times New Roman" w:hAnsi="Times New Roman"/>
        </w:rPr>
      </w:pPr>
    </w:p>
    <w:p w14:paraId="6C1C2DBA" w14:textId="77777777" w:rsidR="00EC4808" w:rsidRDefault="00EC4808" w:rsidP="00E86E01">
      <w:pPr>
        <w:rPr>
          <w:rFonts w:ascii="Times New Roman" w:hAnsi="Times New Roman"/>
        </w:rPr>
      </w:pPr>
      <w:r>
        <w:rPr>
          <w:rFonts w:ascii="Times New Roman" w:hAnsi="Times New Roman"/>
        </w:rPr>
        <w:t>PSE is requesting the waiver because, to date, it hasn’t</w:t>
      </w:r>
      <w:r w:rsidR="00546DF7">
        <w:rPr>
          <w:rFonts w:ascii="Times New Roman" w:hAnsi="Times New Roman"/>
        </w:rPr>
        <w:t xml:space="preserve"> completed the process of registering</w:t>
      </w:r>
      <w:r>
        <w:rPr>
          <w:rFonts w:ascii="Times New Roman" w:hAnsi="Times New Roman"/>
        </w:rPr>
        <w:t xml:space="preserve"> its Lower Baker and Snoqualmie Falls facilities in WREGIS. </w:t>
      </w:r>
      <w:r w:rsidR="00202CA6">
        <w:rPr>
          <w:rFonts w:ascii="Times New Roman" w:hAnsi="Times New Roman"/>
        </w:rPr>
        <w:t xml:space="preserve">The company has been actively </w:t>
      </w:r>
      <w:r w:rsidR="00202CA6">
        <w:rPr>
          <w:rFonts w:ascii="Times New Roman" w:hAnsi="Times New Roman"/>
        </w:rPr>
        <w:lastRenderedPageBreak/>
        <w:t>working to register the facilities, but as it explains in the petition, the process has proven complicated and has not yet been completed. Staff has been working with the company and the Department of Commerce throughout the process and believes that PSE has worked in good faith to register its upgraded hydropower facilities in WREGIS.</w:t>
      </w:r>
      <w:r w:rsidR="00546DF7">
        <w:rPr>
          <w:rFonts w:ascii="Times New Roman" w:hAnsi="Times New Roman"/>
        </w:rPr>
        <w:t xml:space="preserve"> </w:t>
      </w:r>
    </w:p>
    <w:p w14:paraId="6C1C2DBB" w14:textId="77777777" w:rsidR="00202CA6" w:rsidRDefault="00202CA6" w:rsidP="00E86E01">
      <w:pPr>
        <w:rPr>
          <w:rFonts w:ascii="Times New Roman" w:hAnsi="Times New Roman"/>
        </w:rPr>
      </w:pPr>
    </w:p>
    <w:p w14:paraId="6C1C2DBC" w14:textId="77777777" w:rsidR="00202CA6" w:rsidRDefault="00202CA6" w:rsidP="00E86E01">
      <w:pPr>
        <w:rPr>
          <w:rFonts w:ascii="Times New Roman" w:hAnsi="Times New Roman"/>
        </w:rPr>
      </w:pPr>
      <w:r>
        <w:rPr>
          <w:rFonts w:ascii="Times New Roman" w:hAnsi="Times New Roman"/>
        </w:rPr>
        <w:t>Absent the waiver, PSE would have to replace almost 49,000 MWh of eligible RPS generation with certificates from its win</w:t>
      </w:r>
      <w:r w:rsidR="00005134">
        <w:rPr>
          <w:rFonts w:ascii="Times New Roman" w:hAnsi="Times New Roman"/>
        </w:rPr>
        <w:t>d resources, which would otherwise be</w:t>
      </w:r>
      <w:r>
        <w:rPr>
          <w:rFonts w:ascii="Times New Roman" w:hAnsi="Times New Roman"/>
        </w:rPr>
        <w:t xml:space="preserve"> saved for future-year compliance or sold to other parties to generate offsetting revenue. </w:t>
      </w:r>
      <w:r w:rsidR="00C35E84">
        <w:rPr>
          <w:rFonts w:ascii="Times New Roman" w:hAnsi="Times New Roman"/>
        </w:rPr>
        <w:t>Staff therefore agrees that the waiver is in the public interest and recommends that the commission grant it.</w:t>
      </w:r>
    </w:p>
    <w:p w14:paraId="6C1C2DBD" w14:textId="77777777" w:rsidR="00EC4808" w:rsidRDefault="00EC4808" w:rsidP="00E86E01">
      <w:pPr>
        <w:rPr>
          <w:rFonts w:ascii="Times New Roman" w:hAnsi="Times New Roman"/>
        </w:rPr>
      </w:pPr>
    </w:p>
    <w:p w14:paraId="6C1C2DBE" w14:textId="77777777" w:rsidR="00BC68DE" w:rsidRDefault="00C35E84" w:rsidP="00C35E84">
      <w:pPr>
        <w:rPr>
          <w:rFonts w:ascii="Times New Roman" w:hAnsi="Times New Roman"/>
        </w:rPr>
      </w:pPr>
      <w:r>
        <w:rPr>
          <w:rFonts w:ascii="Times New Roman" w:hAnsi="Times New Roman"/>
        </w:rPr>
        <w:t xml:space="preserve">The second filing that PSE made on May 27, 2016, was its final compliance report for the 2014 RPS target. </w:t>
      </w:r>
      <w:r w:rsidR="00EF18FF">
        <w:rPr>
          <w:rFonts w:ascii="Times New Roman" w:hAnsi="Times New Roman"/>
        </w:rPr>
        <w:t xml:space="preserve">The report identifies a combination of wind and incremental hydro resources that the company used to reach its 2014 target of 635,202 MWh. </w:t>
      </w:r>
      <w:r w:rsidR="00BC68DE">
        <w:rPr>
          <w:rFonts w:ascii="Times New Roman" w:hAnsi="Times New Roman"/>
        </w:rPr>
        <w:t>All of the wind resources identified in PSE’s compliance report are eligible for the 1.2 multiplier for using apprentice labor in their construction. PSE used Method 2 for calculating its incremental hydro production, as defined in WAC 480-109-200(7)(c)</w:t>
      </w:r>
      <w:r w:rsidR="008443B7">
        <w:rPr>
          <w:rFonts w:ascii="Times New Roman" w:hAnsi="Times New Roman"/>
        </w:rPr>
        <w:t xml:space="preserve"> and approved by the commission in Order 02 in this docket.</w:t>
      </w:r>
    </w:p>
    <w:p w14:paraId="6C1C2DBF" w14:textId="77777777" w:rsidR="00BC68DE" w:rsidRDefault="00BC68DE" w:rsidP="00C35E84">
      <w:pPr>
        <w:rPr>
          <w:rFonts w:ascii="Times New Roman" w:hAnsi="Times New Roman"/>
        </w:rPr>
      </w:pPr>
    </w:p>
    <w:p w14:paraId="6C1C2DC0" w14:textId="77777777" w:rsidR="00C35E84" w:rsidRDefault="00C35E84" w:rsidP="00C35E84">
      <w:pPr>
        <w:rPr>
          <w:rFonts w:ascii="Times New Roman" w:hAnsi="Times New Roman"/>
        </w:rPr>
      </w:pPr>
      <w:r>
        <w:rPr>
          <w:rFonts w:ascii="Times New Roman" w:hAnsi="Times New Roman"/>
        </w:rPr>
        <w:t>The following table summarizes the resources that PSE used for 2014 RPS compliance:</w:t>
      </w:r>
    </w:p>
    <w:p w14:paraId="6C1C2DC1" w14:textId="77777777" w:rsidR="00C35E84" w:rsidRDefault="00C35E84" w:rsidP="00C35E84">
      <w:pPr>
        <w:rPr>
          <w:rFonts w:ascii="Times New Roman" w:hAnsi="Times New Roman"/>
        </w:rPr>
      </w:pPr>
      <w:r>
        <w:rPr>
          <w:rFonts w:ascii="Times New Roman" w:hAnsi="Times New Roman"/>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1620"/>
        <w:gridCol w:w="1061"/>
        <w:gridCol w:w="1172"/>
        <w:gridCol w:w="1389"/>
        <w:gridCol w:w="1593"/>
      </w:tblGrid>
      <w:tr w:rsidR="00C35E84" w14:paraId="6C1C2DC9" w14:textId="77777777" w:rsidTr="008443B7">
        <w:trPr>
          <w:trHeight w:val="978"/>
        </w:trPr>
        <w:tc>
          <w:tcPr>
            <w:tcW w:w="2371"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C1C2DC2" w14:textId="77777777" w:rsidR="00C35E84" w:rsidRDefault="00C35E84">
            <w:pPr>
              <w:jc w:val="center"/>
              <w:rPr>
                <w:rFonts w:ascii="Times New Roman" w:hAnsi="Times New Roman"/>
                <w:b/>
              </w:rPr>
            </w:pPr>
            <w:r>
              <w:rPr>
                <w:rFonts w:ascii="Times New Roman" w:hAnsi="Times New Roman"/>
                <w:b/>
              </w:rPr>
              <w:t>Facility Name (Location)</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C1C2DC3" w14:textId="77777777" w:rsidR="00C35E84" w:rsidRDefault="00C35E84">
            <w:pPr>
              <w:jc w:val="center"/>
              <w:rPr>
                <w:rFonts w:ascii="Times New Roman" w:hAnsi="Times New Roman"/>
                <w:b/>
              </w:rPr>
            </w:pPr>
            <w:r>
              <w:rPr>
                <w:rFonts w:ascii="Times New Roman" w:hAnsi="Times New Roman"/>
                <w:b/>
              </w:rPr>
              <w:t>Resource Type</w:t>
            </w:r>
          </w:p>
        </w:tc>
        <w:tc>
          <w:tcPr>
            <w:tcW w:w="1061"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C1C2DC4" w14:textId="77777777" w:rsidR="00C35E84" w:rsidRDefault="00C35E84">
            <w:pPr>
              <w:jc w:val="center"/>
              <w:rPr>
                <w:rFonts w:ascii="Times New Roman" w:hAnsi="Times New Roman"/>
                <w:b/>
              </w:rPr>
            </w:pPr>
            <w:r>
              <w:rPr>
                <w:rFonts w:ascii="Times New Roman" w:hAnsi="Times New Roman"/>
                <w:b/>
              </w:rPr>
              <w:t>Vintage</w:t>
            </w:r>
          </w:p>
        </w:tc>
        <w:tc>
          <w:tcPr>
            <w:tcW w:w="117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C1C2DC5" w14:textId="77777777" w:rsidR="00C35E84" w:rsidRDefault="00C35E84">
            <w:pPr>
              <w:jc w:val="center"/>
              <w:rPr>
                <w:rFonts w:ascii="Times New Roman" w:hAnsi="Times New Roman"/>
                <w:b/>
              </w:rPr>
            </w:pPr>
            <w:r>
              <w:rPr>
                <w:rFonts w:ascii="Times New Roman" w:hAnsi="Times New Roman"/>
                <w:b/>
              </w:rPr>
              <w:t>Amount</w:t>
            </w:r>
          </w:p>
          <w:p w14:paraId="6C1C2DC6" w14:textId="77777777" w:rsidR="00C35E84" w:rsidRDefault="00C35E84">
            <w:pPr>
              <w:jc w:val="center"/>
              <w:rPr>
                <w:rFonts w:ascii="Times New Roman" w:hAnsi="Times New Roman"/>
                <w:b/>
              </w:rPr>
            </w:pPr>
            <w:r>
              <w:rPr>
                <w:rFonts w:ascii="Times New Roman" w:hAnsi="Times New Roman"/>
                <w:b/>
              </w:rPr>
              <w:t>(MWh)</w:t>
            </w:r>
          </w:p>
        </w:tc>
        <w:tc>
          <w:tcPr>
            <w:tcW w:w="1389"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C1C2DC7" w14:textId="77777777" w:rsidR="00C35E84" w:rsidRDefault="00C35E84">
            <w:pPr>
              <w:jc w:val="center"/>
              <w:rPr>
                <w:rFonts w:ascii="Times New Roman" w:hAnsi="Times New Roman"/>
                <w:b/>
              </w:rPr>
            </w:pPr>
            <w:r>
              <w:rPr>
                <w:rFonts w:ascii="Times New Roman" w:hAnsi="Times New Roman"/>
                <w:b/>
              </w:rPr>
              <w:t>Multiplier MWh</w:t>
            </w:r>
          </w:p>
        </w:tc>
        <w:tc>
          <w:tcPr>
            <w:tcW w:w="1593"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C1C2DC8" w14:textId="77777777" w:rsidR="00C35E84" w:rsidRDefault="00C35E84">
            <w:pPr>
              <w:jc w:val="center"/>
              <w:rPr>
                <w:rFonts w:ascii="Times New Roman" w:hAnsi="Times New Roman"/>
                <w:b/>
              </w:rPr>
            </w:pPr>
            <w:r>
              <w:rPr>
                <w:rFonts w:ascii="Times New Roman" w:hAnsi="Times New Roman"/>
                <w:b/>
              </w:rPr>
              <w:t>Total</w:t>
            </w:r>
          </w:p>
        </w:tc>
      </w:tr>
      <w:tr w:rsidR="00C35E84" w14:paraId="6C1C2DD0" w14:textId="77777777" w:rsidTr="008443B7">
        <w:trPr>
          <w:trHeight w:val="557"/>
        </w:trPr>
        <w:tc>
          <w:tcPr>
            <w:tcW w:w="2371" w:type="dxa"/>
            <w:tcBorders>
              <w:top w:val="single" w:sz="4" w:space="0" w:color="auto"/>
              <w:left w:val="single" w:sz="4" w:space="0" w:color="auto"/>
              <w:bottom w:val="single" w:sz="4" w:space="0" w:color="auto"/>
              <w:right w:val="single" w:sz="4" w:space="0" w:color="auto"/>
            </w:tcBorders>
            <w:vAlign w:val="bottom"/>
            <w:hideMark/>
          </w:tcPr>
          <w:p w14:paraId="6C1C2DCA" w14:textId="77777777" w:rsidR="00C35E84" w:rsidRDefault="00C35E84">
            <w:pPr>
              <w:pStyle w:val="NoSpacing"/>
              <w:jc w:val="center"/>
            </w:pPr>
            <w:r>
              <w:t>Lower Snake River</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C1C2DCB" w14:textId="77777777" w:rsidR="00C35E84" w:rsidRDefault="00C35E84">
            <w:pPr>
              <w:pStyle w:val="NoSpacing"/>
              <w:jc w:val="center"/>
            </w:pPr>
            <w:r>
              <w:t>Wind</w:t>
            </w:r>
          </w:p>
        </w:tc>
        <w:tc>
          <w:tcPr>
            <w:tcW w:w="1061" w:type="dxa"/>
            <w:tcBorders>
              <w:top w:val="single" w:sz="4" w:space="0" w:color="auto"/>
              <w:left w:val="single" w:sz="4" w:space="0" w:color="auto"/>
              <w:bottom w:val="single" w:sz="4" w:space="0" w:color="auto"/>
              <w:right w:val="single" w:sz="4" w:space="0" w:color="auto"/>
            </w:tcBorders>
            <w:vAlign w:val="bottom"/>
            <w:hideMark/>
          </w:tcPr>
          <w:p w14:paraId="6C1C2DCC" w14:textId="77777777" w:rsidR="00C35E84" w:rsidRDefault="00C35E84">
            <w:pPr>
              <w:pStyle w:val="NoSpacing"/>
              <w:jc w:val="center"/>
            </w:pPr>
            <w:r>
              <w:t>2013</w:t>
            </w:r>
          </w:p>
        </w:tc>
        <w:tc>
          <w:tcPr>
            <w:tcW w:w="1172" w:type="dxa"/>
            <w:tcBorders>
              <w:top w:val="single" w:sz="4" w:space="0" w:color="auto"/>
              <w:left w:val="single" w:sz="4" w:space="0" w:color="auto"/>
              <w:bottom w:val="single" w:sz="4" w:space="0" w:color="auto"/>
              <w:right w:val="single" w:sz="4" w:space="0" w:color="auto"/>
            </w:tcBorders>
            <w:vAlign w:val="bottom"/>
            <w:hideMark/>
          </w:tcPr>
          <w:p w14:paraId="6C1C2DCD" w14:textId="77777777" w:rsidR="00C35E84" w:rsidRDefault="00C35E84" w:rsidP="00E52642">
            <w:pPr>
              <w:pStyle w:val="NoSpacing"/>
              <w:tabs>
                <w:tab w:val="decimal" w:pos="811"/>
              </w:tabs>
              <w:jc w:val="center"/>
            </w:pPr>
            <w:r>
              <w:t>434,395</w:t>
            </w:r>
          </w:p>
        </w:tc>
        <w:tc>
          <w:tcPr>
            <w:tcW w:w="1389" w:type="dxa"/>
            <w:tcBorders>
              <w:top w:val="single" w:sz="4" w:space="0" w:color="auto"/>
              <w:left w:val="single" w:sz="4" w:space="0" w:color="auto"/>
              <w:bottom w:val="single" w:sz="4" w:space="0" w:color="auto"/>
              <w:right w:val="single" w:sz="4" w:space="0" w:color="auto"/>
            </w:tcBorders>
            <w:vAlign w:val="bottom"/>
            <w:hideMark/>
          </w:tcPr>
          <w:p w14:paraId="6C1C2DCE" w14:textId="77777777" w:rsidR="00C35E84" w:rsidRDefault="00C35E84">
            <w:pPr>
              <w:pStyle w:val="NoSpacing"/>
              <w:jc w:val="center"/>
            </w:pPr>
            <w:r>
              <w:t>86,879</w:t>
            </w:r>
          </w:p>
        </w:tc>
        <w:tc>
          <w:tcPr>
            <w:tcW w:w="1593" w:type="dxa"/>
            <w:tcBorders>
              <w:top w:val="single" w:sz="4" w:space="0" w:color="auto"/>
              <w:left w:val="single" w:sz="4" w:space="0" w:color="auto"/>
              <w:bottom w:val="single" w:sz="4" w:space="0" w:color="auto"/>
              <w:right w:val="single" w:sz="4" w:space="0" w:color="auto"/>
            </w:tcBorders>
            <w:vAlign w:val="bottom"/>
            <w:hideMark/>
          </w:tcPr>
          <w:p w14:paraId="6C1C2DCF" w14:textId="77777777" w:rsidR="00C35E84" w:rsidRDefault="00C35E84" w:rsidP="00E52642">
            <w:pPr>
              <w:pStyle w:val="NoSpacing"/>
              <w:tabs>
                <w:tab w:val="decimal" w:pos="734"/>
              </w:tabs>
              <w:jc w:val="center"/>
            </w:pPr>
            <w:r>
              <w:t>521,274</w:t>
            </w:r>
          </w:p>
        </w:tc>
      </w:tr>
      <w:tr w:rsidR="00C35E84" w14:paraId="6C1C2DD7" w14:textId="77777777" w:rsidTr="008443B7">
        <w:trPr>
          <w:trHeight w:val="440"/>
        </w:trPr>
        <w:tc>
          <w:tcPr>
            <w:tcW w:w="2371" w:type="dxa"/>
            <w:tcBorders>
              <w:top w:val="single" w:sz="4" w:space="0" w:color="auto"/>
              <w:left w:val="single" w:sz="4" w:space="0" w:color="auto"/>
              <w:bottom w:val="single" w:sz="4" w:space="0" w:color="auto"/>
              <w:right w:val="single" w:sz="4" w:space="0" w:color="auto"/>
            </w:tcBorders>
            <w:vAlign w:val="bottom"/>
            <w:hideMark/>
          </w:tcPr>
          <w:p w14:paraId="6C1C2DD1" w14:textId="77777777" w:rsidR="00C35E84" w:rsidRDefault="00C35E84">
            <w:pPr>
              <w:pStyle w:val="NoSpacing"/>
              <w:jc w:val="center"/>
            </w:pPr>
            <w:r>
              <w:t>Wild Horse – Phase II</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C1C2DD2" w14:textId="77777777" w:rsidR="00C35E84" w:rsidRDefault="00C35E84">
            <w:pPr>
              <w:pStyle w:val="NoSpacing"/>
              <w:jc w:val="center"/>
            </w:pPr>
            <w:r>
              <w:t>Wind</w:t>
            </w:r>
          </w:p>
        </w:tc>
        <w:tc>
          <w:tcPr>
            <w:tcW w:w="1061" w:type="dxa"/>
            <w:tcBorders>
              <w:top w:val="single" w:sz="4" w:space="0" w:color="auto"/>
              <w:left w:val="single" w:sz="4" w:space="0" w:color="auto"/>
              <w:bottom w:val="single" w:sz="4" w:space="0" w:color="auto"/>
              <w:right w:val="single" w:sz="4" w:space="0" w:color="auto"/>
            </w:tcBorders>
            <w:vAlign w:val="bottom"/>
            <w:hideMark/>
          </w:tcPr>
          <w:p w14:paraId="6C1C2DD3" w14:textId="77777777" w:rsidR="00C35E84" w:rsidRDefault="00C35E84">
            <w:pPr>
              <w:pStyle w:val="NoSpacing"/>
              <w:jc w:val="center"/>
            </w:pPr>
            <w:r>
              <w:t>2013</w:t>
            </w:r>
          </w:p>
        </w:tc>
        <w:tc>
          <w:tcPr>
            <w:tcW w:w="1172" w:type="dxa"/>
            <w:tcBorders>
              <w:top w:val="single" w:sz="4" w:space="0" w:color="auto"/>
              <w:left w:val="single" w:sz="4" w:space="0" w:color="auto"/>
              <w:bottom w:val="single" w:sz="4" w:space="0" w:color="auto"/>
              <w:right w:val="single" w:sz="4" w:space="0" w:color="auto"/>
            </w:tcBorders>
            <w:vAlign w:val="bottom"/>
            <w:hideMark/>
          </w:tcPr>
          <w:p w14:paraId="6C1C2DD4" w14:textId="77777777" w:rsidR="00C35E84" w:rsidRDefault="00C35E84" w:rsidP="00E52642">
            <w:pPr>
              <w:pStyle w:val="NoSpacing"/>
              <w:tabs>
                <w:tab w:val="decimal" w:pos="811"/>
              </w:tabs>
              <w:jc w:val="center"/>
            </w:pPr>
            <w:r>
              <w:t>54,242</w:t>
            </w:r>
          </w:p>
        </w:tc>
        <w:tc>
          <w:tcPr>
            <w:tcW w:w="1389" w:type="dxa"/>
            <w:tcBorders>
              <w:top w:val="single" w:sz="4" w:space="0" w:color="auto"/>
              <w:left w:val="single" w:sz="4" w:space="0" w:color="auto"/>
              <w:bottom w:val="single" w:sz="4" w:space="0" w:color="auto"/>
              <w:right w:val="single" w:sz="4" w:space="0" w:color="auto"/>
            </w:tcBorders>
            <w:vAlign w:val="bottom"/>
            <w:hideMark/>
          </w:tcPr>
          <w:p w14:paraId="6C1C2DD5" w14:textId="77777777" w:rsidR="00C35E84" w:rsidRDefault="00C35E84">
            <w:pPr>
              <w:pStyle w:val="NoSpacing"/>
              <w:jc w:val="center"/>
            </w:pPr>
            <w:r>
              <w:t>10,848</w:t>
            </w:r>
          </w:p>
        </w:tc>
        <w:tc>
          <w:tcPr>
            <w:tcW w:w="1593" w:type="dxa"/>
            <w:tcBorders>
              <w:top w:val="single" w:sz="4" w:space="0" w:color="auto"/>
              <w:left w:val="single" w:sz="4" w:space="0" w:color="auto"/>
              <w:bottom w:val="single" w:sz="4" w:space="0" w:color="auto"/>
              <w:right w:val="single" w:sz="4" w:space="0" w:color="auto"/>
            </w:tcBorders>
            <w:vAlign w:val="bottom"/>
            <w:hideMark/>
          </w:tcPr>
          <w:p w14:paraId="6C1C2DD6" w14:textId="77777777" w:rsidR="00C35E84" w:rsidRDefault="00EF18FF" w:rsidP="00E52642">
            <w:pPr>
              <w:pStyle w:val="NoSpacing"/>
              <w:tabs>
                <w:tab w:val="decimal" w:pos="734"/>
              </w:tabs>
              <w:jc w:val="center"/>
            </w:pPr>
            <w:r>
              <w:t>65,090</w:t>
            </w:r>
          </w:p>
        </w:tc>
      </w:tr>
      <w:tr w:rsidR="00C35E84" w14:paraId="6C1C2DDA" w14:textId="77777777" w:rsidTr="008443B7">
        <w:trPr>
          <w:trHeight w:val="270"/>
        </w:trPr>
        <w:tc>
          <w:tcPr>
            <w:tcW w:w="399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6C1C2DD8" w14:textId="77777777" w:rsidR="00C35E84" w:rsidRDefault="00C35E84">
            <w:pPr>
              <w:pStyle w:val="NoSpacing"/>
              <w:jc w:val="center"/>
            </w:pPr>
            <w:r>
              <w:t>Subtotal, WREGIS resources:</w:t>
            </w:r>
          </w:p>
        </w:tc>
        <w:tc>
          <w:tcPr>
            <w:tcW w:w="5215"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6C1C2DD9" w14:textId="77777777" w:rsidR="00C35E84" w:rsidRDefault="00EF18FF">
            <w:pPr>
              <w:pStyle w:val="NoSpacing"/>
              <w:jc w:val="right"/>
            </w:pPr>
            <w:r>
              <w:t>586,364</w:t>
            </w:r>
          </w:p>
        </w:tc>
      </w:tr>
      <w:tr w:rsidR="00C35E84" w14:paraId="6C1C2DE1" w14:textId="77777777" w:rsidTr="008443B7">
        <w:trPr>
          <w:trHeight w:val="571"/>
        </w:trPr>
        <w:tc>
          <w:tcPr>
            <w:tcW w:w="2371" w:type="dxa"/>
            <w:tcBorders>
              <w:top w:val="single" w:sz="4" w:space="0" w:color="auto"/>
              <w:left w:val="single" w:sz="4" w:space="0" w:color="auto"/>
              <w:bottom w:val="single" w:sz="4" w:space="0" w:color="auto"/>
              <w:right w:val="single" w:sz="4" w:space="0" w:color="auto"/>
            </w:tcBorders>
            <w:vAlign w:val="bottom"/>
            <w:hideMark/>
          </w:tcPr>
          <w:p w14:paraId="6C1C2DDB" w14:textId="77777777" w:rsidR="00C35E84" w:rsidRDefault="00EF18FF">
            <w:pPr>
              <w:pStyle w:val="NoSpacing"/>
              <w:jc w:val="center"/>
            </w:pPr>
            <w:r>
              <w:t>Lower Baker River</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C1C2DDC" w14:textId="77777777" w:rsidR="00C35E84" w:rsidRDefault="008443B7">
            <w:pPr>
              <w:pStyle w:val="NoSpacing"/>
              <w:jc w:val="center"/>
            </w:pPr>
            <w:r>
              <w:t>Incremental Hydro</w:t>
            </w:r>
          </w:p>
        </w:tc>
        <w:tc>
          <w:tcPr>
            <w:tcW w:w="1061" w:type="dxa"/>
            <w:tcBorders>
              <w:top w:val="single" w:sz="4" w:space="0" w:color="auto"/>
              <w:left w:val="single" w:sz="4" w:space="0" w:color="auto"/>
              <w:bottom w:val="single" w:sz="4" w:space="0" w:color="auto"/>
              <w:right w:val="single" w:sz="4" w:space="0" w:color="auto"/>
            </w:tcBorders>
            <w:vAlign w:val="bottom"/>
            <w:hideMark/>
          </w:tcPr>
          <w:p w14:paraId="6C1C2DDD" w14:textId="77777777" w:rsidR="00C35E84" w:rsidRDefault="00EF18FF">
            <w:pPr>
              <w:pStyle w:val="NoSpacing"/>
              <w:jc w:val="center"/>
            </w:pPr>
            <w:r>
              <w:t>2014</w:t>
            </w:r>
          </w:p>
        </w:tc>
        <w:tc>
          <w:tcPr>
            <w:tcW w:w="1172" w:type="dxa"/>
            <w:tcBorders>
              <w:top w:val="single" w:sz="4" w:space="0" w:color="auto"/>
              <w:left w:val="single" w:sz="4" w:space="0" w:color="auto"/>
              <w:bottom w:val="single" w:sz="4" w:space="0" w:color="auto"/>
              <w:right w:val="single" w:sz="4" w:space="0" w:color="auto"/>
            </w:tcBorders>
            <w:vAlign w:val="bottom"/>
            <w:hideMark/>
          </w:tcPr>
          <w:p w14:paraId="6C1C2DDE" w14:textId="77777777" w:rsidR="00C35E84" w:rsidRDefault="00EF18FF" w:rsidP="00E52642">
            <w:pPr>
              <w:pStyle w:val="NoSpacing"/>
              <w:tabs>
                <w:tab w:val="decimal" w:pos="811"/>
              </w:tabs>
              <w:jc w:val="center"/>
            </w:pPr>
            <w:r>
              <w:t>34,379</w:t>
            </w:r>
          </w:p>
        </w:tc>
        <w:tc>
          <w:tcPr>
            <w:tcW w:w="1389" w:type="dxa"/>
            <w:tcBorders>
              <w:top w:val="single" w:sz="4" w:space="0" w:color="auto"/>
              <w:left w:val="single" w:sz="4" w:space="0" w:color="auto"/>
              <w:bottom w:val="single" w:sz="4" w:space="0" w:color="auto"/>
              <w:right w:val="single" w:sz="4" w:space="0" w:color="auto"/>
            </w:tcBorders>
            <w:vAlign w:val="bottom"/>
            <w:hideMark/>
          </w:tcPr>
          <w:p w14:paraId="6C1C2DDF" w14:textId="77777777" w:rsidR="00C35E84" w:rsidRDefault="00EF18FF">
            <w:pPr>
              <w:pStyle w:val="NoSpacing"/>
              <w:jc w:val="center"/>
            </w:pPr>
            <w:r>
              <w:t>N/A</w:t>
            </w:r>
          </w:p>
        </w:tc>
        <w:tc>
          <w:tcPr>
            <w:tcW w:w="1593" w:type="dxa"/>
            <w:tcBorders>
              <w:top w:val="single" w:sz="4" w:space="0" w:color="auto"/>
              <w:left w:val="single" w:sz="4" w:space="0" w:color="auto"/>
              <w:bottom w:val="single" w:sz="4" w:space="0" w:color="auto"/>
              <w:right w:val="single" w:sz="4" w:space="0" w:color="auto"/>
            </w:tcBorders>
            <w:vAlign w:val="bottom"/>
            <w:hideMark/>
          </w:tcPr>
          <w:p w14:paraId="6C1C2DE0" w14:textId="77777777" w:rsidR="00C35E84" w:rsidRDefault="00EF18FF">
            <w:pPr>
              <w:pStyle w:val="NoSpacing"/>
              <w:jc w:val="center"/>
            </w:pPr>
            <w:r>
              <w:t>34,379</w:t>
            </w:r>
          </w:p>
        </w:tc>
      </w:tr>
      <w:tr w:rsidR="00EF18FF" w14:paraId="6C1C2DE8" w14:textId="77777777" w:rsidTr="008443B7">
        <w:trPr>
          <w:trHeight w:val="571"/>
        </w:trPr>
        <w:tc>
          <w:tcPr>
            <w:tcW w:w="2371" w:type="dxa"/>
            <w:tcBorders>
              <w:top w:val="single" w:sz="4" w:space="0" w:color="auto"/>
              <w:left w:val="single" w:sz="4" w:space="0" w:color="auto"/>
              <w:bottom w:val="single" w:sz="4" w:space="0" w:color="auto"/>
              <w:right w:val="single" w:sz="4" w:space="0" w:color="auto"/>
            </w:tcBorders>
            <w:vAlign w:val="bottom"/>
          </w:tcPr>
          <w:p w14:paraId="6C1C2DE2" w14:textId="77777777" w:rsidR="00EF18FF" w:rsidRDefault="00EF18FF">
            <w:pPr>
              <w:pStyle w:val="NoSpacing"/>
              <w:jc w:val="center"/>
            </w:pPr>
            <w:r>
              <w:t>Snoqualmie Falls</w:t>
            </w:r>
          </w:p>
        </w:tc>
        <w:tc>
          <w:tcPr>
            <w:tcW w:w="1620" w:type="dxa"/>
            <w:tcBorders>
              <w:top w:val="single" w:sz="4" w:space="0" w:color="auto"/>
              <w:left w:val="single" w:sz="4" w:space="0" w:color="auto"/>
              <w:bottom w:val="single" w:sz="4" w:space="0" w:color="auto"/>
              <w:right w:val="single" w:sz="4" w:space="0" w:color="auto"/>
            </w:tcBorders>
            <w:vAlign w:val="bottom"/>
          </w:tcPr>
          <w:p w14:paraId="6C1C2DE3" w14:textId="77777777" w:rsidR="00EF18FF" w:rsidRDefault="008443B7">
            <w:pPr>
              <w:pStyle w:val="NoSpacing"/>
              <w:jc w:val="center"/>
            </w:pPr>
            <w:r>
              <w:t>Incremental Hydro</w:t>
            </w:r>
          </w:p>
        </w:tc>
        <w:tc>
          <w:tcPr>
            <w:tcW w:w="1061" w:type="dxa"/>
            <w:tcBorders>
              <w:top w:val="single" w:sz="4" w:space="0" w:color="auto"/>
              <w:left w:val="single" w:sz="4" w:space="0" w:color="auto"/>
              <w:bottom w:val="single" w:sz="4" w:space="0" w:color="auto"/>
              <w:right w:val="single" w:sz="4" w:space="0" w:color="auto"/>
            </w:tcBorders>
            <w:vAlign w:val="bottom"/>
          </w:tcPr>
          <w:p w14:paraId="6C1C2DE4" w14:textId="77777777" w:rsidR="00EF18FF" w:rsidRDefault="00EF18FF">
            <w:pPr>
              <w:pStyle w:val="NoSpacing"/>
              <w:jc w:val="center"/>
            </w:pPr>
            <w:r>
              <w:t>2014</w:t>
            </w:r>
          </w:p>
        </w:tc>
        <w:tc>
          <w:tcPr>
            <w:tcW w:w="1172" w:type="dxa"/>
            <w:tcBorders>
              <w:top w:val="single" w:sz="4" w:space="0" w:color="auto"/>
              <w:left w:val="single" w:sz="4" w:space="0" w:color="auto"/>
              <w:bottom w:val="single" w:sz="4" w:space="0" w:color="auto"/>
              <w:right w:val="single" w:sz="4" w:space="0" w:color="auto"/>
            </w:tcBorders>
            <w:vAlign w:val="bottom"/>
          </w:tcPr>
          <w:p w14:paraId="6C1C2DE5" w14:textId="77777777" w:rsidR="00EF18FF" w:rsidRDefault="00EF18FF" w:rsidP="00E52642">
            <w:pPr>
              <w:pStyle w:val="NoSpacing"/>
              <w:tabs>
                <w:tab w:val="decimal" w:pos="811"/>
              </w:tabs>
              <w:jc w:val="center"/>
            </w:pPr>
            <w:r>
              <w:t>14,459</w:t>
            </w:r>
          </w:p>
        </w:tc>
        <w:tc>
          <w:tcPr>
            <w:tcW w:w="1389" w:type="dxa"/>
            <w:tcBorders>
              <w:top w:val="single" w:sz="4" w:space="0" w:color="auto"/>
              <w:left w:val="single" w:sz="4" w:space="0" w:color="auto"/>
              <w:bottom w:val="single" w:sz="4" w:space="0" w:color="auto"/>
              <w:right w:val="single" w:sz="4" w:space="0" w:color="auto"/>
            </w:tcBorders>
            <w:vAlign w:val="bottom"/>
          </w:tcPr>
          <w:p w14:paraId="6C1C2DE6" w14:textId="77777777" w:rsidR="00EF18FF" w:rsidRDefault="00EF18FF">
            <w:pPr>
              <w:pStyle w:val="NoSpacing"/>
              <w:jc w:val="center"/>
            </w:pPr>
            <w:r>
              <w:t>N/A</w:t>
            </w:r>
          </w:p>
        </w:tc>
        <w:tc>
          <w:tcPr>
            <w:tcW w:w="1593" w:type="dxa"/>
            <w:tcBorders>
              <w:top w:val="single" w:sz="4" w:space="0" w:color="auto"/>
              <w:left w:val="single" w:sz="4" w:space="0" w:color="auto"/>
              <w:bottom w:val="single" w:sz="4" w:space="0" w:color="auto"/>
              <w:right w:val="single" w:sz="4" w:space="0" w:color="auto"/>
            </w:tcBorders>
            <w:vAlign w:val="bottom"/>
          </w:tcPr>
          <w:p w14:paraId="6C1C2DE7" w14:textId="77777777" w:rsidR="00EF18FF" w:rsidRDefault="00EF18FF">
            <w:pPr>
              <w:pStyle w:val="NoSpacing"/>
              <w:jc w:val="center"/>
            </w:pPr>
            <w:r>
              <w:t>14,459</w:t>
            </w:r>
          </w:p>
        </w:tc>
      </w:tr>
      <w:tr w:rsidR="00C35E84" w14:paraId="6C1C2DEB" w14:textId="77777777" w:rsidTr="008443B7">
        <w:trPr>
          <w:trHeight w:val="270"/>
        </w:trPr>
        <w:tc>
          <w:tcPr>
            <w:tcW w:w="39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1C2DE9" w14:textId="77777777" w:rsidR="00C35E84" w:rsidRDefault="00C35E84">
            <w:pPr>
              <w:pStyle w:val="NoSpacing"/>
            </w:pPr>
            <w:r>
              <w:t>Subtotal, non-WREGIS resources:</w:t>
            </w:r>
          </w:p>
        </w:tc>
        <w:tc>
          <w:tcPr>
            <w:tcW w:w="521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C1C2DEA" w14:textId="77777777" w:rsidR="00C35E84" w:rsidRDefault="00EF18FF">
            <w:pPr>
              <w:pStyle w:val="NoSpacing"/>
              <w:jc w:val="right"/>
            </w:pPr>
            <w:r>
              <w:t>48,838</w:t>
            </w:r>
          </w:p>
        </w:tc>
      </w:tr>
      <w:tr w:rsidR="00C35E84" w14:paraId="6C1C2DEE" w14:textId="77777777" w:rsidTr="008443B7">
        <w:trPr>
          <w:trHeight w:val="270"/>
        </w:trPr>
        <w:tc>
          <w:tcPr>
            <w:tcW w:w="39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1C2DEC" w14:textId="77777777" w:rsidR="00C35E84" w:rsidRDefault="00C35E84">
            <w:pPr>
              <w:pStyle w:val="NoSpacing"/>
            </w:pPr>
            <w:r>
              <w:t>Total MWh + RECs Acquired:</w:t>
            </w:r>
          </w:p>
        </w:tc>
        <w:tc>
          <w:tcPr>
            <w:tcW w:w="521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C1C2DED" w14:textId="77777777" w:rsidR="00C35E84" w:rsidRDefault="00EF18FF">
            <w:pPr>
              <w:pStyle w:val="NoSpacing"/>
              <w:jc w:val="right"/>
            </w:pPr>
            <w:r>
              <w:t>586,364</w:t>
            </w:r>
          </w:p>
        </w:tc>
      </w:tr>
      <w:tr w:rsidR="00C35E84" w:rsidRPr="008443B7" w14:paraId="6C1C2DF1" w14:textId="77777777" w:rsidTr="008443B7">
        <w:trPr>
          <w:trHeight w:val="285"/>
        </w:trPr>
        <w:tc>
          <w:tcPr>
            <w:tcW w:w="39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1C2DEF" w14:textId="77777777" w:rsidR="00C35E84" w:rsidRPr="008443B7" w:rsidRDefault="00C35E84">
            <w:pPr>
              <w:pStyle w:val="NoSpacing"/>
              <w:rPr>
                <w:b/>
              </w:rPr>
            </w:pPr>
            <w:r w:rsidRPr="008443B7">
              <w:rPr>
                <w:b/>
              </w:rPr>
              <w:t>2013 Target (MWh):</w:t>
            </w:r>
          </w:p>
        </w:tc>
        <w:tc>
          <w:tcPr>
            <w:tcW w:w="521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C1C2DF0" w14:textId="77777777" w:rsidR="00C35E84" w:rsidRPr="008443B7" w:rsidRDefault="00EF18FF">
            <w:pPr>
              <w:pStyle w:val="NoSpacing"/>
              <w:jc w:val="right"/>
              <w:rPr>
                <w:b/>
              </w:rPr>
            </w:pPr>
            <w:r w:rsidRPr="008443B7">
              <w:rPr>
                <w:b/>
              </w:rPr>
              <w:t>635,202</w:t>
            </w:r>
          </w:p>
        </w:tc>
      </w:tr>
    </w:tbl>
    <w:p w14:paraId="6C1C2DF2" w14:textId="77777777" w:rsidR="00C35E84" w:rsidRDefault="00C35E84" w:rsidP="00C35E84">
      <w:pPr>
        <w:rPr>
          <w:rFonts w:ascii="Times New Roman" w:hAnsi="Times New Roman"/>
        </w:rPr>
      </w:pPr>
    </w:p>
    <w:p w14:paraId="6C1C2DF3" w14:textId="77777777" w:rsidR="00E86E01" w:rsidRDefault="00E86E01" w:rsidP="00E86E01">
      <w:pPr>
        <w:rPr>
          <w:rFonts w:ascii="Times New Roman" w:hAnsi="Times New Roman"/>
          <w:b/>
          <w:u w:val="single"/>
        </w:rPr>
      </w:pPr>
      <w:r>
        <w:rPr>
          <w:rFonts w:ascii="Times New Roman" w:hAnsi="Times New Roman"/>
          <w:b/>
          <w:u w:val="single"/>
        </w:rPr>
        <w:t>Conclusion</w:t>
      </w:r>
    </w:p>
    <w:p w14:paraId="6C1C2DF4" w14:textId="77777777" w:rsidR="00E86E01" w:rsidRDefault="00E86E01" w:rsidP="00E86E01">
      <w:pPr>
        <w:rPr>
          <w:rFonts w:ascii="Times New Roman" w:hAnsi="Times New Roman"/>
        </w:rPr>
      </w:pPr>
    </w:p>
    <w:p w14:paraId="6C1C2DF5" w14:textId="77777777" w:rsidR="002C039A" w:rsidRPr="00AD3312" w:rsidRDefault="00E86E01" w:rsidP="00AD3312">
      <w:pPr>
        <w:rPr>
          <w:rFonts w:ascii="Times New Roman" w:hAnsi="Times New Roman"/>
        </w:rPr>
      </w:pPr>
      <w:r>
        <w:rPr>
          <w:rFonts w:ascii="Times New Roman" w:hAnsi="Times New Roman"/>
        </w:rPr>
        <w:t>Staff recommends that the commission issue an order in Docket UE-1</w:t>
      </w:r>
      <w:r w:rsidR="00BC68DE">
        <w:rPr>
          <w:rFonts w:ascii="Times New Roman" w:hAnsi="Times New Roman"/>
        </w:rPr>
        <w:t>40800</w:t>
      </w:r>
      <w:r>
        <w:rPr>
          <w:rFonts w:ascii="Times New Roman" w:hAnsi="Times New Roman"/>
        </w:rPr>
        <w:t xml:space="preserve"> as described in the recommendation section above. </w:t>
      </w:r>
    </w:p>
    <w:sectPr w:rsidR="002C039A" w:rsidRPr="00AD3312" w:rsidSect="00BC68D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C2DF8" w14:textId="77777777" w:rsidR="000063AB" w:rsidRDefault="000063AB" w:rsidP="00E86E01">
      <w:r>
        <w:separator/>
      </w:r>
    </w:p>
  </w:endnote>
  <w:endnote w:type="continuationSeparator" w:id="0">
    <w:p w14:paraId="6C1C2DF9" w14:textId="77777777" w:rsidR="000063AB" w:rsidRDefault="000063AB" w:rsidP="00E8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C2DF6" w14:textId="77777777" w:rsidR="000063AB" w:rsidRDefault="000063AB" w:rsidP="00E86E01">
      <w:r>
        <w:separator/>
      </w:r>
    </w:p>
  </w:footnote>
  <w:footnote w:type="continuationSeparator" w:id="0">
    <w:p w14:paraId="6C1C2DF7" w14:textId="77777777" w:rsidR="000063AB" w:rsidRDefault="000063AB" w:rsidP="00E86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51152642"/>
      <w:docPartObj>
        <w:docPartGallery w:val="Page Numbers (Top of Page)"/>
        <w:docPartUnique/>
      </w:docPartObj>
    </w:sdtPr>
    <w:sdtEndPr>
      <w:rPr>
        <w:noProof/>
      </w:rPr>
    </w:sdtEndPr>
    <w:sdtContent>
      <w:p w14:paraId="6C1C2DFA" w14:textId="77777777" w:rsidR="00BC68DE" w:rsidRPr="00885416" w:rsidRDefault="008443B7">
        <w:pPr>
          <w:pStyle w:val="Header"/>
          <w:rPr>
            <w:rFonts w:ascii="Times New Roman" w:hAnsi="Times New Roman"/>
            <w:sz w:val="20"/>
            <w:szCs w:val="20"/>
          </w:rPr>
        </w:pPr>
        <w:r w:rsidRPr="00885416">
          <w:rPr>
            <w:rFonts w:ascii="Times New Roman" w:hAnsi="Times New Roman"/>
            <w:sz w:val="20"/>
            <w:szCs w:val="20"/>
          </w:rPr>
          <w:t>Docket UE-140800</w:t>
        </w:r>
      </w:p>
      <w:p w14:paraId="6C1C2DFB" w14:textId="529159FE" w:rsidR="008443B7" w:rsidRPr="00885416" w:rsidRDefault="008443B7">
        <w:pPr>
          <w:pStyle w:val="Header"/>
          <w:rPr>
            <w:rFonts w:ascii="Times New Roman" w:hAnsi="Times New Roman"/>
            <w:sz w:val="20"/>
            <w:szCs w:val="20"/>
          </w:rPr>
        </w:pPr>
        <w:r w:rsidRPr="00885416">
          <w:rPr>
            <w:rFonts w:ascii="Times New Roman" w:hAnsi="Times New Roman"/>
            <w:sz w:val="20"/>
            <w:szCs w:val="20"/>
          </w:rPr>
          <w:t>June 23, 2016</w:t>
        </w:r>
      </w:p>
      <w:p w14:paraId="6C1C2DFC" w14:textId="77777777" w:rsidR="00BC68DE" w:rsidRPr="008443B7" w:rsidRDefault="008443B7">
        <w:pPr>
          <w:pStyle w:val="Header"/>
          <w:rPr>
            <w:rFonts w:ascii="Times New Roman" w:hAnsi="Times New Roman"/>
          </w:rPr>
        </w:pPr>
        <w:r w:rsidRPr="00885416">
          <w:rPr>
            <w:rFonts w:ascii="Times New Roman" w:hAnsi="Times New Roman"/>
            <w:sz w:val="20"/>
            <w:szCs w:val="20"/>
          </w:rPr>
          <w:t>Page 2</w:t>
        </w:r>
        <w:r w:rsidRPr="008443B7">
          <w:rPr>
            <w:rFonts w:ascii="Times New Roman" w:hAnsi="Times New Roman"/>
          </w:rPr>
          <w:tab/>
        </w:r>
      </w:p>
    </w:sdtContent>
  </w:sdt>
  <w:p w14:paraId="6C1C2DFD" w14:textId="77777777" w:rsidR="00BC68DE" w:rsidRDefault="00BC68DE">
    <w:pPr>
      <w:pStyle w:val="Header"/>
      <w:rPr>
        <w:rFonts w:ascii="Times New Roman" w:hAnsi="Times New Roman"/>
      </w:rPr>
    </w:pPr>
  </w:p>
  <w:p w14:paraId="7FF2EC5F" w14:textId="77777777" w:rsidR="00885416" w:rsidRPr="008443B7" w:rsidRDefault="00885416">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01"/>
    <w:rsid w:val="00005134"/>
    <w:rsid w:val="000063AB"/>
    <w:rsid w:val="00080020"/>
    <w:rsid w:val="00092044"/>
    <w:rsid w:val="000E1BA7"/>
    <w:rsid w:val="000E640C"/>
    <w:rsid w:val="001C5AB1"/>
    <w:rsid w:val="001E1D7A"/>
    <w:rsid w:val="00202CA6"/>
    <w:rsid w:val="00203A45"/>
    <w:rsid w:val="002C039A"/>
    <w:rsid w:val="002F3C09"/>
    <w:rsid w:val="00312128"/>
    <w:rsid w:val="00546DF7"/>
    <w:rsid w:val="00552600"/>
    <w:rsid w:val="005A6C74"/>
    <w:rsid w:val="00633600"/>
    <w:rsid w:val="00672F7B"/>
    <w:rsid w:val="006A41EE"/>
    <w:rsid w:val="008443B7"/>
    <w:rsid w:val="00885416"/>
    <w:rsid w:val="009646CC"/>
    <w:rsid w:val="00A84C2A"/>
    <w:rsid w:val="00AB3031"/>
    <w:rsid w:val="00AD3312"/>
    <w:rsid w:val="00AE273E"/>
    <w:rsid w:val="00B13041"/>
    <w:rsid w:val="00BC68DE"/>
    <w:rsid w:val="00C20049"/>
    <w:rsid w:val="00C35E84"/>
    <w:rsid w:val="00DA1B86"/>
    <w:rsid w:val="00DD2A47"/>
    <w:rsid w:val="00E52642"/>
    <w:rsid w:val="00E86E01"/>
    <w:rsid w:val="00EC4808"/>
    <w:rsid w:val="00ED41B8"/>
    <w:rsid w:val="00EF18FF"/>
    <w:rsid w:val="00F21B68"/>
    <w:rsid w:val="00F60D1A"/>
    <w:rsid w:val="00FB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2D9E"/>
  <w15:chartTrackingRefBased/>
  <w15:docId w15:val="{B85CDB9D-0BAF-4F45-A8CC-CAA1DA0C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01"/>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E86E01"/>
    <w:rPr>
      <w:sz w:val="20"/>
      <w:szCs w:val="20"/>
    </w:rPr>
  </w:style>
  <w:style w:type="character" w:customStyle="1" w:styleId="FootnoteTextChar">
    <w:name w:val="Footnote Text Char"/>
    <w:basedOn w:val="DefaultParagraphFont"/>
    <w:link w:val="FootnoteText"/>
    <w:semiHidden/>
    <w:rsid w:val="00E86E01"/>
    <w:rPr>
      <w:rFonts w:ascii="Palatino Linotype" w:eastAsia="Times New Roman" w:hAnsi="Palatino Linotype" w:cs="Times New Roman"/>
      <w:sz w:val="20"/>
      <w:szCs w:val="20"/>
    </w:rPr>
  </w:style>
  <w:style w:type="character" w:styleId="FootnoteReference">
    <w:name w:val="footnote reference"/>
    <w:basedOn w:val="DefaultParagraphFont"/>
    <w:semiHidden/>
    <w:unhideWhenUsed/>
    <w:rsid w:val="00E86E01"/>
    <w:rPr>
      <w:vertAlign w:val="superscript"/>
    </w:rPr>
  </w:style>
  <w:style w:type="paragraph" w:styleId="NoSpacing">
    <w:name w:val="No Spacing"/>
    <w:uiPriority w:val="1"/>
    <w:qFormat/>
    <w:rsid w:val="00C35E8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68DE"/>
    <w:pPr>
      <w:tabs>
        <w:tab w:val="center" w:pos="4680"/>
        <w:tab w:val="right" w:pos="9360"/>
      </w:tabs>
    </w:pPr>
  </w:style>
  <w:style w:type="character" w:customStyle="1" w:styleId="HeaderChar">
    <w:name w:val="Header Char"/>
    <w:basedOn w:val="DefaultParagraphFont"/>
    <w:link w:val="Header"/>
    <w:uiPriority w:val="99"/>
    <w:rsid w:val="00BC68DE"/>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BC68DE"/>
    <w:pPr>
      <w:tabs>
        <w:tab w:val="center" w:pos="4680"/>
        <w:tab w:val="right" w:pos="9360"/>
      </w:tabs>
    </w:pPr>
  </w:style>
  <w:style w:type="character" w:customStyle="1" w:styleId="FooterChar">
    <w:name w:val="Footer Char"/>
    <w:basedOn w:val="DefaultParagraphFont"/>
    <w:link w:val="Footer"/>
    <w:uiPriority w:val="99"/>
    <w:rsid w:val="00BC68DE"/>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092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0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7538">
      <w:bodyDiv w:val="1"/>
      <w:marLeft w:val="0"/>
      <w:marRight w:val="0"/>
      <w:marTop w:val="0"/>
      <w:marBottom w:val="0"/>
      <w:divBdr>
        <w:top w:val="none" w:sz="0" w:space="0" w:color="auto"/>
        <w:left w:val="none" w:sz="0" w:space="0" w:color="auto"/>
        <w:bottom w:val="none" w:sz="0" w:space="0" w:color="auto"/>
        <w:right w:val="none" w:sz="0" w:space="0" w:color="auto"/>
      </w:divBdr>
    </w:div>
    <w:div w:id="20590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49A0005200E4E805B41EE1346ECAE" ma:contentTypeVersion="175" ma:contentTypeDescription="" ma:contentTypeScope="" ma:versionID="45e78694b2434f9aef3b0f25ebe9d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2016-06-23T07:00:00+00:00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95F6C-3BF0-4FBA-9489-1690B32796A4}"/>
</file>

<file path=customXml/itemProps2.xml><?xml version="1.0" encoding="utf-8"?>
<ds:datastoreItem xmlns:ds="http://schemas.openxmlformats.org/officeDocument/2006/customXml" ds:itemID="{1F63C48A-5EEF-4DB3-A0CB-A6A817ECEE4A}"/>
</file>

<file path=customXml/itemProps3.xml><?xml version="1.0" encoding="utf-8"?>
<ds:datastoreItem xmlns:ds="http://schemas.openxmlformats.org/officeDocument/2006/customXml" ds:itemID="{F38C9BE0-D00D-41C9-982A-66BFEEDCA523}"/>
</file>

<file path=customXml/itemProps4.xml><?xml version="1.0" encoding="utf-8"?>
<ds:datastoreItem xmlns:ds="http://schemas.openxmlformats.org/officeDocument/2006/customXml" ds:itemID="{B1E121AF-9196-4358-BB76-E9CFCCD1F33D}"/>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2016-06-21T16:53:00Z</dcterms:created>
  <dcterms:modified xsi:type="dcterms:W3CDTF">2016-06-21T16:53:00Z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0x0101006E56B4D1795A2E4DB2F0B01679ED314A00F4349A0005200E4E805B41EE1346ECAE</vt:lpwstr>
  </property>
  <property fmtid="{D5CDD505-2E9C-101B-9397-08002B2CF9AE}" pid="3" name="_docset_NoMedatataSyncRequired">
    <vt:lpwstr>False</vt:lpwstr>
  </property>
</Properties>
</file>