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word/header2.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1.xml" ContentType="application/vnd.openxmlformats-officedocument.wordprocessingml.header+xml"/>
  <Override PartName="/word/stylesWithEffects.xml" ContentType="application/vnd.ms-word.stylesWithEffects+xml"/>
  <Override PartName="/word/header3.xml" ContentType="application/vnd.openxmlformats-officedocument.wordprocessingml.header+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347" w:rsidRPr="00365F7D" w:rsidRDefault="000A1347" w:rsidP="002D32A0">
      <w:pPr>
        <w:tabs>
          <w:tab w:val="center" w:pos="4680"/>
        </w:tabs>
        <w:ind w:right="-108" w:hanging="180"/>
        <w:jc w:val="center"/>
        <w:rPr>
          <w:sz w:val="28"/>
          <w:szCs w:val="28"/>
        </w:rPr>
      </w:pPr>
      <w:bookmarkStart w:id="0" w:name="_GoBack"/>
      <w:bookmarkEnd w:id="0"/>
      <w:r w:rsidRPr="00365F7D">
        <w:rPr>
          <w:sz w:val="28"/>
          <w:szCs w:val="28"/>
        </w:rPr>
        <w:t>BEFORE THE WASHINGTON UTILITIES AND TRANSPORTATION COMMISSION</w:t>
      </w:r>
    </w:p>
    <w:p w:rsidR="000A1347" w:rsidRPr="00365F7D" w:rsidRDefault="000A1347" w:rsidP="000A1347">
      <w:pPr>
        <w:jc w:val="both"/>
        <w:rPr>
          <w:sz w:val="28"/>
          <w:szCs w:val="28"/>
        </w:rPr>
      </w:pPr>
    </w:p>
    <w:p w:rsidR="000A1347" w:rsidRPr="00365F7D" w:rsidRDefault="000A1347" w:rsidP="000A1347">
      <w:pPr>
        <w:jc w:val="both"/>
        <w:rPr>
          <w:sz w:val="28"/>
          <w:szCs w:val="28"/>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0A1347" w:rsidRPr="00365F7D" w:rsidTr="00705F1F">
        <w:tc>
          <w:tcPr>
            <w:tcW w:w="4590" w:type="dxa"/>
            <w:tcBorders>
              <w:top w:val="single" w:sz="6" w:space="0" w:color="FFFFFF"/>
              <w:left w:val="single" w:sz="6" w:space="0" w:color="FFFFFF"/>
              <w:bottom w:val="single" w:sz="7" w:space="0" w:color="000000"/>
              <w:right w:val="single" w:sz="6" w:space="0" w:color="FFFFFF"/>
            </w:tcBorders>
          </w:tcPr>
          <w:p w:rsidR="000A1347" w:rsidRPr="00365F7D" w:rsidRDefault="000A1347" w:rsidP="00705F1F">
            <w:pPr>
              <w:rPr>
                <w:sz w:val="28"/>
                <w:szCs w:val="28"/>
              </w:rPr>
            </w:pPr>
            <w:r w:rsidRPr="00365F7D">
              <w:rPr>
                <w:sz w:val="28"/>
                <w:szCs w:val="28"/>
              </w:rPr>
              <w:t xml:space="preserve">In the Matter of the Petition of </w:t>
            </w:r>
          </w:p>
          <w:p w:rsidR="000A1347" w:rsidRPr="00365F7D" w:rsidRDefault="000A1347" w:rsidP="00705F1F">
            <w:pPr>
              <w:rPr>
                <w:sz w:val="28"/>
                <w:szCs w:val="28"/>
              </w:rPr>
            </w:pPr>
          </w:p>
          <w:p w:rsidR="000A1347" w:rsidRPr="00365F7D" w:rsidRDefault="000A1347" w:rsidP="00705F1F">
            <w:pPr>
              <w:rPr>
                <w:sz w:val="28"/>
                <w:szCs w:val="28"/>
              </w:rPr>
            </w:pPr>
            <w:r w:rsidRPr="00365F7D">
              <w:rPr>
                <w:sz w:val="28"/>
                <w:szCs w:val="28"/>
              </w:rPr>
              <w:t xml:space="preserve">PUGET SOUND ENERGY  </w:t>
            </w:r>
          </w:p>
          <w:p w:rsidR="000A1347" w:rsidRPr="00365F7D" w:rsidRDefault="000A1347" w:rsidP="00705F1F">
            <w:pPr>
              <w:rPr>
                <w:sz w:val="28"/>
                <w:szCs w:val="28"/>
              </w:rPr>
            </w:pPr>
          </w:p>
          <w:p w:rsidR="000A1347" w:rsidRPr="00365F7D" w:rsidRDefault="000A1347" w:rsidP="00705F1F">
            <w:pPr>
              <w:rPr>
                <w:sz w:val="28"/>
                <w:szCs w:val="28"/>
              </w:rPr>
            </w:pPr>
            <w:r w:rsidRPr="00365F7D">
              <w:rPr>
                <w:sz w:val="28"/>
                <w:szCs w:val="28"/>
              </w:rPr>
              <w:t>Report Identifying Its 2014-2023 Ten-Year Achievable Electric Conservation Potential and Its 2014-2015 Electric Biennial Conservation Target Under RCW 19.285.040 and WAC 480-109-01</w:t>
            </w:r>
          </w:p>
          <w:p w:rsidR="000A1347" w:rsidRPr="00365F7D" w:rsidRDefault="000A1347" w:rsidP="00705F1F">
            <w:pPr>
              <w:rPr>
                <w:sz w:val="28"/>
                <w:szCs w:val="28"/>
              </w:rPr>
            </w:pPr>
          </w:p>
          <w:p w:rsidR="000A1347" w:rsidRPr="00365F7D" w:rsidRDefault="000A1347" w:rsidP="00705F1F">
            <w:pPr>
              <w:spacing w:after="19"/>
              <w:rPr>
                <w:sz w:val="28"/>
                <w:szCs w:val="28"/>
              </w:rPr>
            </w:pPr>
          </w:p>
        </w:tc>
        <w:tc>
          <w:tcPr>
            <w:tcW w:w="4590" w:type="dxa"/>
            <w:tcBorders>
              <w:top w:val="single" w:sz="6" w:space="0" w:color="FFFFFF"/>
              <w:left w:val="single" w:sz="7" w:space="0" w:color="000000"/>
              <w:bottom w:val="single" w:sz="6" w:space="0" w:color="FFFFFF"/>
              <w:right w:val="single" w:sz="6" w:space="0" w:color="FFFFFF"/>
            </w:tcBorders>
          </w:tcPr>
          <w:p w:rsidR="000A1347" w:rsidRPr="00365F7D" w:rsidRDefault="000A1347" w:rsidP="00705F1F">
            <w:pPr>
              <w:ind w:firstLine="720"/>
              <w:rPr>
                <w:sz w:val="28"/>
                <w:szCs w:val="28"/>
              </w:rPr>
            </w:pPr>
            <w:r w:rsidRPr="00365F7D">
              <w:rPr>
                <w:sz w:val="28"/>
                <w:szCs w:val="28"/>
              </w:rPr>
              <w:t>DOCKET UE-132043</w:t>
            </w:r>
          </w:p>
          <w:p w:rsidR="000A1347" w:rsidRPr="00365F7D" w:rsidRDefault="000A1347" w:rsidP="00705F1F">
            <w:pPr>
              <w:rPr>
                <w:sz w:val="28"/>
                <w:szCs w:val="28"/>
              </w:rPr>
            </w:pPr>
          </w:p>
          <w:p w:rsidR="00A060E8" w:rsidRDefault="00A060E8" w:rsidP="00A060E8">
            <w:pPr>
              <w:spacing w:after="19"/>
              <w:ind w:left="720"/>
              <w:rPr>
                <w:sz w:val="28"/>
                <w:szCs w:val="28"/>
              </w:rPr>
            </w:pPr>
          </w:p>
          <w:p w:rsidR="000A1347" w:rsidRPr="00365F7D" w:rsidRDefault="00031A65" w:rsidP="00A060E8">
            <w:pPr>
              <w:spacing w:after="19"/>
              <w:ind w:left="720"/>
              <w:rPr>
                <w:sz w:val="28"/>
                <w:szCs w:val="28"/>
              </w:rPr>
            </w:pPr>
            <w:r>
              <w:rPr>
                <w:sz w:val="28"/>
                <w:szCs w:val="28"/>
              </w:rPr>
              <w:t>COMMENTS</w:t>
            </w:r>
            <w:r w:rsidR="000A1347" w:rsidRPr="00365F7D">
              <w:rPr>
                <w:sz w:val="28"/>
                <w:szCs w:val="28"/>
              </w:rPr>
              <w:t xml:space="preserve"> </w:t>
            </w:r>
            <w:r w:rsidR="00803B88">
              <w:rPr>
                <w:sz w:val="28"/>
                <w:szCs w:val="28"/>
              </w:rPr>
              <w:t xml:space="preserve">OF PUGET SOUND ENERGY, INC. </w:t>
            </w:r>
          </w:p>
        </w:tc>
      </w:tr>
    </w:tbl>
    <w:p w:rsidR="000A1347" w:rsidRPr="00365F7D" w:rsidRDefault="000A1347" w:rsidP="000A1347">
      <w:pPr>
        <w:spacing w:line="480" w:lineRule="auto"/>
        <w:rPr>
          <w:sz w:val="28"/>
          <w:szCs w:val="28"/>
        </w:rPr>
      </w:pPr>
    </w:p>
    <w:p w:rsidR="002A2FC9" w:rsidRDefault="002A2FC9" w:rsidP="002A2FC9">
      <w:pPr>
        <w:pStyle w:val="ListParagraph"/>
        <w:numPr>
          <w:ilvl w:val="0"/>
          <w:numId w:val="6"/>
        </w:numPr>
        <w:spacing w:line="480" w:lineRule="auto"/>
        <w:jc w:val="center"/>
        <w:rPr>
          <w:b/>
          <w:sz w:val="28"/>
          <w:szCs w:val="28"/>
        </w:rPr>
      </w:pPr>
      <w:r>
        <w:rPr>
          <w:b/>
          <w:sz w:val="28"/>
          <w:szCs w:val="28"/>
        </w:rPr>
        <w:t>INTRODUCTION</w:t>
      </w:r>
    </w:p>
    <w:p w:rsidR="00F33B8D" w:rsidRPr="00365F7D" w:rsidRDefault="00803B88" w:rsidP="000A1347">
      <w:pPr>
        <w:spacing w:line="480" w:lineRule="auto"/>
        <w:rPr>
          <w:sz w:val="28"/>
          <w:szCs w:val="28"/>
        </w:rPr>
      </w:pPr>
      <w:r>
        <w:rPr>
          <w:sz w:val="28"/>
          <w:szCs w:val="28"/>
        </w:rPr>
        <w:t xml:space="preserve"> </w:t>
      </w:r>
      <w:r w:rsidR="005478F5">
        <w:rPr>
          <w:sz w:val="28"/>
          <w:szCs w:val="28"/>
        </w:rPr>
        <w:tab/>
        <w:t>1.</w:t>
      </w:r>
      <w:r w:rsidR="005478F5">
        <w:rPr>
          <w:sz w:val="28"/>
          <w:szCs w:val="28"/>
        </w:rPr>
        <w:tab/>
      </w:r>
      <w:r w:rsidR="00F33B8D" w:rsidRPr="00365F7D">
        <w:rPr>
          <w:sz w:val="28"/>
          <w:szCs w:val="28"/>
        </w:rPr>
        <w:t>The Commission issued a N</w:t>
      </w:r>
      <w:r w:rsidR="005478F5">
        <w:rPr>
          <w:sz w:val="28"/>
          <w:szCs w:val="28"/>
        </w:rPr>
        <w:t>otice of</w:t>
      </w:r>
      <w:r w:rsidR="00F33B8D" w:rsidRPr="00365F7D">
        <w:rPr>
          <w:sz w:val="28"/>
          <w:szCs w:val="28"/>
        </w:rPr>
        <w:t xml:space="preserve"> O</w:t>
      </w:r>
      <w:r w:rsidR="005478F5">
        <w:rPr>
          <w:sz w:val="28"/>
          <w:szCs w:val="28"/>
        </w:rPr>
        <w:t>pportunity</w:t>
      </w:r>
      <w:r w:rsidR="00F33B8D" w:rsidRPr="00365F7D">
        <w:rPr>
          <w:sz w:val="28"/>
          <w:szCs w:val="28"/>
        </w:rPr>
        <w:t xml:space="preserve"> T</w:t>
      </w:r>
      <w:r w:rsidR="005478F5">
        <w:rPr>
          <w:sz w:val="28"/>
          <w:szCs w:val="28"/>
        </w:rPr>
        <w:t>o</w:t>
      </w:r>
      <w:r w:rsidR="00F33B8D" w:rsidRPr="00365F7D">
        <w:rPr>
          <w:sz w:val="28"/>
          <w:szCs w:val="28"/>
        </w:rPr>
        <w:t xml:space="preserve"> F</w:t>
      </w:r>
      <w:r w:rsidR="005478F5">
        <w:rPr>
          <w:sz w:val="28"/>
          <w:szCs w:val="28"/>
        </w:rPr>
        <w:t>ile</w:t>
      </w:r>
      <w:r w:rsidR="00F33B8D" w:rsidRPr="00365F7D">
        <w:rPr>
          <w:sz w:val="28"/>
          <w:szCs w:val="28"/>
        </w:rPr>
        <w:t xml:space="preserve"> W</w:t>
      </w:r>
      <w:r w:rsidR="005478F5">
        <w:rPr>
          <w:sz w:val="28"/>
          <w:szCs w:val="28"/>
        </w:rPr>
        <w:t>ritten</w:t>
      </w:r>
      <w:r w:rsidR="00F33B8D" w:rsidRPr="00365F7D">
        <w:rPr>
          <w:sz w:val="28"/>
          <w:szCs w:val="28"/>
        </w:rPr>
        <w:t xml:space="preserve"> C</w:t>
      </w:r>
      <w:r w:rsidR="005478F5">
        <w:rPr>
          <w:sz w:val="28"/>
          <w:szCs w:val="28"/>
        </w:rPr>
        <w:t>omments</w:t>
      </w:r>
      <w:r w:rsidR="00F33B8D" w:rsidRPr="00365F7D">
        <w:rPr>
          <w:sz w:val="28"/>
          <w:szCs w:val="28"/>
        </w:rPr>
        <w:t xml:space="preserve"> in </w:t>
      </w:r>
      <w:r w:rsidR="00E71BCB">
        <w:rPr>
          <w:sz w:val="28"/>
          <w:szCs w:val="28"/>
        </w:rPr>
        <w:t>the above-referenced d</w:t>
      </w:r>
      <w:r w:rsidR="00F33B8D" w:rsidRPr="00365F7D">
        <w:rPr>
          <w:sz w:val="28"/>
          <w:szCs w:val="28"/>
        </w:rPr>
        <w:t xml:space="preserve">ocket. The comments were to address the application of </w:t>
      </w:r>
      <w:r>
        <w:rPr>
          <w:sz w:val="28"/>
          <w:szCs w:val="28"/>
        </w:rPr>
        <w:t xml:space="preserve">Puget Sound Energy, Inc.’s (“PSE”) </w:t>
      </w:r>
      <w:r w:rsidR="00F33B8D" w:rsidRPr="00365F7D">
        <w:rPr>
          <w:sz w:val="28"/>
          <w:szCs w:val="28"/>
        </w:rPr>
        <w:t xml:space="preserve"> </w:t>
      </w:r>
      <w:r w:rsidR="00365F7D" w:rsidRPr="00365F7D">
        <w:rPr>
          <w:sz w:val="28"/>
          <w:szCs w:val="28"/>
        </w:rPr>
        <w:t>commitment to accelerate its acquisition of energy efficiency on its 2014-2015 Electric Conservation Target, established in Docket UE-1</w:t>
      </w:r>
      <w:r w:rsidR="00CF2572">
        <w:rPr>
          <w:sz w:val="28"/>
          <w:szCs w:val="28"/>
        </w:rPr>
        <w:t>32043</w:t>
      </w:r>
      <w:r w:rsidR="00365F7D" w:rsidRPr="00365F7D">
        <w:rPr>
          <w:sz w:val="28"/>
          <w:szCs w:val="28"/>
        </w:rPr>
        <w:t xml:space="preserve">. </w:t>
      </w:r>
      <w:r w:rsidR="00365F7D">
        <w:rPr>
          <w:sz w:val="28"/>
          <w:szCs w:val="28"/>
        </w:rPr>
        <w:t xml:space="preserve">Set forth below is </w:t>
      </w:r>
      <w:r>
        <w:rPr>
          <w:sz w:val="28"/>
          <w:szCs w:val="28"/>
        </w:rPr>
        <w:t>PSE</w:t>
      </w:r>
      <w:r w:rsidR="00365F7D" w:rsidRPr="00365F7D">
        <w:rPr>
          <w:sz w:val="28"/>
          <w:szCs w:val="28"/>
        </w:rPr>
        <w:t>’s response to the Commission’s request for written comments</w:t>
      </w:r>
      <w:r w:rsidR="00365F7D">
        <w:rPr>
          <w:sz w:val="28"/>
          <w:szCs w:val="28"/>
        </w:rPr>
        <w:t xml:space="preserve">. </w:t>
      </w:r>
      <w:r w:rsidR="00365F7D" w:rsidRPr="00365F7D">
        <w:rPr>
          <w:sz w:val="28"/>
          <w:szCs w:val="28"/>
        </w:rPr>
        <w:t xml:space="preserve">  </w:t>
      </w:r>
    </w:p>
    <w:p w:rsidR="00365F7D" w:rsidRPr="00365F7D" w:rsidRDefault="008B6EFE" w:rsidP="005478F5">
      <w:pPr>
        <w:pStyle w:val="ListParagraph"/>
        <w:numPr>
          <w:ilvl w:val="0"/>
          <w:numId w:val="6"/>
        </w:numPr>
        <w:spacing w:line="276" w:lineRule="auto"/>
        <w:jc w:val="center"/>
        <w:rPr>
          <w:b/>
          <w:sz w:val="28"/>
          <w:szCs w:val="28"/>
        </w:rPr>
      </w:pPr>
      <w:r w:rsidRPr="00365F7D">
        <w:rPr>
          <w:b/>
          <w:sz w:val="28"/>
          <w:szCs w:val="28"/>
        </w:rPr>
        <w:t>PSE’</w:t>
      </w:r>
      <w:r>
        <w:rPr>
          <w:b/>
          <w:sz w:val="28"/>
          <w:szCs w:val="28"/>
        </w:rPr>
        <w:t>S</w:t>
      </w:r>
      <w:r w:rsidRPr="00365F7D">
        <w:rPr>
          <w:b/>
          <w:sz w:val="28"/>
          <w:szCs w:val="28"/>
        </w:rPr>
        <w:t xml:space="preserve"> </w:t>
      </w:r>
      <w:r w:rsidR="00365F7D" w:rsidRPr="00365F7D">
        <w:rPr>
          <w:b/>
          <w:sz w:val="28"/>
          <w:szCs w:val="28"/>
        </w:rPr>
        <w:t xml:space="preserve">2014-2015 </w:t>
      </w:r>
      <w:r w:rsidR="00803B88">
        <w:rPr>
          <w:b/>
          <w:sz w:val="28"/>
          <w:szCs w:val="28"/>
        </w:rPr>
        <w:t>DECOUPLING CONSERVATION COMMITMENT</w:t>
      </w:r>
    </w:p>
    <w:p w:rsidR="001234B8" w:rsidRDefault="00A61311" w:rsidP="00803B88">
      <w:pPr>
        <w:spacing w:line="480" w:lineRule="auto"/>
        <w:rPr>
          <w:sz w:val="28"/>
          <w:szCs w:val="28"/>
        </w:rPr>
      </w:pPr>
      <w:r>
        <w:rPr>
          <w:sz w:val="28"/>
          <w:szCs w:val="28"/>
        </w:rPr>
        <w:t xml:space="preserve"> </w:t>
      </w:r>
      <w:r w:rsidR="002A2FC9">
        <w:rPr>
          <w:sz w:val="28"/>
          <w:szCs w:val="28"/>
        </w:rPr>
        <w:tab/>
      </w:r>
      <w:r w:rsidR="005478F5">
        <w:rPr>
          <w:sz w:val="28"/>
          <w:szCs w:val="28"/>
        </w:rPr>
        <w:t>2.</w:t>
      </w:r>
      <w:r w:rsidR="005478F5">
        <w:rPr>
          <w:sz w:val="28"/>
          <w:szCs w:val="28"/>
        </w:rPr>
        <w:tab/>
      </w:r>
      <w:r w:rsidR="002A2FC9">
        <w:rPr>
          <w:sz w:val="28"/>
          <w:szCs w:val="28"/>
        </w:rPr>
        <w:t xml:space="preserve">To PSE’s knowledge, there is no dispute about the implementation of PSE’s decoupling conservation commitment for the current biennium, 2014-2015.  Decoupling will be in effect throughout the 2014-2015 biennium, and PSE </w:t>
      </w:r>
      <w:r w:rsidR="002A2FC9">
        <w:rPr>
          <w:sz w:val="28"/>
          <w:szCs w:val="28"/>
        </w:rPr>
        <w:lastRenderedPageBreak/>
        <w:t xml:space="preserve">communicated clearly with its Conservation Resource Advisory Group (“CRAG”) and the Commission as to how PSE would comply with </w:t>
      </w:r>
      <w:r w:rsidR="001234B8">
        <w:rPr>
          <w:sz w:val="28"/>
          <w:szCs w:val="28"/>
        </w:rPr>
        <w:t>its commitment to accelerate conservation</w:t>
      </w:r>
      <w:r w:rsidR="00D01F46">
        <w:rPr>
          <w:sz w:val="28"/>
          <w:szCs w:val="28"/>
        </w:rPr>
        <w:t xml:space="preserve"> above the amount required under the Energy Independence Act (“EIA”) </w:t>
      </w:r>
      <w:r w:rsidR="00BD6CE5">
        <w:rPr>
          <w:sz w:val="28"/>
          <w:szCs w:val="28"/>
        </w:rPr>
        <w:t xml:space="preserve">biennial </w:t>
      </w:r>
      <w:r w:rsidR="00D01F46">
        <w:rPr>
          <w:sz w:val="28"/>
          <w:szCs w:val="28"/>
        </w:rPr>
        <w:t xml:space="preserve">conservation target.  </w:t>
      </w:r>
      <w:r w:rsidR="001234B8">
        <w:rPr>
          <w:sz w:val="28"/>
          <w:szCs w:val="28"/>
        </w:rPr>
        <w:t xml:space="preserve">  </w:t>
      </w:r>
    </w:p>
    <w:p w:rsidR="00DC5C99" w:rsidRPr="001D6207" w:rsidRDefault="001D6207" w:rsidP="00803B88">
      <w:pPr>
        <w:spacing w:line="480" w:lineRule="auto"/>
        <w:rPr>
          <w:b/>
          <w:sz w:val="28"/>
          <w:szCs w:val="28"/>
        </w:rPr>
      </w:pPr>
      <w:r w:rsidRPr="001D6207">
        <w:rPr>
          <w:b/>
          <w:sz w:val="28"/>
          <w:szCs w:val="28"/>
        </w:rPr>
        <w:t>A.</w:t>
      </w:r>
      <w:r w:rsidRPr="001D6207">
        <w:rPr>
          <w:b/>
          <w:sz w:val="28"/>
          <w:szCs w:val="28"/>
        </w:rPr>
        <w:tab/>
        <w:t xml:space="preserve">PSE’s Decoupling Adder Exceeds Five Percent of its </w:t>
      </w:r>
      <w:r w:rsidR="00031A65">
        <w:rPr>
          <w:b/>
          <w:sz w:val="28"/>
          <w:szCs w:val="28"/>
        </w:rPr>
        <w:t xml:space="preserve">EIA </w:t>
      </w:r>
      <w:r w:rsidRPr="001D6207">
        <w:rPr>
          <w:b/>
          <w:sz w:val="28"/>
          <w:szCs w:val="28"/>
        </w:rPr>
        <w:t>Target</w:t>
      </w:r>
    </w:p>
    <w:p w:rsidR="008B6EFE" w:rsidRDefault="001234B8" w:rsidP="00803B88">
      <w:pPr>
        <w:spacing w:line="480" w:lineRule="auto"/>
        <w:rPr>
          <w:sz w:val="28"/>
          <w:szCs w:val="28"/>
        </w:rPr>
      </w:pPr>
      <w:r>
        <w:rPr>
          <w:sz w:val="28"/>
          <w:szCs w:val="28"/>
        </w:rPr>
        <w:tab/>
      </w:r>
      <w:r w:rsidR="005478F5">
        <w:rPr>
          <w:sz w:val="28"/>
          <w:szCs w:val="28"/>
        </w:rPr>
        <w:t>3.</w:t>
      </w:r>
      <w:r w:rsidR="005478F5">
        <w:rPr>
          <w:sz w:val="28"/>
          <w:szCs w:val="28"/>
        </w:rPr>
        <w:tab/>
      </w:r>
      <w:r w:rsidR="00803B88" w:rsidRPr="00803B88">
        <w:rPr>
          <w:sz w:val="28"/>
          <w:szCs w:val="28"/>
        </w:rPr>
        <w:t xml:space="preserve">PSE was clear and transparent, and engaged the CRAG in key stages in how it calculated the additional </w:t>
      </w:r>
      <w:r w:rsidR="00803B88">
        <w:rPr>
          <w:sz w:val="28"/>
          <w:szCs w:val="28"/>
        </w:rPr>
        <w:t>five</w:t>
      </w:r>
      <w:r w:rsidR="00803B88" w:rsidRPr="00803B88">
        <w:rPr>
          <w:sz w:val="28"/>
          <w:szCs w:val="28"/>
        </w:rPr>
        <w:t xml:space="preserve"> percent decoupling conservation “adder” to its 2014-2015 </w:t>
      </w:r>
      <w:r>
        <w:rPr>
          <w:sz w:val="28"/>
          <w:szCs w:val="28"/>
        </w:rPr>
        <w:t>biennial</w:t>
      </w:r>
      <w:r w:rsidR="00803B88" w:rsidRPr="00803B88">
        <w:rPr>
          <w:sz w:val="28"/>
          <w:szCs w:val="28"/>
        </w:rPr>
        <w:t xml:space="preserve"> target.  </w:t>
      </w:r>
      <w:r>
        <w:rPr>
          <w:sz w:val="28"/>
          <w:szCs w:val="28"/>
        </w:rPr>
        <w:t>Notably</w:t>
      </w:r>
      <w:r w:rsidR="00803B88" w:rsidRPr="00803B88">
        <w:rPr>
          <w:sz w:val="28"/>
          <w:szCs w:val="28"/>
        </w:rPr>
        <w:t xml:space="preserve">, PSE’s 2014-2015 decoupling adder is more than </w:t>
      </w:r>
      <w:r>
        <w:rPr>
          <w:sz w:val="28"/>
          <w:szCs w:val="28"/>
        </w:rPr>
        <w:t>five</w:t>
      </w:r>
      <w:r w:rsidR="00803B88" w:rsidRPr="00803B88">
        <w:rPr>
          <w:sz w:val="28"/>
          <w:szCs w:val="28"/>
        </w:rPr>
        <w:t xml:space="preserve"> percent of the Commission-approved EIA target of </w:t>
      </w:r>
      <w:r w:rsidR="002B0332">
        <w:rPr>
          <w:sz w:val="28"/>
          <w:szCs w:val="28"/>
        </w:rPr>
        <w:t xml:space="preserve">485,770 </w:t>
      </w:r>
      <w:r w:rsidR="00BD6CE5">
        <w:rPr>
          <w:sz w:val="28"/>
          <w:szCs w:val="28"/>
        </w:rPr>
        <w:t>megawatt</w:t>
      </w:r>
      <w:r w:rsidR="002B0332">
        <w:rPr>
          <w:sz w:val="28"/>
          <w:szCs w:val="28"/>
        </w:rPr>
        <w:t>-hours (MWh)</w:t>
      </w:r>
      <w:r w:rsidR="00803B88" w:rsidRPr="00803B88">
        <w:rPr>
          <w:sz w:val="28"/>
          <w:szCs w:val="28"/>
        </w:rPr>
        <w:t xml:space="preserve">.  Rather than base the adder on the EIA target, PSE voluntarily, and through its own initiative, based the </w:t>
      </w:r>
      <w:r w:rsidR="00803B88">
        <w:rPr>
          <w:sz w:val="28"/>
          <w:szCs w:val="28"/>
        </w:rPr>
        <w:t>five</w:t>
      </w:r>
      <w:r w:rsidR="00803B88" w:rsidRPr="00803B88">
        <w:rPr>
          <w:sz w:val="28"/>
          <w:szCs w:val="28"/>
        </w:rPr>
        <w:t xml:space="preserve"> percent decoupling adder on its amended two-year potential of </w:t>
      </w:r>
      <w:r w:rsidR="002B0332">
        <w:rPr>
          <w:sz w:val="28"/>
          <w:szCs w:val="28"/>
        </w:rPr>
        <w:t>558,300 MWh</w:t>
      </w:r>
      <w:r w:rsidR="00803B88" w:rsidRPr="00803B88">
        <w:rPr>
          <w:sz w:val="28"/>
          <w:szCs w:val="28"/>
        </w:rPr>
        <w:t>.</w:t>
      </w:r>
      <w:r>
        <w:rPr>
          <w:sz w:val="28"/>
          <w:szCs w:val="28"/>
        </w:rPr>
        <w:t xml:space="preserve">  </w:t>
      </w:r>
      <w:r w:rsidR="00803B88" w:rsidRPr="00803B88">
        <w:rPr>
          <w:sz w:val="28"/>
          <w:szCs w:val="28"/>
        </w:rPr>
        <w:t xml:space="preserve">It is important to note that this voluntary commitment represents a </w:t>
      </w:r>
      <w:r w:rsidR="00917F54">
        <w:rPr>
          <w:sz w:val="28"/>
          <w:szCs w:val="28"/>
        </w:rPr>
        <w:t>commitment to accelerate electric savings by six percent, rather than the five percent decoupling commitment:</w:t>
      </w:r>
    </w:p>
    <w:p w:rsidR="00803B88" w:rsidRPr="00803B88" w:rsidRDefault="002B0332" w:rsidP="00803B88">
      <w:pPr>
        <w:spacing w:line="480" w:lineRule="auto"/>
        <w:rPr>
          <w:sz w:val="28"/>
          <w:szCs w:val="28"/>
        </w:rPr>
      </w:pPr>
      <w:r>
        <w:rPr>
          <w:sz w:val="28"/>
          <w:szCs w:val="28"/>
        </w:rPr>
        <w:t>485,770 MWh</w:t>
      </w:r>
      <w:r w:rsidR="00803B88" w:rsidRPr="00803B88">
        <w:rPr>
          <w:sz w:val="28"/>
          <w:szCs w:val="28"/>
        </w:rPr>
        <w:t xml:space="preserve"> * 5% = </w:t>
      </w:r>
      <w:r>
        <w:rPr>
          <w:sz w:val="28"/>
          <w:szCs w:val="28"/>
        </w:rPr>
        <w:t>24,288 MWh</w:t>
      </w:r>
    </w:p>
    <w:p w:rsidR="00917F54" w:rsidRPr="001D6207" w:rsidRDefault="002B0332" w:rsidP="00E71BCB">
      <w:pPr>
        <w:spacing w:line="480" w:lineRule="auto"/>
        <w:rPr>
          <w:b/>
          <w:sz w:val="28"/>
          <w:szCs w:val="28"/>
        </w:rPr>
      </w:pPr>
      <w:r>
        <w:rPr>
          <w:sz w:val="28"/>
          <w:szCs w:val="28"/>
        </w:rPr>
        <w:t>558,300 MWh</w:t>
      </w:r>
      <w:r w:rsidR="00803B88" w:rsidRPr="00803B88">
        <w:rPr>
          <w:sz w:val="28"/>
          <w:szCs w:val="28"/>
        </w:rPr>
        <w:t xml:space="preserve"> * 5% = </w:t>
      </w:r>
      <w:r>
        <w:rPr>
          <w:sz w:val="28"/>
          <w:szCs w:val="28"/>
        </w:rPr>
        <w:t>27,920 MWh</w:t>
      </w:r>
      <w:r w:rsidR="00917F54">
        <w:rPr>
          <w:sz w:val="28"/>
          <w:szCs w:val="28"/>
        </w:rPr>
        <w:t xml:space="preserve"> or 6% of 485,770 MWh.</w:t>
      </w:r>
    </w:p>
    <w:p w:rsidR="00E71BCB" w:rsidRDefault="00E71BCB" w:rsidP="00D01F46">
      <w:pPr>
        <w:spacing w:line="480" w:lineRule="auto"/>
        <w:rPr>
          <w:sz w:val="28"/>
          <w:szCs w:val="28"/>
        </w:rPr>
      </w:pPr>
      <w:r>
        <w:rPr>
          <w:b/>
          <w:sz w:val="28"/>
          <w:szCs w:val="28"/>
        </w:rPr>
        <w:t>B</w:t>
      </w:r>
      <w:r w:rsidRPr="001D6207">
        <w:rPr>
          <w:b/>
          <w:sz w:val="28"/>
          <w:szCs w:val="28"/>
        </w:rPr>
        <w:t>.</w:t>
      </w:r>
      <w:r w:rsidRPr="001D6207">
        <w:rPr>
          <w:b/>
          <w:sz w:val="28"/>
          <w:szCs w:val="28"/>
        </w:rPr>
        <w:tab/>
        <w:t>PSE</w:t>
      </w:r>
      <w:r>
        <w:rPr>
          <w:b/>
          <w:sz w:val="28"/>
          <w:szCs w:val="28"/>
        </w:rPr>
        <w:t xml:space="preserve"> Communicated </w:t>
      </w:r>
      <w:r w:rsidR="00A060E8">
        <w:rPr>
          <w:b/>
          <w:sz w:val="28"/>
          <w:szCs w:val="28"/>
        </w:rPr>
        <w:t>Its</w:t>
      </w:r>
      <w:r>
        <w:rPr>
          <w:b/>
          <w:sz w:val="28"/>
          <w:szCs w:val="28"/>
        </w:rPr>
        <w:t xml:space="preserve"> Methodology </w:t>
      </w:r>
      <w:r w:rsidR="009F5DD9">
        <w:rPr>
          <w:b/>
          <w:sz w:val="28"/>
          <w:szCs w:val="28"/>
        </w:rPr>
        <w:t>t</w:t>
      </w:r>
      <w:r w:rsidR="00A060E8">
        <w:rPr>
          <w:b/>
          <w:sz w:val="28"/>
          <w:szCs w:val="28"/>
        </w:rPr>
        <w:t>o</w:t>
      </w:r>
      <w:r>
        <w:rPr>
          <w:b/>
          <w:sz w:val="28"/>
          <w:szCs w:val="28"/>
        </w:rPr>
        <w:t xml:space="preserve"> </w:t>
      </w:r>
      <w:r w:rsidR="00A060E8">
        <w:rPr>
          <w:b/>
          <w:sz w:val="28"/>
          <w:szCs w:val="28"/>
        </w:rPr>
        <w:t>the</w:t>
      </w:r>
      <w:r>
        <w:rPr>
          <w:b/>
          <w:sz w:val="28"/>
          <w:szCs w:val="28"/>
        </w:rPr>
        <w:t xml:space="preserve"> CRAG and Commission </w:t>
      </w:r>
    </w:p>
    <w:p w:rsidR="00D01F46" w:rsidRPr="00D01F46" w:rsidRDefault="00E71BCB" w:rsidP="00D01F46">
      <w:pPr>
        <w:spacing w:line="480" w:lineRule="auto"/>
        <w:rPr>
          <w:sz w:val="28"/>
          <w:szCs w:val="28"/>
        </w:rPr>
      </w:pPr>
      <w:r>
        <w:rPr>
          <w:sz w:val="28"/>
          <w:szCs w:val="28"/>
        </w:rPr>
        <w:tab/>
      </w:r>
      <w:r w:rsidR="00113576">
        <w:rPr>
          <w:sz w:val="28"/>
          <w:szCs w:val="28"/>
        </w:rPr>
        <w:t>4.</w:t>
      </w:r>
      <w:r w:rsidR="00113576">
        <w:rPr>
          <w:sz w:val="28"/>
          <w:szCs w:val="28"/>
        </w:rPr>
        <w:tab/>
      </w:r>
      <w:r w:rsidR="00D01F46" w:rsidRPr="00D01F46">
        <w:rPr>
          <w:sz w:val="28"/>
          <w:szCs w:val="28"/>
        </w:rPr>
        <w:t xml:space="preserve">The topic of </w:t>
      </w:r>
      <w:r w:rsidR="00113576">
        <w:rPr>
          <w:sz w:val="28"/>
          <w:szCs w:val="28"/>
        </w:rPr>
        <w:t xml:space="preserve">PSE’s </w:t>
      </w:r>
      <w:r w:rsidR="00D01F46" w:rsidRPr="00D01F46">
        <w:rPr>
          <w:sz w:val="28"/>
          <w:szCs w:val="28"/>
        </w:rPr>
        <w:t xml:space="preserve">decoupling </w:t>
      </w:r>
      <w:r w:rsidR="00113576">
        <w:rPr>
          <w:sz w:val="28"/>
          <w:szCs w:val="28"/>
        </w:rPr>
        <w:t xml:space="preserve">commitment </w:t>
      </w:r>
      <w:r w:rsidR="00D01F46" w:rsidRPr="00D01F46">
        <w:rPr>
          <w:sz w:val="28"/>
          <w:szCs w:val="28"/>
        </w:rPr>
        <w:t xml:space="preserve">was reviewed in four separate 2013 CRAG meetings, conducted to specifically discuss </w:t>
      </w:r>
      <w:r w:rsidR="00113576">
        <w:rPr>
          <w:sz w:val="28"/>
          <w:szCs w:val="28"/>
        </w:rPr>
        <w:t xml:space="preserve">PSE’s </w:t>
      </w:r>
      <w:r w:rsidR="00D01F46" w:rsidRPr="00D01F46">
        <w:rPr>
          <w:sz w:val="28"/>
          <w:szCs w:val="28"/>
        </w:rPr>
        <w:t xml:space="preserve">2014-2015 Biennial Conservation Plan preparation. </w:t>
      </w:r>
      <w:r w:rsidR="00804D26">
        <w:rPr>
          <w:sz w:val="28"/>
          <w:szCs w:val="28"/>
        </w:rPr>
        <w:t xml:space="preserve"> </w:t>
      </w:r>
      <w:r w:rsidR="00D01F46" w:rsidRPr="00D01F46">
        <w:rPr>
          <w:sz w:val="28"/>
          <w:szCs w:val="28"/>
        </w:rPr>
        <w:t>PSE reviewed</w:t>
      </w:r>
      <w:r w:rsidR="00804D26">
        <w:rPr>
          <w:sz w:val="28"/>
          <w:szCs w:val="28"/>
        </w:rPr>
        <w:t xml:space="preserve"> with the CRAG</w:t>
      </w:r>
      <w:r w:rsidR="00D01F46" w:rsidRPr="00D01F46">
        <w:rPr>
          <w:sz w:val="28"/>
          <w:szCs w:val="28"/>
        </w:rPr>
        <w:t xml:space="preserve"> its </w:t>
      </w:r>
      <w:r w:rsidR="00D01F46" w:rsidRPr="00D01F46">
        <w:rPr>
          <w:sz w:val="28"/>
          <w:szCs w:val="28"/>
        </w:rPr>
        <w:lastRenderedPageBreak/>
        <w:t xml:space="preserve">calculations to achieve </w:t>
      </w:r>
      <w:r w:rsidR="00804D26">
        <w:rPr>
          <w:sz w:val="28"/>
          <w:szCs w:val="28"/>
        </w:rPr>
        <w:t>five</w:t>
      </w:r>
      <w:r w:rsidR="00D01F46" w:rsidRPr="00D01F46">
        <w:rPr>
          <w:sz w:val="28"/>
          <w:szCs w:val="28"/>
        </w:rPr>
        <w:t xml:space="preserve"> percent above its 2014-2015 EIA target of </w:t>
      </w:r>
      <w:r w:rsidR="002B0332">
        <w:rPr>
          <w:sz w:val="28"/>
          <w:szCs w:val="28"/>
        </w:rPr>
        <w:t>485,770 MWh</w:t>
      </w:r>
      <w:r w:rsidR="00D01F46" w:rsidRPr="00D01F46">
        <w:rPr>
          <w:sz w:val="28"/>
          <w:szCs w:val="28"/>
        </w:rPr>
        <w:t xml:space="preserve"> as these meeting progressed.  </w:t>
      </w:r>
    </w:p>
    <w:tbl>
      <w:tblPr>
        <w:tblStyle w:val="TableGrid"/>
        <w:tblW w:w="0" w:type="auto"/>
        <w:tblLook w:val="04A0" w:firstRow="1" w:lastRow="0" w:firstColumn="1" w:lastColumn="0" w:noHBand="0" w:noVBand="1"/>
      </w:tblPr>
      <w:tblGrid>
        <w:gridCol w:w="4788"/>
        <w:gridCol w:w="4788"/>
      </w:tblGrid>
      <w:tr w:rsidR="00D01F46" w:rsidRPr="00D01F46" w:rsidTr="000645FD">
        <w:tc>
          <w:tcPr>
            <w:tcW w:w="4788" w:type="dxa"/>
          </w:tcPr>
          <w:p w:rsidR="00D01F46" w:rsidRPr="00804D26" w:rsidRDefault="00D01F46" w:rsidP="00D01F46">
            <w:pPr>
              <w:spacing w:line="480" w:lineRule="auto"/>
              <w:rPr>
                <w:b/>
                <w:sz w:val="28"/>
                <w:szCs w:val="28"/>
              </w:rPr>
            </w:pPr>
            <w:r w:rsidRPr="00804D26">
              <w:rPr>
                <w:b/>
                <w:sz w:val="28"/>
                <w:szCs w:val="28"/>
              </w:rPr>
              <w:t>CRAG Meeting Date</w:t>
            </w:r>
          </w:p>
        </w:tc>
        <w:tc>
          <w:tcPr>
            <w:tcW w:w="4788" w:type="dxa"/>
          </w:tcPr>
          <w:p w:rsidR="00D01F46" w:rsidRPr="00804D26" w:rsidRDefault="001D4114" w:rsidP="00854C70">
            <w:pPr>
              <w:rPr>
                <w:b/>
                <w:sz w:val="28"/>
                <w:szCs w:val="28"/>
              </w:rPr>
            </w:pPr>
            <w:r>
              <w:rPr>
                <w:b/>
                <w:sz w:val="28"/>
                <w:szCs w:val="28"/>
              </w:rPr>
              <w:t>Key</w:t>
            </w:r>
            <w:r w:rsidRPr="00804D26">
              <w:rPr>
                <w:b/>
                <w:sz w:val="28"/>
                <w:szCs w:val="28"/>
              </w:rPr>
              <w:t xml:space="preserve"> </w:t>
            </w:r>
            <w:r w:rsidR="00D01F46" w:rsidRPr="00804D26">
              <w:rPr>
                <w:b/>
                <w:sz w:val="28"/>
                <w:szCs w:val="28"/>
              </w:rPr>
              <w:t>Topic</w:t>
            </w:r>
            <w:r>
              <w:rPr>
                <w:b/>
                <w:sz w:val="28"/>
                <w:szCs w:val="28"/>
              </w:rPr>
              <w:t xml:space="preserve"> Related to Establishing the Decoupling</w:t>
            </w:r>
            <w:r w:rsidR="00854C70">
              <w:rPr>
                <w:b/>
                <w:sz w:val="28"/>
                <w:szCs w:val="28"/>
              </w:rPr>
              <w:t xml:space="preserve"> </w:t>
            </w:r>
            <w:r>
              <w:rPr>
                <w:b/>
                <w:sz w:val="28"/>
                <w:szCs w:val="28"/>
              </w:rPr>
              <w:t>5 Percent</w:t>
            </w:r>
            <w:r w:rsidR="00854C70">
              <w:rPr>
                <w:b/>
                <w:sz w:val="28"/>
                <w:szCs w:val="28"/>
              </w:rPr>
              <w:t xml:space="preserve"> </w:t>
            </w:r>
            <w:r>
              <w:rPr>
                <w:b/>
                <w:sz w:val="28"/>
                <w:szCs w:val="28"/>
              </w:rPr>
              <w:t>Commitment</w:t>
            </w:r>
          </w:p>
        </w:tc>
      </w:tr>
      <w:tr w:rsidR="00D01F46" w:rsidRPr="00D01F46" w:rsidTr="000645FD">
        <w:tc>
          <w:tcPr>
            <w:tcW w:w="4788" w:type="dxa"/>
          </w:tcPr>
          <w:p w:rsidR="00D01F46" w:rsidRPr="00D01F46" w:rsidRDefault="00D01F46" w:rsidP="00113576">
            <w:pPr>
              <w:spacing w:line="480" w:lineRule="auto"/>
              <w:rPr>
                <w:sz w:val="28"/>
                <w:szCs w:val="28"/>
              </w:rPr>
            </w:pPr>
            <w:r w:rsidRPr="00D01F46">
              <w:rPr>
                <w:sz w:val="28"/>
                <w:szCs w:val="28"/>
              </w:rPr>
              <w:t>June 6, 2013</w:t>
            </w:r>
          </w:p>
        </w:tc>
        <w:tc>
          <w:tcPr>
            <w:tcW w:w="4788" w:type="dxa"/>
          </w:tcPr>
          <w:p w:rsidR="00D01F46" w:rsidRPr="00D01F46" w:rsidRDefault="00D01F46" w:rsidP="009F5DD9">
            <w:pPr>
              <w:rPr>
                <w:sz w:val="28"/>
                <w:szCs w:val="28"/>
              </w:rPr>
            </w:pPr>
            <w:r w:rsidRPr="00D01F46">
              <w:rPr>
                <w:sz w:val="28"/>
                <w:szCs w:val="28"/>
              </w:rPr>
              <w:t xml:space="preserve">PSE </w:t>
            </w:r>
            <w:r w:rsidR="001D4114">
              <w:rPr>
                <w:sz w:val="28"/>
                <w:szCs w:val="28"/>
              </w:rPr>
              <w:t>presented</w:t>
            </w:r>
            <w:r w:rsidR="001D4114" w:rsidRPr="00D01F46">
              <w:rPr>
                <w:sz w:val="28"/>
                <w:szCs w:val="28"/>
              </w:rPr>
              <w:t xml:space="preserve"> </w:t>
            </w:r>
            <w:r w:rsidRPr="00D01F46">
              <w:rPr>
                <w:sz w:val="28"/>
                <w:szCs w:val="28"/>
              </w:rPr>
              <w:t xml:space="preserve">its two-year conservation potential of </w:t>
            </w:r>
            <w:r w:rsidR="009F5DD9">
              <w:rPr>
                <w:sz w:val="28"/>
                <w:szCs w:val="28"/>
              </w:rPr>
              <w:t>551,880 MWh</w:t>
            </w:r>
            <w:r w:rsidR="001D4114">
              <w:rPr>
                <w:sz w:val="28"/>
                <w:szCs w:val="28"/>
              </w:rPr>
              <w:t>, based on 2013 IRP guidance.</w:t>
            </w:r>
          </w:p>
        </w:tc>
      </w:tr>
      <w:tr w:rsidR="00D01F46" w:rsidRPr="00D01F46" w:rsidTr="000645FD">
        <w:tc>
          <w:tcPr>
            <w:tcW w:w="4788" w:type="dxa"/>
          </w:tcPr>
          <w:p w:rsidR="00D01F46" w:rsidRPr="00D01F46" w:rsidRDefault="00D01F46" w:rsidP="00D01F46">
            <w:pPr>
              <w:spacing w:line="480" w:lineRule="auto"/>
              <w:rPr>
                <w:sz w:val="28"/>
                <w:szCs w:val="28"/>
              </w:rPr>
            </w:pPr>
            <w:r w:rsidRPr="00D01F46">
              <w:rPr>
                <w:sz w:val="28"/>
                <w:szCs w:val="28"/>
              </w:rPr>
              <w:t>July 18</w:t>
            </w:r>
            <w:r w:rsidR="00113576">
              <w:rPr>
                <w:sz w:val="28"/>
                <w:szCs w:val="28"/>
              </w:rPr>
              <w:t>, 2013</w:t>
            </w:r>
          </w:p>
        </w:tc>
        <w:tc>
          <w:tcPr>
            <w:tcW w:w="4788" w:type="dxa"/>
          </w:tcPr>
          <w:p w:rsidR="00D01F46" w:rsidRPr="00D01F46" w:rsidRDefault="00D01F46" w:rsidP="001D4114">
            <w:pPr>
              <w:rPr>
                <w:sz w:val="28"/>
                <w:szCs w:val="28"/>
              </w:rPr>
            </w:pPr>
            <w:r w:rsidRPr="00D01F46">
              <w:rPr>
                <w:sz w:val="28"/>
                <w:szCs w:val="28"/>
              </w:rPr>
              <w:t xml:space="preserve">PSE shared the effect of </w:t>
            </w:r>
            <w:r w:rsidR="001D4114" w:rsidRPr="00D01F46">
              <w:rPr>
                <w:sz w:val="28"/>
                <w:szCs w:val="28"/>
              </w:rPr>
              <w:t>accounting for NEEA savings</w:t>
            </w:r>
            <w:r w:rsidR="001D4114">
              <w:rPr>
                <w:sz w:val="28"/>
                <w:szCs w:val="28"/>
              </w:rPr>
              <w:t xml:space="preserve">, and then </w:t>
            </w:r>
            <w:r w:rsidRPr="00D01F46">
              <w:rPr>
                <w:sz w:val="28"/>
                <w:szCs w:val="28"/>
              </w:rPr>
              <w:t xml:space="preserve">adding </w:t>
            </w:r>
            <w:r w:rsidR="00804D26">
              <w:rPr>
                <w:sz w:val="28"/>
                <w:szCs w:val="28"/>
              </w:rPr>
              <w:t>five</w:t>
            </w:r>
            <w:r w:rsidRPr="00D01F46">
              <w:rPr>
                <w:sz w:val="28"/>
                <w:szCs w:val="28"/>
              </w:rPr>
              <w:t xml:space="preserve"> percent to the </w:t>
            </w:r>
            <w:r w:rsidR="001D4114">
              <w:rPr>
                <w:sz w:val="28"/>
                <w:szCs w:val="28"/>
              </w:rPr>
              <w:t>result.</w:t>
            </w:r>
            <w:r w:rsidRPr="00D01F46">
              <w:rPr>
                <w:sz w:val="28"/>
                <w:szCs w:val="28"/>
              </w:rPr>
              <w:t xml:space="preserve"> </w:t>
            </w:r>
          </w:p>
        </w:tc>
      </w:tr>
      <w:tr w:rsidR="00D01F46" w:rsidRPr="00D01F46" w:rsidTr="000645FD">
        <w:tc>
          <w:tcPr>
            <w:tcW w:w="4788" w:type="dxa"/>
          </w:tcPr>
          <w:p w:rsidR="00D01F46" w:rsidRPr="00D01F46" w:rsidRDefault="00D01F46" w:rsidP="00D01F46">
            <w:pPr>
              <w:spacing w:line="480" w:lineRule="auto"/>
              <w:rPr>
                <w:sz w:val="28"/>
                <w:szCs w:val="28"/>
              </w:rPr>
            </w:pPr>
            <w:r w:rsidRPr="00D01F46">
              <w:rPr>
                <w:sz w:val="28"/>
                <w:szCs w:val="28"/>
              </w:rPr>
              <w:br w:type="page"/>
              <w:t>August 22</w:t>
            </w:r>
            <w:r w:rsidR="00113576">
              <w:rPr>
                <w:sz w:val="28"/>
                <w:szCs w:val="28"/>
              </w:rPr>
              <w:t>, 2013</w:t>
            </w:r>
          </w:p>
        </w:tc>
        <w:tc>
          <w:tcPr>
            <w:tcW w:w="4788" w:type="dxa"/>
          </w:tcPr>
          <w:p w:rsidR="00D01F46" w:rsidRPr="00D01F46" w:rsidRDefault="00D01F46" w:rsidP="00804D26">
            <w:pPr>
              <w:rPr>
                <w:sz w:val="28"/>
                <w:szCs w:val="28"/>
              </w:rPr>
            </w:pPr>
            <w:r w:rsidRPr="00D01F46">
              <w:rPr>
                <w:sz w:val="28"/>
                <w:szCs w:val="28"/>
              </w:rPr>
              <w:t xml:space="preserve">PSE and the CRAG discussed accounting for Energy Reporting pilots.  This was the first presentation of the Electric Portfolio Savings table (illustrated below), indicating that PSE intended to add </w:t>
            </w:r>
            <w:r w:rsidR="00804D26">
              <w:rPr>
                <w:sz w:val="28"/>
                <w:szCs w:val="28"/>
              </w:rPr>
              <w:t>five</w:t>
            </w:r>
            <w:r w:rsidRPr="00D01F46">
              <w:rPr>
                <w:sz w:val="28"/>
                <w:szCs w:val="28"/>
              </w:rPr>
              <w:t xml:space="preserve"> percent to its two-year potential, rather than the </w:t>
            </w:r>
            <w:r w:rsidR="001D4114">
              <w:rPr>
                <w:sz w:val="28"/>
                <w:szCs w:val="28"/>
              </w:rPr>
              <w:t xml:space="preserve">(then draft) </w:t>
            </w:r>
            <w:r w:rsidRPr="00D01F46">
              <w:rPr>
                <w:sz w:val="28"/>
                <w:szCs w:val="28"/>
              </w:rPr>
              <w:t>EIA target.</w:t>
            </w:r>
          </w:p>
        </w:tc>
      </w:tr>
      <w:tr w:rsidR="00D01F46" w:rsidRPr="00D01F46" w:rsidTr="000645FD">
        <w:tc>
          <w:tcPr>
            <w:tcW w:w="4788" w:type="dxa"/>
          </w:tcPr>
          <w:p w:rsidR="00D01F46" w:rsidRPr="00D01F46" w:rsidRDefault="00D01F46" w:rsidP="00D01F46">
            <w:pPr>
              <w:spacing w:line="480" w:lineRule="auto"/>
              <w:rPr>
                <w:sz w:val="28"/>
                <w:szCs w:val="28"/>
              </w:rPr>
            </w:pPr>
            <w:r w:rsidRPr="00D01F46">
              <w:rPr>
                <w:sz w:val="28"/>
                <w:szCs w:val="28"/>
              </w:rPr>
              <w:t>October 1</w:t>
            </w:r>
            <w:r w:rsidR="00113576">
              <w:rPr>
                <w:sz w:val="28"/>
                <w:szCs w:val="28"/>
              </w:rPr>
              <w:t>, 2013</w:t>
            </w:r>
          </w:p>
        </w:tc>
        <w:tc>
          <w:tcPr>
            <w:tcW w:w="4788" w:type="dxa"/>
          </w:tcPr>
          <w:p w:rsidR="00D01F46" w:rsidRPr="00D01F46" w:rsidRDefault="00D01F46" w:rsidP="001D4114">
            <w:pPr>
              <w:rPr>
                <w:sz w:val="28"/>
                <w:szCs w:val="28"/>
              </w:rPr>
            </w:pPr>
            <w:r w:rsidRPr="00D01F46">
              <w:rPr>
                <w:sz w:val="28"/>
                <w:szCs w:val="28"/>
              </w:rPr>
              <w:t xml:space="preserve">PSE presented its final Electric Portfolio Savings table, representing that </w:t>
            </w:r>
            <w:r w:rsidR="001D4114">
              <w:rPr>
                <w:sz w:val="28"/>
                <w:szCs w:val="28"/>
              </w:rPr>
              <w:t xml:space="preserve">PSE would add </w:t>
            </w:r>
            <w:r w:rsidRPr="00D01F46">
              <w:rPr>
                <w:sz w:val="28"/>
                <w:szCs w:val="28"/>
              </w:rPr>
              <w:t>legacy</w:t>
            </w:r>
            <w:r w:rsidR="001D4114">
              <w:rPr>
                <w:rStyle w:val="FootnoteReference"/>
                <w:sz w:val="28"/>
                <w:szCs w:val="28"/>
              </w:rPr>
              <w:footnoteReference w:id="1"/>
            </w:r>
            <w:r w:rsidRPr="00D01F46">
              <w:rPr>
                <w:sz w:val="28"/>
                <w:szCs w:val="28"/>
              </w:rPr>
              <w:t xml:space="preserve"> Energy Reporting to the “base” savings, upon which the </w:t>
            </w:r>
            <w:r w:rsidR="00804D26">
              <w:rPr>
                <w:sz w:val="28"/>
                <w:szCs w:val="28"/>
              </w:rPr>
              <w:t>five</w:t>
            </w:r>
            <w:r w:rsidRPr="00D01F46">
              <w:rPr>
                <w:sz w:val="28"/>
                <w:szCs w:val="28"/>
              </w:rPr>
              <w:t xml:space="preserve"> percent adder would be calculated.</w:t>
            </w:r>
          </w:p>
        </w:tc>
      </w:tr>
    </w:tbl>
    <w:p w:rsidR="00D01F46" w:rsidRPr="00D01F46" w:rsidRDefault="00D01F46" w:rsidP="00D01F46">
      <w:pPr>
        <w:spacing w:line="480" w:lineRule="auto"/>
        <w:rPr>
          <w:sz w:val="28"/>
          <w:szCs w:val="28"/>
        </w:rPr>
      </w:pPr>
    </w:p>
    <w:p w:rsidR="003E2C48" w:rsidRDefault="00BD6CE5" w:rsidP="00B54DA6">
      <w:pPr>
        <w:rPr>
          <w:b/>
          <w:sz w:val="28"/>
          <w:szCs w:val="28"/>
        </w:rPr>
      </w:pPr>
      <w:r>
        <w:rPr>
          <w:b/>
          <w:sz w:val="28"/>
          <w:szCs w:val="28"/>
        </w:rPr>
        <w:t>C</w:t>
      </w:r>
      <w:r w:rsidR="003E2C48" w:rsidRPr="001D6207">
        <w:rPr>
          <w:b/>
          <w:sz w:val="28"/>
          <w:szCs w:val="28"/>
        </w:rPr>
        <w:t>.</w:t>
      </w:r>
      <w:r w:rsidR="003E2C48" w:rsidRPr="001D6207">
        <w:rPr>
          <w:b/>
          <w:sz w:val="28"/>
          <w:szCs w:val="28"/>
        </w:rPr>
        <w:tab/>
        <w:t>PSE</w:t>
      </w:r>
      <w:r w:rsidR="003E2C48">
        <w:rPr>
          <w:b/>
          <w:sz w:val="28"/>
          <w:szCs w:val="28"/>
        </w:rPr>
        <w:t xml:space="preserve"> Was Clear and Transparent with Respect to </w:t>
      </w:r>
      <w:r w:rsidR="004C3EBB">
        <w:rPr>
          <w:b/>
          <w:sz w:val="28"/>
          <w:szCs w:val="28"/>
        </w:rPr>
        <w:t>Establishing</w:t>
      </w:r>
      <w:r w:rsidR="003E2C48">
        <w:rPr>
          <w:b/>
          <w:sz w:val="28"/>
          <w:szCs w:val="28"/>
        </w:rPr>
        <w:t xml:space="preserve"> Its</w:t>
      </w:r>
      <w:r>
        <w:rPr>
          <w:b/>
          <w:sz w:val="28"/>
          <w:szCs w:val="28"/>
        </w:rPr>
        <w:t xml:space="preserve"> </w:t>
      </w:r>
      <w:r w:rsidR="004C3EBB">
        <w:rPr>
          <w:b/>
          <w:sz w:val="28"/>
          <w:szCs w:val="28"/>
        </w:rPr>
        <w:tab/>
      </w:r>
      <w:r w:rsidR="003E2C48">
        <w:rPr>
          <w:b/>
          <w:sz w:val="28"/>
          <w:szCs w:val="28"/>
        </w:rPr>
        <w:t xml:space="preserve">Decoupling Commitment </w:t>
      </w:r>
    </w:p>
    <w:p w:rsidR="00B770F8" w:rsidRDefault="00B770F8" w:rsidP="00B54DA6">
      <w:pPr>
        <w:rPr>
          <w:sz w:val="28"/>
          <w:szCs w:val="28"/>
        </w:rPr>
      </w:pPr>
    </w:p>
    <w:p w:rsidR="00D01F46" w:rsidRPr="00D01F46" w:rsidRDefault="00B770F8" w:rsidP="00D01F46">
      <w:pPr>
        <w:spacing w:line="480" w:lineRule="auto"/>
        <w:rPr>
          <w:sz w:val="28"/>
          <w:szCs w:val="28"/>
        </w:rPr>
      </w:pPr>
      <w:r>
        <w:rPr>
          <w:sz w:val="28"/>
          <w:szCs w:val="28"/>
        </w:rPr>
        <w:tab/>
      </w:r>
      <w:r w:rsidR="00113576">
        <w:rPr>
          <w:sz w:val="28"/>
          <w:szCs w:val="28"/>
        </w:rPr>
        <w:t>5.</w:t>
      </w:r>
      <w:r w:rsidR="00113576">
        <w:rPr>
          <w:sz w:val="28"/>
          <w:szCs w:val="28"/>
        </w:rPr>
        <w:tab/>
      </w:r>
      <w:r w:rsidR="009F5DD9">
        <w:rPr>
          <w:sz w:val="28"/>
          <w:szCs w:val="28"/>
        </w:rPr>
        <w:t xml:space="preserve">PSE coordinated its 2013 CRAG meetings to align with the 2014-2015 Biennial Conservation Plan deliverables, outlined in condition </w:t>
      </w:r>
      <w:r w:rsidR="00D01F46" w:rsidRPr="00D01F46">
        <w:rPr>
          <w:sz w:val="28"/>
          <w:szCs w:val="28"/>
        </w:rPr>
        <w:t>(8)(f) in Order 01 of Docket No. UE-111881</w:t>
      </w:r>
      <w:r w:rsidR="00F85649">
        <w:rPr>
          <w:sz w:val="28"/>
          <w:szCs w:val="28"/>
        </w:rPr>
        <w:t>.  These discussions also included the decoupling commitment figure, as noted in the table above.</w:t>
      </w:r>
      <w:r w:rsidR="00D01F46" w:rsidRPr="00D01F46">
        <w:rPr>
          <w:sz w:val="28"/>
          <w:szCs w:val="28"/>
        </w:rPr>
        <w:t xml:space="preserve">  The decoupling commitment </w:t>
      </w:r>
      <w:r w:rsidR="004B3C43">
        <w:rPr>
          <w:sz w:val="28"/>
          <w:szCs w:val="28"/>
        </w:rPr>
        <w:t>is</w:t>
      </w:r>
      <w:r w:rsidR="004B3C43" w:rsidRPr="00D01F46">
        <w:rPr>
          <w:sz w:val="28"/>
          <w:szCs w:val="28"/>
        </w:rPr>
        <w:t xml:space="preserve"> </w:t>
      </w:r>
      <w:r w:rsidR="00D01F46" w:rsidRPr="00D01F46">
        <w:rPr>
          <w:sz w:val="28"/>
          <w:szCs w:val="28"/>
        </w:rPr>
        <w:t>clearly noted in the 2014-2015 Biennial Conservation Plan documentation in two separat</w:t>
      </w:r>
      <w:r w:rsidR="00031A65">
        <w:rPr>
          <w:sz w:val="28"/>
          <w:szCs w:val="28"/>
        </w:rPr>
        <w:t xml:space="preserve">e sections of the documentation, which was </w:t>
      </w:r>
      <w:r w:rsidR="00D01F46" w:rsidRPr="00D01F46">
        <w:rPr>
          <w:sz w:val="28"/>
          <w:szCs w:val="28"/>
        </w:rPr>
        <w:t>filed</w:t>
      </w:r>
      <w:r w:rsidR="004B3C43">
        <w:rPr>
          <w:sz w:val="28"/>
          <w:szCs w:val="28"/>
        </w:rPr>
        <w:t xml:space="preserve"> </w:t>
      </w:r>
      <w:r w:rsidR="004B3C43" w:rsidRPr="00D01F46">
        <w:rPr>
          <w:sz w:val="28"/>
          <w:szCs w:val="28"/>
        </w:rPr>
        <w:t>on October 28, 2013</w:t>
      </w:r>
      <w:r w:rsidR="00D01F46" w:rsidRPr="00D01F46">
        <w:rPr>
          <w:sz w:val="28"/>
          <w:szCs w:val="28"/>
        </w:rPr>
        <w:t>, extensively reviewed by Commission Staff, and approved by the Commission.</w:t>
      </w:r>
    </w:p>
    <w:p w:rsidR="00D01F46" w:rsidRPr="00D01F46" w:rsidRDefault="00D01F46" w:rsidP="00D01F46">
      <w:pPr>
        <w:numPr>
          <w:ilvl w:val="0"/>
          <w:numId w:val="7"/>
        </w:numPr>
        <w:spacing w:line="480" w:lineRule="auto"/>
        <w:rPr>
          <w:sz w:val="28"/>
          <w:szCs w:val="28"/>
        </w:rPr>
      </w:pPr>
      <w:r w:rsidRPr="001D6207">
        <w:rPr>
          <w:sz w:val="28"/>
          <w:szCs w:val="28"/>
          <w:u w:val="single"/>
        </w:rPr>
        <w:t>The Biennial Conservation Plan Executive Summary</w:t>
      </w:r>
      <w:r w:rsidRPr="00D01F46">
        <w:rPr>
          <w:sz w:val="28"/>
          <w:szCs w:val="28"/>
          <w:vertAlign w:val="superscript"/>
        </w:rPr>
        <w:footnoteReference w:id="2"/>
      </w:r>
    </w:p>
    <w:p w:rsidR="00D01F46" w:rsidRPr="00D01F46" w:rsidRDefault="001D6207" w:rsidP="00D01F46">
      <w:pPr>
        <w:spacing w:line="480" w:lineRule="auto"/>
        <w:rPr>
          <w:sz w:val="28"/>
          <w:szCs w:val="28"/>
        </w:rPr>
      </w:pPr>
      <w:r>
        <w:rPr>
          <w:sz w:val="28"/>
          <w:szCs w:val="28"/>
        </w:rPr>
        <w:tab/>
      </w:r>
      <w:r w:rsidR="00113576">
        <w:rPr>
          <w:sz w:val="28"/>
          <w:szCs w:val="28"/>
        </w:rPr>
        <w:t>6.</w:t>
      </w:r>
      <w:r w:rsidR="00113576">
        <w:rPr>
          <w:sz w:val="28"/>
          <w:szCs w:val="28"/>
        </w:rPr>
        <w:tab/>
      </w:r>
      <w:r w:rsidR="00D01F46" w:rsidRPr="00D01F46">
        <w:rPr>
          <w:sz w:val="28"/>
          <w:szCs w:val="28"/>
        </w:rPr>
        <w:t xml:space="preserve">On page 10, Table 1c in the Biennial Conservation Plan Overview illustrates the steps that PSE used </w:t>
      </w:r>
      <w:r w:rsidR="00E07CF8">
        <w:rPr>
          <w:sz w:val="28"/>
          <w:szCs w:val="28"/>
        </w:rPr>
        <w:t xml:space="preserve">to derive the commitment value, </w:t>
      </w:r>
      <w:r w:rsidR="00D01F46" w:rsidRPr="00D01F46">
        <w:rPr>
          <w:sz w:val="28"/>
          <w:szCs w:val="28"/>
        </w:rPr>
        <w:t>and the CRAG approved in its October 1 meeting.</w:t>
      </w:r>
    </w:p>
    <w:p w:rsidR="00D01F46" w:rsidRPr="00D01F46" w:rsidRDefault="002B0332" w:rsidP="00D01F46">
      <w:pPr>
        <w:spacing w:line="480" w:lineRule="auto"/>
        <w:rPr>
          <w:sz w:val="28"/>
          <w:szCs w:val="28"/>
        </w:rPr>
      </w:pPr>
      <w:r w:rsidRPr="00D01F46">
        <w:rPr>
          <w:noProof/>
          <w:sz w:val="28"/>
          <w:szCs w:val="28"/>
        </w:rPr>
        <w:drawing>
          <wp:anchor distT="0" distB="0" distL="114300" distR="114300" simplePos="0" relativeHeight="251659264" behindDoc="0" locked="0" layoutInCell="1" allowOverlap="1" wp14:anchorId="4D870C71" wp14:editId="50F5305A">
            <wp:simplePos x="0" y="0"/>
            <wp:positionH relativeFrom="column">
              <wp:posOffset>26035</wp:posOffset>
            </wp:positionH>
            <wp:positionV relativeFrom="paragraph">
              <wp:posOffset>57454</wp:posOffset>
            </wp:positionV>
            <wp:extent cx="6074410" cy="3291840"/>
            <wp:effectExtent l="0" t="0" r="0" b="381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2139" r="5981" b="-19"/>
                    <a:stretch>
                      <a:fillRect/>
                    </a:stretch>
                  </pic:blipFill>
                  <pic:spPr bwMode="auto">
                    <a:xfrm>
                      <a:off x="0" y="0"/>
                      <a:ext cx="6074410" cy="3291840"/>
                    </a:xfrm>
                    <a:prstGeom prst="rect">
                      <a:avLst/>
                    </a:prstGeom>
                    <a:noFill/>
                    <a:ln w="9525">
                      <a:noFill/>
                      <a:miter lim="800000"/>
                      <a:headEnd/>
                      <a:tailEnd/>
                    </a:ln>
                  </pic:spPr>
                </pic:pic>
              </a:graphicData>
            </a:graphic>
          </wp:anchor>
        </w:drawing>
      </w:r>
    </w:p>
    <w:p w:rsidR="00D01F46" w:rsidRPr="00D01F46" w:rsidRDefault="00D01F46" w:rsidP="00D01F46">
      <w:pPr>
        <w:spacing w:line="480" w:lineRule="auto"/>
        <w:rPr>
          <w:sz w:val="28"/>
          <w:szCs w:val="28"/>
        </w:rPr>
      </w:pPr>
    </w:p>
    <w:p w:rsidR="00D01F46" w:rsidRPr="00D01F46" w:rsidRDefault="00D01F46" w:rsidP="00D01F46">
      <w:pPr>
        <w:spacing w:line="480" w:lineRule="auto"/>
        <w:rPr>
          <w:sz w:val="28"/>
          <w:szCs w:val="28"/>
        </w:rPr>
      </w:pPr>
    </w:p>
    <w:p w:rsidR="00D01F46" w:rsidRPr="00D01F46" w:rsidRDefault="00D01F46" w:rsidP="00D01F46">
      <w:pPr>
        <w:spacing w:line="480" w:lineRule="auto"/>
        <w:rPr>
          <w:sz w:val="28"/>
          <w:szCs w:val="28"/>
        </w:rPr>
      </w:pPr>
    </w:p>
    <w:p w:rsidR="00D01F46" w:rsidRPr="00D01F46" w:rsidRDefault="00D01F46" w:rsidP="00D01F46">
      <w:pPr>
        <w:spacing w:line="480" w:lineRule="auto"/>
        <w:rPr>
          <w:sz w:val="28"/>
          <w:szCs w:val="28"/>
        </w:rPr>
      </w:pPr>
    </w:p>
    <w:p w:rsidR="00D01F46" w:rsidRPr="00D01F46" w:rsidRDefault="00D01F46" w:rsidP="00D01F46">
      <w:pPr>
        <w:spacing w:line="480" w:lineRule="auto"/>
        <w:rPr>
          <w:sz w:val="28"/>
          <w:szCs w:val="28"/>
        </w:rPr>
      </w:pPr>
    </w:p>
    <w:p w:rsidR="00D01F46" w:rsidRPr="00D01F46" w:rsidRDefault="00D01F46" w:rsidP="00D01F46">
      <w:pPr>
        <w:spacing w:line="480" w:lineRule="auto"/>
        <w:rPr>
          <w:sz w:val="28"/>
          <w:szCs w:val="28"/>
        </w:rPr>
      </w:pPr>
    </w:p>
    <w:p w:rsidR="00D01F46" w:rsidRPr="00D01F46" w:rsidRDefault="00D01F46" w:rsidP="00D01F46">
      <w:pPr>
        <w:spacing w:line="480" w:lineRule="auto"/>
        <w:rPr>
          <w:sz w:val="28"/>
          <w:szCs w:val="28"/>
        </w:rPr>
      </w:pPr>
    </w:p>
    <w:p w:rsidR="00D01F46" w:rsidRPr="00D01F46" w:rsidRDefault="00D01F46" w:rsidP="00D01F46">
      <w:pPr>
        <w:spacing w:line="480" w:lineRule="auto"/>
        <w:rPr>
          <w:sz w:val="28"/>
          <w:szCs w:val="28"/>
        </w:rPr>
      </w:pPr>
    </w:p>
    <w:p w:rsidR="00835743" w:rsidRDefault="00835743">
      <w:pPr>
        <w:widowControl/>
        <w:autoSpaceDE/>
        <w:autoSpaceDN/>
        <w:adjustRightInd/>
        <w:spacing w:after="200" w:line="276" w:lineRule="auto"/>
        <w:rPr>
          <w:sz w:val="28"/>
          <w:szCs w:val="28"/>
        </w:rPr>
      </w:pPr>
      <w:r>
        <w:rPr>
          <w:sz w:val="28"/>
          <w:szCs w:val="28"/>
        </w:rPr>
        <w:br w:type="page"/>
      </w:r>
    </w:p>
    <w:p w:rsidR="00D01F46" w:rsidRPr="00D01F46" w:rsidRDefault="00D01F46" w:rsidP="00D01F46">
      <w:pPr>
        <w:spacing w:line="480" w:lineRule="auto"/>
        <w:rPr>
          <w:sz w:val="28"/>
          <w:szCs w:val="28"/>
        </w:rPr>
      </w:pPr>
      <w:r w:rsidRPr="00D01F46">
        <w:rPr>
          <w:sz w:val="28"/>
          <w:szCs w:val="28"/>
        </w:rPr>
        <w:t xml:space="preserve">As is clearly noted on line “f”, the adder is based on the two-year potential of </w:t>
      </w:r>
      <w:r w:rsidR="002B0332">
        <w:rPr>
          <w:sz w:val="28"/>
          <w:szCs w:val="28"/>
        </w:rPr>
        <w:t>558,300 MWh</w:t>
      </w:r>
      <w:r w:rsidRPr="00D01F46">
        <w:rPr>
          <w:sz w:val="28"/>
          <w:szCs w:val="28"/>
        </w:rPr>
        <w:t xml:space="preserve">, rather than </w:t>
      </w:r>
      <w:r w:rsidR="002B0332">
        <w:rPr>
          <w:sz w:val="28"/>
          <w:szCs w:val="28"/>
        </w:rPr>
        <w:t>485,770 MWh</w:t>
      </w:r>
      <w:r w:rsidRPr="00D01F46">
        <w:rPr>
          <w:sz w:val="28"/>
          <w:szCs w:val="28"/>
        </w:rPr>
        <w:t>.</w:t>
      </w:r>
    </w:p>
    <w:p w:rsidR="00D01F46" w:rsidRPr="00D01F46" w:rsidRDefault="00113576" w:rsidP="00B54DA6">
      <w:pPr>
        <w:spacing w:line="480" w:lineRule="auto"/>
        <w:rPr>
          <w:sz w:val="28"/>
          <w:szCs w:val="28"/>
        </w:rPr>
      </w:pPr>
      <w:r>
        <w:rPr>
          <w:sz w:val="28"/>
          <w:szCs w:val="28"/>
        </w:rPr>
        <w:tab/>
        <w:t>7.</w:t>
      </w:r>
      <w:r>
        <w:rPr>
          <w:sz w:val="28"/>
          <w:szCs w:val="28"/>
        </w:rPr>
        <w:tab/>
      </w:r>
      <w:r w:rsidR="00D01F46" w:rsidRPr="00D01F46">
        <w:rPr>
          <w:sz w:val="28"/>
          <w:szCs w:val="28"/>
        </w:rPr>
        <w:t xml:space="preserve">This table is also repeated in Chapter 3 of the Overview on page 37, as part of the broader “Key Savings Drivers” discussion, </w:t>
      </w:r>
      <w:r w:rsidR="00E07CF8">
        <w:rPr>
          <w:sz w:val="28"/>
          <w:szCs w:val="28"/>
        </w:rPr>
        <w:t xml:space="preserve">which </w:t>
      </w:r>
      <w:r w:rsidR="00D01F46" w:rsidRPr="00D01F46">
        <w:rPr>
          <w:sz w:val="28"/>
          <w:szCs w:val="28"/>
        </w:rPr>
        <w:t>begin</w:t>
      </w:r>
      <w:r w:rsidR="00E07CF8">
        <w:rPr>
          <w:sz w:val="28"/>
          <w:szCs w:val="28"/>
        </w:rPr>
        <w:t>s</w:t>
      </w:r>
      <w:r w:rsidR="00D01F46" w:rsidRPr="00D01F46">
        <w:rPr>
          <w:sz w:val="28"/>
          <w:szCs w:val="28"/>
        </w:rPr>
        <w:t xml:space="preserve"> on page 34.  Decoupling is thoroughly discussed in this section of the Overview.  </w:t>
      </w:r>
    </w:p>
    <w:p w:rsidR="00D01F46" w:rsidRPr="001D6207" w:rsidRDefault="00D01F46" w:rsidP="00D01F46">
      <w:pPr>
        <w:numPr>
          <w:ilvl w:val="0"/>
          <w:numId w:val="7"/>
        </w:numPr>
        <w:spacing w:line="480" w:lineRule="auto"/>
        <w:rPr>
          <w:sz w:val="28"/>
          <w:szCs w:val="28"/>
          <w:u w:val="single"/>
        </w:rPr>
      </w:pPr>
      <w:r w:rsidRPr="001D6207">
        <w:rPr>
          <w:sz w:val="28"/>
          <w:szCs w:val="28"/>
          <w:u w:val="single"/>
        </w:rPr>
        <w:t>Exhibit 1: 2014-2015 Savings and Budgets</w:t>
      </w:r>
    </w:p>
    <w:p w:rsidR="00D01F46" w:rsidRPr="00D01F46" w:rsidRDefault="001D6207" w:rsidP="00D01F46">
      <w:pPr>
        <w:spacing w:line="480" w:lineRule="auto"/>
        <w:rPr>
          <w:sz w:val="28"/>
          <w:szCs w:val="28"/>
        </w:rPr>
      </w:pPr>
      <w:r>
        <w:rPr>
          <w:sz w:val="28"/>
          <w:szCs w:val="28"/>
        </w:rPr>
        <w:tab/>
      </w:r>
      <w:r w:rsidR="00113576">
        <w:rPr>
          <w:sz w:val="28"/>
          <w:szCs w:val="28"/>
        </w:rPr>
        <w:t>8.</w:t>
      </w:r>
      <w:r w:rsidR="00113576">
        <w:rPr>
          <w:sz w:val="28"/>
          <w:szCs w:val="28"/>
        </w:rPr>
        <w:tab/>
      </w:r>
      <w:r w:rsidR="004C3EBB">
        <w:rPr>
          <w:sz w:val="28"/>
          <w:szCs w:val="28"/>
        </w:rPr>
        <w:t xml:space="preserve">PSE included its </w:t>
      </w:r>
      <w:r w:rsidR="00D01F46" w:rsidRPr="00D01F46">
        <w:rPr>
          <w:sz w:val="28"/>
          <w:szCs w:val="28"/>
        </w:rPr>
        <w:t xml:space="preserve">decoupling conservation commitment </w:t>
      </w:r>
      <w:r w:rsidR="00F01AA2">
        <w:rPr>
          <w:sz w:val="28"/>
          <w:szCs w:val="28"/>
        </w:rPr>
        <w:t>in the 2014-2015 savings and budgets</w:t>
      </w:r>
      <w:r w:rsidR="00E07CF8">
        <w:rPr>
          <w:sz w:val="28"/>
          <w:szCs w:val="28"/>
        </w:rPr>
        <w:t xml:space="preserve"> presentation</w:t>
      </w:r>
      <w:r w:rsidR="00F01AA2">
        <w:rPr>
          <w:sz w:val="28"/>
          <w:szCs w:val="28"/>
        </w:rPr>
        <w:t xml:space="preserve">.  The commitment to accelerate conservation by five percent in the 2014-2015 biennium </w:t>
      </w:r>
      <w:r w:rsidR="00D01F46" w:rsidRPr="00D01F46">
        <w:rPr>
          <w:sz w:val="28"/>
          <w:szCs w:val="28"/>
        </w:rPr>
        <w:t xml:space="preserve">is clearly indicated in </w:t>
      </w:r>
      <w:r w:rsidR="00E07CF8">
        <w:rPr>
          <w:sz w:val="28"/>
          <w:szCs w:val="28"/>
        </w:rPr>
        <w:t xml:space="preserve">two pages of </w:t>
      </w:r>
      <w:r w:rsidR="00D01F46" w:rsidRPr="00D01F46">
        <w:rPr>
          <w:sz w:val="28"/>
          <w:szCs w:val="28"/>
        </w:rPr>
        <w:t>this Microsoft® Excel™ workbook:</w:t>
      </w:r>
    </w:p>
    <w:p w:rsidR="00D01F46" w:rsidRPr="00D01F46" w:rsidRDefault="00D01F46" w:rsidP="00D01F46">
      <w:pPr>
        <w:numPr>
          <w:ilvl w:val="0"/>
          <w:numId w:val="8"/>
        </w:numPr>
        <w:spacing w:line="480" w:lineRule="auto"/>
        <w:rPr>
          <w:sz w:val="28"/>
          <w:szCs w:val="28"/>
        </w:rPr>
      </w:pPr>
      <w:r w:rsidRPr="00D01F46">
        <w:rPr>
          <w:sz w:val="28"/>
          <w:szCs w:val="28"/>
        </w:rPr>
        <w:t>“Building the elec. target” page, which contains the same table used in the Overview document, and</w:t>
      </w:r>
    </w:p>
    <w:p w:rsidR="00D01F46" w:rsidRPr="00D01F46" w:rsidRDefault="00D01F46" w:rsidP="00D01F46">
      <w:pPr>
        <w:numPr>
          <w:ilvl w:val="0"/>
          <w:numId w:val="8"/>
        </w:numPr>
        <w:spacing w:line="480" w:lineRule="auto"/>
        <w:rPr>
          <w:sz w:val="28"/>
          <w:szCs w:val="28"/>
        </w:rPr>
      </w:pPr>
      <w:r w:rsidRPr="00D01F46">
        <w:rPr>
          <w:sz w:val="28"/>
          <w:szCs w:val="28"/>
        </w:rPr>
        <w:t xml:space="preserve">“2014-2015 Portfolio View” page, where the </w:t>
      </w:r>
      <w:r w:rsidR="00FC34BA">
        <w:rPr>
          <w:sz w:val="28"/>
          <w:szCs w:val="28"/>
        </w:rPr>
        <w:t xml:space="preserve">three key electric savings indicators </w:t>
      </w:r>
      <w:r w:rsidRPr="00D01F46">
        <w:rPr>
          <w:sz w:val="28"/>
          <w:szCs w:val="28"/>
        </w:rPr>
        <w:t>are clearly noted at the bottom of the table.</w:t>
      </w:r>
    </w:p>
    <w:p w:rsidR="00B177A6" w:rsidRDefault="001D6207" w:rsidP="000A1347">
      <w:pPr>
        <w:spacing w:line="480" w:lineRule="auto"/>
        <w:rPr>
          <w:sz w:val="28"/>
          <w:szCs w:val="28"/>
        </w:rPr>
      </w:pPr>
      <w:r>
        <w:rPr>
          <w:sz w:val="28"/>
          <w:szCs w:val="28"/>
        </w:rPr>
        <w:tab/>
      </w:r>
      <w:r w:rsidR="00113576">
        <w:rPr>
          <w:sz w:val="28"/>
          <w:szCs w:val="28"/>
        </w:rPr>
        <w:t>9.</w:t>
      </w:r>
      <w:r w:rsidR="00113576">
        <w:rPr>
          <w:sz w:val="28"/>
          <w:szCs w:val="28"/>
        </w:rPr>
        <w:tab/>
      </w:r>
      <w:r>
        <w:rPr>
          <w:sz w:val="28"/>
          <w:szCs w:val="28"/>
        </w:rPr>
        <w:t>In summary, PSE’s calculated the accelerated conservation under its decoupling commitment in a manner that was transparent</w:t>
      </w:r>
      <w:r w:rsidR="0017035E">
        <w:rPr>
          <w:sz w:val="28"/>
          <w:szCs w:val="28"/>
        </w:rPr>
        <w:t xml:space="preserve">, acceptable to all parties, and that exceeded </w:t>
      </w:r>
      <w:r w:rsidR="00406CA3">
        <w:rPr>
          <w:sz w:val="28"/>
          <w:szCs w:val="28"/>
        </w:rPr>
        <w:t>five</w:t>
      </w:r>
      <w:r w:rsidR="00406CA3" w:rsidRPr="00803B88">
        <w:rPr>
          <w:sz w:val="28"/>
          <w:szCs w:val="28"/>
        </w:rPr>
        <w:t xml:space="preserve"> percent of the Commission-approved EIA target of </w:t>
      </w:r>
      <w:r w:rsidR="002B0332">
        <w:rPr>
          <w:sz w:val="28"/>
          <w:szCs w:val="28"/>
        </w:rPr>
        <w:t>485,770 MWh</w:t>
      </w:r>
      <w:r w:rsidR="00AE7C6A">
        <w:rPr>
          <w:sz w:val="28"/>
          <w:szCs w:val="28"/>
        </w:rPr>
        <w:t>.</w:t>
      </w:r>
    </w:p>
    <w:p w:rsidR="00B177A6" w:rsidRDefault="002A2FC9" w:rsidP="00BD6CE5">
      <w:pPr>
        <w:pStyle w:val="ListParagraph"/>
        <w:numPr>
          <w:ilvl w:val="0"/>
          <w:numId w:val="6"/>
        </w:numPr>
        <w:spacing w:line="360" w:lineRule="auto"/>
        <w:jc w:val="center"/>
        <w:rPr>
          <w:b/>
          <w:sz w:val="28"/>
          <w:szCs w:val="28"/>
        </w:rPr>
      </w:pPr>
      <w:r>
        <w:rPr>
          <w:b/>
          <w:sz w:val="28"/>
          <w:szCs w:val="28"/>
        </w:rPr>
        <w:t xml:space="preserve">RESOLUTION OF DECOUPLING COMMITMENT </w:t>
      </w:r>
      <w:r w:rsidR="00BD6CE5">
        <w:rPr>
          <w:b/>
          <w:sz w:val="28"/>
          <w:szCs w:val="28"/>
        </w:rPr>
        <w:t xml:space="preserve">FOR </w:t>
      </w:r>
      <w:r w:rsidR="00F01AA2">
        <w:rPr>
          <w:b/>
          <w:sz w:val="28"/>
          <w:szCs w:val="28"/>
        </w:rPr>
        <w:t xml:space="preserve">THE </w:t>
      </w:r>
      <w:r w:rsidR="00BD6CE5">
        <w:rPr>
          <w:b/>
          <w:sz w:val="28"/>
          <w:szCs w:val="28"/>
        </w:rPr>
        <w:t xml:space="preserve">2012-2013 </w:t>
      </w:r>
      <w:r w:rsidR="00F01AA2">
        <w:rPr>
          <w:b/>
          <w:sz w:val="28"/>
          <w:szCs w:val="28"/>
        </w:rPr>
        <w:t xml:space="preserve">BIENNIUM </w:t>
      </w:r>
      <w:r w:rsidR="00BD6CE5">
        <w:rPr>
          <w:b/>
          <w:sz w:val="28"/>
          <w:szCs w:val="28"/>
        </w:rPr>
        <w:t>AND FOR</w:t>
      </w:r>
      <w:r>
        <w:rPr>
          <w:b/>
          <w:sz w:val="28"/>
          <w:szCs w:val="28"/>
        </w:rPr>
        <w:t xml:space="preserve"> </w:t>
      </w:r>
      <w:r w:rsidR="00F01AA2">
        <w:rPr>
          <w:b/>
          <w:sz w:val="28"/>
          <w:szCs w:val="28"/>
        </w:rPr>
        <w:t xml:space="preserve">THE 2016-2017 </w:t>
      </w:r>
      <w:r w:rsidR="004C3EBB">
        <w:rPr>
          <w:b/>
          <w:sz w:val="28"/>
          <w:szCs w:val="28"/>
        </w:rPr>
        <w:t xml:space="preserve">BIENNIA </w:t>
      </w:r>
    </w:p>
    <w:p w:rsidR="0052451A" w:rsidRDefault="0017035E" w:rsidP="0017035E">
      <w:pPr>
        <w:spacing w:line="480" w:lineRule="auto"/>
        <w:rPr>
          <w:sz w:val="28"/>
          <w:szCs w:val="28"/>
        </w:rPr>
      </w:pPr>
      <w:r>
        <w:rPr>
          <w:sz w:val="28"/>
          <w:szCs w:val="28"/>
        </w:rPr>
        <w:tab/>
      </w:r>
      <w:r w:rsidR="00113576">
        <w:rPr>
          <w:sz w:val="28"/>
          <w:szCs w:val="28"/>
        </w:rPr>
        <w:t>10.</w:t>
      </w:r>
      <w:r w:rsidR="00113576">
        <w:rPr>
          <w:sz w:val="28"/>
          <w:szCs w:val="28"/>
        </w:rPr>
        <w:tab/>
      </w:r>
      <w:r w:rsidR="0052451A">
        <w:rPr>
          <w:sz w:val="28"/>
          <w:szCs w:val="28"/>
        </w:rPr>
        <w:t xml:space="preserve">PSE </w:t>
      </w:r>
      <w:r w:rsidR="008B6EFE">
        <w:rPr>
          <w:sz w:val="28"/>
          <w:szCs w:val="28"/>
        </w:rPr>
        <w:t xml:space="preserve">maintains that it </w:t>
      </w:r>
      <w:r w:rsidR="0052451A">
        <w:rPr>
          <w:sz w:val="28"/>
          <w:szCs w:val="28"/>
        </w:rPr>
        <w:t>has fully complied with its decoupling conservation commitment for the 2012-2013 biennium.  Not only did PSE achieve 4.8</w:t>
      </w:r>
      <w:r w:rsidR="00E07CF8">
        <w:rPr>
          <w:sz w:val="28"/>
          <w:szCs w:val="28"/>
        </w:rPr>
        <w:t xml:space="preserve"> percent</w:t>
      </w:r>
      <w:r w:rsidR="0052451A">
        <w:rPr>
          <w:sz w:val="28"/>
          <w:szCs w:val="28"/>
        </w:rPr>
        <w:t xml:space="preserve"> accelerated conservation for the biennium even though decoupling was only in effect for one-quarter of the biennium, the </w:t>
      </w:r>
      <w:r w:rsidR="0052451A" w:rsidRPr="008B6EFE">
        <w:rPr>
          <w:sz w:val="28"/>
          <w:szCs w:val="28"/>
          <w:u w:val="single"/>
        </w:rPr>
        <w:t>actual</w:t>
      </w:r>
      <w:r w:rsidR="0052451A">
        <w:rPr>
          <w:sz w:val="28"/>
          <w:szCs w:val="28"/>
        </w:rPr>
        <w:t xml:space="preserve"> conservation PSE’s actual conservation savings for the 2012-2013 biennium, including NEEA savings, exceeded its biennial conservation target by </w:t>
      </w:r>
      <w:r w:rsidR="00752692">
        <w:rPr>
          <w:sz w:val="28"/>
          <w:szCs w:val="28"/>
        </w:rPr>
        <w:t>18 percent</w:t>
      </w:r>
      <w:r w:rsidR="0052451A">
        <w:rPr>
          <w:sz w:val="28"/>
          <w:szCs w:val="28"/>
        </w:rPr>
        <w:t>.</w:t>
      </w:r>
      <w:r w:rsidR="00752692">
        <w:rPr>
          <w:rStyle w:val="FootnoteReference"/>
          <w:sz w:val="28"/>
          <w:szCs w:val="28"/>
        </w:rPr>
        <w:footnoteReference w:id="3"/>
      </w:r>
      <w:r w:rsidR="0052451A">
        <w:rPr>
          <w:sz w:val="28"/>
          <w:szCs w:val="28"/>
        </w:rPr>
        <w:t xml:space="preserve">  </w:t>
      </w:r>
      <w:r w:rsidR="00BD6CE5">
        <w:rPr>
          <w:sz w:val="28"/>
          <w:szCs w:val="28"/>
        </w:rPr>
        <w:t>T</w:t>
      </w:r>
      <w:r w:rsidR="00D3122C">
        <w:rPr>
          <w:sz w:val="28"/>
          <w:szCs w:val="28"/>
        </w:rPr>
        <w:t>his is reflected in t</w:t>
      </w:r>
      <w:r w:rsidR="00BD6CE5">
        <w:rPr>
          <w:sz w:val="28"/>
          <w:szCs w:val="28"/>
        </w:rPr>
        <w:t xml:space="preserve">he attached </w:t>
      </w:r>
      <w:r w:rsidR="00E07CF8">
        <w:rPr>
          <w:sz w:val="28"/>
          <w:szCs w:val="28"/>
        </w:rPr>
        <w:t xml:space="preserve">draft revised </w:t>
      </w:r>
      <w:r w:rsidR="00BD6CE5">
        <w:rPr>
          <w:sz w:val="28"/>
          <w:szCs w:val="28"/>
        </w:rPr>
        <w:t xml:space="preserve">EIA Report </w:t>
      </w:r>
      <w:r w:rsidR="001C092E">
        <w:rPr>
          <w:sz w:val="28"/>
          <w:szCs w:val="28"/>
        </w:rPr>
        <w:t xml:space="preserve">that </w:t>
      </w:r>
      <w:r w:rsidR="00917F54">
        <w:rPr>
          <w:sz w:val="28"/>
          <w:szCs w:val="28"/>
        </w:rPr>
        <w:t xml:space="preserve">the Commission requested </w:t>
      </w:r>
      <w:r w:rsidR="001C092E">
        <w:rPr>
          <w:sz w:val="28"/>
          <w:szCs w:val="28"/>
        </w:rPr>
        <w:t xml:space="preserve">PSE </w:t>
      </w:r>
      <w:r w:rsidR="00917F54">
        <w:rPr>
          <w:sz w:val="28"/>
          <w:szCs w:val="28"/>
        </w:rPr>
        <w:t xml:space="preserve">to </w:t>
      </w:r>
      <w:r w:rsidR="001C092E">
        <w:rPr>
          <w:sz w:val="28"/>
          <w:szCs w:val="28"/>
        </w:rPr>
        <w:t xml:space="preserve">file with </w:t>
      </w:r>
      <w:r w:rsidR="00BD6CE5">
        <w:rPr>
          <w:sz w:val="28"/>
          <w:szCs w:val="28"/>
        </w:rPr>
        <w:t>the Department of Commerce.</w:t>
      </w:r>
      <w:r w:rsidR="00EF1384">
        <w:rPr>
          <w:rStyle w:val="FootnoteReference"/>
          <w:sz w:val="28"/>
          <w:szCs w:val="28"/>
        </w:rPr>
        <w:footnoteReference w:id="4"/>
      </w:r>
      <w:r w:rsidR="00BD6CE5">
        <w:rPr>
          <w:sz w:val="28"/>
          <w:szCs w:val="28"/>
        </w:rPr>
        <w:t xml:space="preserve">  </w:t>
      </w:r>
      <w:r w:rsidR="0052451A">
        <w:rPr>
          <w:sz w:val="28"/>
          <w:szCs w:val="28"/>
        </w:rPr>
        <w:t xml:space="preserve">Notwithstanding the above, in order to lay to rest concerns expressed by Commission Staff, PSE </w:t>
      </w:r>
      <w:r w:rsidR="00290FD7">
        <w:rPr>
          <w:sz w:val="28"/>
          <w:szCs w:val="28"/>
        </w:rPr>
        <w:t xml:space="preserve">will </w:t>
      </w:r>
      <w:r w:rsidR="0052451A">
        <w:rPr>
          <w:sz w:val="28"/>
          <w:szCs w:val="28"/>
        </w:rPr>
        <w:t>agree to the following compromise:</w:t>
      </w:r>
    </w:p>
    <w:p w:rsidR="0017035E" w:rsidRPr="007D0E8E" w:rsidRDefault="0017035E" w:rsidP="007D0E8E">
      <w:pPr>
        <w:pStyle w:val="ListParagraph"/>
        <w:numPr>
          <w:ilvl w:val="0"/>
          <w:numId w:val="11"/>
        </w:numPr>
        <w:spacing w:line="480" w:lineRule="auto"/>
        <w:rPr>
          <w:sz w:val="28"/>
          <w:szCs w:val="28"/>
        </w:rPr>
      </w:pPr>
      <w:r w:rsidRPr="007D0E8E">
        <w:rPr>
          <w:sz w:val="28"/>
          <w:szCs w:val="28"/>
        </w:rPr>
        <w:t>Staff will not dispute PSE’s compliance with the Final Decoupling Order as it relates to conservation performance during the 2012-13 biennium, and for purposes of settlement will agree that PSE fully met its conservation commitment for that biennium.</w:t>
      </w:r>
    </w:p>
    <w:p w:rsidR="0017035E" w:rsidRPr="0017035E" w:rsidRDefault="0017035E" w:rsidP="0017035E">
      <w:pPr>
        <w:numPr>
          <w:ilvl w:val="0"/>
          <w:numId w:val="9"/>
        </w:numPr>
        <w:spacing w:line="480" w:lineRule="auto"/>
        <w:rPr>
          <w:sz w:val="28"/>
          <w:szCs w:val="28"/>
        </w:rPr>
      </w:pPr>
      <w:r w:rsidRPr="0017035E">
        <w:rPr>
          <w:sz w:val="28"/>
          <w:szCs w:val="28"/>
        </w:rPr>
        <w:t>In return,</w:t>
      </w:r>
      <w:r w:rsidRPr="0036558B">
        <w:rPr>
          <w:sz w:val="28"/>
          <w:szCs w:val="28"/>
        </w:rPr>
        <w:t xml:space="preserve"> </w:t>
      </w:r>
      <w:r w:rsidRPr="0017035E">
        <w:rPr>
          <w:sz w:val="28"/>
          <w:szCs w:val="28"/>
        </w:rPr>
        <w:t xml:space="preserve">PSE will agree to exceed its commission-approved biennial conservation target by five percent (5%) for any biennium after 2012-13 in which its decoupling program is in effect, through December 2017. </w:t>
      </w:r>
    </w:p>
    <w:p w:rsidR="0017035E" w:rsidRPr="0052451A" w:rsidRDefault="0017035E" w:rsidP="0017035E">
      <w:pPr>
        <w:numPr>
          <w:ilvl w:val="0"/>
          <w:numId w:val="9"/>
        </w:numPr>
        <w:spacing w:line="480" w:lineRule="auto"/>
        <w:rPr>
          <w:sz w:val="28"/>
          <w:szCs w:val="28"/>
        </w:rPr>
      </w:pPr>
      <w:r w:rsidRPr="0052451A">
        <w:rPr>
          <w:sz w:val="28"/>
          <w:szCs w:val="28"/>
        </w:rPr>
        <w:t>Should PSE’s decoupling program be terminated or withdrawn prior to the end of a biennium, PSE agrees to exceed its commission-approved biennial conservation target by five percent (5%) through the full biennium.</w:t>
      </w:r>
      <w:r w:rsidR="0038344E" w:rsidRPr="0052451A">
        <w:rPr>
          <w:sz w:val="28"/>
          <w:szCs w:val="28"/>
        </w:rPr>
        <w:tab/>
      </w:r>
    </w:p>
    <w:p w:rsidR="00A61311" w:rsidRPr="00A61311" w:rsidRDefault="00A61311" w:rsidP="00A61311">
      <w:pPr>
        <w:pStyle w:val="ListParagraph"/>
        <w:numPr>
          <w:ilvl w:val="0"/>
          <w:numId w:val="6"/>
        </w:numPr>
        <w:spacing w:line="480" w:lineRule="auto"/>
        <w:jc w:val="center"/>
        <w:rPr>
          <w:b/>
          <w:sz w:val="28"/>
          <w:szCs w:val="28"/>
        </w:rPr>
      </w:pPr>
      <w:r w:rsidRPr="00A61311">
        <w:rPr>
          <w:b/>
          <w:sz w:val="28"/>
          <w:szCs w:val="28"/>
        </w:rPr>
        <w:t>C</w:t>
      </w:r>
      <w:r w:rsidR="0052451A">
        <w:rPr>
          <w:b/>
          <w:sz w:val="28"/>
          <w:szCs w:val="28"/>
        </w:rPr>
        <w:t>ONCLUSION</w:t>
      </w:r>
    </w:p>
    <w:p w:rsidR="00A61311" w:rsidRDefault="00BE15F9" w:rsidP="000A1347">
      <w:pPr>
        <w:spacing w:line="480" w:lineRule="auto"/>
        <w:rPr>
          <w:sz w:val="28"/>
          <w:szCs w:val="28"/>
        </w:rPr>
      </w:pPr>
      <w:r>
        <w:rPr>
          <w:sz w:val="28"/>
          <w:szCs w:val="28"/>
        </w:rPr>
        <w:tab/>
      </w:r>
      <w:r w:rsidR="00113576">
        <w:rPr>
          <w:sz w:val="28"/>
          <w:szCs w:val="28"/>
        </w:rPr>
        <w:t>12.</w:t>
      </w:r>
      <w:r w:rsidR="00113576">
        <w:rPr>
          <w:sz w:val="28"/>
          <w:szCs w:val="28"/>
        </w:rPr>
        <w:tab/>
      </w:r>
      <w:r>
        <w:rPr>
          <w:sz w:val="28"/>
          <w:szCs w:val="28"/>
        </w:rPr>
        <w:t>PSE</w:t>
      </w:r>
      <w:r w:rsidR="00752692">
        <w:rPr>
          <w:sz w:val="28"/>
          <w:szCs w:val="28"/>
        </w:rPr>
        <w:t>’s</w:t>
      </w:r>
      <w:r w:rsidR="003E2FCB">
        <w:rPr>
          <w:sz w:val="28"/>
          <w:szCs w:val="28"/>
        </w:rPr>
        <w:t xml:space="preserve"> </w:t>
      </w:r>
      <w:r w:rsidR="00113576">
        <w:rPr>
          <w:sz w:val="28"/>
          <w:szCs w:val="28"/>
        </w:rPr>
        <w:t xml:space="preserve">commitment to achieve an additional </w:t>
      </w:r>
      <w:r w:rsidR="002B0332">
        <w:rPr>
          <w:sz w:val="28"/>
          <w:szCs w:val="28"/>
        </w:rPr>
        <w:t>27,290 MWh</w:t>
      </w:r>
      <w:r w:rsidR="00113576" w:rsidRPr="005478F5">
        <w:rPr>
          <w:sz w:val="28"/>
          <w:szCs w:val="28"/>
        </w:rPr>
        <w:t xml:space="preserve"> </w:t>
      </w:r>
      <w:r w:rsidR="00113576">
        <w:rPr>
          <w:sz w:val="28"/>
          <w:szCs w:val="28"/>
        </w:rPr>
        <w:t xml:space="preserve"> for the </w:t>
      </w:r>
      <w:r w:rsidR="005478F5" w:rsidRPr="005478F5">
        <w:rPr>
          <w:sz w:val="28"/>
          <w:szCs w:val="28"/>
        </w:rPr>
        <w:t>2014-2015</w:t>
      </w:r>
      <w:r w:rsidR="00113576">
        <w:rPr>
          <w:sz w:val="28"/>
          <w:szCs w:val="28"/>
        </w:rPr>
        <w:t xml:space="preserve"> biennium is consistent with PSE’s decoupling conservation commitment. </w:t>
      </w:r>
      <w:r w:rsidR="005478F5">
        <w:rPr>
          <w:sz w:val="28"/>
          <w:szCs w:val="28"/>
        </w:rPr>
        <w:t xml:space="preserve">With respect to the 2012-2013 biennium and the 2016-2017 biennium, PSE requests that the Commission adopt the proposed resolution </w:t>
      </w:r>
      <w:r w:rsidR="00406CA3">
        <w:rPr>
          <w:sz w:val="28"/>
          <w:szCs w:val="28"/>
        </w:rPr>
        <w:t>set forth herein</w:t>
      </w:r>
      <w:r w:rsidR="005478F5">
        <w:rPr>
          <w:sz w:val="28"/>
          <w:szCs w:val="28"/>
        </w:rPr>
        <w:t xml:space="preserve">.  </w:t>
      </w:r>
    </w:p>
    <w:p w:rsidR="008B6EFE" w:rsidRPr="008B6EFE" w:rsidRDefault="007C0E2A" w:rsidP="008B6EFE">
      <w:pPr>
        <w:rPr>
          <w:sz w:val="28"/>
          <w:szCs w:val="28"/>
        </w:rPr>
      </w:pPr>
      <w:r>
        <w:rPr>
          <w:sz w:val="28"/>
          <w:szCs w:val="28"/>
        </w:rPr>
        <w:tab/>
        <w:t xml:space="preserve"> </w:t>
      </w:r>
      <w:r w:rsidR="008B6EFE" w:rsidRPr="008B6EFE">
        <w:rPr>
          <w:sz w:val="28"/>
          <w:szCs w:val="28"/>
        </w:rPr>
        <w:t>Respectfully submitted this 28th day of August 2014</w:t>
      </w:r>
    </w:p>
    <w:p w:rsidR="008B6EFE" w:rsidRPr="008B6EFE" w:rsidRDefault="008B6EFE" w:rsidP="008B6EFE">
      <w:pPr>
        <w:rPr>
          <w:sz w:val="28"/>
          <w:szCs w:val="28"/>
        </w:rPr>
      </w:pPr>
      <w:r w:rsidRPr="008B6EFE">
        <w:rPr>
          <w:sz w:val="28"/>
          <w:szCs w:val="28"/>
        </w:rPr>
        <w:tab/>
      </w:r>
    </w:p>
    <w:tbl>
      <w:tblPr>
        <w:tblW w:w="0" w:type="auto"/>
        <w:tblLayout w:type="fixed"/>
        <w:tblLook w:val="0000" w:firstRow="0" w:lastRow="0" w:firstColumn="0" w:lastColumn="0" w:noHBand="0" w:noVBand="0"/>
      </w:tblPr>
      <w:tblGrid>
        <w:gridCol w:w="4605"/>
        <w:gridCol w:w="4605"/>
      </w:tblGrid>
      <w:tr w:rsidR="008B6EFE" w:rsidRPr="008B6EFE" w:rsidTr="00796BED">
        <w:trPr>
          <w:trHeight w:val="2748"/>
        </w:trPr>
        <w:tc>
          <w:tcPr>
            <w:tcW w:w="4605" w:type="dxa"/>
          </w:tcPr>
          <w:p w:rsidR="008B6EFE" w:rsidRPr="008B6EFE" w:rsidRDefault="008B6EFE" w:rsidP="008B6EFE">
            <w:pPr>
              <w:rPr>
                <w:sz w:val="28"/>
                <w:szCs w:val="28"/>
              </w:rPr>
            </w:pPr>
            <w:r w:rsidRPr="008B6EFE">
              <w:rPr>
                <w:sz w:val="28"/>
                <w:szCs w:val="28"/>
              </w:rPr>
              <w:tab/>
            </w:r>
          </w:p>
          <w:p w:rsidR="008B6EFE" w:rsidRPr="008B6EFE" w:rsidRDefault="008B6EFE" w:rsidP="008B6EFE">
            <w:pPr>
              <w:rPr>
                <w:sz w:val="28"/>
                <w:szCs w:val="28"/>
              </w:rPr>
            </w:pPr>
          </w:p>
          <w:p w:rsidR="008B6EFE" w:rsidRPr="008B6EFE" w:rsidRDefault="008B6EFE" w:rsidP="008B6EFE">
            <w:pPr>
              <w:rPr>
                <w:sz w:val="28"/>
                <w:szCs w:val="28"/>
              </w:rPr>
            </w:pPr>
          </w:p>
          <w:p w:rsidR="008B6EFE" w:rsidRPr="008B6EFE" w:rsidRDefault="008B6EFE" w:rsidP="008B6EFE">
            <w:pPr>
              <w:rPr>
                <w:sz w:val="28"/>
                <w:szCs w:val="28"/>
              </w:rPr>
            </w:pPr>
          </w:p>
        </w:tc>
        <w:tc>
          <w:tcPr>
            <w:tcW w:w="4605" w:type="dxa"/>
          </w:tcPr>
          <w:p w:rsidR="008B6EFE" w:rsidRPr="008B6EFE" w:rsidRDefault="008B6EFE" w:rsidP="008B6EFE">
            <w:pPr>
              <w:rPr>
                <w:sz w:val="28"/>
                <w:szCs w:val="28"/>
              </w:rPr>
            </w:pPr>
          </w:p>
          <w:p w:rsidR="008B6EFE" w:rsidRPr="008B6EFE" w:rsidRDefault="008B6EFE" w:rsidP="008B6EFE">
            <w:pPr>
              <w:rPr>
                <w:sz w:val="28"/>
                <w:szCs w:val="28"/>
              </w:rPr>
            </w:pPr>
            <w:r w:rsidRPr="008B6EFE">
              <w:rPr>
                <w:sz w:val="28"/>
                <w:szCs w:val="28"/>
              </w:rPr>
              <w:t>_</w:t>
            </w:r>
            <w:r>
              <w:rPr>
                <w:sz w:val="28"/>
                <w:szCs w:val="28"/>
              </w:rPr>
              <w:t>______________________________</w:t>
            </w:r>
          </w:p>
          <w:p w:rsidR="008B6EFE" w:rsidRDefault="008B6EFE" w:rsidP="008B6EFE">
            <w:pPr>
              <w:rPr>
                <w:sz w:val="28"/>
                <w:szCs w:val="28"/>
              </w:rPr>
            </w:pPr>
            <w:r>
              <w:rPr>
                <w:sz w:val="28"/>
                <w:szCs w:val="28"/>
              </w:rPr>
              <w:t>Ken Johnson</w:t>
            </w:r>
            <w:bookmarkStart w:id="1" w:name="zA_barid"/>
            <w:bookmarkEnd w:id="1"/>
            <w:r w:rsidRPr="008B6EFE">
              <w:rPr>
                <w:sz w:val="28"/>
                <w:szCs w:val="28"/>
              </w:rPr>
              <w:br/>
            </w:r>
            <w:r>
              <w:rPr>
                <w:sz w:val="28"/>
                <w:szCs w:val="28"/>
              </w:rPr>
              <w:t>Director</w:t>
            </w:r>
            <w:r w:rsidR="00DF431F">
              <w:rPr>
                <w:sz w:val="28"/>
                <w:szCs w:val="28"/>
              </w:rPr>
              <w:t xml:space="preserve">, State </w:t>
            </w:r>
            <w:r>
              <w:rPr>
                <w:sz w:val="28"/>
                <w:szCs w:val="28"/>
              </w:rPr>
              <w:t>Regulatory Affairs</w:t>
            </w:r>
          </w:p>
          <w:p w:rsidR="008B6EFE" w:rsidRPr="008B6EFE" w:rsidRDefault="008B6EFE" w:rsidP="008B6EFE">
            <w:pPr>
              <w:rPr>
                <w:sz w:val="28"/>
                <w:szCs w:val="28"/>
              </w:rPr>
            </w:pPr>
            <w:r>
              <w:rPr>
                <w:sz w:val="28"/>
                <w:szCs w:val="28"/>
              </w:rPr>
              <w:t xml:space="preserve">Puget Sound Energy, Inc.  </w:t>
            </w:r>
          </w:p>
          <w:p w:rsidR="008B6EFE" w:rsidRPr="008B6EFE" w:rsidRDefault="008B6EFE" w:rsidP="008B6EFE">
            <w:pPr>
              <w:rPr>
                <w:sz w:val="28"/>
                <w:szCs w:val="28"/>
              </w:rPr>
            </w:pPr>
          </w:p>
        </w:tc>
      </w:tr>
    </w:tbl>
    <w:p w:rsidR="00365F7D" w:rsidRDefault="00365F7D" w:rsidP="00365F7D">
      <w:pPr>
        <w:rPr>
          <w:sz w:val="28"/>
          <w:szCs w:val="28"/>
        </w:rPr>
      </w:pPr>
    </w:p>
    <w:sectPr w:rsidR="00365F7D" w:rsidSect="0083574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484" w:rsidRDefault="00374484" w:rsidP="00E334A4">
      <w:r>
        <w:separator/>
      </w:r>
    </w:p>
  </w:endnote>
  <w:endnote w:type="continuationSeparator" w:id="0">
    <w:p w:rsidR="00374484" w:rsidRDefault="00374484" w:rsidP="00E33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827" w:rsidRDefault="008A78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743" w:rsidRPr="00835743" w:rsidRDefault="00835743">
    <w:pPr>
      <w:pStyle w:val="Footer"/>
      <w:rPr>
        <w:sz w:val="22"/>
        <w:szCs w:val="22"/>
      </w:rPr>
    </w:pPr>
    <w:r w:rsidRPr="00835743">
      <w:rPr>
        <w:sz w:val="22"/>
        <w:szCs w:val="22"/>
      </w:rPr>
      <w:t xml:space="preserve">PSE COMMENTS - </w:t>
    </w:r>
    <w:sdt>
      <w:sdtPr>
        <w:rPr>
          <w:sz w:val="22"/>
          <w:szCs w:val="22"/>
        </w:rPr>
        <w:id w:val="-1623913383"/>
        <w:docPartObj>
          <w:docPartGallery w:val="Page Numbers (Bottom of Page)"/>
          <w:docPartUnique/>
        </w:docPartObj>
      </w:sdtPr>
      <w:sdtEndPr>
        <w:rPr>
          <w:noProof/>
        </w:rPr>
      </w:sdtEndPr>
      <w:sdtContent>
        <w:r w:rsidRPr="00835743">
          <w:rPr>
            <w:sz w:val="22"/>
            <w:szCs w:val="22"/>
          </w:rPr>
          <w:fldChar w:fldCharType="begin"/>
        </w:r>
        <w:r w:rsidRPr="00835743">
          <w:rPr>
            <w:sz w:val="22"/>
            <w:szCs w:val="22"/>
          </w:rPr>
          <w:instrText xml:space="preserve"> PAGE   \* MERGEFORMAT </w:instrText>
        </w:r>
        <w:r w:rsidRPr="00835743">
          <w:rPr>
            <w:sz w:val="22"/>
            <w:szCs w:val="22"/>
          </w:rPr>
          <w:fldChar w:fldCharType="separate"/>
        </w:r>
        <w:r w:rsidR="008A7827">
          <w:rPr>
            <w:noProof/>
            <w:sz w:val="22"/>
            <w:szCs w:val="22"/>
          </w:rPr>
          <w:t>1</w:t>
        </w:r>
        <w:r w:rsidRPr="00835743">
          <w:rPr>
            <w:noProof/>
            <w:sz w:val="22"/>
            <w:szCs w:val="22"/>
          </w:rPr>
          <w:fldChar w:fldCharType="end"/>
        </w:r>
      </w:sdtContent>
    </w:sdt>
  </w:p>
  <w:p w:rsidR="00835743" w:rsidRPr="00835743" w:rsidRDefault="00835743">
    <w:pPr>
      <w:pStyle w:val="Foo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827" w:rsidRDefault="008A78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484" w:rsidRDefault="00374484" w:rsidP="00E334A4">
      <w:r>
        <w:separator/>
      </w:r>
    </w:p>
  </w:footnote>
  <w:footnote w:type="continuationSeparator" w:id="0">
    <w:p w:rsidR="00374484" w:rsidRDefault="00374484" w:rsidP="00E334A4">
      <w:r>
        <w:continuationSeparator/>
      </w:r>
    </w:p>
  </w:footnote>
  <w:footnote w:id="1">
    <w:p w:rsidR="001D4114" w:rsidRDefault="001D4114">
      <w:pPr>
        <w:pStyle w:val="FootnoteText"/>
      </w:pPr>
      <w:r>
        <w:rPr>
          <w:rStyle w:val="FootnoteReference"/>
        </w:rPr>
        <w:footnoteRef/>
      </w:r>
      <w:r>
        <w:t xml:space="preserve"> “Legacy” Energy Reporting include Residential Home Energy Reports, included in PSE’s conservation suite of programs since 2009.  The CRAG agreed that pilot Energy Reporting (including an expansion of Residential offerings and new Business reporting) are excluded from the 2014-2015 EIA target.</w:t>
      </w:r>
    </w:p>
  </w:footnote>
  <w:footnote w:id="2">
    <w:p w:rsidR="00D01F46" w:rsidRPr="00263A44" w:rsidRDefault="00D01F46" w:rsidP="00D01F46">
      <w:pPr>
        <w:pStyle w:val="FootnoteText"/>
      </w:pPr>
      <w:r w:rsidRPr="00263A44">
        <w:rPr>
          <w:rStyle w:val="FootnoteReference"/>
        </w:rPr>
        <w:footnoteRef/>
      </w:r>
      <w:r w:rsidRPr="00263A44">
        <w:t xml:space="preserve"> Energy Efficiency 2014-2015 Biennial Conservation Plan, Overview,</w:t>
      </w:r>
      <w:r>
        <w:t xml:space="preserve"> Executive Summary,</w:t>
      </w:r>
      <w:r w:rsidRPr="00263A44">
        <w:t xml:space="preserve"> page 10</w:t>
      </w:r>
      <w:r>
        <w:t>.</w:t>
      </w:r>
    </w:p>
  </w:footnote>
  <w:footnote w:id="3">
    <w:p w:rsidR="00752692" w:rsidRDefault="00752692">
      <w:pPr>
        <w:pStyle w:val="FootnoteText"/>
      </w:pPr>
      <w:r>
        <w:rPr>
          <w:rStyle w:val="FootnoteReference"/>
        </w:rPr>
        <w:footnoteRef/>
      </w:r>
      <w:r>
        <w:t xml:space="preserve"> PSE originally reported a deemed savings value of 38,800 MWh attributable to NEEA programs in PSE’s territory.  NEEA’s actual savings value, however, was 123,254 MWh in PSE’s territory.  PSE’s Commission-approved 2012-2013 EIA target was 666,000 MWh, </w:t>
      </w:r>
      <w:r w:rsidR="00EF1384">
        <w:t xml:space="preserve">while </w:t>
      </w:r>
      <w:r>
        <w:t>the actual total electric conservation achieved was 782,591 MWh.</w:t>
      </w:r>
    </w:p>
  </w:footnote>
  <w:footnote w:id="4">
    <w:p w:rsidR="00EF1384" w:rsidRDefault="00EF1384">
      <w:pPr>
        <w:pStyle w:val="FootnoteText"/>
      </w:pPr>
      <w:r>
        <w:rPr>
          <w:rStyle w:val="FootnoteReference"/>
        </w:rPr>
        <w:footnoteRef/>
      </w:r>
      <w:r>
        <w:t xml:space="preserve"> The filing of this revised Department of Commerce report is pending.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827" w:rsidRDefault="008A78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827" w:rsidRDefault="008A78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827" w:rsidRDefault="008A78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17561"/>
    <w:multiLevelType w:val="hybridMultilevel"/>
    <w:tmpl w:val="AA70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E60DF9"/>
    <w:multiLevelType w:val="hybridMultilevel"/>
    <w:tmpl w:val="780A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4E05603"/>
    <w:multiLevelType w:val="hybridMultilevel"/>
    <w:tmpl w:val="BD4A40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2D6555"/>
    <w:multiLevelType w:val="hybridMultilevel"/>
    <w:tmpl w:val="6812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E3777A"/>
    <w:multiLevelType w:val="hybridMultilevel"/>
    <w:tmpl w:val="BD982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2C118F"/>
    <w:multiLevelType w:val="hybridMultilevel"/>
    <w:tmpl w:val="64847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5020DC"/>
    <w:multiLevelType w:val="hybridMultilevel"/>
    <w:tmpl w:val="8EF83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295C1E"/>
    <w:multiLevelType w:val="hybridMultilevel"/>
    <w:tmpl w:val="71DA1AF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9E7A94"/>
    <w:multiLevelType w:val="hybridMultilevel"/>
    <w:tmpl w:val="B1FC9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6"/>
  </w:num>
  <w:num w:numId="4">
    <w:abstractNumId w:val="3"/>
  </w:num>
  <w:num w:numId="5">
    <w:abstractNumId w:val="5"/>
  </w:num>
  <w:num w:numId="6">
    <w:abstractNumId w:val="7"/>
  </w:num>
  <w:num w:numId="7">
    <w:abstractNumId w:val="8"/>
  </w:num>
  <w:num w:numId="8">
    <w:abstractNumId w:val="4"/>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347"/>
    <w:rsid w:val="00031A65"/>
    <w:rsid w:val="00034738"/>
    <w:rsid w:val="00061F48"/>
    <w:rsid w:val="000A1347"/>
    <w:rsid w:val="001019E9"/>
    <w:rsid w:val="00113576"/>
    <w:rsid w:val="001234B8"/>
    <w:rsid w:val="0017035E"/>
    <w:rsid w:val="0017429E"/>
    <w:rsid w:val="001C092E"/>
    <w:rsid w:val="001D4114"/>
    <w:rsid w:val="001D6207"/>
    <w:rsid w:val="001D78E1"/>
    <w:rsid w:val="002378CA"/>
    <w:rsid w:val="00267818"/>
    <w:rsid w:val="00290FD7"/>
    <w:rsid w:val="002A2FC9"/>
    <w:rsid w:val="002B0332"/>
    <w:rsid w:val="002D32A0"/>
    <w:rsid w:val="002F4302"/>
    <w:rsid w:val="0036558B"/>
    <w:rsid w:val="00365F7D"/>
    <w:rsid w:val="00374484"/>
    <w:rsid w:val="0038344E"/>
    <w:rsid w:val="003E2C48"/>
    <w:rsid w:val="003E2FCB"/>
    <w:rsid w:val="003E526E"/>
    <w:rsid w:val="00406CA3"/>
    <w:rsid w:val="00496BF0"/>
    <w:rsid w:val="004B3C43"/>
    <w:rsid w:val="004C3EBB"/>
    <w:rsid w:val="005139C6"/>
    <w:rsid w:val="005235CD"/>
    <w:rsid w:val="0052451A"/>
    <w:rsid w:val="00542251"/>
    <w:rsid w:val="005478F5"/>
    <w:rsid w:val="00570FE1"/>
    <w:rsid w:val="005863DF"/>
    <w:rsid w:val="005E2269"/>
    <w:rsid w:val="00673101"/>
    <w:rsid w:val="00686D7A"/>
    <w:rsid w:val="00723DDC"/>
    <w:rsid w:val="00752692"/>
    <w:rsid w:val="0077461A"/>
    <w:rsid w:val="007821BE"/>
    <w:rsid w:val="007952CC"/>
    <w:rsid w:val="007A7722"/>
    <w:rsid w:val="007A7CBA"/>
    <w:rsid w:val="007C0E2A"/>
    <w:rsid w:val="007D0E8E"/>
    <w:rsid w:val="007E384F"/>
    <w:rsid w:val="00803B88"/>
    <w:rsid w:val="00804D26"/>
    <w:rsid w:val="00835743"/>
    <w:rsid w:val="008502C2"/>
    <w:rsid w:val="00854C70"/>
    <w:rsid w:val="008A7827"/>
    <w:rsid w:val="008B6EFE"/>
    <w:rsid w:val="008C2AD2"/>
    <w:rsid w:val="00906E6E"/>
    <w:rsid w:val="00917F54"/>
    <w:rsid w:val="009451F0"/>
    <w:rsid w:val="00970B28"/>
    <w:rsid w:val="00983AC7"/>
    <w:rsid w:val="009A24C5"/>
    <w:rsid w:val="009A5A7C"/>
    <w:rsid w:val="009C1DB2"/>
    <w:rsid w:val="009F5DD9"/>
    <w:rsid w:val="00A060E8"/>
    <w:rsid w:val="00A22C1D"/>
    <w:rsid w:val="00A337C2"/>
    <w:rsid w:val="00A42EB2"/>
    <w:rsid w:val="00A61311"/>
    <w:rsid w:val="00AD0FE2"/>
    <w:rsid w:val="00AE7C6A"/>
    <w:rsid w:val="00B177A6"/>
    <w:rsid w:val="00B54DA6"/>
    <w:rsid w:val="00B770F8"/>
    <w:rsid w:val="00BD6CE5"/>
    <w:rsid w:val="00BE15F9"/>
    <w:rsid w:val="00C07F1F"/>
    <w:rsid w:val="00CA4D18"/>
    <w:rsid w:val="00CD52A1"/>
    <w:rsid w:val="00CF2572"/>
    <w:rsid w:val="00D01F46"/>
    <w:rsid w:val="00D3122C"/>
    <w:rsid w:val="00D33FBE"/>
    <w:rsid w:val="00D779C8"/>
    <w:rsid w:val="00DB04AF"/>
    <w:rsid w:val="00DC5C99"/>
    <w:rsid w:val="00DF431F"/>
    <w:rsid w:val="00E06838"/>
    <w:rsid w:val="00E07CF8"/>
    <w:rsid w:val="00E27B9F"/>
    <w:rsid w:val="00E334A4"/>
    <w:rsid w:val="00E71BCB"/>
    <w:rsid w:val="00EE1FBA"/>
    <w:rsid w:val="00EF1384"/>
    <w:rsid w:val="00F01AA2"/>
    <w:rsid w:val="00F33B8D"/>
    <w:rsid w:val="00F41CFC"/>
    <w:rsid w:val="00F7177B"/>
    <w:rsid w:val="00F85649"/>
    <w:rsid w:val="00FC34BA"/>
    <w:rsid w:val="00FF3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BC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F7D"/>
    <w:pPr>
      <w:ind w:left="720"/>
      <w:contextualSpacing/>
    </w:pPr>
  </w:style>
  <w:style w:type="paragraph" w:styleId="FootnoteText">
    <w:name w:val="footnote text"/>
    <w:basedOn w:val="Normal"/>
    <w:link w:val="FootnoteTextChar"/>
    <w:uiPriority w:val="99"/>
    <w:semiHidden/>
    <w:unhideWhenUsed/>
    <w:rsid w:val="00E334A4"/>
    <w:rPr>
      <w:szCs w:val="20"/>
    </w:rPr>
  </w:style>
  <w:style w:type="character" w:customStyle="1" w:styleId="FootnoteTextChar">
    <w:name w:val="Footnote Text Char"/>
    <w:basedOn w:val="DefaultParagraphFont"/>
    <w:link w:val="FootnoteText"/>
    <w:uiPriority w:val="99"/>
    <w:semiHidden/>
    <w:rsid w:val="00E334A4"/>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E334A4"/>
    <w:rPr>
      <w:vertAlign w:val="superscript"/>
    </w:rPr>
  </w:style>
  <w:style w:type="character" w:styleId="CommentReference">
    <w:name w:val="annotation reference"/>
    <w:basedOn w:val="DefaultParagraphFont"/>
    <w:uiPriority w:val="99"/>
    <w:semiHidden/>
    <w:unhideWhenUsed/>
    <w:rsid w:val="003E2FCB"/>
    <w:rPr>
      <w:sz w:val="16"/>
      <w:szCs w:val="16"/>
    </w:rPr>
  </w:style>
  <w:style w:type="paragraph" w:styleId="CommentText">
    <w:name w:val="annotation text"/>
    <w:basedOn w:val="Normal"/>
    <w:link w:val="CommentTextChar"/>
    <w:uiPriority w:val="99"/>
    <w:semiHidden/>
    <w:unhideWhenUsed/>
    <w:rsid w:val="003E2FCB"/>
    <w:rPr>
      <w:szCs w:val="20"/>
    </w:rPr>
  </w:style>
  <w:style w:type="character" w:customStyle="1" w:styleId="CommentTextChar">
    <w:name w:val="Comment Text Char"/>
    <w:basedOn w:val="DefaultParagraphFont"/>
    <w:link w:val="CommentText"/>
    <w:uiPriority w:val="99"/>
    <w:semiHidden/>
    <w:rsid w:val="003E2F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2FCB"/>
    <w:rPr>
      <w:b/>
      <w:bCs/>
    </w:rPr>
  </w:style>
  <w:style w:type="character" w:customStyle="1" w:styleId="CommentSubjectChar">
    <w:name w:val="Comment Subject Char"/>
    <w:basedOn w:val="CommentTextChar"/>
    <w:link w:val="CommentSubject"/>
    <w:uiPriority w:val="99"/>
    <w:semiHidden/>
    <w:rsid w:val="003E2FC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E2F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FCB"/>
    <w:rPr>
      <w:rFonts w:ascii="Segoe UI" w:eastAsia="Times New Roman" w:hAnsi="Segoe UI" w:cs="Segoe UI"/>
      <w:sz w:val="18"/>
      <w:szCs w:val="18"/>
    </w:rPr>
  </w:style>
  <w:style w:type="paragraph" w:styleId="Header">
    <w:name w:val="header"/>
    <w:basedOn w:val="Normal"/>
    <w:link w:val="HeaderChar"/>
    <w:uiPriority w:val="99"/>
    <w:unhideWhenUsed/>
    <w:rsid w:val="003E526E"/>
    <w:pPr>
      <w:tabs>
        <w:tab w:val="center" w:pos="4680"/>
        <w:tab w:val="right" w:pos="9360"/>
      </w:tabs>
    </w:pPr>
  </w:style>
  <w:style w:type="character" w:customStyle="1" w:styleId="HeaderChar">
    <w:name w:val="Header Char"/>
    <w:basedOn w:val="DefaultParagraphFont"/>
    <w:link w:val="Header"/>
    <w:uiPriority w:val="99"/>
    <w:rsid w:val="003E526E"/>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3E526E"/>
    <w:pPr>
      <w:tabs>
        <w:tab w:val="center" w:pos="4680"/>
        <w:tab w:val="right" w:pos="9360"/>
      </w:tabs>
    </w:pPr>
  </w:style>
  <w:style w:type="character" w:customStyle="1" w:styleId="FooterChar">
    <w:name w:val="Footer Char"/>
    <w:basedOn w:val="DefaultParagraphFont"/>
    <w:link w:val="Footer"/>
    <w:uiPriority w:val="99"/>
    <w:rsid w:val="003E526E"/>
    <w:rPr>
      <w:rFonts w:ascii="Times New Roman" w:eastAsia="Times New Roman" w:hAnsi="Times New Roman" w:cs="Times New Roman"/>
      <w:sz w:val="20"/>
      <w:szCs w:val="24"/>
    </w:rPr>
  </w:style>
  <w:style w:type="table" w:styleId="TableGrid">
    <w:name w:val="Table Grid"/>
    <w:basedOn w:val="TableNormal"/>
    <w:uiPriority w:val="59"/>
    <w:rsid w:val="00D01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BC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F7D"/>
    <w:pPr>
      <w:ind w:left="720"/>
      <w:contextualSpacing/>
    </w:pPr>
  </w:style>
  <w:style w:type="paragraph" w:styleId="FootnoteText">
    <w:name w:val="footnote text"/>
    <w:basedOn w:val="Normal"/>
    <w:link w:val="FootnoteTextChar"/>
    <w:uiPriority w:val="99"/>
    <w:semiHidden/>
    <w:unhideWhenUsed/>
    <w:rsid w:val="00E334A4"/>
    <w:rPr>
      <w:szCs w:val="20"/>
    </w:rPr>
  </w:style>
  <w:style w:type="character" w:customStyle="1" w:styleId="FootnoteTextChar">
    <w:name w:val="Footnote Text Char"/>
    <w:basedOn w:val="DefaultParagraphFont"/>
    <w:link w:val="FootnoteText"/>
    <w:uiPriority w:val="99"/>
    <w:semiHidden/>
    <w:rsid w:val="00E334A4"/>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E334A4"/>
    <w:rPr>
      <w:vertAlign w:val="superscript"/>
    </w:rPr>
  </w:style>
  <w:style w:type="character" w:styleId="CommentReference">
    <w:name w:val="annotation reference"/>
    <w:basedOn w:val="DefaultParagraphFont"/>
    <w:uiPriority w:val="99"/>
    <w:semiHidden/>
    <w:unhideWhenUsed/>
    <w:rsid w:val="003E2FCB"/>
    <w:rPr>
      <w:sz w:val="16"/>
      <w:szCs w:val="16"/>
    </w:rPr>
  </w:style>
  <w:style w:type="paragraph" w:styleId="CommentText">
    <w:name w:val="annotation text"/>
    <w:basedOn w:val="Normal"/>
    <w:link w:val="CommentTextChar"/>
    <w:uiPriority w:val="99"/>
    <w:semiHidden/>
    <w:unhideWhenUsed/>
    <w:rsid w:val="003E2FCB"/>
    <w:rPr>
      <w:szCs w:val="20"/>
    </w:rPr>
  </w:style>
  <w:style w:type="character" w:customStyle="1" w:styleId="CommentTextChar">
    <w:name w:val="Comment Text Char"/>
    <w:basedOn w:val="DefaultParagraphFont"/>
    <w:link w:val="CommentText"/>
    <w:uiPriority w:val="99"/>
    <w:semiHidden/>
    <w:rsid w:val="003E2F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2FCB"/>
    <w:rPr>
      <w:b/>
      <w:bCs/>
    </w:rPr>
  </w:style>
  <w:style w:type="character" w:customStyle="1" w:styleId="CommentSubjectChar">
    <w:name w:val="Comment Subject Char"/>
    <w:basedOn w:val="CommentTextChar"/>
    <w:link w:val="CommentSubject"/>
    <w:uiPriority w:val="99"/>
    <w:semiHidden/>
    <w:rsid w:val="003E2FC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E2F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FCB"/>
    <w:rPr>
      <w:rFonts w:ascii="Segoe UI" w:eastAsia="Times New Roman" w:hAnsi="Segoe UI" w:cs="Segoe UI"/>
      <w:sz w:val="18"/>
      <w:szCs w:val="18"/>
    </w:rPr>
  </w:style>
  <w:style w:type="paragraph" w:styleId="Header">
    <w:name w:val="header"/>
    <w:basedOn w:val="Normal"/>
    <w:link w:val="HeaderChar"/>
    <w:uiPriority w:val="99"/>
    <w:unhideWhenUsed/>
    <w:rsid w:val="003E526E"/>
    <w:pPr>
      <w:tabs>
        <w:tab w:val="center" w:pos="4680"/>
        <w:tab w:val="right" w:pos="9360"/>
      </w:tabs>
    </w:pPr>
  </w:style>
  <w:style w:type="character" w:customStyle="1" w:styleId="HeaderChar">
    <w:name w:val="Header Char"/>
    <w:basedOn w:val="DefaultParagraphFont"/>
    <w:link w:val="Header"/>
    <w:uiPriority w:val="99"/>
    <w:rsid w:val="003E526E"/>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3E526E"/>
    <w:pPr>
      <w:tabs>
        <w:tab w:val="center" w:pos="4680"/>
        <w:tab w:val="right" w:pos="9360"/>
      </w:tabs>
    </w:pPr>
  </w:style>
  <w:style w:type="character" w:customStyle="1" w:styleId="FooterChar">
    <w:name w:val="Footer Char"/>
    <w:basedOn w:val="DefaultParagraphFont"/>
    <w:link w:val="Footer"/>
    <w:uiPriority w:val="99"/>
    <w:rsid w:val="003E526E"/>
    <w:rPr>
      <w:rFonts w:ascii="Times New Roman" w:eastAsia="Times New Roman" w:hAnsi="Times New Roman" w:cs="Times New Roman"/>
      <w:sz w:val="20"/>
      <w:szCs w:val="24"/>
    </w:rPr>
  </w:style>
  <w:style w:type="table" w:styleId="TableGrid">
    <w:name w:val="Table Grid"/>
    <w:basedOn w:val="TableNormal"/>
    <w:uiPriority w:val="59"/>
    <w:rsid w:val="00D01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48838">
      <w:bodyDiv w:val="1"/>
      <w:marLeft w:val="0"/>
      <w:marRight w:val="0"/>
      <w:marTop w:val="0"/>
      <w:marBottom w:val="0"/>
      <w:divBdr>
        <w:top w:val="none" w:sz="0" w:space="0" w:color="auto"/>
        <w:left w:val="none" w:sz="0" w:space="0" w:color="auto"/>
        <w:bottom w:val="none" w:sz="0" w:space="0" w:color="auto"/>
        <w:right w:val="none" w:sz="0" w:space="0" w:color="auto"/>
      </w:divBdr>
    </w:div>
    <w:div w:id="1116096038">
      <w:bodyDiv w:val="1"/>
      <w:marLeft w:val="0"/>
      <w:marRight w:val="0"/>
      <w:marTop w:val="0"/>
      <w:marBottom w:val="0"/>
      <w:divBdr>
        <w:top w:val="none" w:sz="0" w:space="0" w:color="auto"/>
        <w:left w:val="none" w:sz="0" w:space="0" w:color="auto"/>
        <w:bottom w:val="none" w:sz="0" w:space="0" w:color="auto"/>
        <w:right w:val="none" w:sz="0" w:space="0" w:color="auto"/>
      </w:divBdr>
    </w:div>
    <w:div w:id="1358501216">
      <w:bodyDiv w:val="1"/>
      <w:marLeft w:val="0"/>
      <w:marRight w:val="0"/>
      <w:marTop w:val="0"/>
      <w:marBottom w:val="0"/>
      <w:divBdr>
        <w:top w:val="none" w:sz="0" w:space="0" w:color="auto"/>
        <w:left w:val="none" w:sz="0" w:space="0" w:color="auto"/>
        <w:bottom w:val="none" w:sz="0" w:space="0" w:color="auto"/>
        <w:right w:val="none" w:sz="0" w:space="0" w:color="auto"/>
      </w:divBdr>
    </w:div>
    <w:div w:id="168096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940A5867748F42B23F2496B49568D7" ma:contentTypeVersion="135" ma:contentTypeDescription="" ma:contentTypeScope="" ma:versionID="e2e13ec935221c26056da10e8a0672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2013-10-31T07:00:00+00:00</OpenedDate>
    <Date1 xmlns="dc463f71-b30c-4ab2-9473-d307f9d35888">2014-08-28T07:00:00+00:00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DEB4840-30EA-4801-8B74-5F019D499476}"/>
</file>

<file path=customXml/itemProps2.xml><?xml version="1.0" encoding="utf-8"?>
<ds:datastoreItem xmlns:ds="http://schemas.openxmlformats.org/officeDocument/2006/customXml" ds:itemID="{5037FCEA-A3A1-4448-845B-DD9E06942DEF}"/>
</file>

<file path=customXml/itemProps3.xml><?xml version="1.0" encoding="utf-8"?>
<ds:datastoreItem xmlns:ds="http://schemas.openxmlformats.org/officeDocument/2006/customXml" ds:itemID="{A8DA8DE3-C480-488E-86C8-3E7091C5E994}"/>
</file>

<file path=customXml/itemProps4.xml><?xml version="1.0" encoding="utf-8"?>
<ds:datastoreItem xmlns:ds="http://schemas.openxmlformats.org/officeDocument/2006/customXml" ds:itemID="{DC40E0CC-A5D2-4E23-B1B7-7A1FC726B87A}"/>
</file>

<file path=customXml/itemProps5.xml><?xml version="1.0" encoding="utf-8"?>
<ds:datastoreItem xmlns:ds="http://schemas.openxmlformats.org/officeDocument/2006/customXml" ds:itemID="{9CF15225-636F-47DD-89CD-7141CA811B1D}"/>
</file>

<file path=docProps/app.xml><?xml version="1.0" encoding="utf-8"?>
<Properties xmlns="http://schemas.openxmlformats.org/officeDocument/2006/extended-properties" xmlns:vt="http://schemas.openxmlformats.org/officeDocument/2006/docPropsVTypes">
  <Pages>3</Pages>
  <Words>1094</Words>
  <Characters>6176</Characters>
  <Application>Microsoft Office Word</Application>
  <DocSecurity>0</DocSecurity>
  <Lines>165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oFAAC41Wbh9etaV1MShZOQUnO4mCw8VJqOZSXWIhK5JCVtehBs9YWoG49hEgWySGlZRZGnZmT22ZWg2m
vJRkoIqGvOrnt/noNNZKConfPU8GR3fB7XSNg60KJHO5Q/iOy27Pr6qKFOwa5nUXrDgg8OAS/nyR
o24nQjc9PHF21sSrXpPH4ITJticMM2OMZl/va5ncY/VDyYOpWRbPOwM66SIOvu7ZZivRgCBV1s9k
9kyXZP7fjzNFkGtbS</vt:lpwstr>
  </property>
  <property fmtid="{D5CDD505-2E9C-101B-9397-08002B2CF9AE}" pid="3" name="MAIL_MSG_ID2">
    <vt:lpwstr>75p200+WIHUTYXFQ5w9C/lw9AwDiw8uLKHxZ5DS32B6uWH9zrrm5boYWnG5
2jfEKqqMEcl8SIyP9hS5WaBvDeoAckvDOq/IlF/vLCOYzZxh</vt:lpwstr>
  </property>
  <property fmtid="{D5CDD505-2E9C-101B-9397-08002B2CF9AE}" pid="4" name="RESPONSE_SENDER_NAME">
    <vt:lpwstr>4AAA6DouqOs9baGLXLnltV0h1HKzK1xdjm+nJm6sIhJt3lVR7ySvWagz5Q==</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0x0101006E56B4D1795A2E4DB2F0B01679ED314A0011940A5867748F42B23F2496B49568D7</vt:lpwstr>
  </property>
  <property fmtid="{D5CDD505-2E9C-101B-9397-08002B2CF9AE}" pid="7" name="_docset_NoMedatataSyncRequired">
    <vt:lpwstr>False</vt:lpwstr>
  </property>
</Properties>
</file>