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EA923" w14:textId="2C25D148" w:rsidR="009D41F2" w:rsidRDefault="008956A7" w:rsidP="009D41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EC6D15">
        <w:rPr>
          <w:sz w:val="24"/>
        </w:rPr>
        <w:t>March 28, 2013</w:t>
      </w:r>
      <w:r w:rsidR="005E0BA9">
        <w:rPr>
          <w:sz w:val="24"/>
        </w:rPr>
        <w:tab/>
      </w:r>
    </w:p>
    <w:p w14:paraId="6C1EA924" w14:textId="41DA9411" w:rsidR="008956A7" w:rsidRPr="0053490F" w:rsidRDefault="009D41F2" w:rsidP="009D41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Pr>
          <w:sz w:val="24"/>
        </w:rPr>
        <w:t>I</w:t>
      </w:r>
      <w:r w:rsidR="008956A7" w:rsidRPr="0053490F">
        <w:rPr>
          <w:sz w:val="24"/>
        </w:rPr>
        <w:t>tem Number:</w:t>
      </w:r>
      <w:r w:rsidR="008956A7" w:rsidRPr="0053490F">
        <w:rPr>
          <w:sz w:val="24"/>
        </w:rPr>
        <w:tab/>
      </w:r>
      <w:r w:rsidR="00DB4DC6" w:rsidRPr="0053490F">
        <w:rPr>
          <w:sz w:val="24"/>
        </w:rPr>
        <w:tab/>
      </w:r>
      <w:r w:rsidR="00246B28" w:rsidRPr="009B59D9">
        <w:rPr>
          <w:sz w:val="24"/>
        </w:rPr>
        <w:t>B</w:t>
      </w:r>
      <w:r w:rsidR="00CB0A67" w:rsidRPr="009B59D9">
        <w:rPr>
          <w:sz w:val="24"/>
        </w:rPr>
        <w:t>2</w:t>
      </w:r>
    </w:p>
    <w:p w14:paraId="6C1EA925"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6C1EA926" w14:textId="56F466AE"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3490F">
        <w:rPr>
          <w:b/>
          <w:bCs/>
          <w:sz w:val="24"/>
        </w:rPr>
        <w:t xml:space="preserve">Docket: </w:t>
      </w:r>
      <w:r w:rsidRPr="0053490F">
        <w:rPr>
          <w:b/>
          <w:bCs/>
          <w:sz w:val="24"/>
        </w:rPr>
        <w:tab/>
      </w:r>
      <w:r w:rsidRPr="0053490F">
        <w:rPr>
          <w:b/>
          <w:bCs/>
          <w:sz w:val="24"/>
        </w:rPr>
        <w:tab/>
      </w:r>
      <w:r w:rsidR="00697E4B" w:rsidRPr="0053490F">
        <w:rPr>
          <w:b/>
          <w:bCs/>
          <w:sz w:val="24"/>
        </w:rPr>
        <w:t>TG</w:t>
      </w:r>
      <w:r w:rsidRPr="0053490F">
        <w:rPr>
          <w:b/>
          <w:bCs/>
          <w:sz w:val="24"/>
        </w:rPr>
        <w:t>-</w:t>
      </w:r>
      <w:r w:rsidR="00832CF6">
        <w:rPr>
          <w:b/>
          <w:bCs/>
          <w:sz w:val="24"/>
        </w:rPr>
        <w:t>12</w:t>
      </w:r>
      <w:r w:rsidR="00EC6D15">
        <w:rPr>
          <w:b/>
          <w:bCs/>
          <w:sz w:val="24"/>
        </w:rPr>
        <w:t>1791</w:t>
      </w:r>
    </w:p>
    <w:p w14:paraId="00ABB39A" w14:textId="693365DD" w:rsidR="00621183" w:rsidRDefault="006E1E0E" w:rsidP="00EC6D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53490F">
        <w:rPr>
          <w:sz w:val="24"/>
        </w:rPr>
        <w:t>Company Name:</w:t>
      </w:r>
      <w:r w:rsidRPr="0053490F">
        <w:rPr>
          <w:sz w:val="24"/>
        </w:rPr>
        <w:tab/>
      </w:r>
      <w:r w:rsidR="00EC6D15" w:rsidRPr="00EC6D15">
        <w:rPr>
          <w:sz w:val="24"/>
        </w:rPr>
        <w:t>Mason County Garbage Co., Inc.</w:t>
      </w:r>
      <w:r w:rsidR="00EC6D15">
        <w:rPr>
          <w:sz w:val="24"/>
        </w:rPr>
        <w:t>,</w:t>
      </w:r>
      <w:r w:rsidR="009E55F8">
        <w:rPr>
          <w:sz w:val="24"/>
        </w:rPr>
        <w:t xml:space="preserve"> dba: </w:t>
      </w:r>
      <w:r w:rsidR="00EC6D15" w:rsidRPr="00EC6D15">
        <w:rPr>
          <w:sz w:val="24"/>
        </w:rPr>
        <w:t>Mason County Garbage</w:t>
      </w:r>
      <w:r w:rsidR="00EC6D15">
        <w:rPr>
          <w:sz w:val="24"/>
        </w:rPr>
        <w:t xml:space="preserve"> (G-88)</w:t>
      </w:r>
    </w:p>
    <w:p w14:paraId="5835E108" w14:textId="08951D9D" w:rsidR="004B609F" w:rsidRPr="0053490F" w:rsidRDefault="00621183" w:rsidP="004A6D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Pr>
          <w:sz w:val="24"/>
        </w:rPr>
        <w:tab/>
      </w:r>
      <w:r>
        <w:rPr>
          <w:sz w:val="24"/>
        </w:rPr>
        <w:tab/>
      </w:r>
      <w:r>
        <w:rPr>
          <w:sz w:val="24"/>
        </w:rPr>
        <w:tab/>
      </w:r>
    </w:p>
    <w:p w14:paraId="6C1EA928" w14:textId="77777777" w:rsidR="006326CE" w:rsidRPr="0053490F" w:rsidRDefault="006326C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14:paraId="6C1EA929" w14:textId="66D6FBCD"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u w:val="single"/>
        </w:rPr>
        <w:t>Staff:</w:t>
      </w:r>
      <w:r w:rsidRPr="0053490F">
        <w:rPr>
          <w:sz w:val="24"/>
        </w:rPr>
        <w:tab/>
      </w:r>
      <w:r w:rsidRPr="0053490F">
        <w:rPr>
          <w:sz w:val="24"/>
        </w:rPr>
        <w:tab/>
      </w:r>
      <w:r w:rsidRPr="0053490F">
        <w:rPr>
          <w:sz w:val="24"/>
        </w:rPr>
        <w:tab/>
      </w:r>
      <w:r w:rsidR="00EC6D15">
        <w:rPr>
          <w:sz w:val="24"/>
        </w:rPr>
        <w:t>Melissa Cheesman</w:t>
      </w:r>
      <w:r w:rsidRPr="0053490F">
        <w:rPr>
          <w:sz w:val="24"/>
        </w:rPr>
        <w:t>, Regulatory Analyst</w:t>
      </w:r>
    </w:p>
    <w:p w14:paraId="6C1EA92A" w14:textId="33E502ED"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r w:rsidR="000E0EA5">
        <w:rPr>
          <w:sz w:val="24"/>
        </w:rPr>
        <w:t>John Cupp</w:t>
      </w:r>
      <w:r w:rsidRPr="0053490F">
        <w:rPr>
          <w:sz w:val="24"/>
        </w:rPr>
        <w:t xml:space="preserve">, </w:t>
      </w:r>
      <w:r w:rsidR="00F061F8" w:rsidRPr="0053490F">
        <w:rPr>
          <w:sz w:val="24"/>
        </w:rPr>
        <w:t xml:space="preserve">Consumer </w:t>
      </w:r>
      <w:r w:rsidR="006B3E31" w:rsidRPr="0053490F">
        <w:rPr>
          <w:sz w:val="24"/>
        </w:rPr>
        <w:t>Protection Staff</w:t>
      </w:r>
    </w:p>
    <w:p w14:paraId="6C1EA92B" w14:textId="460F2B6A" w:rsidR="0045500C" w:rsidRPr="0053490F" w:rsidRDefault="0045500C" w:rsidP="00EC73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2C" w14:textId="77777777" w:rsidR="00F720D5" w:rsidRPr="0053490F"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Recommendation</w:t>
      </w:r>
    </w:p>
    <w:p w14:paraId="6C1EA92D" w14:textId="77777777" w:rsidR="00697E4B" w:rsidRPr="0053490F"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8CA6467" w14:textId="50073CE3" w:rsidR="003B15A3" w:rsidRPr="00C81019" w:rsidRDefault="000B3E1A" w:rsidP="003313B9">
      <w:pPr>
        <w:pStyle w:val="ListParagraph"/>
        <w:widowControl/>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81019">
        <w:rPr>
          <w:sz w:val="24"/>
        </w:rPr>
        <w:t xml:space="preserve">Dismiss the </w:t>
      </w:r>
      <w:r w:rsidR="003B15A3" w:rsidRPr="00C81019">
        <w:rPr>
          <w:sz w:val="24"/>
        </w:rPr>
        <w:t xml:space="preserve">Complaint and Order Suspending the Tariff Revisions filed </w:t>
      </w:r>
      <w:r w:rsidR="008721D9" w:rsidRPr="00C81019">
        <w:rPr>
          <w:sz w:val="24"/>
        </w:rPr>
        <w:t>on November 13, 2</w:t>
      </w:r>
      <w:r w:rsidR="008721D9">
        <w:rPr>
          <w:sz w:val="24"/>
        </w:rPr>
        <w:t xml:space="preserve">012, </w:t>
      </w:r>
      <w:r w:rsidR="003B15A3" w:rsidRPr="00C81019">
        <w:rPr>
          <w:sz w:val="24"/>
        </w:rPr>
        <w:t xml:space="preserve">by </w:t>
      </w:r>
      <w:r w:rsidR="00EC6D15" w:rsidRPr="00C81019">
        <w:rPr>
          <w:sz w:val="24"/>
        </w:rPr>
        <w:t>Mason County Garbage Co.</w:t>
      </w:r>
      <w:r w:rsidR="000E0EA5" w:rsidRPr="00C81019">
        <w:rPr>
          <w:sz w:val="24"/>
        </w:rPr>
        <w:t>, Inc.</w:t>
      </w:r>
    </w:p>
    <w:p w14:paraId="28ECDC69" w14:textId="77777777" w:rsidR="003313B9" w:rsidRDefault="003313B9" w:rsidP="003B15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1D06E6E" w14:textId="72BE8248" w:rsidR="003313B9" w:rsidRPr="00C81019" w:rsidRDefault="003313B9" w:rsidP="003313B9">
      <w:pPr>
        <w:pStyle w:val="ListParagraph"/>
        <w:widowControl/>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81019">
        <w:rPr>
          <w:sz w:val="24"/>
        </w:rPr>
        <w:t xml:space="preserve">Allow the revised </w:t>
      </w:r>
      <w:r w:rsidR="009B59D9">
        <w:rPr>
          <w:sz w:val="24"/>
        </w:rPr>
        <w:t xml:space="preserve">tariff revisions </w:t>
      </w:r>
      <w:r w:rsidRPr="00C81019">
        <w:rPr>
          <w:sz w:val="24"/>
        </w:rPr>
        <w:t xml:space="preserve">filed on </w:t>
      </w:r>
      <w:r w:rsidR="00C81019">
        <w:rPr>
          <w:sz w:val="24"/>
        </w:rPr>
        <w:t xml:space="preserve">March </w:t>
      </w:r>
      <w:r w:rsidR="002413B6">
        <w:rPr>
          <w:sz w:val="24"/>
        </w:rPr>
        <w:t>22</w:t>
      </w:r>
      <w:r w:rsidR="00EC6D15" w:rsidRPr="00C81019">
        <w:rPr>
          <w:sz w:val="24"/>
        </w:rPr>
        <w:t>, 2013</w:t>
      </w:r>
      <w:r w:rsidR="00DB4476" w:rsidRPr="00C81019">
        <w:rPr>
          <w:sz w:val="24"/>
        </w:rPr>
        <w:t>,</w:t>
      </w:r>
      <w:r w:rsidRPr="00C81019">
        <w:rPr>
          <w:sz w:val="24"/>
        </w:rPr>
        <w:t xml:space="preserve"> to become effective on </w:t>
      </w:r>
      <w:r w:rsidR="006373B5">
        <w:rPr>
          <w:sz w:val="24"/>
        </w:rPr>
        <w:t xml:space="preserve">    </w:t>
      </w:r>
      <w:r w:rsidR="00EC6D15" w:rsidRPr="00C81019">
        <w:rPr>
          <w:sz w:val="24"/>
        </w:rPr>
        <w:t>April 1, 2013.</w:t>
      </w:r>
    </w:p>
    <w:p w14:paraId="6C1EA92F" w14:textId="6A27ED60" w:rsidR="00487380" w:rsidRPr="0053490F" w:rsidRDefault="00487380" w:rsidP="003B15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30" w14:textId="77777777" w:rsidR="006C3C23" w:rsidRPr="0053490F"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b/>
          <w:bCs/>
          <w:sz w:val="24"/>
          <w:u w:val="single"/>
        </w:rPr>
        <w:t>Discussion</w:t>
      </w:r>
    </w:p>
    <w:p w14:paraId="6C1EA931" w14:textId="77777777"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33" w14:textId="67D256DC" w:rsidR="00C869AA" w:rsidRDefault="00AF717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O</w:t>
      </w:r>
      <w:r w:rsidR="002827B9" w:rsidRPr="0053490F">
        <w:rPr>
          <w:sz w:val="24"/>
        </w:rPr>
        <w:t xml:space="preserve">n </w:t>
      </w:r>
      <w:r w:rsidR="00EC6D15">
        <w:rPr>
          <w:sz w:val="24"/>
        </w:rPr>
        <w:t>November 13, 2012</w:t>
      </w:r>
      <w:r w:rsidR="00532AB3">
        <w:rPr>
          <w:sz w:val="24"/>
        </w:rPr>
        <w:t>,</w:t>
      </w:r>
      <w:r w:rsidR="001F1C87" w:rsidRPr="0053490F">
        <w:rPr>
          <w:sz w:val="24"/>
        </w:rPr>
        <w:t xml:space="preserve"> </w:t>
      </w:r>
      <w:r w:rsidR="00EC6D15">
        <w:rPr>
          <w:sz w:val="24"/>
        </w:rPr>
        <w:t>Mason County Garbage Co., Inc.</w:t>
      </w:r>
      <w:r w:rsidR="00EC6D15" w:rsidRPr="00EC6D15">
        <w:rPr>
          <w:sz w:val="24"/>
        </w:rPr>
        <w:t xml:space="preserve"> </w:t>
      </w:r>
      <w:r w:rsidR="00FB4376">
        <w:rPr>
          <w:sz w:val="24"/>
        </w:rPr>
        <w:t>(</w:t>
      </w:r>
      <w:r w:rsidR="00EC6D15">
        <w:rPr>
          <w:sz w:val="24"/>
        </w:rPr>
        <w:t>Mason</w:t>
      </w:r>
      <w:r w:rsidR="00AD22FC">
        <w:rPr>
          <w:sz w:val="24"/>
        </w:rPr>
        <w:t xml:space="preserve"> </w:t>
      </w:r>
      <w:r w:rsidR="00FB4376">
        <w:rPr>
          <w:sz w:val="24"/>
        </w:rPr>
        <w:t>or company)</w:t>
      </w:r>
      <w:r w:rsidR="001A545F">
        <w:rPr>
          <w:sz w:val="24"/>
        </w:rPr>
        <w:t>,</w:t>
      </w:r>
      <w:r w:rsidR="00FB4376">
        <w:rPr>
          <w:sz w:val="24"/>
        </w:rPr>
        <w:t xml:space="preserve"> </w:t>
      </w:r>
      <w:r w:rsidRPr="0053490F">
        <w:rPr>
          <w:sz w:val="24"/>
        </w:rPr>
        <w:t>filed tariff revisions</w:t>
      </w:r>
      <w:r w:rsidR="00E44F84" w:rsidRPr="0053490F">
        <w:rPr>
          <w:sz w:val="24"/>
        </w:rPr>
        <w:t xml:space="preserve"> </w:t>
      </w:r>
      <w:r w:rsidR="002827B9" w:rsidRPr="0053490F">
        <w:rPr>
          <w:sz w:val="24"/>
        </w:rPr>
        <w:t>with the Utilities and Transportation Commission (commission)</w:t>
      </w:r>
      <w:r w:rsidR="001A545F">
        <w:rPr>
          <w:sz w:val="24"/>
        </w:rPr>
        <w:t xml:space="preserve"> that would </w:t>
      </w:r>
      <w:r w:rsidR="006D0B94" w:rsidRPr="0053490F">
        <w:rPr>
          <w:sz w:val="24"/>
        </w:rPr>
        <w:t>generate approximately $</w:t>
      </w:r>
      <w:r w:rsidR="00EC6D15">
        <w:rPr>
          <w:sz w:val="24"/>
        </w:rPr>
        <w:t>387,000</w:t>
      </w:r>
      <w:r w:rsidR="006D0B94" w:rsidRPr="0053490F">
        <w:rPr>
          <w:sz w:val="24"/>
        </w:rPr>
        <w:t xml:space="preserve"> (</w:t>
      </w:r>
      <w:r w:rsidR="00EC6D15">
        <w:rPr>
          <w:sz w:val="24"/>
        </w:rPr>
        <w:t>13</w:t>
      </w:r>
      <w:r w:rsidR="004C6F5C">
        <w:rPr>
          <w:sz w:val="24"/>
        </w:rPr>
        <w:t xml:space="preserve"> </w:t>
      </w:r>
      <w:r w:rsidR="006D0B94" w:rsidRPr="0053490F">
        <w:rPr>
          <w:sz w:val="24"/>
        </w:rPr>
        <w:t>percent) in additional annual revenue</w:t>
      </w:r>
      <w:r w:rsidR="001A545F">
        <w:rPr>
          <w:sz w:val="24"/>
        </w:rPr>
        <w:t xml:space="preserve"> for the collection of </w:t>
      </w:r>
      <w:r w:rsidR="001A545F" w:rsidRPr="001A545F">
        <w:rPr>
          <w:sz w:val="24"/>
        </w:rPr>
        <w:t>residential, commercial, and drop box garbage, and residential recycling</w:t>
      </w:r>
      <w:r w:rsidR="006D0B94" w:rsidRPr="0053490F">
        <w:rPr>
          <w:sz w:val="24"/>
        </w:rPr>
        <w:t xml:space="preserve">. </w:t>
      </w:r>
      <w:r w:rsidR="00494774" w:rsidRPr="00494774">
        <w:rPr>
          <w:sz w:val="24"/>
        </w:rPr>
        <w:t>The proposed increases are prompted by increases in disposal fees, employee wages and benefi</w:t>
      </w:r>
      <w:r w:rsidR="009E55F8">
        <w:rPr>
          <w:sz w:val="24"/>
        </w:rPr>
        <w:t xml:space="preserve">ts, fuel, parts and equipment. </w:t>
      </w:r>
      <w:r w:rsidR="00494774" w:rsidRPr="00494774">
        <w:rPr>
          <w:sz w:val="24"/>
        </w:rPr>
        <w:t>The company’s last general rate increase beca</w:t>
      </w:r>
      <w:r w:rsidR="009E55F8">
        <w:rPr>
          <w:sz w:val="24"/>
        </w:rPr>
        <w:t xml:space="preserve">me effective </w:t>
      </w:r>
      <w:r w:rsidR="002E4DC6">
        <w:rPr>
          <w:sz w:val="24"/>
        </w:rPr>
        <w:t xml:space="preserve">on </w:t>
      </w:r>
      <w:r w:rsidR="009E55F8">
        <w:rPr>
          <w:sz w:val="24"/>
        </w:rPr>
        <w:t xml:space="preserve">February 1, 2011. </w:t>
      </w:r>
      <w:r w:rsidR="00494774" w:rsidRPr="00494774">
        <w:rPr>
          <w:sz w:val="24"/>
        </w:rPr>
        <w:t>The company filed revised tariff pages on December 3, 2</w:t>
      </w:r>
      <w:r w:rsidR="00494774">
        <w:rPr>
          <w:sz w:val="24"/>
        </w:rPr>
        <w:t xml:space="preserve">012, </w:t>
      </w:r>
      <w:r w:rsidR="00494774" w:rsidRPr="00494774">
        <w:rPr>
          <w:sz w:val="24"/>
        </w:rPr>
        <w:t>December 19, 2012</w:t>
      </w:r>
      <w:r w:rsidR="00494774">
        <w:rPr>
          <w:sz w:val="24"/>
        </w:rPr>
        <w:t xml:space="preserve">, </w:t>
      </w:r>
      <w:r w:rsidR="00C81019">
        <w:rPr>
          <w:sz w:val="24"/>
        </w:rPr>
        <w:t>March 19</w:t>
      </w:r>
      <w:r w:rsidR="00494774" w:rsidRPr="00C81019">
        <w:rPr>
          <w:sz w:val="24"/>
        </w:rPr>
        <w:t>, 2013</w:t>
      </w:r>
      <w:r w:rsidR="00B21FFD">
        <w:rPr>
          <w:sz w:val="24"/>
        </w:rPr>
        <w:t>, and March 22, 2013</w:t>
      </w:r>
      <w:r w:rsidR="00494774" w:rsidRPr="00C81019">
        <w:rPr>
          <w:sz w:val="24"/>
        </w:rPr>
        <w:t>. The company serves approximately 10,000 customers in Mason County.</w:t>
      </w:r>
      <w:r w:rsidR="00494774" w:rsidRPr="00494774">
        <w:rPr>
          <w:sz w:val="24"/>
        </w:rPr>
        <w:t xml:space="preserve">  </w:t>
      </w:r>
    </w:p>
    <w:p w14:paraId="6BE7A23E" w14:textId="77777777" w:rsidR="00494774" w:rsidRPr="0053490F" w:rsidRDefault="00494774"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34" w14:textId="43DC633B" w:rsidR="005F567A" w:rsidRDefault="00DB4476"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On </w:t>
      </w:r>
      <w:r w:rsidR="001D6409">
        <w:rPr>
          <w:sz w:val="24"/>
        </w:rPr>
        <w:t>December 19, 2012</w:t>
      </w:r>
      <w:r>
        <w:rPr>
          <w:sz w:val="24"/>
        </w:rPr>
        <w:t xml:space="preserve">, the company filed revised tariff pages designed to recover just </w:t>
      </w:r>
      <w:r w:rsidR="00FC39B9">
        <w:rPr>
          <w:sz w:val="24"/>
        </w:rPr>
        <w:t>the disposal increase</w:t>
      </w:r>
      <w:r w:rsidR="001D6409">
        <w:rPr>
          <w:sz w:val="24"/>
        </w:rPr>
        <w:t xml:space="preserve"> </w:t>
      </w:r>
      <w:r w:rsidR="001A545F">
        <w:rPr>
          <w:sz w:val="24"/>
        </w:rPr>
        <w:t xml:space="preserve">portion </w:t>
      </w:r>
      <w:r w:rsidR="001D6409">
        <w:rPr>
          <w:sz w:val="24"/>
        </w:rPr>
        <w:t>of the proposed rates</w:t>
      </w:r>
      <w:r>
        <w:rPr>
          <w:sz w:val="24"/>
        </w:rPr>
        <w:t>. The revenue impact of the disposal increase is approximately $</w:t>
      </w:r>
      <w:r w:rsidR="001D6409">
        <w:rPr>
          <w:sz w:val="24"/>
        </w:rPr>
        <w:t>11</w:t>
      </w:r>
      <w:r w:rsidR="00D66A1A">
        <w:rPr>
          <w:sz w:val="24"/>
        </w:rPr>
        <w:t>,000</w:t>
      </w:r>
      <w:r>
        <w:rPr>
          <w:sz w:val="24"/>
        </w:rPr>
        <w:t xml:space="preserve"> </w:t>
      </w:r>
      <w:r w:rsidR="001D6409">
        <w:rPr>
          <w:sz w:val="24"/>
        </w:rPr>
        <w:t xml:space="preserve">(0.44 percent) </w:t>
      </w:r>
      <w:r>
        <w:rPr>
          <w:sz w:val="24"/>
        </w:rPr>
        <w:t>additional annual</w:t>
      </w:r>
      <w:r w:rsidR="00414408">
        <w:rPr>
          <w:sz w:val="24"/>
        </w:rPr>
        <w:t xml:space="preserve"> revenue</w:t>
      </w:r>
      <w:r>
        <w:rPr>
          <w:sz w:val="24"/>
        </w:rPr>
        <w:t>.</w:t>
      </w:r>
    </w:p>
    <w:p w14:paraId="7EA51949" w14:textId="77777777" w:rsidR="00DB4476" w:rsidRDefault="00DB4476"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EC7F624" w14:textId="76934A13" w:rsidR="00DB4476" w:rsidRDefault="00DB4476"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On </w:t>
      </w:r>
      <w:r w:rsidR="00953B04">
        <w:rPr>
          <w:sz w:val="24"/>
        </w:rPr>
        <w:t>December 27, 2012</w:t>
      </w:r>
      <w:r>
        <w:rPr>
          <w:sz w:val="24"/>
        </w:rPr>
        <w:t>, the commission entered a Complaint and Order Suspending Tariff Revisions and allowed the revised pages filed on</w:t>
      </w:r>
      <w:r w:rsidR="00953B04">
        <w:rPr>
          <w:sz w:val="24"/>
        </w:rPr>
        <w:t xml:space="preserve"> December 19, 2012</w:t>
      </w:r>
      <w:r>
        <w:rPr>
          <w:sz w:val="24"/>
        </w:rPr>
        <w:t xml:space="preserve">, to become effective </w:t>
      </w:r>
      <w:r w:rsidR="00735723">
        <w:rPr>
          <w:sz w:val="24"/>
        </w:rPr>
        <w:t xml:space="preserve">on </w:t>
      </w:r>
      <w:r w:rsidR="00953B04">
        <w:rPr>
          <w:sz w:val="24"/>
        </w:rPr>
        <w:t>January 1, 2013</w:t>
      </w:r>
      <w:r>
        <w:rPr>
          <w:sz w:val="24"/>
        </w:rPr>
        <w:t>, on a temporary basis, subject to refund.</w:t>
      </w:r>
    </w:p>
    <w:p w14:paraId="09E4AD4B" w14:textId="77777777" w:rsidR="00EB0B9D" w:rsidRDefault="00EB0B9D"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01013B6" w14:textId="31CDA459" w:rsidR="00CB0A67" w:rsidRDefault="00CB0A67"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53B04">
        <w:rPr>
          <w:sz w:val="24"/>
        </w:rPr>
        <w:t xml:space="preserve">Staff has completed its review of the company’s supporting financial documents, books and records. </w:t>
      </w:r>
      <w:r w:rsidR="008721D9">
        <w:rPr>
          <w:sz w:val="24"/>
        </w:rPr>
        <w:t>The primary contested issues in the case</w:t>
      </w:r>
      <w:r>
        <w:rPr>
          <w:sz w:val="24"/>
        </w:rPr>
        <w:t xml:space="preserve"> included: </w:t>
      </w:r>
      <w:r w:rsidR="0066236F">
        <w:rPr>
          <w:sz w:val="24"/>
        </w:rPr>
        <w:t xml:space="preserve">the company’s computer model integrity, </w:t>
      </w:r>
      <w:r>
        <w:rPr>
          <w:sz w:val="24"/>
        </w:rPr>
        <w:t xml:space="preserve">capital structure, affiliate transactions, affiliate expenses for repairs and </w:t>
      </w:r>
      <w:r w:rsidR="008721D9">
        <w:rPr>
          <w:sz w:val="24"/>
        </w:rPr>
        <w:t>building /</w:t>
      </w:r>
      <w:r>
        <w:rPr>
          <w:sz w:val="24"/>
        </w:rPr>
        <w:t xml:space="preserve"> property maintenance, affiliate profit margin, legal expenses for recycling, and pro forma wage increases. </w:t>
      </w:r>
    </w:p>
    <w:p w14:paraId="10EE65C1" w14:textId="77777777" w:rsidR="00CB0A67" w:rsidRDefault="00CB0A67"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4C2540A" w14:textId="3613CB24" w:rsidR="00CB0A67" w:rsidRDefault="00CB0A67"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53B04">
        <w:rPr>
          <w:sz w:val="24"/>
        </w:rPr>
        <w:t>Staff’s review found that the company’s proposed rates would result in excess revenue.</w:t>
      </w:r>
    </w:p>
    <w:p w14:paraId="2A1CEE0E" w14:textId="2F68AD10" w:rsidR="00573D3D" w:rsidRDefault="00953B04"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53B04">
        <w:rPr>
          <w:sz w:val="24"/>
        </w:rPr>
        <w:t xml:space="preserve">Staff and the company agreed to a revised revenue </w:t>
      </w:r>
      <w:r w:rsidRPr="00C81019">
        <w:rPr>
          <w:sz w:val="24"/>
        </w:rPr>
        <w:t xml:space="preserve">requirement of </w:t>
      </w:r>
      <w:r w:rsidR="00C81019" w:rsidRPr="00C81019">
        <w:rPr>
          <w:sz w:val="24"/>
        </w:rPr>
        <w:t>$139</w:t>
      </w:r>
      <w:r w:rsidRPr="00C81019">
        <w:rPr>
          <w:sz w:val="24"/>
        </w:rPr>
        <w:t>,000 (3.2 percent) additional annual revenue. On</w:t>
      </w:r>
      <w:r w:rsidR="002413B6">
        <w:rPr>
          <w:sz w:val="24"/>
        </w:rPr>
        <w:t xml:space="preserve"> March 19, 2013</w:t>
      </w:r>
      <w:r w:rsidR="008721D9">
        <w:rPr>
          <w:sz w:val="24"/>
        </w:rPr>
        <w:t>,</w:t>
      </w:r>
      <w:r w:rsidR="002413B6">
        <w:rPr>
          <w:sz w:val="24"/>
        </w:rPr>
        <w:t xml:space="preserve"> and</w:t>
      </w:r>
      <w:r w:rsidRPr="00C81019">
        <w:rPr>
          <w:sz w:val="24"/>
        </w:rPr>
        <w:t xml:space="preserve"> </w:t>
      </w:r>
      <w:r w:rsidR="00C81019">
        <w:rPr>
          <w:sz w:val="24"/>
        </w:rPr>
        <w:t xml:space="preserve">March </w:t>
      </w:r>
      <w:r w:rsidR="002413B6">
        <w:rPr>
          <w:sz w:val="24"/>
        </w:rPr>
        <w:t>22</w:t>
      </w:r>
      <w:r w:rsidRPr="00C81019">
        <w:rPr>
          <w:sz w:val="24"/>
        </w:rPr>
        <w:t>, 2013, Mason filed revised</w:t>
      </w:r>
      <w:r w:rsidRPr="00953B04">
        <w:rPr>
          <w:sz w:val="24"/>
        </w:rPr>
        <w:t xml:space="preserve"> tariff pages with the revised rates at staff recommended levels.</w:t>
      </w:r>
    </w:p>
    <w:p w14:paraId="373FD2C8" w14:textId="77777777" w:rsidR="00953B04" w:rsidRDefault="00953B04"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5A852A7" w14:textId="4B394DC8" w:rsidR="009F1BE0" w:rsidRPr="009F1BE0" w:rsidRDefault="008721D9" w:rsidP="0066236F">
      <w:pPr>
        <w:widowControl/>
        <w:autoSpaceDE/>
        <w:autoSpaceDN/>
        <w:adjustRightInd/>
        <w:jc w:val="center"/>
        <w:rPr>
          <w:rFonts w:eastAsiaTheme="minorHAnsi"/>
          <w:sz w:val="24"/>
        </w:rPr>
      </w:pPr>
      <w:r>
        <w:rPr>
          <w:rFonts w:eastAsiaTheme="minorHAnsi"/>
          <w:b/>
          <w:sz w:val="24"/>
          <w:u w:val="single"/>
        </w:rPr>
        <w:br w:type="page"/>
      </w:r>
      <w:r w:rsidR="009F1BE0" w:rsidRPr="009F1BE0">
        <w:rPr>
          <w:rFonts w:eastAsiaTheme="minorHAnsi"/>
          <w:b/>
          <w:sz w:val="24"/>
          <w:u w:val="single"/>
        </w:rPr>
        <w:lastRenderedPageBreak/>
        <w:t>Rate Comparison</w:t>
      </w:r>
    </w:p>
    <w:p w14:paraId="3577BA51" w14:textId="77777777" w:rsidR="009F1BE0" w:rsidRPr="009F1BE0" w:rsidRDefault="009F1BE0" w:rsidP="009F1BE0">
      <w:pPr>
        <w:widowControl/>
        <w:autoSpaceDE/>
        <w:autoSpaceDN/>
        <w:adjustRightInd/>
        <w:jc w:val="center"/>
        <w:rPr>
          <w:rFonts w:eastAsiaTheme="minorHAnsi"/>
          <w:sz w:val="24"/>
        </w:rPr>
      </w:pPr>
    </w:p>
    <w:tbl>
      <w:tblPr>
        <w:tblStyle w:val="TableGrid1"/>
        <w:tblW w:w="9576" w:type="dxa"/>
        <w:tblLook w:val="04A0" w:firstRow="1" w:lastRow="0" w:firstColumn="1" w:lastColumn="0" w:noHBand="0" w:noVBand="1"/>
      </w:tblPr>
      <w:tblGrid>
        <w:gridCol w:w="2979"/>
        <w:gridCol w:w="1259"/>
        <w:gridCol w:w="1260"/>
        <w:gridCol w:w="1529"/>
        <w:gridCol w:w="1277"/>
        <w:gridCol w:w="1272"/>
      </w:tblGrid>
      <w:tr w:rsidR="009F1BE0" w:rsidRPr="009F1BE0" w14:paraId="3EB0AF88" w14:textId="34364930" w:rsidTr="001736DB">
        <w:trPr>
          <w:trHeight w:val="845"/>
        </w:trPr>
        <w:tc>
          <w:tcPr>
            <w:tcW w:w="2979" w:type="dxa"/>
            <w:vAlign w:val="center"/>
          </w:tcPr>
          <w:p w14:paraId="4D33939C" w14:textId="77777777" w:rsidR="009F1BE0" w:rsidRPr="009F1BE0" w:rsidRDefault="009F1BE0" w:rsidP="009F1BE0">
            <w:pPr>
              <w:widowControl/>
              <w:autoSpaceDE/>
              <w:autoSpaceDN/>
              <w:adjustRightInd/>
              <w:rPr>
                <w:rFonts w:ascii="Times New Roman" w:hAnsi="Times New Roman" w:cs="Times New Roman"/>
                <w:b/>
                <w:sz w:val="24"/>
              </w:rPr>
            </w:pPr>
            <w:r w:rsidRPr="009F1BE0">
              <w:rPr>
                <w:rFonts w:ascii="Times New Roman" w:hAnsi="Times New Roman" w:cs="Times New Roman"/>
                <w:b/>
                <w:sz w:val="24"/>
              </w:rPr>
              <w:t>Residential Garbage</w:t>
            </w:r>
          </w:p>
        </w:tc>
        <w:tc>
          <w:tcPr>
            <w:tcW w:w="1259" w:type="dxa"/>
            <w:vAlign w:val="center"/>
          </w:tcPr>
          <w:p w14:paraId="4EB2ADE0" w14:textId="77777777" w:rsidR="009F1BE0" w:rsidRPr="009F1BE0" w:rsidRDefault="009F1BE0" w:rsidP="009F1BE0">
            <w:pPr>
              <w:widowControl/>
              <w:autoSpaceDE/>
              <w:autoSpaceDN/>
              <w:adjustRightInd/>
              <w:jc w:val="center"/>
              <w:rPr>
                <w:rFonts w:ascii="Times New Roman" w:hAnsi="Times New Roman" w:cs="Times New Roman"/>
                <w:b/>
                <w:sz w:val="24"/>
              </w:rPr>
            </w:pPr>
            <w:r w:rsidRPr="009F1BE0">
              <w:rPr>
                <w:rFonts w:ascii="Times New Roman" w:hAnsi="Times New Roman" w:cs="Times New Roman"/>
                <w:b/>
                <w:sz w:val="24"/>
              </w:rPr>
              <w:t>Current Rate</w:t>
            </w:r>
          </w:p>
        </w:tc>
        <w:tc>
          <w:tcPr>
            <w:tcW w:w="1260" w:type="dxa"/>
            <w:vAlign w:val="center"/>
          </w:tcPr>
          <w:p w14:paraId="37C53AEC" w14:textId="77777777" w:rsidR="009F1BE0" w:rsidRPr="009F1BE0" w:rsidRDefault="009F1BE0" w:rsidP="009F1BE0">
            <w:pPr>
              <w:widowControl/>
              <w:autoSpaceDE/>
              <w:autoSpaceDN/>
              <w:adjustRightInd/>
              <w:jc w:val="center"/>
              <w:rPr>
                <w:rFonts w:ascii="Times New Roman" w:hAnsi="Times New Roman" w:cs="Times New Roman"/>
                <w:b/>
                <w:sz w:val="24"/>
              </w:rPr>
            </w:pPr>
            <w:r w:rsidRPr="009F1BE0">
              <w:rPr>
                <w:rFonts w:ascii="Times New Roman" w:hAnsi="Times New Roman" w:cs="Times New Roman"/>
                <w:b/>
                <w:sz w:val="24"/>
              </w:rPr>
              <w:t>Proposed Rate</w:t>
            </w:r>
          </w:p>
        </w:tc>
        <w:tc>
          <w:tcPr>
            <w:tcW w:w="1529" w:type="dxa"/>
          </w:tcPr>
          <w:p w14:paraId="51016C9D" w14:textId="385F6403" w:rsidR="009F1BE0" w:rsidRPr="009F1BE0" w:rsidRDefault="009F1BE0" w:rsidP="009F1BE0">
            <w:pPr>
              <w:widowControl/>
              <w:autoSpaceDE/>
              <w:autoSpaceDN/>
              <w:adjustRightInd/>
              <w:jc w:val="center"/>
              <w:rPr>
                <w:rFonts w:ascii="Times New Roman" w:hAnsi="Times New Roman" w:cs="Times New Roman"/>
                <w:b/>
                <w:sz w:val="24"/>
              </w:rPr>
            </w:pPr>
            <w:r w:rsidRPr="009F1BE0">
              <w:rPr>
                <w:rFonts w:ascii="Times New Roman" w:hAnsi="Times New Roman" w:cs="Times New Roman"/>
                <w:b/>
                <w:sz w:val="24"/>
              </w:rPr>
              <w:t>Temporary Disposal</w:t>
            </w:r>
            <w:r w:rsidR="007A1DB0">
              <w:rPr>
                <w:rFonts w:ascii="Times New Roman" w:hAnsi="Times New Roman" w:cs="Times New Roman"/>
                <w:b/>
                <w:sz w:val="24"/>
              </w:rPr>
              <w:t>-</w:t>
            </w:r>
            <w:r w:rsidRPr="009F1BE0">
              <w:rPr>
                <w:rFonts w:ascii="Times New Roman" w:hAnsi="Times New Roman" w:cs="Times New Roman"/>
                <w:b/>
                <w:sz w:val="24"/>
              </w:rPr>
              <w:t>Only Rate</w:t>
            </w:r>
          </w:p>
        </w:tc>
        <w:tc>
          <w:tcPr>
            <w:tcW w:w="1277" w:type="dxa"/>
            <w:vAlign w:val="center"/>
          </w:tcPr>
          <w:p w14:paraId="35C6A021" w14:textId="1C117543" w:rsidR="009F1BE0" w:rsidRPr="009F1BE0" w:rsidRDefault="009F1BE0" w:rsidP="009F1BE0">
            <w:pPr>
              <w:widowControl/>
              <w:autoSpaceDE/>
              <w:autoSpaceDN/>
              <w:adjustRightInd/>
              <w:jc w:val="center"/>
              <w:rPr>
                <w:rFonts w:ascii="Times New Roman" w:hAnsi="Times New Roman" w:cs="Times New Roman"/>
                <w:b/>
                <w:sz w:val="24"/>
              </w:rPr>
            </w:pPr>
            <w:r>
              <w:rPr>
                <w:rFonts w:ascii="Times New Roman" w:hAnsi="Times New Roman" w:cs="Times New Roman"/>
                <w:b/>
                <w:sz w:val="24"/>
              </w:rPr>
              <w:t>Revised Rates</w:t>
            </w:r>
          </w:p>
        </w:tc>
        <w:tc>
          <w:tcPr>
            <w:tcW w:w="1272" w:type="dxa"/>
            <w:vAlign w:val="center"/>
          </w:tcPr>
          <w:p w14:paraId="438DD0C2" w14:textId="079D269A" w:rsidR="009F1BE0" w:rsidRDefault="009F1BE0" w:rsidP="009F1BE0">
            <w:pPr>
              <w:widowControl/>
              <w:autoSpaceDE/>
              <w:autoSpaceDN/>
              <w:adjustRightInd/>
              <w:jc w:val="center"/>
              <w:rPr>
                <w:b/>
                <w:sz w:val="24"/>
              </w:rPr>
            </w:pPr>
            <w:r w:rsidRPr="009F1BE0">
              <w:rPr>
                <w:rFonts w:ascii="Times New Roman" w:hAnsi="Times New Roman" w:cs="Times New Roman"/>
                <w:b/>
                <w:sz w:val="24"/>
              </w:rPr>
              <w:t>Percent Increase</w:t>
            </w:r>
          </w:p>
        </w:tc>
      </w:tr>
      <w:tr w:rsidR="009F1BE0" w:rsidRPr="009F1BE0" w14:paraId="02174096" w14:textId="740A2B06" w:rsidTr="009F1BE0">
        <w:tc>
          <w:tcPr>
            <w:tcW w:w="2979" w:type="dxa"/>
          </w:tcPr>
          <w:p w14:paraId="1B4ACED9" w14:textId="77777777" w:rsidR="009F1BE0" w:rsidRPr="009F1BE0" w:rsidRDefault="009F1BE0" w:rsidP="009F1BE0">
            <w:pPr>
              <w:widowControl/>
              <w:autoSpaceDE/>
              <w:autoSpaceDN/>
              <w:adjustRightInd/>
              <w:rPr>
                <w:rFonts w:ascii="Times New Roman" w:hAnsi="Times New Roman" w:cs="Times New Roman"/>
                <w:sz w:val="24"/>
              </w:rPr>
            </w:pPr>
            <w:r w:rsidRPr="009F1BE0">
              <w:rPr>
                <w:rFonts w:ascii="Times New Roman" w:hAnsi="Times New Roman" w:cs="Times New Roman"/>
                <w:sz w:val="24"/>
              </w:rPr>
              <w:t xml:space="preserve">One 32-Gallon Can Weekly Pick-Up </w:t>
            </w:r>
          </w:p>
        </w:tc>
        <w:tc>
          <w:tcPr>
            <w:tcW w:w="1259" w:type="dxa"/>
          </w:tcPr>
          <w:p w14:paraId="1FEE1787"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$14.85</w:t>
            </w:r>
          </w:p>
        </w:tc>
        <w:tc>
          <w:tcPr>
            <w:tcW w:w="1260" w:type="dxa"/>
          </w:tcPr>
          <w:p w14:paraId="0C094E78"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$15.34</w:t>
            </w:r>
          </w:p>
        </w:tc>
        <w:tc>
          <w:tcPr>
            <w:tcW w:w="1529" w:type="dxa"/>
          </w:tcPr>
          <w:p w14:paraId="05C8C416"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$14.93</w:t>
            </w:r>
          </w:p>
        </w:tc>
        <w:tc>
          <w:tcPr>
            <w:tcW w:w="1277" w:type="dxa"/>
          </w:tcPr>
          <w:p w14:paraId="4FC24DBE" w14:textId="4D38AA4D" w:rsidR="009F1BE0" w:rsidRPr="009F1BE0" w:rsidRDefault="006B7C42" w:rsidP="009F1BE0">
            <w:pPr>
              <w:widowControl/>
              <w:autoSpaceDE/>
              <w:autoSpaceDN/>
              <w:adjustRightInd/>
              <w:jc w:val="center"/>
              <w:rPr>
                <w:rFonts w:ascii="Times New Roman" w:hAnsi="Times New Roman" w:cs="Times New Roman"/>
                <w:sz w:val="24"/>
              </w:rPr>
            </w:pPr>
            <w:r>
              <w:rPr>
                <w:rFonts w:ascii="Times New Roman" w:hAnsi="Times New Roman" w:cs="Times New Roman"/>
                <w:sz w:val="24"/>
              </w:rPr>
              <w:t>$15.12</w:t>
            </w:r>
          </w:p>
        </w:tc>
        <w:tc>
          <w:tcPr>
            <w:tcW w:w="1272" w:type="dxa"/>
          </w:tcPr>
          <w:p w14:paraId="1F2A2244" w14:textId="11EA1987" w:rsidR="009F1BE0" w:rsidRPr="001736DB" w:rsidRDefault="006B7C42" w:rsidP="009F1BE0">
            <w:pPr>
              <w:widowControl/>
              <w:autoSpaceDE/>
              <w:autoSpaceDN/>
              <w:adjustRightInd/>
              <w:jc w:val="center"/>
              <w:rPr>
                <w:rFonts w:ascii="Times New Roman" w:hAnsi="Times New Roman" w:cs="Times New Roman"/>
                <w:sz w:val="24"/>
              </w:rPr>
            </w:pPr>
            <w:r w:rsidRPr="001736DB">
              <w:rPr>
                <w:rFonts w:ascii="Times New Roman" w:hAnsi="Times New Roman" w:cs="Times New Roman"/>
                <w:sz w:val="24"/>
              </w:rPr>
              <w:t>1.8%</w:t>
            </w:r>
          </w:p>
        </w:tc>
      </w:tr>
      <w:tr w:rsidR="009F1BE0" w:rsidRPr="009F1BE0" w14:paraId="2EF4183F" w14:textId="2FC50C6B" w:rsidTr="009F1BE0">
        <w:tc>
          <w:tcPr>
            <w:tcW w:w="2979" w:type="dxa"/>
          </w:tcPr>
          <w:p w14:paraId="51155DA2" w14:textId="77777777" w:rsidR="009F1BE0" w:rsidRPr="009F1BE0" w:rsidRDefault="009F1BE0" w:rsidP="009F1BE0">
            <w:pPr>
              <w:widowControl/>
              <w:autoSpaceDE/>
              <w:autoSpaceDN/>
              <w:adjustRightInd/>
              <w:rPr>
                <w:rFonts w:ascii="Times New Roman" w:hAnsi="Times New Roman" w:cs="Times New Roman"/>
                <w:sz w:val="24"/>
              </w:rPr>
            </w:pPr>
            <w:r w:rsidRPr="009F1BE0">
              <w:rPr>
                <w:rFonts w:ascii="Times New Roman" w:hAnsi="Times New Roman" w:cs="Times New Roman"/>
                <w:sz w:val="24"/>
              </w:rPr>
              <w:t>One 35-Gallon Cart Weekly Pick-Up</w:t>
            </w:r>
          </w:p>
        </w:tc>
        <w:tc>
          <w:tcPr>
            <w:tcW w:w="1259" w:type="dxa"/>
          </w:tcPr>
          <w:p w14:paraId="3BB5F0F6"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$17.08</w:t>
            </w:r>
          </w:p>
        </w:tc>
        <w:tc>
          <w:tcPr>
            <w:tcW w:w="1260" w:type="dxa"/>
          </w:tcPr>
          <w:p w14:paraId="4DE9E76E"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$17.64</w:t>
            </w:r>
          </w:p>
        </w:tc>
        <w:tc>
          <w:tcPr>
            <w:tcW w:w="1529" w:type="dxa"/>
          </w:tcPr>
          <w:p w14:paraId="068B742A"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$17.17</w:t>
            </w:r>
          </w:p>
        </w:tc>
        <w:tc>
          <w:tcPr>
            <w:tcW w:w="1277" w:type="dxa"/>
          </w:tcPr>
          <w:p w14:paraId="20963107" w14:textId="5CE20371" w:rsidR="009F1BE0" w:rsidRPr="009F1BE0" w:rsidRDefault="006B7C42" w:rsidP="009F1BE0">
            <w:pPr>
              <w:widowControl/>
              <w:autoSpaceDE/>
              <w:autoSpaceDN/>
              <w:adjustRightInd/>
              <w:jc w:val="center"/>
              <w:rPr>
                <w:rFonts w:ascii="Times New Roman" w:hAnsi="Times New Roman" w:cs="Times New Roman"/>
                <w:sz w:val="24"/>
              </w:rPr>
            </w:pPr>
            <w:r>
              <w:rPr>
                <w:rFonts w:ascii="Times New Roman" w:hAnsi="Times New Roman" w:cs="Times New Roman"/>
                <w:sz w:val="24"/>
              </w:rPr>
              <w:t>$17.37</w:t>
            </w:r>
          </w:p>
        </w:tc>
        <w:tc>
          <w:tcPr>
            <w:tcW w:w="1272" w:type="dxa"/>
          </w:tcPr>
          <w:p w14:paraId="49291F5B" w14:textId="65AAF71E" w:rsidR="009F1BE0" w:rsidRPr="001736DB" w:rsidRDefault="006B7C42" w:rsidP="009F1BE0">
            <w:pPr>
              <w:widowControl/>
              <w:autoSpaceDE/>
              <w:autoSpaceDN/>
              <w:adjustRightInd/>
              <w:jc w:val="center"/>
              <w:rPr>
                <w:rFonts w:ascii="Times New Roman" w:hAnsi="Times New Roman" w:cs="Times New Roman"/>
                <w:sz w:val="24"/>
              </w:rPr>
            </w:pPr>
            <w:r w:rsidRPr="001736DB">
              <w:rPr>
                <w:rFonts w:ascii="Times New Roman" w:hAnsi="Times New Roman" w:cs="Times New Roman"/>
                <w:sz w:val="24"/>
              </w:rPr>
              <w:t>1.7%</w:t>
            </w:r>
          </w:p>
        </w:tc>
      </w:tr>
      <w:tr w:rsidR="009F1BE0" w:rsidRPr="009F1BE0" w14:paraId="2A3616FC" w14:textId="2D71418A" w:rsidTr="009F1BE0">
        <w:tc>
          <w:tcPr>
            <w:tcW w:w="2979" w:type="dxa"/>
          </w:tcPr>
          <w:p w14:paraId="6552EA13" w14:textId="77777777" w:rsidR="009F1BE0" w:rsidRPr="009F1BE0" w:rsidRDefault="009F1BE0" w:rsidP="009F1BE0">
            <w:pPr>
              <w:widowControl/>
              <w:autoSpaceDE/>
              <w:autoSpaceDN/>
              <w:adjustRightInd/>
              <w:rPr>
                <w:rFonts w:ascii="Times New Roman" w:hAnsi="Times New Roman" w:cs="Times New Roman"/>
                <w:sz w:val="24"/>
              </w:rPr>
            </w:pPr>
            <w:r w:rsidRPr="009F1BE0">
              <w:rPr>
                <w:rFonts w:ascii="Times New Roman" w:hAnsi="Times New Roman" w:cs="Times New Roman"/>
                <w:sz w:val="24"/>
              </w:rPr>
              <w:t xml:space="preserve">One 32-Gallon Can Every-Other-Week Pick-Up </w:t>
            </w:r>
          </w:p>
        </w:tc>
        <w:tc>
          <w:tcPr>
            <w:tcW w:w="1259" w:type="dxa"/>
          </w:tcPr>
          <w:p w14:paraId="38EAB5CB"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$8.58</w:t>
            </w:r>
          </w:p>
        </w:tc>
        <w:tc>
          <w:tcPr>
            <w:tcW w:w="1260" w:type="dxa"/>
          </w:tcPr>
          <w:p w14:paraId="1F4CECE3"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$8.86</w:t>
            </w:r>
          </w:p>
        </w:tc>
        <w:tc>
          <w:tcPr>
            <w:tcW w:w="1529" w:type="dxa"/>
          </w:tcPr>
          <w:p w14:paraId="5EBD9626"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$8.62</w:t>
            </w:r>
          </w:p>
        </w:tc>
        <w:tc>
          <w:tcPr>
            <w:tcW w:w="1277" w:type="dxa"/>
          </w:tcPr>
          <w:p w14:paraId="04BC1B6B" w14:textId="6AD71768" w:rsidR="009F1BE0" w:rsidRPr="009F1BE0" w:rsidRDefault="006B7C42" w:rsidP="009F1BE0">
            <w:pPr>
              <w:widowControl/>
              <w:autoSpaceDE/>
              <w:autoSpaceDN/>
              <w:adjustRightInd/>
              <w:jc w:val="center"/>
              <w:rPr>
                <w:rFonts w:ascii="Times New Roman" w:hAnsi="Times New Roman" w:cs="Times New Roman"/>
                <w:sz w:val="24"/>
              </w:rPr>
            </w:pPr>
            <w:r>
              <w:rPr>
                <w:rFonts w:ascii="Times New Roman" w:hAnsi="Times New Roman" w:cs="Times New Roman"/>
                <w:sz w:val="24"/>
              </w:rPr>
              <w:t>$8.68</w:t>
            </w:r>
          </w:p>
        </w:tc>
        <w:tc>
          <w:tcPr>
            <w:tcW w:w="1272" w:type="dxa"/>
          </w:tcPr>
          <w:p w14:paraId="53062DD6" w14:textId="4DA824A4" w:rsidR="009F1BE0" w:rsidRPr="001736DB" w:rsidRDefault="006B7C42" w:rsidP="009F1BE0">
            <w:pPr>
              <w:widowControl/>
              <w:autoSpaceDE/>
              <w:autoSpaceDN/>
              <w:adjustRightInd/>
              <w:jc w:val="center"/>
              <w:rPr>
                <w:rFonts w:ascii="Times New Roman" w:hAnsi="Times New Roman" w:cs="Times New Roman"/>
                <w:sz w:val="24"/>
              </w:rPr>
            </w:pPr>
            <w:r w:rsidRPr="001736DB">
              <w:rPr>
                <w:rFonts w:ascii="Times New Roman" w:hAnsi="Times New Roman" w:cs="Times New Roman"/>
                <w:sz w:val="24"/>
              </w:rPr>
              <w:t>1.1%</w:t>
            </w:r>
          </w:p>
        </w:tc>
      </w:tr>
      <w:tr w:rsidR="009F1BE0" w:rsidRPr="009F1BE0" w14:paraId="37A95F19" w14:textId="3AEB8F46" w:rsidTr="009F1BE0">
        <w:tc>
          <w:tcPr>
            <w:tcW w:w="2979" w:type="dxa"/>
          </w:tcPr>
          <w:p w14:paraId="781C7997" w14:textId="77777777" w:rsidR="009F1BE0" w:rsidRPr="009F1BE0" w:rsidRDefault="009F1BE0" w:rsidP="009F1BE0">
            <w:pPr>
              <w:widowControl/>
              <w:autoSpaceDE/>
              <w:autoSpaceDN/>
              <w:adjustRightInd/>
              <w:rPr>
                <w:rFonts w:ascii="Times New Roman" w:hAnsi="Times New Roman" w:cs="Times New Roman"/>
                <w:sz w:val="24"/>
              </w:rPr>
            </w:pPr>
            <w:r w:rsidRPr="009F1BE0">
              <w:rPr>
                <w:rFonts w:ascii="Times New Roman" w:hAnsi="Times New Roman" w:cs="Times New Roman"/>
                <w:sz w:val="24"/>
              </w:rPr>
              <w:t>One 35-Gallon Cart Every-Other-Week Pick-Up</w:t>
            </w:r>
          </w:p>
        </w:tc>
        <w:tc>
          <w:tcPr>
            <w:tcW w:w="1259" w:type="dxa"/>
          </w:tcPr>
          <w:p w14:paraId="777190F6"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$10.27</w:t>
            </w:r>
          </w:p>
        </w:tc>
        <w:tc>
          <w:tcPr>
            <w:tcW w:w="1260" w:type="dxa"/>
          </w:tcPr>
          <w:p w14:paraId="5AD317FD"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$10.59</w:t>
            </w:r>
          </w:p>
        </w:tc>
        <w:tc>
          <w:tcPr>
            <w:tcW w:w="1529" w:type="dxa"/>
          </w:tcPr>
          <w:p w14:paraId="5901DDDD"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$10.31</w:t>
            </w:r>
          </w:p>
        </w:tc>
        <w:tc>
          <w:tcPr>
            <w:tcW w:w="1277" w:type="dxa"/>
          </w:tcPr>
          <w:p w14:paraId="746BEE80" w14:textId="08C2D9FD" w:rsidR="009F1BE0" w:rsidRPr="009F1BE0" w:rsidRDefault="006B7C42" w:rsidP="009F1BE0">
            <w:pPr>
              <w:widowControl/>
              <w:autoSpaceDE/>
              <w:autoSpaceDN/>
              <w:adjustRightInd/>
              <w:jc w:val="center"/>
              <w:rPr>
                <w:rFonts w:ascii="Times New Roman" w:hAnsi="Times New Roman" w:cs="Times New Roman"/>
                <w:sz w:val="24"/>
              </w:rPr>
            </w:pPr>
            <w:r>
              <w:rPr>
                <w:rFonts w:ascii="Times New Roman" w:hAnsi="Times New Roman" w:cs="Times New Roman"/>
                <w:sz w:val="24"/>
              </w:rPr>
              <w:t>$10.39</w:t>
            </w:r>
          </w:p>
        </w:tc>
        <w:tc>
          <w:tcPr>
            <w:tcW w:w="1272" w:type="dxa"/>
          </w:tcPr>
          <w:p w14:paraId="75F04ABD" w14:textId="36318019" w:rsidR="009F1BE0" w:rsidRPr="001736DB" w:rsidRDefault="006B7C42" w:rsidP="009F1BE0">
            <w:pPr>
              <w:widowControl/>
              <w:autoSpaceDE/>
              <w:autoSpaceDN/>
              <w:adjustRightInd/>
              <w:jc w:val="center"/>
              <w:rPr>
                <w:rFonts w:ascii="Times New Roman" w:hAnsi="Times New Roman" w:cs="Times New Roman"/>
                <w:sz w:val="24"/>
              </w:rPr>
            </w:pPr>
            <w:r w:rsidRPr="001736DB">
              <w:rPr>
                <w:rFonts w:ascii="Times New Roman" w:hAnsi="Times New Roman" w:cs="Times New Roman"/>
                <w:sz w:val="24"/>
              </w:rPr>
              <w:t>1.1%</w:t>
            </w:r>
          </w:p>
        </w:tc>
      </w:tr>
      <w:tr w:rsidR="009F1BE0" w:rsidRPr="009F1BE0" w14:paraId="499CF25B" w14:textId="47B6F715" w:rsidTr="009F1BE0">
        <w:tc>
          <w:tcPr>
            <w:tcW w:w="2979" w:type="dxa"/>
          </w:tcPr>
          <w:p w14:paraId="77B20690" w14:textId="77777777" w:rsidR="009F1BE0" w:rsidRPr="009F1BE0" w:rsidRDefault="009F1BE0" w:rsidP="009F1BE0">
            <w:pPr>
              <w:widowControl/>
              <w:autoSpaceDE/>
              <w:autoSpaceDN/>
              <w:adjustRightInd/>
              <w:rPr>
                <w:rFonts w:ascii="Times New Roman" w:hAnsi="Times New Roman" w:cs="Times New Roman"/>
                <w:sz w:val="24"/>
              </w:rPr>
            </w:pPr>
            <w:r w:rsidRPr="009F1BE0">
              <w:rPr>
                <w:rFonts w:ascii="Times New Roman" w:hAnsi="Times New Roman" w:cs="Times New Roman"/>
                <w:sz w:val="24"/>
              </w:rPr>
              <w:t>One 32-Gallon Can Monthly Pick-Up</w:t>
            </w:r>
          </w:p>
        </w:tc>
        <w:tc>
          <w:tcPr>
            <w:tcW w:w="1259" w:type="dxa"/>
          </w:tcPr>
          <w:p w14:paraId="03B2C345"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$4.77</w:t>
            </w:r>
          </w:p>
        </w:tc>
        <w:tc>
          <w:tcPr>
            <w:tcW w:w="1260" w:type="dxa"/>
          </w:tcPr>
          <w:p w14:paraId="7BF9D267"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$4.92</w:t>
            </w:r>
          </w:p>
        </w:tc>
        <w:tc>
          <w:tcPr>
            <w:tcW w:w="1529" w:type="dxa"/>
          </w:tcPr>
          <w:p w14:paraId="22AFB419"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$4.79</w:t>
            </w:r>
          </w:p>
        </w:tc>
        <w:tc>
          <w:tcPr>
            <w:tcW w:w="1277" w:type="dxa"/>
          </w:tcPr>
          <w:p w14:paraId="676250A7" w14:textId="46927B20" w:rsidR="009F1BE0" w:rsidRPr="009F1BE0" w:rsidRDefault="006B7C42" w:rsidP="009F1BE0">
            <w:pPr>
              <w:widowControl/>
              <w:autoSpaceDE/>
              <w:autoSpaceDN/>
              <w:adjustRightInd/>
              <w:jc w:val="center"/>
              <w:rPr>
                <w:rFonts w:ascii="Times New Roman" w:hAnsi="Times New Roman" w:cs="Times New Roman"/>
                <w:sz w:val="24"/>
              </w:rPr>
            </w:pPr>
            <w:r>
              <w:rPr>
                <w:rFonts w:ascii="Times New Roman" w:hAnsi="Times New Roman" w:cs="Times New Roman"/>
                <w:sz w:val="24"/>
              </w:rPr>
              <w:t>$4.82</w:t>
            </w:r>
          </w:p>
        </w:tc>
        <w:tc>
          <w:tcPr>
            <w:tcW w:w="1272" w:type="dxa"/>
          </w:tcPr>
          <w:p w14:paraId="5201F019" w14:textId="7C8A4267" w:rsidR="009F1BE0" w:rsidRPr="001736DB" w:rsidRDefault="006B7C42" w:rsidP="009F1BE0">
            <w:pPr>
              <w:widowControl/>
              <w:autoSpaceDE/>
              <w:autoSpaceDN/>
              <w:adjustRightInd/>
              <w:jc w:val="center"/>
              <w:rPr>
                <w:rFonts w:ascii="Times New Roman" w:hAnsi="Times New Roman" w:cs="Times New Roman"/>
                <w:sz w:val="24"/>
              </w:rPr>
            </w:pPr>
            <w:r w:rsidRPr="001736DB">
              <w:rPr>
                <w:rFonts w:ascii="Times New Roman" w:hAnsi="Times New Roman" w:cs="Times New Roman"/>
                <w:sz w:val="24"/>
              </w:rPr>
              <w:t>1.1%</w:t>
            </w:r>
          </w:p>
        </w:tc>
      </w:tr>
      <w:tr w:rsidR="009F1BE0" w:rsidRPr="009F1BE0" w14:paraId="15D5A598" w14:textId="79DCF582" w:rsidTr="009F1BE0">
        <w:tc>
          <w:tcPr>
            <w:tcW w:w="2979" w:type="dxa"/>
          </w:tcPr>
          <w:p w14:paraId="250A6DA5" w14:textId="77777777" w:rsidR="009F1BE0" w:rsidRPr="009F1BE0" w:rsidRDefault="009F1BE0" w:rsidP="009F1BE0">
            <w:pPr>
              <w:widowControl/>
              <w:autoSpaceDE/>
              <w:autoSpaceDN/>
              <w:adjustRightInd/>
              <w:rPr>
                <w:rFonts w:ascii="Times New Roman" w:hAnsi="Times New Roman" w:cs="Times New Roman"/>
                <w:sz w:val="24"/>
              </w:rPr>
            </w:pPr>
          </w:p>
        </w:tc>
        <w:tc>
          <w:tcPr>
            <w:tcW w:w="1259" w:type="dxa"/>
          </w:tcPr>
          <w:p w14:paraId="1C1D0B97"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260" w:type="dxa"/>
          </w:tcPr>
          <w:p w14:paraId="21525F9F"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529" w:type="dxa"/>
          </w:tcPr>
          <w:p w14:paraId="418491AE"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277" w:type="dxa"/>
          </w:tcPr>
          <w:p w14:paraId="09327397"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272" w:type="dxa"/>
          </w:tcPr>
          <w:p w14:paraId="489C75FC" w14:textId="77777777" w:rsidR="009F1BE0" w:rsidRPr="001736DB" w:rsidRDefault="009F1BE0" w:rsidP="009F1BE0">
            <w:pPr>
              <w:widowControl/>
              <w:autoSpaceDE/>
              <w:autoSpaceDN/>
              <w:adjustRightInd/>
              <w:jc w:val="center"/>
              <w:rPr>
                <w:rFonts w:ascii="Times New Roman" w:hAnsi="Times New Roman" w:cs="Times New Roman"/>
                <w:sz w:val="24"/>
              </w:rPr>
            </w:pPr>
          </w:p>
        </w:tc>
      </w:tr>
      <w:tr w:rsidR="009F1BE0" w:rsidRPr="009F1BE0" w14:paraId="4A163B4D" w14:textId="5F75BD24" w:rsidTr="009F1BE0">
        <w:tc>
          <w:tcPr>
            <w:tcW w:w="2979" w:type="dxa"/>
          </w:tcPr>
          <w:p w14:paraId="403E627B" w14:textId="77777777" w:rsidR="009F1BE0" w:rsidRPr="009F1BE0" w:rsidRDefault="009F1BE0" w:rsidP="009F1BE0">
            <w:pPr>
              <w:widowControl/>
              <w:autoSpaceDE/>
              <w:autoSpaceDN/>
              <w:adjustRightInd/>
              <w:rPr>
                <w:rFonts w:ascii="Times New Roman" w:hAnsi="Times New Roman" w:cs="Times New Roman"/>
                <w:b/>
                <w:sz w:val="24"/>
              </w:rPr>
            </w:pPr>
            <w:r w:rsidRPr="009F1BE0">
              <w:rPr>
                <w:rFonts w:ascii="Times New Roman" w:hAnsi="Times New Roman" w:cs="Times New Roman"/>
                <w:b/>
                <w:sz w:val="24"/>
              </w:rPr>
              <w:t>Residential Recycling</w:t>
            </w:r>
          </w:p>
        </w:tc>
        <w:tc>
          <w:tcPr>
            <w:tcW w:w="1259" w:type="dxa"/>
          </w:tcPr>
          <w:p w14:paraId="3454CD3E"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260" w:type="dxa"/>
          </w:tcPr>
          <w:p w14:paraId="3452A515"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529" w:type="dxa"/>
          </w:tcPr>
          <w:p w14:paraId="00975EA3"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277" w:type="dxa"/>
          </w:tcPr>
          <w:p w14:paraId="7B600CBC"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272" w:type="dxa"/>
          </w:tcPr>
          <w:p w14:paraId="4EE8FA70" w14:textId="77777777" w:rsidR="009F1BE0" w:rsidRPr="001736DB" w:rsidRDefault="009F1BE0" w:rsidP="009F1BE0">
            <w:pPr>
              <w:widowControl/>
              <w:autoSpaceDE/>
              <w:autoSpaceDN/>
              <w:adjustRightInd/>
              <w:jc w:val="center"/>
              <w:rPr>
                <w:rFonts w:ascii="Times New Roman" w:hAnsi="Times New Roman" w:cs="Times New Roman"/>
                <w:sz w:val="24"/>
              </w:rPr>
            </w:pPr>
          </w:p>
        </w:tc>
      </w:tr>
      <w:tr w:rsidR="009F1BE0" w:rsidRPr="009F1BE0" w14:paraId="29335F83" w14:textId="0C772C16" w:rsidTr="009F1BE0">
        <w:tc>
          <w:tcPr>
            <w:tcW w:w="2979" w:type="dxa"/>
          </w:tcPr>
          <w:p w14:paraId="51EDD9A1" w14:textId="77777777" w:rsidR="009F1BE0" w:rsidRPr="009F1BE0" w:rsidRDefault="009F1BE0" w:rsidP="009F1BE0">
            <w:pPr>
              <w:widowControl/>
              <w:autoSpaceDE/>
              <w:autoSpaceDN/>
              <w:adjustRightInd/>
              <w:rPr>
                <w:rFonts w:ascii="Times New Roman" w:hAnsi="Times New Roman" w:cs="Times New Roman"/>
                <w:sz w:val="24"/>
              </w:rPr>
            </w:pPr>
            <w:r w:rsidRPr="009F1BE0">
              <w:rPr>
                <w:rFonts w:ascii="Times New Roman" w:hAnsi="Times New Roman" w:cs="Times New Roman"/>
                <w:sz w:val="24"/>
              </w:rPr>
              <w:t>Residential Recycling Service</w:t>
            </w:r>
          </w:p>
        </w:tc>
        <w:tc>
          <w:tcPr>
            <w:tcW w:w="1259" w:type="dxa"/>
          </w:tcPr>
          <w:p w14:paraId="2CC2E6EE"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$8.82</w:t>
            </w:r>
          </w:p>
        </w:tc>
        <w:tc>
          <w:tcPr>
            <w:tcW w:w="1260" w:type="dxa"/>
          </w:tcPr>
          <w:p w14:paraId="4C221273"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$10.64</w:t>
            </w:r>
          </w:p>
        </w:tc>
        <w:tc>
          <w:tcPr>
            <w:tcW w:w="1529" w:type="dxa"/>
          </w:tcPr>
          <w:p w14:paraId="4917981D"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$0</w:t>
            </w:r>
          </w:p>
        </w:tc>
        <w:tc>
          <w:tcPr>
            <w:tcW w:w="1277" w:type="dxa"/>
          </w:tcPr>
          <w:p w14:paraId="5104E6B2" w14:textId="5F226A11" w:rsidR="009F1BE0" w:rsidRPr="009F1BE0" w:rsidRDefault="006B7C42" w:rsidP="009F1BE0">
            <w:pPr>
              <w:widowControl/>
              <w:autoSpaceDE/>
              <w:autoSpaceDN/>
              <w:adjustRightInd/>
              <w:jc w:val="center"/>
              <w:rPr>
                <w:rFonts w:ascii="Times New Roman" w:hAnsi="Times New Roman" w:cs="Times New Roman"/>
                <w:sz w:val="24"/>
              </w:rPr>
            </w:pPr>
            <w:r>
              <w:rPr>
                <w:rFonts w:ascii="Times New Roman" w:hAnsi="Times New Roman" w:cs="Times New Roman"/>
                <w:sz w:val="24"/>
              </w:rPr>
              <w:t>$9.66</w:t>
            </w:r>
          </w:p>
        </w:tc>
        <w:tc>
          <w:tcPr>
            <w:tcW w:w="1272" w:type="dxa"/>
          </w:tcPr>
          <w:p w14:paraId="5A042775" w14:textId="464C09BC" w:rsidR="009F1BE0" w:rsidRPr="001736DB" w:rsidRDefault="006B7C42" w:rsidP="009F1BE0">
            <w:pPr>
              <w:widowControl/>
              <w:autoSpaceDE/>
              <w:autoSpaceDN/>
              <w:adjustRightInd/>
              <w:jc w:val="center"/>
              <w:rPr>
                <w:rFonts w:ascii="Times New Roman" w:hAnsi="Times New Roman" w:cs="Times New Roman"/>
                <w:sz w:val="24"/>
              </w:rPr>
            </w:pPr>
            <w:r w:rsidRPr="001736DB">
              <w:rPr>
                <w:rFonts w:ascii="Times New Roman" w:hAnsi="Times New Roman" w:cs="Times New Roman"/>
                <w:sz w:val="24"/>
              </w:rPr>
              <w:t>9.5%</w:t>
            </w:r>
          </w:p>
        </w:tc>
      </w:tr>
      <w:tr w:rsidR="009F1BE0" w:rsidRPr="009F1BE0" w14:paraId="73ABFF1D" w14:textId="67A829D8" w:rsidTr="009F1BE0">
        <w:tc>
          <w:tcPr>
            <w:tcW w:w="2979" w:type="dxa"/>
          </w:tcPr>
          <w:p w14:paraId="32E3E94D" w14:textId="77777777" w:rsidR="009F1BE0" w:rsidRPr="009F1BE0" w:rsidRDefault="009F1BE0" w:rsidP="009F1BE0">
            <w:pPr>
              <w:widowControl/>
              <w:autoSpaceDE/>
              <w:autoSpaceDN/>
              <w:adjustRightInd/>
              <w:rPr>
                <w:rFonts w:ascii="Times New Roman" w:hAnsi="Times New Roman" w:cs="Times New Roman"/>
                <w:sz w:val="24"/>
              </w:rPr>
            </w:pPr>
          </w:p>
        </w:tc>
        <w:tc>
          <w:tcPr>
            <w:tcW w:w="1259" w:type="dxa"/>
          </w:tcPr>
          <w:p w14:paraId="6C79F81A"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260" w:type="dxa"/>
          </w:tcPr>
          <w:p w14:paraId="1E2FE214"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529" w:type="dxa"/>
          </w:tcPr>
          <w:p w14:paraId="6F6AEA50"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277" w:type="dxa"/>
          </w:tcPr>
          <w:p w14:paraId="2A57126D"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272" w:type="dxa"/>
          </w:tcPr>
          <w:p w14:paraId="52E1EAEB" w14:textId="77777777" w:rsidR="009F1BE0" w:rsidRPr="001736DB" w:rsidRDefault="009F1BE0" w:rsidP="009F1BE0">
            <w:pPr>
              <w:widowControl/>
              <w:autoSpaceDE/>
              <w:autoSpaceDN/>
              <w:adjustRightInd/>
              <w:jc w:val="center"/>
              <w:rPr>
                <w:rFonts w:ascii="Times New Roman" w:hAnsi="Times New Roman" w:cs="Times New Roman"/>
                <w:sz w:val="24"/>
              </w:rPr>
            </w:pPr>
          </w:p>
        </w:tc>
      </w:tr>
      <w:tr w:rsidR="009F1BE0" w:rsidRPr="009F1BE0" w14:paraId="5E3AAFB9" w14:textId="52ACFFA7" w:rsidTr="009F1BE0">
        <w:tc>
          <w:tcPr>
            <w:tcW w:w="2979" w:type="dxa"/>
          </w:tcPr>
          <w:p w14:paraId="2866E5B6" w14:textId="77777777" w:rsidR="009F1BE0" w:rsidRPr="009F1BE0" w:rsidRDefault="009F1BE0" w:rsidP="009F1BE0">
            <w:pPr>
              <w:widowControl/>
              <w:autoSpaceDE/>
              <w:autoSpaceDN/>
              <w:adjustRightInd/>
              <w:rPr>
                <w:rFonts w:ascii="Times New Roman" w:hAnsi="Times New Roman" w:cs="Times New Roman"/>
                <w:sz w:val="24"/>
              </w:rPr>
            </w:pPr>
            <w:r w:rsidRPr="009F1BE0">
              <w:rPr>
                <w:rFonts w:ascii="Times New Roman" w:hAnsi="Times New Roman" w:cs="Times New Roman"/>
                <w:b/>
                <w:sz w:val="24"/>
              </w:rPr>
              <w:t>Commercial Per Pick-Up Rates</w:t>
            </w:r>
          </w:p>
        </w:tc>
        <w:tc>
          <w:tcPr>
            <w:tcW w:w="1259" w:type="dxa"/>
          </w:tcPr>
          <w:p w14:paraId="0E87396F"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260" w:type="dxa"/>
          </w:tcPr>
          <w:p w14:paraId="74B30148"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529" w:type="dxa"/>
          </w:tcPr>
          <w:p w14:paraId="0065D8CC"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277" w:type="dxa"/>
          </w:tcPr>
          <w:p w14:paraId="3BB54DC0"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272" w:type="dxa"/>
          </w:tcPr>
          <w:p w14:paraId="13393903" w14:textId="77777777" w:rsidR="009F1BE0" w:rsidRPr="001736DB" w:rsidRDefault="009F1BE0" w:rsidP="009F1BE0">
            <w:pPr>
              <w:widowControl/>
              <w:autoSpaceDE/>
              <w:autoSpaceDN/>
              <w:adjustRightInd/>
              <w:jc w:val="center"/>
              <w:rPr>
                <w:rFonts w:ascii="Times New Roman" w:hAnsi="Times New Roman" w:cs="Times New Roman"/>
                <w:sz w:val="24"/>
              </w:rPr>
            </w:pPr>
          </w:p>
        </w:tc>
      </w:tr>
      <w:tr w:rsidR="009F1BE0" w:rsidRPr="009F1BE0" w14:paraId="272FD5E9" w14:textId="7BC971EB" w:rsidTr="009F1BE0">
        <w:tc>
          <w:tcPr>
            <w:tcW w:w="2979" w:type="dxa"/>
          </w:tcPr>
          <w:p w14:paraId="0C742D18" w14:textId="77777777" w:rsidR="009F1BE0" w:rsidRPr="009F1BE0" w:rsidRDefault="009F1BE0" w:rsidP="009F1BE0">
            <w:pPr>
              <w:widowControl/>
              <w:autoSpaceDE/>
              <w:autoSpaceDN/>
              <w:adjustRightInd/>
              <w:rPr>
                <w:rFonts w:ascii="Times New Roman" w:hAnsi="Times New Roman" w:cs="Times New Roman"/>
                <w:sz w:val="24"/>
              </w:rPr>
            </w:pPr>
            <w:r w:rsidRPr="009F1BE0">
              <w:rPr>
                <w:rFonts w:ascii="Times New Roman" w:hAnsi="Times New Roman" w:cs="Times New Roman"/>
                <w:sz w:val="24"/>
              </w:rPr>
              <w:t xml:space="preserve">1-Yard Container Per Pick-Up </w:t>
            </w:r>
          </w:p>
        </w:tc>
        <w:tc>
          <w:tcPr>
            <w:tcW w:w="1259" w:type="dxa"/>
          </w:tcPr>
          <w:p w14:paraId="5FF2AE42"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$16.10</w:t>
            </w:r>
          </w:p>
        </w:tc>
        <w:tc>
          <w:tcPr>
            <w:tcW w:w="1260" w:type="dxa"/>
          </w:tcPr>
          <w:p w14:paraId="7C14112F"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$16.64</w:t>
            </w:r>
          </w:p>
        </w:tc>
        <w:tc>
          <w:tcPr>
            <w:tcW w:w="1529" w:type="dxa"/>
          </w:tcPr>
          <w:p w14:paraId="56416E43"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$16.19</w:t>
            </w:r>
          </w:p>
        </w:tc>
        <w:tc>
          <w:tcPr>
            <w:tcW w:w="1277" w:type="dxa"/>
          </w:tcPr>
          <w:p w14:paraId="5664BB23" w14:textId="6E1E38ED" w:rsidR="009F1BE0" w:rsidRPr="009F1BE0" w:rsidRDefault="006B7C42" w:rsidP="009F1BE0">
            <w:pPr>
              <w:widowControl/>
              <w:autoSpaceDE/>
              <w:autoSpaceDN/>
              <w:adjustRightInd/>
              <w:jc w:val="center"/>
              <w:rPr>
                <w:rFonts w:ascii="Times New Roman" w:hAnsi="Times New Roman" w:cs="Times New Roman"/>
                <w:sz w:val="24"/>
              </w:rPr>
            </w:pPr>
            <w:r>
              <w:rPr>
                <w:rFonts w:ascii="Times New Roman" w:hAnsi="Times New Roman" w:cs="Times New Roman"/>
                <w:sz w:val="24"/>
              </w:rPr>
              <w:t>$16.28</w:t>
            </w:r>
          </w:p>
        </w:tc>
        <w:tc>
          <w:tcPr>
            <w:tcW w:w="1272" w:type="dxa"/>
          </w:tcPr>
          <w:p w14:paraId="44503027" w14:textId="187ACED1" w:rsidR="009F1BE0" w:rsidRPr="001736DB" w:rsidRDefault="006B7C42" w:rsidP="009F1BE0">
            <w:pPr>
              <w:widowControl/>
              <w:autoSpaceDE/>
              <w:autoSpaceDN/>
              <w:adjustRightInd/>
              <w:jc w:val="center"/>
              <w:rPr>
                <w:rFonts w:ascii="Times New Roman" w:hAnsi="Times New Roman" w:cs="Times New Roman"/>
                <w:sz w:val="24"/>
              </w:rPr>
            </w:pPr>
            <w:r w:rsidRPr="001736DB">
              <w:rPr>
                <w:rFonts w:ascii="Times New Roman" w:hAnsi="Times New Roman" w:cs="Times New Roman"/>
                <w:sz w:val="24"/>
              </w:rPr>
              <w:t>1.1%</w:t>
            </w:r>
          </w:p>
        </w:tc>
      </w:tr>
      <w:tr w:rsidR="009F1BE0" w:rsidRPr="009F1BE0" w14:paraId="7B0BEDEE" w14:textId="5CBAE953" w:rsidTr="009F1BE0">
        <w:tc>
          <w:tcPr>
            <w:tcW w:w="2979" w:type="dxa"/>
          </w:tcPr>
          <w:p w14:paraId="712E0FC0" w14:textId="77777777" w:rsidR="009F1BE0" w:rsidRPr="009F1BE0" w:rsidRDefault="009F1BE0" w:rsidP="009F1BE0">
            <w:pPr>
              <w:widowControl/>
              <w:autoSpaceDE/>
              <w:autoSpaceDN/>
              <w:adjustRightInd/>
              <w:rPr>
                <w:rFonts w:ascii="Times New Roman" w:hAnsi="Times New Roman" w:cs="Times New Roman"/>
                <w:sz w:val="24"/>
              </w:rPr>
            </w:pPr>
            <w:r w:rsidRPr="009F1BE0">
              <w:rPr>
                <w:rFonts w:ascii="Times New Roman" w:hAnsi="Times New Roman" w:cs="Times New Roman"/>
                <w:sz w:val="24"/>
              </w:rPr>
              <w:t>1.5-Yard Container Per Pick-Up</w:t>
            </w:r>
          </w:p>
        </w:tc>
        <w:tc>
          <w:tcPr>
            <w:tcW w:w="1259" w:type="dxa"/>
          </w:tcPr>
          <w:p w14:paraId="0F1F3D3A"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$17.39</w:t>
            </w:r>
          </w:p>
        </w:tc>
        <w:tc>
          <w:tcPr>
            <w:tcW w:w="1260" w:type="dxa"/>
          </w:tcPr>
          <w:p w14:paraId="3C7C92F1"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$18.01</w:t>
            </w:r>
          </w:p>
        </w:tc>
        <w:tc>
          <w:tcPr>
            <w:tcW w:w="1529" w:type="dxa"/>
          </w:tcPr>
          <w:p w14:paraId="2361D3ED"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$17.53</w:t>
            </w:r>
          </w:p>
        </w:tc>
        <w:tc>
          <w:tcPr>
            <w:tcW w:w="1277" w:type="dxa"/>
          </w:tcPr>
          <w:p w14:paraId="599876AD" w14:textId="18C4B680" w:rsidR="009F1BE0" w:rsidRPr="009F1BE0" w:rsidRDefault="005C17E3" w:rsidP="009F1BE0">
            <w:pPr>
              <w:widowControl/>
              <w:autoSpaceDE/>
              <w:autoSpaceDN/>
              <w:adjustRightInd/>
              <w:jc w:val="center"/>
              <w:rPr>
                <w:rFonts w:ascii="Times New Roman" w:hAnsi="Times New Roman" w:cs="Times New Roman"/>
                <w:sz w:val="24"/>
              </w:rPr>
            </w:pPr>
            <w:r>
              <w:rPr>
                <w:rFonts w:ascii="Times New Roman" w:hAnsi="Times New Roman" w:cs="Times New Roman"/>
                <w:sz w:val="24"/>
              </w:rPr>
              <w:t>$17.72</w:t>
            </w:r>
          </w:p>
        </w:tc>
        <w:tc>
          <w:tcPr>
            <w:tcW w:w="1272" w:type="dxa"/>
          </w:tcPr>
          <w:p w14:paraId="5E4A7128" w14:textId="4D9A0658" w:rsidR="009F1BE0" w:rsidRPr="001736DB" w:rsidRDefault="005C17E3" w:rsidP="009F1BE0">
            <w:pPr>
              <w:widowControl/>
              <w:autoSpaceDE/>
              <w:autoSpaceDN/>
              <w:adjustRightInd/>
              <w:jc w:val="center"/>
              <w:rPr>
                <w:rFonts w:ascii="Times New Roman" w:hAnsi="Times New Roman" w:cs="Times New Roman"/>
                <w:sz w:val="24"/>
              </w:rPr>
            </w:pPr>
            <w:r w:rsidRPr="001736DB">
              <w:rPr>
                <w:rFonts w:ascii="Times New Roman" w:hAnsi="Times New Roman" w:cs="Times New Roman"/>
                <w:sz w:val="24"/>
              </w:rPr>
              <w:t>1.9%</w:t>
            </w:r>
          </w:p>
        </w:tc>
      </w:tr>
      <w:tr w:rsidR="009F1BE0" w:rsidRPr="009F1BE0" w14:paraId="0E009F5D" w14:textId="57466039" w:rsidTr="009F1BE0">
        <w:tc>
          <w:tcPr>
            <w:tcW w:w="2979" w:type="dxa"/>
          </w:tcPr>
          <w:p w14:paraId="13B3C491" w14:textId="77777777" w:rsidR="009F1BE0" w:rsidRPr="009F1BE0" w:rsidRDefault="009F1BE0" w:rsidP="009F1BE0">
            <w:pPr>
              <w:widowControl/>
              <w:autoSpaceDE/>
              <w:autoSpaceDN/>
              <w:adjustRightInd/>
              <w:rPr>
                <w:rFonts w:ascii="Times New Roman" w:hAnsi="Times New Roman" w:cs="Times New Roman"/>
                <w:sz w:val="24"/>
              </w:rPr>
            </w:pPr>
            <w:r w:rsidRPr="009F1BE0">
              <w:rPr>
                <w:rFonts w:ascii="Times New Roman" w:hAnsi="Times New Roman" w:cs="Times New Roman"/>
                <w:sz w:val="24"/>
              </w:rPr>
              <w:t xml:space="preserve">2-Yard Container Per Pick-Up </w:t>
            </w:r>
          </w:p>
        </w:tc>
        <w:tc>
          <w:tcPr>
            <w:tcW w:w="1259" w:type="dxa"/>
          </w:tcPr>
          <w:p w14:paraId="7288A0F3"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$22.96</w:t>
            </w:r>
          </w:p>
        </w:tc>
        <w:tc>
          <w:tcPr>
            <w:tcW w:w="1260" w:type="dxa"/>
          </w:tcPr>
          <w:p w14:paraId="7E9385E8"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$23.77</w:t>
            </w:r>
          </w:p>
        </w:tc>
        <w:tc>
          <w:tcPr>
            <w:tcW w:w="1529" w:type="dxa"/>
          </w:tcPr>
          <w:p w14:paraId="16EC9AF0"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$23.14</w:t>
            </w:r>
          </w:p>
        </w:tc>
        <w:tc>
          <w:tcPr>
            <w:tcW w:w="1277" w:type="dxa"/>
          </w:tcPr>
          <w:p w14:paraId="2F8A1689" w14:textId="28F24080" w:rsidR="009F1BE0" w:rsidRPr="009F1BE0" w:rsidRDefault="005C17E3" w:rsidP="009F1BE0">
            <w:pPr>
              <w:widowControl/>
              <w:autoSpaceDE/>
              <w:autoSpaceDN/>
              <w:adjustRightInd/>
              <w:jc w:val="center"/>
              <w:rPr>
                <w:rFonts w:ascii="Times New Roman" w:hAnsi="Times New Roman" w:cs="Times New Roman"/>
                <w:sz w:val="24"/>
              </w:rPr>
            </w:pPr>
            <w:r>
              <w:rPr>
                <w:rFonts w:ascii="Times New Roman" w:hAnsi="Times New Roman" w:cs="Times New Roman"/>
                <w:sz w:val="24"/>
              </w:rPr>
              <w:t>$23.45</w:t>
            </w:r>
          </w:p>
        </w:tc>
        <w:tc>
          <w:tcPr>
            <w:tcW w:w="1272" w:type="dxa"/>
          </w:tcPr>
          <w:p w14:paraId="09BB00FF" w14:textId="70A142DE" w:rsidR="009F1BE0" w:rsidRPr="001736DB" w:rsidRDefault="005C17E3" w:rsidP="009F1BE0">
            <w:pPr>
              <w:widowControl/>
              <w:autoSpaceDE/>
              <w:autoSpaceDN/>
              <w:adjustRightInd/>
              <w:jc w:val="center"/>
              <w:rPr>
                <w:rFonts w:ascii="Times New Roman" w:hAnsi="Times New Roman" w:cs="Times New Roman"/>
                <w:sz w:val="24"/>
              </w:rPr>
            </w:pPr>
            <w:r w:rsidRPr="001736DB">
              <w:rPr>
                <w:rFonts w:ascii="Times New Roman" w:hAnsi="Times New Roman" w:cs="Times New Roman"/>
                <w:sz w:val="24"/>
              </w:rPr>
              <w:t>2.1%</w:t>
            </w:r>
          </w:p>
        </w:tc>
      </w:tr>
      <w:tr w:rsidR="009F1BE0" w:rsidRPr="009F1BE0" w14:paraId="34697A69" w14:textId="39174996" w:rsidTr="009F1BE0">
        <w:tc>
          <w:tcPr>
            <w:tcW w:w="2979" w:type="dxa"/>
          </w:tcPr>
          <w:p w14:paraId="48EE72C6" w14:textId="77777777" w:rsidR="009F1BE0" w:rsidRPr="009F1BE0" w:rsidRDefault="009F1BE0" w:rsidP="009F1BE0">
            <w:pPr>
              <w:widowControl/>
              <w:autoSpaceDE/>
              <w:autoSpaceDN/>
              <w:adjustRightInd/>
              <w:rPr>
                <w:rFonts w:ascii="Times New Roman" w:hAnsi="Times New Roman" w:cs="Times New Roman"/>
                <w:sz w:val="24"/>
              </w:rPr>
            </w:pPr>
          </w:p>
        </w:tc>
        <w:tc>
          <w:tcPr>
            <w:tcW w:w="1259" w:type="dxa"/>
          </w:tcPr>
          <w:p w14:paraId="7EB5F469"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260" w:type="dxa"/>
          </w:tcPr>
          <w:p w14:paraId="256E6239"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529" w:type="dxa"/>
          </w:tcPr>
          <w:p w14:paraId="1AE73F06"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277" w:type="dxa"/>
          </w:tcPr>
          <w:p w14:paraId="19ACFCD9"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272" w:type="dxa"/>
          </w:tcPr>
          <w:p w14:paraId="40F38B9E" w14:textId="77777777" w:rsidR="009F1BE0" w:rsidRPr="001736DB" w:rsidRDefault="009F1BE0" w:rsidP="009F1BE0">
            <w:pPr>
              <w:widowControl/>
              <w:autoSpaceDE/>
              <w:autoSpaceDN/>
              <w:adjustRightInd/>
              <w:jc w:val="center"/>
              <w:rPr>
                <w:rFonts w:ascii="Times New Roman" w:hAnsi="Times New Roman" w:cs="Times New Roman"/>
                <w:sz w:val="24"/>
              </w:rPr>
            </w:pPr>
          </w:p>
        </w:tc>
      </w:tr>
      <w:tr w:rsidR="009F1BE0" w:rsidRPr="009F1BE0" w14:paraId="36423B7C" w14:textId="2DC00424" w:rsidTr="009F1BE0">
        <w:tc>
          <w:tcPr>
            <w:tcW w:w="2979" w:type="dxa"/>
          </w:tcPr>
          <w:p w14:paraId="4D89CE95" w14:textId="77777777" w:rsidR="009F1BE0" w:rsidRPr="009F1BE0" w:rsidRDefault="009F1BE0" w:rsidP="009F1BE0">
            <w:pPr>
              <w:widowControl/>
              <w:autoSpaceDE/>
              <w:autoSpaceDN/>
              <w:adjustRightInd/>
              <w:rPr>
                <w:rFonts w:ascii="Times New Roman" w:hAnsi="Times New Roman" w:cs="Times New Roman"/>
                <w:b/>
                <w:sz w:val="24"/>
              </w:rPr>
            </w:pPr>
            <w:r w:rsidRPr="009F1BE0">
              <w:rPr>
                <w:rFonts w:ascii="Times New Roman" w:hAnsi="Times New Roman" w:cs="Times New Roman"/>
                <w:b/>
                <w:sz w:val="24"/>
              </w:rPr>
              <w:t>Drop Box</w:t>
            </w:r>
          </w:p>
        </w:tc>
        <w:tc>
          <w:tcPr>
            <w:tcW w:w="1259" w:type="dxa"/>
          </w:tcPr>
          <w:p w14:paraId="3AC70C10"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260" w:type="dxa"/>
          </w:tcPr>
          <w:p w14:paraId="012684CD"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529" w:type="dxa"/>
          </w:tcPr>
          <w:p w14:paraId="40C3E558"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277" w:type="dxa"/>
          </w:tcPr>
          <w:p w14:paraId="14F5CDE4" w14:textId="77777777" w:rsidR="009F1BE0" w:rsidRPr="009F1BE0" w:rsidRDefault="009F1BE0" w:rsidP="009F1BE0">
            <w:pPr>
              <w:widowControl/>
              <w:autoSpaceDE/>
              <w:autoSpaceDN/>
              <w:adjustRightInd/>
              <w:jc w:val="center"/>
              <w:rPr>
                <w:rFonts w:ascii="Times New Roman" w:hAnsi="Times New Roman" w:cs="Times New Roman"/>
                <w:sz w:val="24"/>
              </w:rPr>
            </w:pPr>
          </w:p>
        </w:tc>
        <w:tc>
          <w:tcPr>
            <w:tcW w:w="1272" w:type="dxa"/>
          </w:tcPr>
          <w:p w14:paraId="64C36943" w14:textId="77777777" w:rsidR="009F1BE0" w:rsidRPr="001736DB" w:rsidRDefault="009F1BE0" w:rsidP="009F1BE0">
            <w:pPr>
              <w:widowControl/>
              <w:autoSpaceDE/>
              <w:autoSpaceDN/>
              <w:adjustRightInd/>
              <w:jc w:val="center"/>
              <w:rPr>
                <w:rFonts w:ascii="Times New Roman" w:hAnsi="Times New Roman" w:cs="Times New Roman"/>
                <w:sz w:val="24"/>
              </w:rPr>
            </w:pPr>
          </w:p>
        </w:tc>
      </w:tr>
      <w:tr w:rsidR="009F1BE0" w:rsidRPr="009F1BE0" w14:paraId="1D58B7EE" w14:textId="5111EF2A" w:rsidTr="009F1BE0">
        <w:tc>
          <w:tcPr>
            <w:tcW w:w="2979" w:type="dxa"/>
          </w:tcPr>
          <w:p w14:paraId="25F0C7B6" w14:textId="77777777" w:rsidR="009F1BE0" w:rsidRPr="009F1BE0" w:rsidRDefault="009F1BE0" w:rsidP="009F1BE0">
            <w:pPr>
              <w:widowControl/>
              <w:autoSpaceDE/>
              <w:autoSpaceDN/>
              <w:adjustRightInd/>
              <w:rPr>
                <w:rFonts w:ascii="Times New Roman" w:hAnsi="Times New Roman" w:cs="Times New Roman"/>
                <w:sz w:val="24"/>
              </w:rPr>
            </w:pPr>
            <w:r w:rsidRPr="009F1BE0">
              <w:rPr>
                <w:rFonts w:ascii="Times New Roman" w:hAnsi="Times New Roman" w:cs="Times New Roman"/>
                <w:sz w:val="24"/>
              </w:rPr>
              <w:t>10-Yard Roll-off, Per Haul</w:t>
            </w:r>
          </w:p>
        </w:tc>
        <w:tc>
          <w:tcPr>
            <w:tcW w:w="1259" w:type="dxa"/>
          </w:tcPr>
          <w:p w14:paraId="212A456B"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$83.00</w:t>
            </w:r>
          </w:p>
        </w:tc>
        <w:tc>
          <w:tcPr>
            <w:tcW w:w="1260" w:type="dxa"/>
          </w:tcPr>
          <w:p w14:paraId="6DB5EB77"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$104.40</w:t>
            </w:r>
          </w:p>
        </w:tc>
        <w:tc>
          <w:tcPr>
            <w:tcW w:w="1529" w:type="dxa"/>
          </w:tcPr>
          <w:p w14:paraId="4F26C4CC" w14:textId="758F2CB7" w:rsidR="009F1BE0" w:rsidRPr="009F1BE0" w:rsidRDefault="005C17E3" w:rsidP="009F1BE0">
            <w:pPr>
              <w:widowControl/>
              <w:autoSpaceDE/>
              <w:autoSpaceDN/>
              <w:adjustRightInd/>
              <w:jc w:val="center"/>
              <w:rPr>
                <w:rFonts w:ascii="Times New Roman" w:hAnsi="Times New Roman" w:cs="Times New Roman"/>
                <w:sz w:val="24"/>
              </w:rPr>
            </w:pPr>
            <w:r>
              <w:rPr>
                <w:rFonts w:ascii="Times New Roman" w:hAnsi="Times New Roman" w:cs="Times New Roman"/>
                <w:sz w:val="24"/>
              </w:rPr>
              <w:t>$0</w:t>
            </w:r>
          </w:p>
        </w:tc>
        <w:tc>
          <w:tcPr>
            <w:tcW w:w="1277" w:type="dxa"/>
          </w:tcPr>
          <w:p w14:paraId="502ADFDA" w14:textId="10B3623E" w:rsidR="009F1BE0" w:rsidRPr="009F1BE0" w:rsidRDefault="005C17E3" w:rsidP="009F1BE0">
            <w:pPr>
              <w:widowControl/>
              <w:autoSpaceDE/>
              <w:autoSpaceDN/>
              <w:adjustRightInd/>
              <w:jc w:val="center"/>
              <w:rPr>
                <w:rFonts w:ascii="Times New Roman" w:hAnsi="Times New Roman" w:cs="Times New Roman"/>
                <w:sz w:val="24"/>
              </w:rPr>
            </w:pPr>
            <w:r>
              <w:rPr>
                <w:rFonts w:ascii="Times New Roman" w:hAnsi="Times New Roman" w:cs="Times New Roman"/>
                <w:sz w:val="24"/>
              </w:rPr>
              <w:t>$83.93</w:t>
            </w:r>
          </w:p>
        </w:tc>
        <w:tc>
          <w:tcPr>
            <w:tcW w:w="1272" w:type="dxa"/>
          </w:tcPr>
          <w:p w14:paraId="140EDA47" w14:textId="4CCC9E71" w:rsidR="009F1BE0" w:rsidRPr="001736DB" w:rsidRDefault="005C17E3" w:rsidP="009F1BE0">
            <w:pPr>
              <w:widowControl/>
              <w:autoSpaceDE/>
              <w:autoSpaceDN/>
              <w:adjustRightInd/>
              <w:jc w:val="center"/>
              <w:rPr>
                <w:rFonts w:ascii="Times New Roman" w:hAnsi="Times New Roman" w:cs="Times New Roman"/>
                <w:sz w:val="24"/>
              </w:rPr>
            </w:pPr>
            <w:r w:rsidRPr="001736DB">
              <w:rPr>
                <w:rFonts w:ascii="Times New Roman" w:hAnsi="Times New Roman" w:cs="Times New Roman"/>
                <w:sz w:val="24"/>
              </w:rPr>
              <w:t>1.1%</w:t>
            </w:r>
          </w:p>
        </w:tc>
      </w:tr>
      <w:tr w:rsidR="009F1BE0" w:rsidRPr="009F1BE0" w14:paraId="25EB989B" w14:textId="7CB1B845" w:rsidTr="009F1BE0">
        <w:tc>
          <w:tcPr>
            <w:tcW w:w="2979" w:type="dxa"/>
          </w:tcPr>
          <w:p w14:paraId="6F94D590" w14:textId="77777777" w:rsidR="009F1BE0" w:rsidRPr="009F1BE0" w:rsidRDefault="009F1BE0" w:rsidP="009F1BE0">
            <w:pPr>
              <w:widowControl/>
              <w:autoSpaceDE/>
              <w:autoSpaceDN/>
              <w:adjustRightInd/>
              <w:rPr>
                <w:rFonts w:ascii="Times New Roman" w:hAnsi="Times New Roman" w:cs="Times New Roman"/>
                <w:sz w:val="24"/>
              </w:rPr>
            </w:pPr>
            <w:r w:rsidRPr="009F1BE0">
              <w:rPr>
                <w:rFonts w:ascii="Times New Roman" w:hAnsi="Times New Roman" w:cs="Times New Roman"/>
                <w:sz w:val="24"/>
              </w:rPr>
              <w:t>20-Yard Roll-off, Per Haul</w:t>
            </w:r>
          </w:p>
        </w:tc>
        <w:tc>
          <w:tcPr>
            <w:tcW w:w="1259" w:type="dxa"/>
          </w:tcPr>
          <w:p w14:paraId="3BD1E6AE"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$96.40</w:t>
            </w:r>
          </w:p>
        </w:tc>
        <w:tc>
          <w:tcPr>
            <w:tcW w:w="1260" w:type="dxa"/>
          </w:tcPr>
          <w:p w14:paraId="7E8B744E" w14:textId="77777777" w:rsidR="009F1BE0" w:rsidRPr="009F1BE0" w:rsidRDefault="009F1BE0" w:rsidP="009F1BE0">
            <w:pPr>
              <w:widowControl/>
              <w:autoSpaceDE/>
              <w:autoSpaceDN/>
              <w:adjustRightInd/>
              <w:jc w:val="center"/>
              <w:rPr>
                <w:rFonts w:ascii="Times New Roman" w:hAnsi="Times New Roman" w:cs="Times New Roman"/>
                <w:sz w:val="24"/>
              </w:rPr>
            </w:pPr>
            <w:r w:rsidRPr="009F1BE0">
              <w:rPr>
                <w:rFonts w:ascii="Times New Roman" w:hAnsi="Times New Roman" w:cs="Times New Roman"/>
                <w:sz w:val="24"/>
              </w:rPr>
              <w:t>$121.20</w:t>
            </w:r>
          </w:p>
        </w:tc>
        <w:tc>
          <w:tcPr>
            <w:tcW w:w="1529" w:type="dxa"/>
          </w:tcPr>
          <w:p w14:paraId="762288EB" w14:textId="60E73E8C" w:rsidR="009F1BE0" w:rsidRPr="009F1BE0" w:rsidRDefault="005C17E3" w:rsidP="009F1BE0">
            <w:pPr>
              <w:widowControl/>
              <w:autoSpaceDE/>
              <w:autoSpaceDN/>
              <w:adjustRightInd/>
              <w:jc w:val="center"/>
              <w:rPr>
                <w:rFonts w:ascii="Times New Roman" w:hAnsi="Times New Roman" w:cs="Times New Roman"/>
                <w:sz w:val="24"/>
              </w:rPr>
            </w:pPr>
            <w:r>
              <w:rPr>
                <w:rFonts w:ascii="Times New Roman" w:hAnsi="Times New Roman" w:cs="Times New Roman"/>
                <w:sz w:val="24"/>
              </w:rPr>
              <w:t>$0</w:t>
            </w:r>
          </w:p>
        </w:tc>
        <w:tc>
          <w:tcPr>
            <w:tcW w:w="1277" w:type="dxa"/>
          </w:tcPr>
          <w:p w14:paraId="37A6FBAA" w14:textId="22577779" w:rsidR="009F1BE0" w:rsidRPr="009F1BE0" w:rsidRDefault="005C17E3" w:rsidP="009F1BE0">
            <w:pPr>
              <w:widowControl/>
              <w:autoSpaceDE/>
              <w:autoSpaceDN/>
              <w:adjustRightInd/>
              <w:jc w:val="center"/>
              <w:rPr>
                <w:rFonts w:ascii="Times New Roman" w:hAnsi="Times New Roman" w:cs="Times New Roman"/>
                <w:sz w:val="24"/>
              </w:rPr>
            </w:pPr>
            <w:r>
              <w:rPr>
                <w:rFonts w:ascii="Times New Roman" w:hAnsi="Times New Roman" w:cs="Times New Roman"/>
                <w:sz w:val="24"/>
              </w:rPr>
              <w:t>$97.48</w:t>
            </w:r>
          </w:p>
        </w:tc>
        <w:tc>
          <w:tcPr>
            <w:tcW w:w="1272" w:type="dxa"/>
          </w:tcPr>
          <w:p w14:paraId="48E58D68" w14:textId="108F250B" w:rsidR="009F1BE0" w:rsidRPr="001736DB" w:rsidRDefault="005C17E3" w:rsidP="009F1BE0">
            <w:pPr>
              <w:widowControl/>
              <w:autoSpaceDE/>
              <w:autoSpaceDN/>
              <w:adjustRightInd/>
              <w:jc w:val="center"/>
              <w:rPr>
                <w:rFonts w:ascii="Times New Roman" w:hAnsi="Times New Roman" w:cs="Times New Roman"/>
                <w:sz w:val="24"/>
              </w:rPr>
            </w:pPr>
            <w:r w:rsidRPr="001736DB">
              <w:rPr>
                <w:rFonts w:ascii="Times New Roman" w:hAnsi="Times New Roman" w:cs="Times New Roman"/>
                <w:sz w:val="24"/>
              </w:rPr>
              <w:t>1.1%</w:t>
            </w:r>
          </w:p>
        </w:tc>
      </w:tr>
    </w:tbl>
    <w:p w14:paraId="5A4A4840" w14:textId="77777777" w:rsidR="009F1BE0" w:rsidRPr="009F1BE0" w:rsidRDefault="009F1BE0" w:rsidP="009F1BE0">
      <w:pPr>
        <w:widowControl/>
        <w:autoSpaceDE/>
        <w:autoSpaceDN/>
        <w:adjustRightInd/>
        <w:jc w:val="center"/>
        <w:rPr>
          <w:rFonts w:eastAsiaTheme="minorHAnsi"/>
          <w:sz w:val="24"/>
        </w:rPr>
      </w:pPr>
    </w:p>
    <w:p w14:paraId="7D0671FC" w14:textId="77777777" w:rsidR="00953B04" w:rsidRDefault="00953B04" w:rsidP="000D7884">
      <w:pPr>
        <w:rPr>
          <w:b/>
          <w:sz w:val="24"/>
          <w:u w:val="single"/>
        </w:rPr>
      </w:pPr>
    </w:p>
    <w:p w14:paraId="15053FCA" w14:textId="77777777" w:rsidR="000D7884" w:rsidRPr="00E20CCF" w:rsidRDefault="000D7884" w:rsidP="000D7884">
      <w:pPr>
        <w:rPr>
          <w:b/>
          <w:sz w:val="24"/>
          <w:u w:val="single"/>
        </w:rPr>
      </w:pPr>
      <w:r w:rsidRPr="00E20CCF">
        <w:rPr>
          <w:b/>
          <w:sz w:val="24"/>
          <w:u w:val="single"/>
        </w:rPr>
        <w:t>Customer Comments</w:t>
      </w:r>
    </w:p>
    <w:p w14:paraId="61F232F5" w14:textId="77777777" w:rsidR="004500E4" w:rsidRDefault="004500E4"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4412304A" w14:textId="1CAB8D44" w:rsidR="0027653E" w:rsidRDefault="0027653E" w:rsidP="0027653E">
      <w:pPr>
        <w:rPr>
          <w:szCs w:val="20"/>
        </w:rPr>
      </w:pPr>
      <w:r>
        <w:rPr>
          <w:color w:val="000000"/>
          <w:sz w:val="24"/>
          <w:szCs w:val="20"/>
        </w:rPr>
        <w:t xml:space="preserve">On Nov. 30, 2012, the company notified its customers of the proposed rate increase by mail. Staff received two comments from consumers who oppose the increase. The customers were notified that documents related </w:t>
      </w:r>
      <w:r w:rsidR="008721D9">
        <w:rPr>
          <w:color w:val="000000"/>
          <w:sz w:val="24"/>
          <w:szCs w:val="20"/>
        </w:rPr>
        <w:t xml:space="preserve">to </w:t>
      </w:r>
      <w:r>
        <w:rPr>
          <w:color w:val="000000"/>
          <w:sz w:val="24"/>
          <w:szCs w:val="20"/>
        </w:rPr>
        <w:t>the rate increase are available on the commission’s website, and that they may contact John Cupp at 1-888-333-9882 or jcupp@utc.wa.gov with questions or concerns.</w:t>
      </w:r>
    </w:p>
    <w:p w14:paraId="08D35EB4" w14:textId="77777777" w:rsidR="0027653E" w:rsidRDefault="0027653E" w:rsidP="0027653E">
      <w:pPr>
        <w:rPr>
          <w:szCs w:val="20"/>
        </w:rPr>
      </w:pPr>
    </w:p>
    <w:p w14:paraId="5620EA54" w14:textId="77777777" w:rsidR="008721D9" w:rsidRDefault="008721D9">
      <w:pPr>
        <w:widowControl/>
        <w:autoSpaceDE/>
        <w:autoSpaceDN/>
        <w:adjustRightInd/>
        <w:rPr>
          <w:b/>
          <w:color w:val="000000"/>
          <w:sz w:val="24"/>
          <w:szCs w:val="20"/>
        </w:rPr>
      </w:pPr>
      <w:r>
        <w:rPr>
          <w:b/>
          <w:color w:val="000000"/>
          <w:sz w:val="24"/>
          <w:szCs w:val="20"/>
        </w:rPr>
        <w:br w:type="page"/>
      </w:r>
    </w:p>
    <w:p w14:paraId="2FE4CE5F" w14:textId="7BF737B4" w:rsidR="0027653E" w:rsidRDefault="0027653E" w:rsidP="0027653E">
      <w:pPr>
        <w:rPr>
          <w:b/>
          <w:color w:val="000000"/>
          <w:sz w:val="24"/>
          <w:szCs w:val="20"/>
        </w:rPr>
      </w:pPr>
      <w:r>
        <w:rPr>
          <w:b/>
          <w:color w:val="000000"/>
          <w:sz w:val="24"/>
          <w:szCs w:val="20"/>
        </w:rPr>
        <w:lastRenderedPageBreak/>
        <w:t>General Comments</w:t>
      </w:r>
    </w:p>
    <w:p w14:paraId="77CDE814" w14:textId="77777777" w:rsidR="0027653E" w:rsidRDefault="0027653E" w:rsidP="0027653E">
      <w:pPr>
        <w:rPr>
          <w:szCs w:val="20"/>
        </w:rPr>
      </w:pPr>
    </w:p>
    <w:p w14:paraId="314D31BD" w14:textId="77777777" w:rsidR="0027653E" w:rsidRDefault="0027653E" w:rsidP="0027653E">
      <w:pPr>
        <w:widowControl/>
        <w:numPr>
          <w:ilvl w:val="0"/>
          <w:numId w:val="32"/>
        </w:numPr>
        <w:autoSpaceDE/>
        <w:autoSpaceDN/>
        <w:adjustRightInd/>
        <w:rPr>
          <w:szCs w:val="20"/>
        </w:rPr>
      </w:pPr>
      <w:r>
        <w:rPr>
          <w:color w:val="000000"/>
          <w:sz w:val="24"/>
          <w:szCs w:val="20"/>
        </w:rPr>
        <w:t>The customers believe the requested increases for garbage and recycling collection are</w:t>
      </w:r>
    </w:p>
    <w:p w14:paraId="7979FDD8" w14:textId="77777777" w:rsidR="0027653E" w:rsidRDefault="0027653E" w:rsidP="0027653E">
      <w:pPr>
        <w:ind w:left="719"/>
        <w:rPr>
          <w:szCs w:val="20"/>
        </w:rPr>
      </w:pPr>
      <w:r>
        <w:rPr>
          <w:color w:val="000000"/>
          <w:sz w:val="24"/>
          <w:szCs w:val="20"/>
        </w:rPr>
        <w:t xml:space="preserve"> excessive.</w:t>
      </w:r>
    </w:p>
    <w:p w14:paraId="580C2DAB" w14:textId="77777777" w:rsidR="0027653E" w:rsidRDefault="0027653E" w:rsidP="0027653E">
      <w:pPr>
        <w:rPr>
          <w:szCs w:val="20"/>
        </w:rPr>
      </w:pPr>
    </w:p>
    <w:p w14:paraId="6640F008" w14:textId="77777777" w:rsidR="0027653E" w:rsidRDefault="0027653E" w:rsidP="0027653E">
      <w:pPr>
        <w:ind w:left="719"/>
        <w:rPr>
          <w:szCs w:val="20"/>
        </w:rPr>
      </w:pPr>
      <w:r>
        <w:rPr>
          <w:b/>
          <w:color w:val="000000"/>
          <w:sz w:val="24"/>
          <w:szCs w:val="20"/>
        </w:rPr>
        <w:t>Staff Response</w:t>
      </w:r>
    </w:p>
    <w:p w14:paraId="644546DC" w14:textId="77777777" w:rsidR="0027653E" w:rsidRDefault="0027653E" w:rsidP="0027653E">
      <w:pPr>
        <w:ind w:left="719"/>
        <w:rPr>
          <w:szCs w:val="20"/>
        </w:rPr>
      </w:pPr>
      <w:r>
        <w:rPr>
          <w:color w:val="000000"/>
          <w:sz w:val="24"/>
          <w:szCs w:val="20"/>
        </w:rPr>
        <w:t>T</w:t>
      </w:r>
      <w:r>
        <w:rPr>
          <w:sz w:val="24"/>
        </w:rPr>
        <w:t>he customer was advised that state law requires rates to be fair, just, reasonable, and sufficient to allow the company to recover reasonable operating expenses and earn a reasonable return on investment. Regulatory staff reviews filings to ensure that all rates and fees are appropriate.</w:t>
      </w:r>
    </w:p>
    <w:p w14:paraId="50BC4B99" w14:textId="77777777" w:rsidR="0027653E" w:rsidRDefault="0027653E" w:rsidP="0027653E">
      <w:pPr>
        <w:rPr>
          <w:rFonts w:asciiTheme="minorHAnsi" w:eastAsiaTheme="minorHAnsi" w:hAnsiTheme="minorHAnsi" w:cstheme="minorBidi"/>
          <w:sz w:val="22"/>
          <w:szCs w:val="22"/>
        </w:rPr>
      </w:pPr>
    </w:p>
    <w:p w14:paraId="2399D0F3" w14:textId="77777777" w:rsidR="004500E4" w:rsidRPr="004500E4" w:rsidRDefault="004500E4"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4500E4" w:rsidRPr="004500E4" w:rsidSect="00D84B7C">
          <w:headerReference w:type="default" r:id="rId12"/>
          <w:headerReference w:type="first" r:id="rId13"/>
          <w:endnotePr>
            <w:numFmt w:val="decimal"/>
            <w:numRestart w:val="eachSect"/>
          </w:endnotePr>
          <w:type w:val="continuous"/>
          <w:pgSz w:w="12240" w:h="15840" w:code="1"/>
          <w:pgMar w:top="1440" w:right="1440" w:bottom="1440" w:left="1440" w:header="1008" w:footer="720" w:gutter="0"/>
          <w:cols w:space="720"/>
          <w:noEndnote/>
          <w:titlePg/>
          <w:docGrid w:linePitch="272"/>
        </w:sectPr>
      </w:pPr>
    </w:p>
    <w:p w14:paraId="6C1EA979" w14:textId="77777777" w:rsidR="00F720D5" w:rsidRDefault="00996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lastRenderedPageBreak/>
        <w:t>C</w:t>
      </w:r>
      <w:r w:rsidR="00F720D5" w:rsidRPr="0053490F">
        <w:rPr>
          <w:b/>
          <w:sz w:val="24"/>
          <w:u w:val="single"/>
        </w:rPr>
        <w:t>onclusion</w:t>
      </w:r>
    </w:p>
    <w:p w14:paraId="01D2D476" w14:textId="77777777" w:rsidR="001A545F" w:rsidRDefault="001A5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0900A164" w14:textId="5270D634" w:rsidR="00C9429D" w:rsidRPr="00C9429D" w:rsidRDefault="00C9429D" w:rsidP="00C9429D">
      <w:pPr>
        <w:rPr>
          <w:sz w:val="24"/>
        </w:rPr>
      </w:pPr>
      <w:r w:rsidRPr="00C9429D">
        <w:rPr>
          <w:sz w:val="24"/>
        </w:rPr>
        <w:t xml:space="preserve">Staff has completed its review of the company’s supporting financial documents, books and records. Staff’s review shows that the expenses are reasonable and required as part of the company’s operations. The customers’ comments do not change staff’s opinion that the company’s financial information supports the staff’s revised revenue requirement and the revised rates and charges are fair, just, reasonable, and sufficient. </w:t>
      </w:r>
    </w:p>
    <w:p w14:paraId="12A2A824" w14:textId="77777777" w:rsidR="001A545F" w:rsidRPr="001A545F" w:rsidRDefault="001A545F" w:rsidP="001A545F">
      <w:pPr>
        <w:rPr>
          <w:sz w:val="24"/>
        </w:rPr>
      </w:pPr>
    </w:p>
    <w:p w14:paraId="05192A60" w14:textId="77777777" w:rsidR="001A545F" w:rsidRPr="001A545F" w:rsidRDefault="001A545F" w:rsidP="001A545F">
      <w:pPr>
        <w:rPr>
          <w:sz w:val="24"/>
        </w:rPr>
      </w:pPr>
      <w:r w:rsidRPr="001A545F">
        <w:rPr>
          <w:b/>
          <w:bCs/>
          <w:sz w:val="24"/>
          <w:u w:val="single"/>
        </w:rPr>
        <w:t>Recommendation</w:t>
      </w:r>
    </w:p>
    <w:p w14:paraId="102D74BB" w14:textId="77777777" w:rsidR="001A545F" w:rsidRDefault="001A5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60D3C94B" w14:textId="77777777" w:rsidR="0009401E" w:rsidRDefault="00094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4396EBDA" w14:textId="77777777" w:rsidR="008721D9" w:rsidRPr="00C81019" w:rsidRDefault="008721D9" w:rsidP="008721D9">
      <w:pPr>
        <w:pStyle w:val="ListParagraph"/>
        <w:widowControl/>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81019">
        <w:rPr>
          <w:sz w:val="24"/>
        </w:rPr>
        <w:t>Dismiss the Complaint and Order Suspending the Tariff Revisions filed on November 13, 2</w:t>
      </w:r>
      <w:r>
        <w:rPr>
          <w:sz w:val="24"/>
        </w:rPr>
        <w:t xml:space="preserve">012, </w:t>
      </w:r>
      <w:r w:rsidRPr="00C81019">
        <w:rPr>
          <w:sz w:val="24"/>
        </w:rPr>
        <w:t>by Mason County Garbage Co., Inc.</w:t>
      </w:r>
    </w:p>
    <w:p w14:paraId="0FE2E9A8" w14:textId="77777777" w:rsidR="008721D9" w:rsidRDefault="008721D9" w:rsidP="008721D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F2A953F" w14:textId="119908B5" w:rsidR="008721D9" w:rsidRPr="00C81019" w:rsidRDefault="008721D9" w:rsidP="008721D9">
      <w:pPr>
        <w:pStyle w:val="ListParagraph"/>
        <w:widowControl/>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81019">
        <w:rPr>
          <w:sz w:val="24"/>
        </w:rPr>
        <w:t xml:space="preserve">Allow the revised </w:t>
      </w:r>
      <w:r w:rsidR="009B59D9">
        <w:rPr>
          <w:sz w:val="24"/>
        </w:rPr>
        <w:t>tariff revisions</w:t>
      </w:r>
      <w:r w:rsidRPr="00C81019">
        <w:rPr>
          <w:sz w:val="24"/>
        </w:rPr>
        <w:t xml:space="preserve"> filed on </w:t>
      </w:r>
      <w:r>
        <w:rPr>
          <w:sz w:val="24"/>
        </w:rPr>
        <w:t>March 22</w:t>
      </w:r>
      <w:r w:rsidRPr="00C81019">
        <w:rPr>
          <w:sz w:val="24"/>
        </w:rPr>
        <w:t xml:space="preserve">, 2013, to become effective on </w:t>
      </w:r>
      <w:r w:rsidR="006373B5">
        <w:rPr>
          <w:sz w:val="24"/>
        </w:rPr>
        <w:t xml:space="preserve">    </w:t>
      </w:r>
      <w:r w:rsidRPr="00C81019">
        <w:rPr>
          <w:sz w:val="24"/>
        </w:rPr>
        <w:t>April 1, 2013.</w:t>
      </w:r>
    </w:p>
    <w:p w14:paraId="6C1EA97D" w14:textId="0E706AA0" w:rsidR="006C38C6" w:rsidRPr="006C38C6" w:rsidRDefault="006C38C6" w:rsidP="003B15A3">
      <w:pPr>
        <w:rPr>
          <w:sz w:val="24"/>
        </w:rPr>
      </w:pPr>
    </w:p>
    <w:sectPr w:rsidR="006C38C6" w:rsidRPr="006C38C6" w:rsidSect="00D84B7C">
      <w:headerReference w:type="first" r:id="rId14"/>
      <w:footnotePr>
        <w:numRestart w:val="eachSect"/>
      </w:footnotePr>
      <w:endnotePr>
        <w:numFmt w:val="decimal"/>
        <w:numRestart w:val="eachSect"/>
      </w:endnotePr>
      <w:type w:val="continuous"/>
      <w:pgSz w:w="12240" w:h="15840" w:code="1"/>
      <w:pgMar w:top="1440" w:right="1440" w:bottom="1440" w:left="1440" w:header="1008"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A47C4" w14:textId="77777777" w:rsidR="001A545F" w:rsidRDefault="001A545F">
      <w:r>
        <w:separator/>
      </w:r>
    </w:p>
  </w:endnote>
  <w:endnote w:type="continuationSeparator" w:id="0">
    <w:p w14:paraId="7291737B" w14:textId="77777777" w:rsidR="001A545F" w:rsidRDefault="001A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0C7E6" w14:textId="77777777" w:rsidR="001A545F" w:rsidRDefault="001A545F">
      <w:r>
        <w:separator/>
      </w:r>
    </w:p>
  </w:footnote>
  <w:footnote w:type="continuationSeparator" w:id="0">
    <w:p w14:paraId="75CC90C9" w14:textId="77777777" w:rsidR="001A545F" w:rsidRDefault="001A5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4559E" w14:textId="2D598125" w:rsidR="001A545F" w:rsidRDefault="001A545F">
    <w:pPr>
      <w:spacing w:line="238" w:lineRule="auto"/>
    </w:pPr>
    <w:r w:rsidRPr="00FE0AD1">
      <w:t>Docket TG-</w:t>
    </w:r>
    <w:r>
      <w:t>121791</w:t>
    </w:r>
  </w:p>
  <w:p w14:paraId="52753E47" w14:textId="5DBC43B4" w:rsidR="001A545F" w:rsidRPr="00FE0AD1" w:rsidRDefault="001A545F">
    <w:pPr>
      <w:spacing w:line="238" w:lineRule="auto"/>
    </w:pPr>
    <w:r>
      <w:t>March 28, 2013</w:t>
    </w:r>
  </w:p>
  <w:p w14:paraId="76E30640" w14:textId="77777777" w:rsidR="001A545F" w:rsidRPr="00FE0AD1" w:rsidRDefault="001A545F">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CF69FA">
      <w:rPr>
        <w:rStyle w:val="PageNumber"/>
        <w:noProof/>
      </w:rPr>
      <w:t>3</w:t>
    </w:r>
    <w:r w:rsidRPr="00FE0AD1">
      <w:rPr>
        <w:rStyle w:val="PageNumber"/>
      </w:rPr>
      <w:fldChar w:fldCharType="end"/>
    </w:r>
  </w:p>
  <w:p w14:paraId="7E73CAFE" w14:textId="77777777" w:rsidR="001A545F" w:rsidRDefault="001A545F">
    <w:pPr>
      <w:spacing w:line="238" w:lineRule="auto"/>
      <w:rPr>
        <w:rFonts w:ascii="Palatino Linotype" w:hAnsi="Palatino Linotype"/>
      </w:rPr>
    </w:pPr>
  </w:p>
  <w:p w14:paraId="3B3F7B51" w14:textId="77777777" w:rsidR="001A545F" w:rsidRDefault="001A54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72FA2" w14:textId="77777777" w:rsidR="001A545F" w:rsidRPr="00D84B7C" w:rsidRDefault="001A545F" w:rsidP="00D84B7C">
    <w:pPr>
      <w:spacing w:line="238"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EA988" w14:textId="77777777" w:rsidR="001A545F" w:rsidRPr="00D84B7C" w:rsidRDefault="001A545F" w:rsidP="00D84B7C">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1F255D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76667A"/>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D52F2D"/>
    <w:multiLevelType w:val="hybridMultilevel"/>
    <w:tmpl w:val="613CD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C10CF"/>
    <w:multiLevelType w:val="hybridMultilevel"/>
    <w:tmpl w:val="958A45C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700D1"/>
    <w:multiLevelType w:val="hybridMultilevel"/>
    <w:tmpl w:val="613CD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083E0B"/>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0E2EF5"/>
    <w:multiLevelType w:val="hybridMultilevel"/>
    <w:tmpl w:val="613CD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682260"/>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D277785"/>
    <w:multiLevelType w:val="hybridMultilevel"/>
    <w:tmpl w:val="DF72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6F33C46"/>
    <w:multiLevelType w:val="hybridMultilevel"/>
    <w:tmpl w:val="613CD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nsid w:val="69D675E1"/>
    <w:multiLevelType w:val="hybridMultilevel"/>
    <w:tmpl w:val="AD1EE9D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AB3E88"/>
    <w:multiLevelType w:val="hybridMultilevel"/>
    <w:tmpl w:val="613CD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6"/>
  </w:num>
  <w:num w:numId="2">
    <w:abstractNumId w:val="24"/>
  </w:num>
  <w:num w:numId="3">
    <w:abstractNumId w:val="5"/>
  </w:num>
  <w:num w:numId="4">
    <w:abstractNumId w:val="34"/>
  </w:num>
  <w:num w:numId="5">
    <w:abstractNumId w:val="18"/>
  </w:num>
  <w:num w:numId="6">
    <w:abstractNumId w:val="28"/>
  </w:num>
  <w:num w:numId="7">
    <w:abstractNumId w:val="20"/>
  </w:num>
  <w:num w:numId="8">
    <w:abstractNumId w:val="25"/>
  </w:num>
  <w:num w:numId="9">
    <w:abstractNumId w:val="7"/>
  </w:num>
  <w:num w:numId="10">
    <w:abstractNumId w:val="22"/>
  </w:num>
  <w:num w:numId="11">
    <w:abstractNumId w:val="1"/>
  </w:num>
  <w:num w:numId="12">
    <w:abstractNumId w:val="32"/>
  </w:num>
  <w:num w:numId="13">
    <w:abstractNumId w:val="33"/>
  </w:num>
  <w:num w:numId="14">
    <w:abstractNumId w:val="12"/>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
  </w:num>
  <w:num w:numId="19">
    <w:abstractNumId w:val="17"/>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3"/>
  </w:num>
  <w:num w:numId="23">
    <w:abstractNumId w:val="16"/>
  </w:num>
  <w:num w:numId="24">
    <w:abstractNumId w:val="19"/>
  </w:num>
  <w:num w:numId="25">
    <w:abstractNumId w:val="9"/>
  </w:num>
  <w:num w:numId="26">
    <w:abstractNumId w:val="10"/>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8"/>
  </w:num>
  <w:num w:numId="30">
    <w:abstractNumId w:val="21"/>
  </w:num>
  <w:num w:numId="31">
    <w:abstractNumId w:val="29"/>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4"/>
  </w:num>
  <w:num w:numId="35">
    <w:abstractNumId w:val="6"/>
  </w:num>
  <w:num w:numId="36">
    <w:abstractNumId w:val="27"/>
  </w:num>
  <w:num w:numId="37">
    <w:abstractNumId w:val="3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61441"/>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84E83F7-215A-41E9-843F-F5D99A46CC45}"/>
    <w:docVar w:name="dgnword-eventsink" w:val="134111200"/>
  </w:docVars>
  <w:rsids>
    <w:rsidRoot w:val="007155BE"/>
    <w:rsid w:val="00016E6E"/>
    <w:rsid w:val="00021C05"/>
    <w:rsid w:val="00022014"/>
    <w:rsid w:val="000231A7"/>
    <w:rsid w:val="0002573A"/>
    <w:rsid w:val="0002730A"/>
    <w:rsid w:val="000377B4"/>
    <w:rsid w:val="0004008D"/>
    <w:rsid w:val="00041309"/>
    <w:rsid w:val="000529F6"/>
    <w:rsid w:val="00055129"/>
    <w:rsid w:val="00066BF9"/>
    <w:rsid w:val="00071B8B"/>
    <w:rsid w:val="00072E8D"/>
    <w:rsid w:val="0007403B"/>
    <w:rsid w:val="00074C54"/>
    <w:rsid w:val="00077614"/>
    <w:rsid w:val="00077804"/>
    <w:rsid w:val="0009134C"/>
    <w:rsid w:val="00092820"/>
    <w:rsid w:val="0009317F"/>
    <w:rsid w:val="0009401E"/>
    <w:rsid w:val="000A2FD7"/>
    <w:rsid w:val="000A6384"/>
    <w:rsid w:val="000A6847"/>
    <w:rsid w:val="000B3E1A"/>
    <w:rsid w:val="000B5EAF"/>
    <w:rsid w:val="000C7B7A"/>
    <w:rsid w:val="000D0D9B"/>
    <w:rsid w:val="000D2F0C"/>
    <w:rsid w:val="000D6EE8"/>
    <w:rsid w:val="000D73DD"/>
    <w:rsid w:val="000D7884"/>
    <w:rsid w:val="000D7B14"/>
    <w:rsid w:val="000E0A65"/>
    <w:rsid w:val="000E0EA5"/>
    <w:rsid w:val="000E186B"/>
    <w:rsid w:val="000E5DC6"/>
    <w:rsid w:val="000F21D6"/>
    <w:rsid w:val="000F23B0"/>
    <w:rsid w:val="000F4F28"/>
    <w:rsid w:val="000F5982"/>
    <w:rsid w:val="00100A13"/>
    <w:rsid w:val="00105F8B"/>
    <w:rsid w:val="001113F5"/>
    <w:rsid w:val="00113B57"/>
    <w:rsid w:val="00114DD1"/>
    <w:rsid w:val="001170AA"/>
    <w:rsid w:val="00122480"/>
    <w:rsid w:val="0012467E"/>
    <w:rsid w:val="001269F2"/>
    <w:rsid w:val="00131C9E"/>
    <w:rsid w:val="00135861"/>
    <w:rsid w:val="00137FE5"/>
    <w:rsid w:val="0015140F"/>
    <w:rsid w:val="00156D17"/>
    <w:rsid w:val="0016108B"/>
    <w:rsid w:val="00161E2E"/>
    <w:rsid w:val="00164BEE"/>
    <w:rsid w:val="00167178"/>
    <w:rsid w:val="00170CB0"/>
    <w:rsid w:val="00171541"/>
    <w:rsid w:val="001736DB"/>
    <w:rsid w:val="00173F0F"/>
    <w:rsid w:val="00175973"/>
    <w:rsid w:val="00176731"/>
    <w:rsid w:val="00180222"/>
    <w:rsid w:val="00182A79"/>
    <w:rsid w:val="0019005A"/>
    <w:rsid w:val="001A386E"/>
    <w:rsid w:val="001A545F"/>
    <w:rsid w:val="001A5711"/>
    <w:rsid w:val="001A67EE"/>
    <w:rsid w:val="001B09AF"/>
    <w:rsid w:val="001B4800"/>
    <w:rsid w:val="001C037D"/>
    <w:rsid w:val="001C187C"/>
    <w:rsid w:val="001C441F"/>
    <w:rsid w:val="001D1736"/>
    <w:rsid w:val="001D28F3"/>
    <w:rsid w:val="001D2BAD"/>
    <w:rsid w:val="001D636B"/>
    <w:rsid w:val="001D6409"/>
    <w:rsid w:val="001D6D6C"/>
    <w:rsid w:val="001E2886"/>
    <w:rsid w:val="001E2BF6"/>
    <w:rsid w:val="001E5965"/>
    <w:rsid w:val="001E641B"/>
    <w:rsid w:val="001E7F1E"/>
    <w:rsid w:val="001F14DF"/>
    <w:rsid w:val="001F1C87"/>
    <w:rsid w:val="001F50B5"/>
    <w:rsid w:val="001F7126"/>
    <w:rsid w:val="00203489"/>
    <w:rsid w:val="00204E23"/>
    <w:rsid w:val="0021738F"/>
    <w:rsid w:val="00217468"/>
    <w:rsid w:val="0023003A"/>
    <w:rsid w:val="00230B69"/>
    <w:rsid w:val="00233439"/>
    <w:rsid w:val="002348E0"/>
    <w:rsid w:val="002349CB"/>
    <w:rsid w:val="0023600B"/>
    <w:rsid w:val="002413B6"/>
    <w:rsid w:val="0024162C"/>
    <w:rsid w:val="00242000"/>
    <w:rsid w:val="00242972"/>
    <w:rsid w:val="0024691D"/>
    <w:rsid w:val="00246B28"/>
    <w:rsid w:val="0024704F"/>
    <w:rsid w:val="002520CC"/>
    <w:rsid w:val="002532BE"/>
    <w:rsid w:val="002546F5"/>
    <w:rsid w:val="0025513C"/>
    <w:rsid w:val="00257DBD"/>
    <w:rsid w:val="00264C5C"/>
    <w:rsid w:val="00264FBF"/>
    <w:rsid w:val="0026637B"/>
    <w:rsid w:val="00267644"/>
    <w:rsid w:val="00270C7B"/>
    <w:rsid w:val="00271661"/>
    <w:rsid w:val="00274B3C"/>
    <w:rsid w:val="002761A1"/>
    <w:rsid w:val="0027629F"/>
    <w:rsid w:val="0027653E"/>
    <w:rsid w:val="0028209E"/>
    <w:rsid w:val="002827B9"/>
    <w:rsid w:val="00282B08"/>
    <w:rsid w:val="00284568"/>
    <w:rsid w:val="0028479C"/>
    <w:rsid w:val="00290FCA"/>
    <w:rsid w:val="002928AA"/>
    <w:rsid w:val="0029365C"/>
    <w:rsid w:val="0029443A"/>
    <w:rsid w:val="0029615A"/>
    <w:rsid w:val="002A0EC4"/>
    <w:rsid w:val="002A1B14"/>
    <w:rsid w:val="002A28C5"/>
    <w:rsid w:val="002A5D58"/>
    <w:rsid w:val="002B0001"/>
    <w:rsid w:val="002B14DD"/>
    <w:rsid w:val="002B1B73"/>
    <w:rsid w:val="002B20A1"/>
    <w:rsid w:val="002B3B6D"/>
    <w:rsid w:val="002C151B"/>
    <w:rsid w:val="002C1D40"/>
    <w:rsid w:val="002C3207"/>
    <w:rsid w:val="002D3175"/>
    <w:rsid w:val="002D4C72"/>
    <w:rsid w:val="002D4F2A"/>
    <w:rsid w:val="002D64E6"/>
    <w:rsid w:val="002D6B9D"/>
    <w:rsid w:val="002E0C08"/>
    <w:rsid w:val="002E4DC6"/>
    <w:rsid w:val="002F03A3"/>
    <w:rsid w:val="002F4DD8"/>
    <w:rsid w:val="00303311"/>
    <w:rsid w:val="00303781"/>
    <w:rsid w:val="0031222B"/>
    <w:rsid w:val="00313257"/>
    <w:rsid w:val="00313EEB"/>
    <w:rsid w:val="003261B5"/>
    <w:rsid w:val="003313B9"/>
    <w:rsid w:val="00332030"/>
    <w:rsid w:val="00341372"/>
    <w:rsid w:val="00342C1E"/>
    <w:rsid w:val="0034523A"/>
    <w:rsid w:val="00350743"/>
    <w:rsid w:val="00351D43"/>
    <w:rsid w:val="00353188"/>
    <w:rsid w:val="00354ECA"/>
    <w:rsid w:val="003568A1"/>
    <w:rsid w:val="0036109B"/>
    <w:rsid w:val="00361D71"/>
    <w:rsid w:val="00363EE1"/>
    <w:rsid w:val="00364DD4"/>
    <w:rsid w:val="00365704"/>
    <w:rsid w:val="00365866"/>
    <w:rsid w:val="00370CA1"/>
    <w:rsid w:val="00371323"/>
    <w:rsid w:val="00371383"/>
    <w:rsid w:val="00376C63"/>
    <w:rsid w:val="00377CFC"/>
    <w:rsid w:val="00380767"/>
    <w:rsid w:val="00382C0C"/>
    <w:rsid w:val="00386E17"/>
    <w:rsid w:val="00393E46"/>
    <w:rsid w:val="00395A04"/>
    <w:rsid w:val="003A2597"/>
    <w:rsid w:val="003A3F61"/>
    <w:rsid w:val="003A789A"/>
    <w:rsid w:val="003B15A3"/>
    <w:rsid w:val="003B41F4"/>
    <w:rsid w:val="003C18AE"/>
    <w:rsid w:val="003C3D11"/>
    <w:rsid w:val="003D1063"/>
    <w:rsid w:val="003D2301"/>
    <w:rsid w:val="003D5389"/>
    <w:rsid w:val="003D7349"/>
    <w:rsid w:val="003E2910"/>
    <w:rsid w:val="003E2C21"/>
    <w:rsid w:val="003E406D"/>
    <w:rsid w:val="003E4343"/>
    <w:rsid w:val="003E4D88"/>
    <w:rsid w:val="003E56FA"/>
    <w:rsid w:val="003F10C8"/>
    <w:rsid w:val="003F3237"/>
    <w:rsid w:val="003F3FA6"/>
    <w:rsid w:val="00401A09"/>
    <w:rsid w:val="004076BE"/>
    <w:rsid w:val="00413B25"/>
    <w:rsid w:val="00414408"/>
    <w:rsid w:val="0042096A"/>
    <w:rsid w:val="0042362E"/>
    <w:rsid w:val="00423720"/>
    <w:rsid w:val="00425275"/>
    <w:rsid w:val="00425D44"/>
    <w:rsid w:val="00427A22"/>
    <w:rsid w:val="00431820"/>
    <w:rsid w:val="00433B87"/>
    <w:rsid w:val="0044302E"/>
    <w:rsid w:val="00444FAE"/>
    <w:rsid w:val="00450022"/>
    <w:rsid w:val="004500E4"/>
    <w:rsid w:val="00452078"/>
    <w:rsid w:val="0045500C"/>
    <w:rsid w:val="00463927"/>
    <w:rsid w:val="0046592B"/>
    <w:rsid w:val="00467164"/>
    <w:rsid w:val="004721BB"/>
    <w:rsid w:val="00475ADF"/>
    <w:rsid w:val="00476C07"/>
    <w:rsid w:val="004827C9"/>
    <w:rsid w:val="00482E3F"/>
    <w:rsid w:val="00487380"/>
    <w:rsid w:val="00490F8D"/>
    <w:rsid w:val="00493276"/>
    <w:rsid w:val="0049346D"/>
    <w:rsid w:val="00493CA6"/>
    <w:rsid w:val="00494774"/>
    <w:rsid w:val="00497914"/>
    <w:rsid w:val="004A1FDD"/>
    <w:rsid w:val="004A2682"/>
    <w:rsid w:val="004A3E1A"/>
    <w:rsid w:val="004A53E9"/>
    <w:rsid w:val="004A6812"/>
    <w:rsid w:val="004A6D98"/>
    <w:rsid w:val="004A6EE8"/>
    <w:rsid w:val="004A763B"/>
    <w:rsid w:val="004B2FFF"/>
    <w:rsid w:val="004B4F08"/>
    <w:rsid w:val="004B609F"/>
    <w:rsid w:val="004C0041"/>
    <w:rsid w:val="004C6F5C"/>
    <w:rsid w:val="004D0D89"/>
    <w:rsid w:val="004D28EE"/>
    <w:rsid w:val="004D6B7E"/>
    <w:rsid w:val="004E1FFF"/>
    <w:rsid w:val="004E7B6A"/>
    <w:rsid w:val="0050347B"/>
    <w:rsid w:val="00503A9E"/>
    <w:rsid w:val="00503B79"/>
    <w:rsid w:val="005113BB"/>
    <w:rsid w:val="005123CA"/>
    <w:rsid w:val="0051493E"/>
    <w:rsid w:val="0051755E"/>
    <w:rsid w:val="005217FE"/>
    <w:rsid w:val="00522A88"/>
    <w:rsid w:val="00522AD8"/>
    <w:rsid w:val="00525E51"/>
    <w:rsid w:val="00532AB3"/>
    <w:rsid w:val="00533BFC"/>
    <w:rsid w:val="0053490F"/>
    <w:rsid w:val="0054218E"/>
    <w:rsid w:val="00543DD9"/>
    <w:rsid w:val="00544FCF"/>
    <w:rsid w:val="005525D6"/>
    <w:rsid w:val="00554AAA"/>
    <w:rsid w:val="0055788D"/>
    <w:rsid w:val="005612F3"/>
    <w:rsid w:val="0056162E"/>
    <w:rsid w:val="00565882"/>
    <w:rsid w:val="005664E5"/>
    <w:rsid w:val="00573088"/>
    <w:rsid w:val="00573D3D"/>
    <w:rsid w:val="005770E2"/>
    <w:rsid w:val="00582E05"/>
    <w:rsid w:val="005866C1"/>
    <w:rsid w:val="00591778"/>
    <w:rsid w:val="00595A3C"/>
    <w:rsid w:val="00596266"/>
    <w:rsid w:val="005962D7"/>
    <w:rsid w:val="005966FF"/>
    <w:rsid w:val="005A2763"/>
    <w:rsid w:val="005A282E"/>
    <w:rsid w:val="005B4AE8"/>
    <w:rsid w:val="005C0529"/>
    <w:rsid w:val="005C17E3"/>
    <w:rsid w:val="005C27C6"/>
    <w:rsid w:val="005C2901"/>
    <w:rsid w:val="005C5C86"/>
    <w:rsid w:val="005D2457"/>
    <w:rsid w:val="005D2C8D"/>
    <w:rsid w:val="005D2EF9"/>
    <w:rsid w:val="005D32BD"/>
    <w:rsid w:val="005E01D4"/>
    <w:rsid w:val="005E0BA9"/>
    <w:rsid w:val="005E28A4"/>
    <w:rsid w:val="005F1B24"/>
    <w:rsid w:val="005F4E63"/>
    <w:rsid w:val="005F567A"/>
    <w:rsid w:val="005F7DA5"/>
    <w:rsid w:val="00602CB2"/>
    <w:rsid w:val="0060344F"/>
    <w:rsid w:val="00605346"/>
    <w:rsid w:val="0060574B"/>
    <w:rsid w:val="006063DE"/>
    <w:rsid w:val="0061036D"/>
    <w:rsid w:val="006126E8"/>
    <w:rsid w:val="00613D6A"/>
    <w:rsid w:val="0061511A"/>
    <w:rsid w:val="006208DE"/>
    <w:rsid w:val="00620B46"/>
    <w:rsid w:val="00621183"/>
    <w:rsid w:val="00622736"/>
    <w:rsid w:val="0062357E"/>
    <w:rsid w:val="006267F1"/>
    <w:rsid w:val="006326CE"/>
    <w:rsid w:val="0063699A"/>
    <w:rsid w:val="006373B5"/>
    <w:rsid w:val="00644C3C"/>
    <w:rsid w:val="0064714F"/>
    <w:rsid w:val="00647A12"/>
    <w:rsid w:val="0065069C"/>
    <w:rsid w:val="00651141"/>
    <w:rsid w:val="0065301B"/>
    <w:rsid w:val="006536CD"/>
    <w:rsid w:val="006540D9"/>
    <w:rsid w:val="0065659A"/>
    <w:rsid w:val="00656655"/>
    <w:rsid w:val="006571D7"/>
    <w:rsid w:val="0066236F"/>
    <w:rsid w:val="0066284C"/>
    <w:rsid w:val="00663602"/>
    <w:rsid w:val="00663672"/>
    <w:rsid w:val="00665BFB"/>
    <w:rsid w:val="00674E59"/>
    <w:rsid w:val="00675AA7"/>
    <w:rsid w:val="0067655D"/>
    <w:rsid w:val="006775D8"/>
    <w:rsid w:val="00681001"/>
    <w:rsid w:val="00681461"/>
    <w:rsid w:val="0068313F"/>
    <w:rsid w:val="00697E4B"/>
    <w:rsid w:val="006A04FE"/>
    <w:rsid w:val="006B3E31"/>
    <w:rsid w:val="006B43DB"/>
    <w:rsid w:val="006B4679"/>
    <w:rsid w:val="006B5516"/>
    <w:rsid w:val="006B5540"/>
    <w:rsid w:val="006B5A31"/>
    <w:rsid w:val="006B7C42"/>
    <w:rsid w:val="006C1863"/>
    <w:rsid w:val="006C1FFD"/>
    <w:rsid w:val="006C2E93"/>
    <w:rsid w:val="006C38C6"/>
    <w:rsid w:val="006C3C23"/>
    <w:rsid w:val="006C46E4"/>
    <w:rsid w:val="006C7028"/>
    <w:rsid w:val="006D0B94"/>
    <w:rsid w:val="006D1C3C"/>
    <w:rsid w:val="006D516C"/>
    <w:rsid w:val="006D7946"/>
    <w:rsid w:val="006E029B"/>
    <w:rsid w:val="006E03AC"/>
    <w:rsid w:val="006E1E0E"/>
    <w:rsid w:val="006E238F"/>
    <w:rsid w:val="006E4D50"/>
    <w:rsid w:val="006F2FB0"/>
    <w:rsid w:val="006F3BAD"/>
    <w:rsid w:val="00705045"/>
    <w:rsid w:val="0070506B"/>
    <w:rsid w:val="00712EAF"/>
    <w:rsid w:val="007155BE"/>
    <w:rsid w:val="00716230"/>
    <w:rsid w:val="00716994"/>
    <w:rsid w:val="00717F25"/>
    <w:rsid w:val="00720462"/>
    <w:rsid w:val="00724965"/>
    <w:rsid w:val="00727768"/>
    <w:rsid w:val="00732CD4"/>
    <w:rsid w:val="00732F21"/>
    <w:rsid w:val="00734CBB"/>
    <w:rsid w:val="00735723"/>
    <w:rsid w:val="00736665"/>
    <w:rsid w:val="00737B9F"/>
    <w:rsid w:val="0074757B"/>
    <w:rsid w:val="00750CE3"/>
    <w:rsid w:val="0075204B"/>
    <w:rsid w:val="00754F16"/>
    <w:rsid w:val="00761AD1"/>
    <w:rsid w:val="007672EC"/>
    <w:rsid w:val="0077590C"/>
    <w:rsid w:val="00781003"/>
    <w:rsid w:val="00786935"/>
    <w:rsid w:val="00790133"/>
    <w:rsid w:val="00792A0E"/>
    <w:rsid w:val="007A1DB0"/>
    <w:rsid w:val="007A2598"/>
    <w:rsid w:val="007A3E61"/>
    <w:rsid w:val="007A5EDA"/>
    <w:rsid w:val="007B4078"/>
    <w:rsid w:val="007B43B9"/>
    <w:rsid w:val="007C6071"/>
    <w:rsid w:val="007C7B37"/>
    <w:rsid w:val="007D2543"/>
    <w:rsid w:val="007D28AD"/>
    <w:rsid w:val="007D3909"/>
    <w:rsid w:val="007D414B"/>
    <w:rsid w:val="007D7BA1"/>
    <w:rsid w:val="007E068A"/>
    <w:rsid w:val="007E21CF"/>
    <w:rsid w:val="007E4B76"/>
    <w:rsid w:val="007F0A9C"/>
    <w:rsid w:val="007F11E6"/>
    <w:rsid w:val="007F158A"/>
    <w:rsid w:val="007F429A"/>
    <w:rsid w:val="007F5F8D"/>
    <w:rsid w:val="007F7E51"/>
    <w:rsid w:val="00801256"/>
    <w:rsid w:val="00801602"/>
    <w:rsid w:val="00801742"/>
    <w:rsid w:val="008025A9"/>
    <w:rsid w:val="008026CF"/>
    <w:rsid w:val="00803B0C"/>
    <w:rsid w:val="008058FE"/>
    <w:rsid w:val="00805D0D"/>
    <w:rsid w:val="00807220"/>
    <w:rsid w:val="008123BB"/>
    <w:rsid w:val="008139A2"/>
    <w:rsid w:val="00822D4C"/>
    <w:rsid w:val="008234B5"/>
    <w:rsid w:val="00824A29"/>
    <w:rsid w:val="008279E3"/>
    <w:rsid w:val="00832AA3"/>
    <w:rsid w:val="00832CF6"/>
    <w:rsid w:val="00841BF3"/>
    <w:rsid w:val="00842072"/>
    <w:rsid w:val="00842F17"/>
    <w:rsid w:val="0084436A"/>
    <w:rsid w:val="0084526E"/>
    <w:rsid w:val="00847732"/>
    <w:rsid w:val="008506EB"/>
    <w:rsid w:val="00852801"/>
    <w:rsid w:val="008550E6"/>
    <w:rsid w:val="00856F9D"/>
    <w:rsid w:val="00861EB7"/>
    <w:rsid w:val="00863257"/>
    <w:rsid w:val="0086429A"/>
    <w:rsid w:val="00867482"/>
    <w:rsid w:val="00867E78"/>
    <w:rsid w:val="00870AF0"/>
    <w:rsid w:val="008721D9"/>
    <w:rsid w:val="00876E35"/>
    <w:rsid w:val="0088310A"/>
    <w:rsid w:val="00883B38"/>
    <w:rsid w:val="00887099"/>
    <w:rsid w:val="00887599"/>
    <w:rsid w:val="008878AE"/>
    <w:rsid w:val="00890A4C"/>
    <w:rsid w:val="0089153B"/>
    <w:rsid w:val="008956A7"/>
    <w:rsid w:val="008A2B86"/>
    <w:rsid w:val="008A33D4"/>
    <w:rsid w:val="008A49D4"/>
    <w:rsid w:val="008A5620"/>
    <w:rsid w:val="008A674C"/>
    <w:rsid w:val="008B44FE"/>
    <w:rsid w:val="008B50E0"/>
    <w:rsid w:val="008B66BD"/>
    <w:rsid w:val="008C2290"/>
    <w:rsid w:val="008C2BF1"/>
    <w:rsid w:val="008D2F06"/>
    <w:rsid w:val="008D36A8"/>
    <w:rsid w:val="008D4331"/>
    <w:rsid w:val="008D58A4"/>
    <w:rsid w:val="008D6D28"/>
    <w:rsid w:val="008D7832"/>
    <w:rsid w:val="008F2EF6"/>
    <w:rsid w:val="008F5A12"/>
    <w:rsid w:val="008F6B63"/>
    <w:rsid w:val="00903BB9"/>
    <w:rsid w:val="00903FF9"/>
    <w:rsid w:val="0090455E"/>
    <w:rsid w:val="00904F3F"/>
    <w:rsid w:val="00910747"/>
    <w:rsid w:val="009108A7"/>
    <w:rsid w:val="00911436"/>
    <w:rsid w:val="00914A67"/>
    <w:rsid w:val="00916157"/>
    <w:rsid w:val="00917864"/>
    <w:rsid w:val="00921502"/>
    <w:rsid w:val="00921DA3"/>
    <w:rsid w:val="00930600"/>
    <w:rsid w:val="0093111C"/>
    <w:rsid w:val="00933C8F"/>
    <w:rsid w:val="00940D68"/>
    <w:rsid w:val="009425D1"/>
    <w:rsid w:val="0094567D"/>
    <w:rsid w:val="00947858"/>
    <w:rsid w:val="00950C19"/>
    <w:rsid w:val="00951684"/>
    <w:rsid w:val="00953B04"/>
    <w:rsid w:val="00955A1B"/>
    <w:rsid w:val="00957836"/>
    <w:rsid w:val="009579C1"/>
    <w:rsid w:val="00961BA1"/>
    <w:rsid w:val="00970EDB"/>
    <w:rsid w:val="00970F01"/>
    <w:rsid w:val="009745CA"/>
    <w:rsid w:val="00975D49"/>
    <w:rsid w:val="0097608F"/>
    <w:rsid w:val="009821E7"/>
    <w:rsid w:val="0098380F"/>
    <w:rsid w:val="0098684D"/>
    <w:rsid w:val="0098762F"/>
    <w:rsid w:val="00991DF9"/>
    <w:rsid w:val="00996D58"/>
    <w:rsid w:val="009A05FA"/>
    <w:rsid w:val="009A33FE"/>
    <w:rsid w:val="009A39CD"/>
    <w:rsid w:val="009B4F36"/>
    <w:rsid w:val="009B59D9"/>
    <w:rsid w:val="009B7577"/>
    <w:rsid w:val="009B7E71"/>
    <w:rsid w:val="009C0016"/>
    <w:rsid w:val="009C74E4"/>
    <w:rsid w:val="009D1E51"/>
    <w:rsid w:val="009D41F2"/>
    <w:rsid w:val="009D48B1"/>
    <w:rsid w:val="009D4F84"/>
    <w:rsid w:val="009D6E2A"/>
    <w:rsid w:val="009D7342"/>
    <w:rsid w:val="009E0F64"/>
    <w:rsid w:val="009E1DD5"/>
    <w:rsid w:val="009E29F6"/>
    <w:rsid w:val="009E55F8"/>
    <w:rsid w:val="009E615A"/>
    <w:rsid w:val="009E7631"/>
    <w:rsid w:val="009F0527"/>
    <w:rsid w:val="009F1BE0"/>
    <w:rsid w:val="009F22C3"/>
    <w:rsid w:val="009F549F"/>
    <w:rsid w:val="009F7B9B"/>
    <w:rsid w:val="00A03E89"/>
    <w:rsid w:val="00A0489E"/>
    <w:rsid w:val="00A06025"/>
    <w:rsid w:val="00A07A0B"/>
    <w:rsid w:val="00A13F6B"/>
    <w:rsid w:val="00A15637"/>
    <w:rsid w:val="00A1759B"/>
    <w:rsid w:val="00A21FD8"/>
    <w:rsid w:val="00A24F0F"/>
    <w:rsid w:val="00A262D5"/>
    <w:rsid w:val="00A265BB"/>
    <w:rsid w:val="00A277CA"/>
    <w:rsid w:val="00A304FE"/>
    <w:rsid w:val="00A30F20"/>
    <w:rsid w:val="00A3544F"/>
    <w:rsid w:val="00A447A5"/>
    <w:rsid w:val="00A45D40"/>
    <w:rsid w:val="00A470C8"/>
    <w:rsid w:val="00A512BF"/>
    <w:rsid w:val="00A57B8A"/>
    <w:rsid w:val="00A614DA"/>
    <w:rsid w:val="00A62535"/>
    <w:rsid w:val="00A6325B"/>
    <w:rsid w:val="00A674E8"/>
    <w:rsid w:val="00A67FCE"/>
    <w:rsid w:val="00A80177"/>
    <w:rsid w:val="00A82198"/>
    <w:rsid w:val="00A8224D"/>
    <w:rsid w:val="00A84A6B"/>
    <w:rsid w:val="00A87E3D"/>
    <w:rsid w:val="00A94E8C"/>
    <w:rsid w:val="00A94F66"/>
    <w:rsid w:val="00AB1365"/>
    <w:rsid w:val="00AB7F3F"/>
    <w:rsid w:val="00AC07F0"/>
    <w:rsid w:val="00AC0A88"/>
    <w:rsid w:val="00AC447C"/>
    <w:rsid w:val="00AC7EC8"/>
    <w:rsid w:val="00AD22FC"/>
    <w:rsid w:val="00AD5281"/>
    <w:rsid w:val="00AD6225"/>
    <w:rsid w:val="00AD6498"/>
    <w:rsid w:val="00AE3869"/>
    <w:rsid w:val="00AE55DC"/>
    <w:rsid w:val="00AE6C13"/>
    <w:rsid w:val="00AE790C"/>
    <w:rsid w:val="00AF113E"/>
    <w:rsid w:val="00AF1A52"/>
    <w:rsid w:val="00AF547D"/>
    <w:rsid w:val="00AF7170"/>
    <w:rsid w:val="00AF7AFF"/>
    <w:rsid w:val="00B06066"/>
    <w:rsid w:val="00B065CE"/>
    <w:rsid w:val="00B07439"/>
    <w:rsid w:val="00B11E23"/>
    <w:rsid w:val="00B15537"/>
    <w:rsid w:val="00B16054"/>
    <w:rsid w:val="00B200A5"/>
    <w:rsid w:val="00B21FFD"/>
    <w:rsid w:val="00B34AE0"/>
    <w:rsid w:val="00B35EA6"/>
    <w:rsid w:val="00B37FE4"/>
    <w:rsid w:val="00B45DD3"/>
    <w:rsid w:val="00B47BBA"/>
    <w:rsid w:val="00B5092C"/>
    <w:rsid w:val="00B56F23"/>
    <w:rsid w:val="00B57C91"/>
    <w:rsid w:val="00B614AD"/>
    <w:rsid w:val="00B64ACF"/>
    <w:rsid w:val="00B67A7C"/>
    <w:rsid w:val="00B67B15"/>
    <w:rsid w:val="00B74DDB"/>
    <w:rsid w:val="00B807D1"/>
    <w:rsid w:val="00B81754"/>
    <w:rsid w:val="00B84712"/>
    <w:rsid w:val="00B87F9F"/>
    <w:rsid w:val="00B925F4"/>
    <w:rsid w:val="00B94DB6"/>
    <w:rsid w:val="00BA095A"/>
    <w:rsid w:val="00BA7938"/>
    <w:rsid w:val="00BB7AF1"/>
    <w:rsid w:val="00BC372B"/>
    <w:rsid w:val="00BC5CEE"/>
    <w:rsid w:val="00BD0937"/>
    <w:rsid w:val="00BD3833"/>
    <w:rsid w:val="00BE0150"/>
    <w:rsid w:val="00BE172A"/>
    <w:rsid w:val="00BE2F9E"/>
    <w:rsid w:val="00BE56A0"/>
    <w:rsid w:val="00BF1D1C"/>
    <w:rsid w:val="00BF4E0E"/>
    <w:rsid w:val="00BF68B6"/>
    <w:rsid w:val="00C122A1"/>
    <w:rsid w:val="00C1295B"/>
    <w:rsid w:val="00C13D84"/>
    <w:rsid w:val="00C16E52"/>
    <w:rsid w:val="00C20C46"/>
    <w:rsid w:val="00C23C07"/>
    <w:rsid w:val="00C2474C"/>
    <w:rsid w:val="00C25C2C"/>
    <w:rsid w:val="00C37AD1"/>
    <w:rsid w:val="00C37DE9"/>
    <w:rsid w:val="00C40858"/>
    <w:rsid w:val="00C4158A"/>
    <w:rsid w:val="00C4692D"/>
    <w:rsid w:val="00C50796"/>
    <w:rsid w:val="00C508B3"/>
    <w:rsid w:val="00C50DA3"/>
    <w:rsid w:val="00C51415"/>
    <w:rsid w:val="00C60CB2"/>
    <w:rsid w:val="00C60D28"/>
    <w:rsid w:val="00C61311"/>
    <w:rsid w:val="00C63BAC"/>
    <w:rsid w:val="00C66289"/>
    <w:rsid w:val="00C74B99"/>
    <w:rsid w:val="00C76A0C"/>
    <w:rsid w:val="00C801BF"/>
    <w:rsid w:val="00C81019"/>
    <w:rsid w:val="00C83D88"/>
    <w:rsid w:val="00C83F63"/>
    <w:rsid w:val="00C83FE0"/>
    <w:rsid w:val="00C85133"/>
    <w:rsid w:val="00C855C0"/>
    <w:rsid w:val="00C85E75"/>
    <w:rsid w:val="00C869AA"/>
    <w:rsid w:val="00C9123C"/>
    <w:rsid w:val="00C932DF"/>
    <w:rsid w:val="00C9429D"/>
    <w:rsid w:val="00C9557A"/>
    <w:rsid w:val="00C96F4F"/>
    <w:rsid w:val="00CA1DCA"/>
    <w:rsid w:val="00CA4063"/>
    <w:rsid w:val="00CA72A0"/>
    <w:rsid w:val="00CA7E19"/>
    <w:rsid w:val="00CB0A67"/>
    <w:rsid w:val="00CB23C7"/>
    <w:rsid w:val="00CB2A5C"/>
    <w:rsid w:val="00CB730A"/>
    <w:rsid w:val="00CB75C6"/>
    <w:rsid w:val="00CC09AC"/>
    <w:rsid w:val="00CC1C72"/>
    <w:rsid w:val="00CC4A9A"/>
    <w:rsid w:val="00CC572A"/>
    <w:rsid w:val="00CC70B2"/>
    <w:rsid w:val="00CC71A3"/>
    <w:rsid w:val="00CD423C"/>
    <w:rsid w:val="00CD4791"/>
    <w:rsid w:val="00CD6A67"/>
    <w:rsid w:val="00CD6BE3"/>
    <w:rsid w:val="00CE78A0"/>
    <w:rsid w:val="00CF1A13"/>
    <w:rsid w:val="00CF24FB"/>
    <w:rsid w:val="00CF3ACE"/>
    <w:rsid w:val="00CF69FA"/>
    <w:rsid w:val="00D05589"/>
    <w:rsid w:val="00D06720"/>
    <w:rsid w:val="00D15A90"/>
    <w:rsid w:val="00D167F3"/>
    <w:rsid w:val="00D20143"/>
    <w:rsid w:val="00D226A4"/>
    <w:rsid w:val="00D23A4C"/>
    <w:rsid w:val="00D27383"/>
    <w:rsid w:val="00D30610"/>
    <w:rsid w:val="00D31736"/>
    <w:rsid w:val="00D35597"/>
    <w:rsid w:val="00D366FC"/>
    <w:rsid w:val="00D41717"/>
    <w:rsid w:val="00D569D8"/>
    <w:rsid w:val="00D62722"/>
    <w:rsid w:val="00D66A1A"/>
    <w:rsid w:val="00D80682"/>
    <w:rsid w:val="00D84B7C"/>
    <w:rsid w:val="00D85988"/>
    <w:rsid w:val="00D91508"/>
    <w:rsid w:val="00D928CE"/>
    <w:rsid w:val="00D942B2"/>
    <w:rsid w:val="00DA42DE"/>
    <w:rsid w:val="00DB4476"/>
    <w:rsid w:val="00DB4DC6"/>
    <w:rsid w:val="00DB6CB8"/>
    <w:rsid w:val="00DC05A4"/>
    <w:rsid w:val="00DD195B"/>
    <w:rsid w:val="00DD2AA8"/>
    <w:rsid w:val="00DD31CB"/>
    <w:rsid w:val="00DD5104"/>
    <w:rsid w:val="00DD6C20"/>
    <w:rsid w:val="00DD6D79"/>
    <w:rsid w:val="00DD75B3"/>
    <w:rsid w:val="00DE1D10"/>
    <w:rsid w:val="00DE3F53"/>
    <w:rsid w:val="00DE657C"/>
    <w:rsid w:val="00DE7B06"/>
    <w:rsid w:val="00DF06C1"/>
    <w:rsid w:val="00DF102E"/>
    <w:rsid w:val="00DF550F"/>
    <w:rsid w:val="00DF714E"/>
    <w:rsid w:val="00E014D9"/>
    <w:rsid w:val="00E0261D"/>
    <w:rsid w:val="00E03F74"/>
    <w:rsid w:val="00E06C58"/>
    <w:rsid w:val="00E07447"/>
    <w:rsid w:val="00E16AEB"/>
    <w:rsid w:val="00E20500"/>
    <w:rsid w:val="00E20755"/>
    <w:rsid w:val="00E25745"/>
    <w:rsid w:val="00E25CDB"/>
    <w:rsid w:val="00E27D91"/>
    <w:rsid w:val="00E3062B"/>
    <w:rsid w:val="00E3306A"/>
    <w:rsid w:val="00E33599"/>
    <w:rsid w:val="00E37428"/>
    <w:rsid w:val="00E4050B"/>
    <w:rsid w:val="00E41204"/>
    <w:rsid w:val="00E44F84"/>
    <w:rsid w:val="00E452EA"/>
    <w:rsid w:val="00E45D6E"/>
    <w:rsid w:val="00E53A6F"/>
    <w:rsid w:val="00E540CE"/>
    <w:rsid w:val="00E540FA"/>
    <w:rsid w:val="00E60B5B"/>
    <w:rsid w:val="00E64636"/>
    <w:rsid w:val="00E64C9D"/>
    <w:rsid w:val="00E702E9"/>
    <w:rsid w:val="00E7074E"/>
    <w:rsid w:val="00E736E5"/>
    <w:rsid w:val="00E754AB"/>
    <w:rsid w:val="00E7665D"/>
    <w:rsid w:val="00E7670E"/>
    <w:rsid w:val="00E829F9"/>
    <w:rsid w:val="00E83C1C"/>
    <w:rsid w:val="00E8463C"/>
    <w:rsid w:val="00E85A0E"/>
    <w:rsid w:val="00E9031F"/>
    <w:rsid w:val="00E90EC4"/>
    <w:rsid w:val="00E92607"/>
    <w:rsid w:val="00E9483C"/>
    <w:rsid w:val="00EB0B9D"/>
    <w:rsid w:val="00EB10F2"/>
    <w:rsid w:val="00EB271B"/>
    <w:rsid w:val="00EB2769"/>
    <w:rsid w:val="00EB33BD"/>
    <w:rsid w:val="00EB3969"/>
    <w:rsid w:val="00EB6C05"/>
    <w:rsid w:val="00EB7715"/>
    <w:rsid w:val="00EC0BB8"/>
    <w:rsid w:val="00EC634E"/>
    <w:rsid w:val="00EC6D15"/>
    <w:rsid w:val="00EC7385"/>
    <w:rsid w:val="00EE1C95"/>
    <w:rsid w:val="00EE1F43"/>
    <w:rsid w:val="00EE21DA"/>
    <w:rsid w:val="00EF0E49"/>
    <w:rsid w:val="00EF0F45"/>
    <w:rsid w:val="00EF26F5"/>
    <w:rsid w:val="00EF4C3E"/>
    <w:rsid w:val="00EF75CA"/>
    <w:rsid w:val="00EF7F05"/>
    <w:rsid w:val="00F00FCA"/>
    <w:rsid w:val="00F019BA"/>
    <w:rsid w:val="00F03C33"/>
    <w:rsid w:val="00F061F8"/>
    <w:rsid w:val="00F063AC"/>
    <w:rsid w:val="00F11665"/>
    <w:rsid w:val="00F119F2"/>
    <w:rsid w:val="00F138FD"/>
    <w:rsid w:val="00F14893"/>
    <w:rsid w:val="00F21617"/>
    <w:rsid w:val="00F235DC"/>
    <w:rsid w:val="00F25574"/>
    <w:rsid w:val="00F30FF0"/>
    <w:rsid w:val="00F36888"/>
    <w:rsid w:val="00F37209"/>
    <w:rsid w:val="00F40862"/>
    <w:rsid w:val="00F4180C"/>
    <w:rsid w:val="00F4377E"/>
    <w:rsid w:val="00F47A17"/>
    <w:rsid w:val="00F53432"/>
    <w:rsid w:val="00F60DC4"/>
    <w:rsid w:val="00F62736"/>
    <w:rsid w:val="00F62BCC"/>
    <w:rsid w:val="00F65276"/>
    <w:rsid w:val="00F720D5"/>
    <w:rsid w:val="00F7392A"/>
    <w:rsid w:val="00F77B5D"/>
    <w:rsid w:val="00F81039"/>
    <w:rsid w:val="00F839AE"/>
    <w:rsid w:val="00F8530F"/>
    <w:rsid w:val="00F879A2"/>
    <w:rsid w:val="00FA775F"/>
    <w:rsid w:val="00FB4376"/>
    <w:rsid w:val="00FB52F3"/>
    <w:rsid w:val="00FB7421"/>
    <w:rsid w:val="00FC2E4A"/>
    <w:rsid w:val="00FC39B9"/>
    <w:rsid w:val="00FC46BC"/>
    <w:rsid w:val="00FC77A8"/>
    <w:rsid w:val="00FD2E81"/>
    <w:rsid w:val="00FD5206"/>
    <w:rsid w:val="00FE0AD1"/>
    <w:rsid w:val="00FE0B88"/>
    <w:rsid w:val="00FE2920"/>
    <w:rsid w:val="00FE36E5"/>
    <w:rsid w:val="00FF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C1E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table" w:customStyle="1" w:styleId="TableGrid1">
    <w:name w:val="Table Grid1"/>
    <w:basedOn w:val="TableNormal"/>
    <w:next w:val="TableGrid"/>
    <w:uiPriority w:val="59"/>
    <w:rsid w:val="009F1B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table" w:customStyle="1" w:styleId="TableGrid1">
    <w:name w:val="Table Grid1"/>
    <w:basedOn w:val="TableNormal"/>
    <w:next w:val="TableGrid"/>
    <w:uiPriority w:val="59"/>
    <w:rsid w:val="009F1B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42751836">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3947F718AD2040BA52E330EB6412E2" ma:contentTypeVersion="139" ma:contentTypeDescription="" ma:contentTypeScope="" ma:versionID="d76eeb6192e681002cfeee4e63b9a5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2012-11-13T08:00:00+00:00</OpenedDate>
    <Date1 xmlns="dc463f71-b30c-4ab2-9473-d307f9d35888">2013-03-28T07:00:00+00:00</Date1>
    <IsDocumentOrder xmlns="dc463f71-b30c-4ab2-9473-d307f9d35888" xsi:nil="true"/>
    <IsHighlyConfidential xmlns="dc463f71-b30c-4ab2-9473-d307f9d35888">false</IsHighlyConfidential>
    <CaseCompanyNames xmlns="dc463f71-b30c-4ab2-9473-d307f9d35888">Mason County Garbage Co., Inc.</CaseCompanyNames>
    <DocketNumber xmlns="dc463f71-b30c-4ab2-9473-d307f9d35888">121791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F7454-8DA5-4593-BA47-EAE24B79825C}"/>
</file>

<file path=customXml/itemProps2.xml><?xml version="1.0" encoding="utf-8"?>
<ds:datastoreItem xmlns:ds="http://schemas.openxmlformats.org/officeDocument/2006/customXml" ds:itemID="{28F3BD75-95F1-49CC-A6C2-9D0FAF2621AC}"/>
</file>

<file path=customXml/itemProps3.xml><?xml version="1.0" encoding="utf-8"?>
<ds:datastoreItem xmlns:ds="http://schemas.openxmlformats.org/officeDocument/2006/customXml" ds:itemID="{1236B2D9-A5BE-42DE-B256-B8222B3C3B3A}"/>
</file>

<file path=customXml/itemProps4.xml><?xml version="1.0" encoding="utf-8"?>
<ds:datastoreItem xmlns:ds="http://schemas.openxmlformats.org/officeDocument/2006/customXml" ds:itemID="{DF96167F-9370-4492-9DEE-F0F2091DAAC0}"/>
</file>

<file path=customXml/itemProps5.xml><?xml version="1.0" encoding="utf-8"?>
<ds:datastoreItem xmlns:ds="http://schemas.openxmlformats.org/officeDocument/2006/customXml" ds:itemID="{0C70763E-29A7-4DBA-8E5C-AD7BC4A185B9}"/>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TG-121791 Memo 02 Mason County</vt:lpstr>
    </vt:vector>
  </TitlesOfParts>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TG-121791 Memo 02 Mason County</dc:title>
  <dc:creator/>
  <cp:lastModifiedBy/>
  <cp:revision>1</cp:revision>
  <dcterms:created xsi:type="dcterms:W3CDTF">2013-03-25T22:16:00Z</dcterms:created>
  <dcterms:modified xsi:type="dcterms:W3CDTF">2013-03-25T22:16:00Z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0x0101006E56B4D1795A2E4DB2F0B01679ED314A00CE3947F718AD2040BA52E330EB6412E2</vt:lpwstr>
  </property>
  <property fmtid="{D5CDD505-2E9C-101B-9397-08002B2CF9AE}" pid="3" name="_docset_NoMedatataSyncRequired">
    <vt:lpwstr>False</vt:lpwstr>
  </property>
</Properties>
</file>