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A1" w:rsidRDefault="00FD44A1"/>
    <w:p w:rsidR="00FD44A1" w:rsidRPr="00EC0E06" w:rsidRDefault="00FD44A1" w:rsidP="00805B13">
      <w:pPr>
        <w:jc w:val="center"/>
        <w:rPr>
          <w:rFonts w:ascii="Times New Roman" w:hAnsi="Times New Roman" w:cs="Times New Roman"/>
          <w:b/>
        </w:rPr>
      </w:pPr>
      <w:r w:rsidRPr="00EC0E06">
        <w:rPr>
          <w:rFonts w:ascii="Times New Roman" w:hAnsi="Times New Roman" w:cs="Times New Roman"/>
          <w:b/>
        </w:rPr>
        <w:t xml:space="preserve">Home Energy Report: </w:t>
      </w:r>
      <w:r w:rsidR="00EC0E06">
        <w:rPr>
          <w:rFonts w:ascii="Times New Roman" w:hAnsi="Times New Roman" w:cs="Times New Roman"/>
          <w:b/>
        </w:rPr>
        <w:t>PacifiCorp’s Response to Public Coun</w:t>
      </w:r>
      <w:r w:rsidR="00436529">
        <w:rPr>
          <w:rFonts w:ascii="Times New Roman" w:hAnsi="Times New Roman" w:cs="Times New Roman"/>
          <w:b/>
        </w:rPr>
        <w:t>sel</w:t>
      </w:r>
      <w:r w:rsidR="00EC0E06">
        <w:rPr>
          <w:rFonts w:ascii="Times New Roman" w:hAnsi="Times New Roman" w:cs="Times New Roman"/>
          <w:b/>
        </w:rPr>
        <w:t xml:space="preserve"> C</w:t>
      </w:r>
      <w:r w:rsidRPr="00EC0E06">
        <w:rPr>
          <w:rFonts w:ascii="Times New Roman" w:hAnsi="Times New Roman" w:cs="Times New Roman"/>
          <w:b/>
        </w:rPr>
        <w:t>oncerns with the Ho</w:t>
      </w:r>
      <w:r w:rsidR="00EC0E06">
        <w:rPr>
          <w:rFonts w:ascii="Times New Roman" w:hAnsi="Times New Roman" w:cs="Times New Roman"/>
          <w:b/>
        </w:rPr>
        <w:t>me Energy Report (HER) program Design and E</w:t>
      </w:r>
      <w:r w:rsidRPr="00EC0E06">
        <w:rPr>
          <w:rFonts w:ascii="Times New Roman" w:hAnsi="Times New Roman" w:cs="Times New Roman"/>
          <w:b/>
        </w:rPr>
        <w:t>valuation.</w:t>
      </w:r>
    </w:p>
    <w:p w:rsidR="00FD44A1" w:rsidRPr="00EC0E06" w:rsidRDefault="00FD44A1">
      <w:pPr>
        <w:rPr>
          <w:rFonts w:ascii="Times New Roman" w:hAnsi="Times New Roman" w:cs="Times New Roman"/>
        </w:rPr>
      </w:pPr>
    </w:p>
    <w:p w:rsidR="00EC0E06" w:rsidRPr="00EC0E06" w:rsidRDefault="00EC0E06" w:rsidP="000711AD">
      <w:pPr>
        <w:jc w:val="both"/>
        <w:rPr>
          <w:rFonts w:ascii="Times New Roman" w:hAnsi="Times New Roman" w:cs="Times New Roman"/>
        </w:rPr>
      </w:pPr>
      <w:r w:rsidRPr="00EC0E06">
        <w:rPr>
          <w:rFonts w:ascii="Times New Roman" w:hAnsi="Times New Roman" w:cs="Times New Roman"/>
        </w:rPr>
        <w:t>In an email from Public Coun</w:t>
      </w:r>
      <w:r w:rsidR="00436529">
        <w:rPr>
          <w:rFonts w:ascii="Times New Roman" w:hAnsi="Times New Roman" w:cs="Times New Roman"/>
        </w:rPr>
        <w:t>se</w:t>
      </w:r>
      <w:r w:rsidRPr="00EC0E06">
        <w:rPr>
          <w:rFonts w:ascii="Times New Roman" w:hAnsi="Times New Roman" w:cs="Times New Roman"/>
        </w:rPr>
        <w:t xml:space="preserve">l on July 5, 2012, the following </w:t>
      </w:r>
      <w:r w:rsidR="00675BDE">
        <w:rPr>
          <w:rFonts w:ascii="Times New Roman" w:hAnsi="Times New Roman" w:cs="Times New Roman"/>
        </w:rPr>
        <w:t xml:space="preserve">recommendations were proposed based on recommendations contained in the </w:t>
      </w:r>
      <w:r w:rsidR="00675BDE">
        <w:rPr>
          <w:rFonts w:ascii="Times New Roman" w:hAnsi="Times New Roman" w:cs="Times New Roman"/>
          <w:i/>
        </w:rPr>
        <w:t xml:space="preserve">Evaluation, Measurement, and Verification (EM&amp;V) of Residential Behavior-Based Energy </w:t>
      </w:r>
      <w:r w:rsidR="007B592E">
        <w:rPr>
          <w:rFonts w:ascii="Times New Roman" w:hAnsi="Times New Roman" w:cs="Times New Roman"/>
          <w:i/>
        </w:rPr>
        <w:t>E</w:t>
      </w:r>
      <w:r w:rsidR="00675BDE">
        <w:rPr>
          <w:rFonts w:ascii="Times New Roman" w:hAnsi="Times New Roman" w:cs="Times New Roman"/>
          <w:i/>
        </w:rPr>
        <w:t>fficiency Programs: Issues and R</w:t>
      </w:r>
      <w:r w:rsidR="00675BDE" w:rsidRPr="00675BDE">
        <w:rPr>
          <w:rFonts w:ascii="Times New Roman" w:hAnsi="Times New Roman" w:cs="Times New Roman"/>
          <w:i/>
        </w:rPr>
        <w:t>ecommendations</w:t>
      </w:r>
      <w:r w:rsidR="00675BDE">
        <w:rPr>
          <w:rFonts w:ascii="Times New Roman" w:hAnsi="Times New Roman" w:cs="Times New Roman"/>
          <w:i/>
        </w:rPr>
        <w:t xml:space="preserve"> </w:t>
      </w:r>
      <w:r w:rsidR="007B592E">
        <w:rPr>
          <w:rFonts w:ascii="Times New Roman" w:hAnsi="Times New Roman" w:cs="Times New Roman"/>
        </w:rPr>
        <w:t xml:space="preserve">report </w:t>
      </w:r>
      <w:r w:rsidR="00675BDE">
        <w:rPr>
          <w:rFonts w:ascii="Times New Roman" w:hAnsi="Times New Roman" w:cs="Times New Roman"/>
        </w:rPr>
        <w:t>published</w:t>
      </w:r>
      <w:r w:rsidR="007B592E">
        <w:rPr>
          <w:rFonts w:ascii="Times New Roman" w:hAnsi="Times New Roman" w:cs="Times New Roman"/>
        </w:rPr>
        <w:t xml:space="preserve"> May 2012</w:t>
      </w:r>
      <w:r w:rsidR="00675BDE">
        <w:rPr>
          <w:rFonts w:ascii="Times New Roman" w:hAnsi="Times New Roman" w:cs="Times New Roman"/>
        </w:rPr>
        <w:t xml:space="preserve"> (aka “LBNL report”).  The r</w:t>
      </w:r>
      <w:r>
        <w:rPr>
          <w:rFonts w:ascii="Times New Roman" w:hAnsi="Times New Roman" w:cs="Times New Roman"/>
        </w:rPr>
        <w:t>esponses from the Company follow each point.</w:t>
      </w:r>
    </w:p>
    <w:p w:rsidR="00EC0E06" w:rsidRDefault="00EC0E06" w:rsidP="000711AD">
      <w:pPr>
        <w:pStyle w:val="NormalWeb"/>
        <w:numPr>
          <w:ilvl w:val="0"/>
          <w:numId w:val="4"/>
        </w:numPr>
        <w:jc w:val="both"/>
      </w:pPr>
      <w:r>
        <w:rPr>
          <w:b/>
          <w:bCs/>
        </w:rPr>
        <w:t>Public Coun</w:t>
      </w:r>
      <w:r w:rsidR="00436529">
        <w:rPr>
          <w:b/>
          <w:bCs/>
        </w:rPr>
        <w:t>se</w:t>
      </w:r>
      <w:r>
        <w:rPr>
          <w:b/>
          <w:bCs/>
        </w:rPr>
        <w:t xml:space="preserve">l: </w:t>
      </w:r>
      <w:r w:rsidRPr="00EC0E06">
        <w:rPr>
          <w:b/>
          <w:bCs/>
        </w:rPr>
        <w:t>Assignment of Households to Control and Treatment Groups</w:t>
      </w:r>
      <w:r w:rsidRPr="00EC0E06">
        <w:br/>
        <w:t>The evaluation plan will conform to recent best practices recommendations by having an independent third-party conduct the random assignment, as well as other tasks, to avoid potential conflict of interests.  According to the LBNL report, “using a third party evaluator that does not have a financial interest in either the quantity of savings achieved, or the success or failure of the program is the most transparent way to achieve this objective.” Specifically the LBNL report identifies three tasks that should be performed by an independent third party evaluator which includes the random assignment of households to treatment or control groups, defining and implementing program evaluation, and data selection and cleaning. See p. 22 of the LBNL report. Public Counsel would like confirmation that these tasks will be performed by a third-party.</w:t>
      </w:r>
    </w:p>
    <w:p w:rsidR="00EC0E06" w:rsidRPr="00EC0E06" w:rsidRDefault="00EC0E06" w:rsidP="000711AD">
      <w:pPr>
        <w:pStyle w:val="NormalWeb"/>
        <w:ind w:left="720"/>
        <w:jc w:val="both"/>
        <w:rPr>
          <w:b/>
          <w:u w:val="single"/>
        </w:rPr>
      </w:pPr>
      <w:r w:rsidRPr="00EC0E06">
        <w:rPr>
          <w:b/>
          <w:u w:val="single"/>
        </w:rPr>
        <w:t>Company Response:</w:t>
      </w:r>
    </w:p>
    <w:p w:rsidR="00325B2F" w:rsidRDefault="000711AD" w:rsidP="000711AD">
      <w:pPr>
        <w:pStyle w:val="NormalWeb"/>
        <w:ind w:left="720"/>
        <w:jc w:val="both"/>
      </w:pPr>
      <w:r>
        <w:t>T</w:t>
      </w:r>
      <w:r w:rsidR="00EC0E06">
        <w:t>he</w:t>
      </w:r>
      <w:r w:rsidR="005F4EEB">
        <w:t xml:space="preserve"> test and control groups for the </w:t>
      </w:r>
      <w:r>
        <w:t xml:space="preserve">Washington </w:t>
      </w:r>
      <w:r w:rsidR="005F4EEB">
        <w:t>program</w:t>
      </w:r>
      <w:r>
        <w:t xml:space="preserve"> have been selected</w:t>
      </w:r>
      <w:r w:rsidR="005F4EEB">
        <w:t xml:space="preserve">.  </w:t>
      </w:r>
      <w:r>
        <w:t>I</w:t>
      </w:r>
      <w:r w:rsidR="00914971">
        <w:t>ndustry accepted selection</w:t>
      </w:r>
      <w:r>
        <w:t xml:space="preserve"> </w:t>
      </w:r>
      <w:r w:rsidR="00914971">
        <w:t>and</w:t>
      </w:r>
      <w:r>
        <w:t xml:space="preserve"> measurement and verification</w:t>
      </w:r>
      <w:r w:rsidR="00914971">
        <w:t xml:space="preserve"> protocol </w:t>
      </w:r>
      <w:r w:rsidR="00395F49">
        <w:t>process</w:t>
      </w:r>
      <w:r>
        <w:t xml:space="preserve"> (International Performance </w:t>
      </w:r>
      <w:r w:rsidRPr="009C2FA2">
        <w:t>Measurement &amp; Verification Protocol)</w:t>
      </w:r>
      <w:r w:rsidR="00395F49">
        <w:t xml:space="preserve"> </w:t>
      </w:r>
      <w:r>
        <w:t>were utilized in</w:t>
      </w:r>
      <w:r w:rsidR="00395F49">
        <w:t xml:space="preserve"> </w:t>
      </w:r>
      <w:r w:rsidR="0094216A">
        <w:t>choosing the</w:t>
      </w:r>
      <w:r w:rsidR="00395F49">
        <w:t xml:space="preserve"> test and control population</w:t>
      </w:r>
      <w:r>
        <w:t>s</w:t>
      </w:r>
      <w:r w:rsidR="00C04151">
        <w:t>.</w:t>
      </w:r>
      <w:r w:rsidR="00914971" w:rsidRPr="009C2FA2">
        <w:t xml:space="preserve"> </w:t>
      </w:r>
      <w:r w:rsidR="009C2FA2">
        <w:t xml:space="preserve"> Customers</w:t>
      </w:r>
      <w:r w:rsidR="009C2FA2" w:rsidRPr="009C2FA2">
        <w:rPr>
          <w:iCs/>
        </w:rPr>
        <w:t xml:space="preserve"> were selected based on their usage, demographic and parcel variables. Those selected homes were randomized into treatment and control groups using MySQL's built-in "order by rand()" function.</w:t>
      </w:r>
      <w:r w:rsidR="009C2FA2" w:rsidRPr="009C2FA2">
        <w:t xml:space="preserve"> </w:t>
      </w:r>
    </w:p>
    <w:p w:rsidR="00395F49" w:rsidRDefault="00395F49" w:rsidP="000711AD">
      <w:pPr>
        <w:pStyle w:val="NormalWeb"/>
        <w:ind w:left="720"/>
        <w:jc w:val="both"/>
      </w:pPr>
      <w:r w:rsidRPr="009C2FA2">
        <w:t>Halting</w:t>
      </w:r>
      <w:r>
        <w:t xml:space="preserve"> </w:t>
      </w:r>
      <w:r w:rsidR="00325B2F">
        <w:t>the</w:t>
      </w:r>
      <w:r w:rsidR="002C116A">
        <w:t xml:space="preserve"> program</w:t>
      </w:r>
      <w:r>
        <w:t xml:space="preserve"> implementation process to reselect the test and control groups will delay launch of the program </w:t>
      </w:r>
      <w:r w:rsidR="00380CDE">
        <w:t xml:space="preserve">while the </w:t>
      </w:r>
      <w:r w:rsidR="0043343F">
        <w:t>C</w:t>
      </w:r>
      <w:r w:rsidR="00380CDE">
        <w:t>ompany procures a third-party vendor to condu</w:t>
      </w:r>
      <w:r w:rsidR="00A17CD2">
        <w:t>c</w:t>
      </w:r>
      <w:r w:rsidR="00380CDE">
        <w:t>t the random selection process.</w:t>
      </w:r>
      <w:r>
        <w:t xml:space="preserve">  While this selection process do</w:t>
      </w:r>
      <w:r w:rsidR="00325B2F">
        <w:t>es</w:t>
      </w:r>
      <w:r>
        <w:t xml:space="preserve"> decrease the perceive</w:t>
      </w:r>
      <w:r w:rsidR="00325B2F">
        <w:t>d</w:t>
      </w:r>
      <w:r>
        <w:t xml:space="preserve"> conflicts of interest, </w:t>
      </w:r>
      <w:r w:rsidR="00C531DF">
        <w:t xml:space="preserve">the Company understands that, </w:t>
      </w:r>
      <w:r w:rsidR="00283A63">
        <w:t>the LBNL report</w:t>
      </w:r>
      <w:r w:rsidR="00380CDE">
        <w:t xml:space="preserve"> did not cite known issues </w:t>
      </w:r>
      <w:r>
        <w:t xml:space="preserve">with </w:t>
      </w:r>
      <w:r w:rsidR="00380CDE">
        <w:t>the process and protocol used by the Company and its vendor.</w:t>
      </w:r>
      <w:r>
        <w:t xml:space="preserve">  </w:t>
      </w:r>
    </w:p>
    <w:p w:rsidR="002927B4" w:rsidRDefault="00C40F29" w:rsidP="000711AD">
      <w:pPr>
        <w:pStyle w:val="NormalWeb"/>
        <w:ind w:left="720"/>
        <w:jc w:val="both"/>
      </w:pPr>
      <w:r>
        <w:t>T</w:t>
      </w:r>
      <w:r w:rsidR="00436529">
        <w:t>o address the Public Counsel</w:t>
      </w:r>
      <w:r w:rsidR="00774A2B">
        <w:t>’</w:t>
      </w:r>
      <w:r w:rsidR="00395F49">
        <w:t>s concern with a</w:t>
      </w:r>
      <w:r w:rsidR="00325B2F">
        <w:t>ny</w:t>
      </w:r>
      <w:r w:rsidR="00395F49">
        <w:t xml:space="preserve"> potential conflict of interest</w:t>
      </w:r>
      <w:r w:rsidR="00774A2B">
        <w:t xml:space="preserve"> in self-selecting</w:t>
      </w:r>
      <w:r w:rsidR="00395F49">
        <w:t xml:space="preserve">, the Company will have a third-party evaluator review the methodology and process used by </w:t>
      </w:r>
      <w:r w:rsidR="00283A63">
        <w:t xml:space="preserve">the </w:t>
      </w:r>
      <w:r w:rsidR="00380CDE">
        <w:t xml:space="preserve">Company and its vendor </w:t>
      </w:r>
      <w:r w:rsidR="00395F49">
        <w:t>in the selection process and provide a report documenting the results</w:t>
      </w:r>
      <w:r w:rsidR="00380CDE">
        <w:t xml:space="preserve"> to the Advisory Group</w:t>
      </w:r>
      <w:r w:rsidR="00395F49">
        <w:t xml:space="preserve">.  </w:t>
      </w:r>
      <w:r w:rsidR="006E709C">
        <w:t xml:space="preserve">While the cost of a third-party review of the selection process is unknown at this time, it’s not expected the added expense will have a material impact on the program economics as provided. </w:t>
      </w:r>
      <w:r w:rsidR="00395F49">
        <w:t xml:space="preserve"> </w:t>
      </w:r>
    </w:p>
    <w:p w:rsidR="00EC0E06" w:rsidRPr="002927B4" w:rsidRDefault="002927B4" w:rsidP="002927B4">
      <w:pPr>
        <w:rPr>
          <w:rFonts w:ascii="Times New Roman" w:hAnsi="Times New Roman" w:cs="Times New Roman"/>
          <w:sz w:val="24"/>
          <w:szCs w:val="24"/>
        </w:rPr>
      </w:pPr>
      <w:r>
        <w:br w:type="page"/>
      </w:r>
    </w:p>
    <w:p w:rsidR="00380CDE" w:rsidRPr="00380CDE" w:rsidRDefault="00EC0E06" w:rsidP="000711AD">
      <w:pPr>
        <w:pStyle w:val="NormalWeb"/>
        <w:numPr>
          <w:ilvl w:val="0"/>
          <w:numId w:val="4"/>
        </w:numPr>
        <w:jc w:val="both"/>
      </w:pPr>
      <w:r>
        <w:rPr>
          <w:b/>
          <w:bCs/>
        </w:rPr>
        <w:lastRenderedPageBreak/>
        <w:t>Public Coun</w:t>
      </w:r>
      <w:r w:rsidR="00436529">
        <w:rPr>
          <w:b/>
          <w:bCs/>
        </w:rPr>
        <w:t>se</w:t>
      </w:r>
      <w:r>
        <w:rPr>
          <w:b/>
          <w:bCs/>
        </w:rPr>
        <w:t xml:space="preserve">l: </w:t>
      </w:r>
      <w:r w:rsidRPr="00EC0E06">
        <w:rPr>
          <w:b/>
          <w:bCs/>
        </w:rPr>
        <w:t>Methodology for Avoiding Double-Counting of Savings</w:t>
      </w:r>
    </w:p>
    <w:p w:rsidR="007C6B63" w:rsidRDefault="00EC0E06" w:rsidP="007C6B63">
      <w:pPr>
        <w:pStyle w:val="NormalWeb"/>
        <w:ind w:left="720"/>
        <w:jc w:val="both"/>
      </w:pPr>
      <w:r w:rsidRPr="00EC0E06">
        <w:t>The evaluation plan will include a methodology to determine double counted savings for upstream programs such as retail CFL’s consistent with the recommendations in the LBNL Report</w:t>
      </w:r>
      <w:r w:rsidR="00196846">
        <w:t>,</w:t>
      </w:r>
      <w:r w:rsidR="00196846" w:rsidRPr="00EC0E06">
        <w:t> which</w:t>
      </w:r>
      <w:r w:rsidRPr="00EC0E06">
        <w:t xml:space="preserve"> recommend that evaluations include “a compelling rigorous estimation approach.” PSE has developed a methodology for addressing double-counting of associated with behavior-based programs, including programs for which there is no tracking data like upstream CFL’s, and we shared that methodology with PacifiCorp. We believe this methodology would be considered a “compelling rigorous estimation approach.” We would like confirmation that PacifiCorp’s evaluation approach will include such a methodology.</w:t>
      </w:r>
    </w:p>
    <w:p w:rsidR="00AB074F" w:rsidRPr="00EC0E06" w:rsidRDefault="00AB074F" w:rsidP="000711AD">
      <w:pPr>
        <w:pStyle w:val="NormalWeb"/>
        <w:ind w:left="720"/>
        <w:jc w:val="both"/>
        <w:rPr>
          <w:b/>
          <w:u w:val="single"/>
        </w:rPr>
      </w:pPr>
      <w:r w:rsidRPr="00EC0E06">
        <w:rPr>
          <w:b/>
          <w:u w:val="single"/>
        </w:rPr>
        <w:t>Company Response:</w:t>
      </w:r>
    </w:p>
    <w:p w:rsidR="00774A2B" w:rsidRPr="00EC0E06" w:rsidRDefault="00774A2B" w:rsidP="000711AD">
      <w:pPr>
        <w:pStyle w:val="NormalWeb"/>
        <w:ind w:left="720"/>
        <w:jc w:val="both"/>
      </w:pPr>
      <w:r>
        <w:t xml:space="preserve">The Company agrees to </w:t>
      </w:r>
      <w:r w:rsidR="00AB074F">
        <w:t>adopt</w:t>
      </w:r>
      <w:r>
        <w:t xml:space="preserve"> </w:t>
      </w:r>
      <w:r w:rsidR="00AB074F">
        <w:t>similar approaches identified in the LBNL Report (Section 3.2.5.)</w:t>
      </w:r>
      <w:r w:rsidR="00380CDE">
        <w:t xml:space="preserve"> </w:t>
      </w:r>
      <w:r w:rsidR="006E709C">
        <w:t>The adoption costs of Section 3.2.5 is already assumed in the Company’s evaluation cost estimate.</w:t>
      </w:r>
    </w:p>
    <w:p w:rsidR="00380CDE" w:rsidRDefault="00EC0E06" w:rsidP="000711AD">
      <w:pPr>
        <w:pStyle w:val="NormalWeb"/>
        <w:numPr>
          <w:ilvl w:val="0"/>
          <w:numId w:val="4"/>
        </w:numPr>
        <w:jc w:val="both"/>
      </w:pPr>
      <w:r>
        <w:rPr>
          <w:b/>
          <w:bCs/>
        </w:rPr>
        <w:t>Public Coun</w:t>
      </w:r>
      <w:r w:rsidR="00436529">
        <w:rPr>
          <w:b/>
          <w:bCs/>
        </w:rPr>
        <w:t>se</w:t>
      </w:r>
      <w:r>
        <w:rPr>
          <w:b/>
          <w:bCs/>
        </w:rPr>
        <w:t xml:space="preserve">l: </w:t>
      </w:r>
      <w:r w:rsidRPr="00EC0E06">
        <w:rPr>
          <w:b/>
          <w:bCs/>
        </w:rPr>
        <w:t>Customization of Reports Based on Customer Characteristics</w:t>
      </w:r>
    </w:p>
    <w:p w:rsidR="007C6B63" w:rsidRDefault="00EC0E06" w:rsidP="007C6B63">
      <w:pPr>
        <w:pStyle w:val="NormalWeb"/>
        <w:ind w:left="720"/>
        <w:jc w:val="both"/>
      </w:pPr>
      <w:r w:rsidRPr="00EC0E06">
        <w:t>PacifiCorp states that OPower uses tip targeting to customize home energy reports based on known customer circumstances. The evaluation plan should include an equivalency check methodology, consistent with the LBNL Report recommendations, to check for statistical validity or balance between the test and control groups. See page 28 of the LBNL report.</w:t>
      </w:r>
    </w:p>
    <w:p w:rsidR="00AB074F" w:rsidRPr="00EC0E06" w:rsidRDefault="00AB074F" w:rsidP="000711AD">
      <w:pPr>
        <w:pStyle w:val="NormalWeb"/>
        <w:ind w:left="720"/>
        <w:jc w:val="both"/>
        <w:rPr>
          <w:b/>
          <w:u w:val="single"/>
        </w:rPr>
      </w:pPr>
      <w:r w:rsidRPr="00EC0E06">
        <w:rPr>
          <w:b/>
          <w:u w:val="single"/>
        </w:rPr>
        <w:t>Company Response:</w:t>
      </w:r>
    </w:p>
    <w:p w:rsidR="00AB074F" w:rsidRPr="00EC0E06" w:rsidRDefault="00AB074F" w:rsidP="000711AD">
      <w:pPr>
        <w:pStyle w:val="NormalWeb"/>
        <w:ind w:left="720"/>
        <w:jc w:val="both"/>
      </w:pPr>
      <w:r>
        <w:t>The Company agrees to adopt similar approaches identified in the LBNL Report (Section 3.2.5.)</w:t>
      </w:r>
      <w:r w:rsidR="00196846">
        <w:t>.</w:t>
      </w:r>
      <w:r>
        <w:t xml:space="preserve"> </w:t>
      </w:r>
      <w:r w:rsidR="006E709C">
        <w:t>The adoption costs of this provision in 3.2.5</w:t>
      </w:r>
      <w:r w:rsidR="00291CF4">
        <w:t>,</w:t>
      </w:r>
      <w:r w:rsidR="006E709C">
        <w:t xml:space="preserve"> is not expected to have a material impact on the program economics as provided.</w:t>
      </w:r>
    </w:p>
    <w:p w:rsidR="00380CDE" w:rsidRDefault="00EC0E06" w:rsidP="00380CDE">
      <w:pPr>
        <w:pStyle w:val="NormalWeb"/>
        <w:numPr>
          <w:ilvl w:val="0"/>
          <w:numId w:val="4"/>
        </w:numPr>
        <w:jc w:val="both"/>
      </w:pPr>
      <w:r w:rsidRPr="00380CDE">
        <w:rPr>
          <w:b/>
          <w:bCs/>
        </w:rPr>
        <w:t>Public Coun</w:t>
      </w:r>
      <w:r w:rsidR="00436529">
        <w:rPr>
          <w:b/>
          <w:bCs/>
        </w:rPr>
        <w:t>se</w:t>
      </w:r>
      <w:r w:rsidRPr="00380CDE">
        <w:rPr>
          <w:b/>
          <w:bCs/>
        </w:rPr>
        <w:t>l: Target Population</w:t>
      </w:r>
    </w:p>
    <w:p w:rsidR="007C6B63" w:rsidRDefault="00EC0E06" w:rsidP="007C6B63">
      <w:pPr>
        <w:pStyle w:val="NormalWeb"/>
        <w:ind w:left="720"/>
        <w:jc w:val="both"/>
      </w:pPr>
      <w:r w:rsidRPr="00EC0E06">
        <w:t>PacifiCorp should file revisions to the program description identifying the geographic area of the pilot (i.e. location of test and control groups). In designing Home Energy Report programs, there are various factors that affect the validity of the program, including specific factors associated with the location of the pilot. For example, target population must be large enough to yield a statistically significant result. For this reason we think the location is a key component of program design that should be identified at  the program inception.</w:t>
      </w:r>
    </w:p>
    <w:p w:rsidR="00CD2F66" w:rsidRDefault="00CD2F66" w:rsidP="000711AD">
      <w:pPr>
        <w:ind w:firstLine="720"/>
        <w:jc w:val="both"/>
        <w:rPr>
          <w:rFonts w:ascii="Times New Roman" w:hAnsi="Times New Roman" w:cs="Times New Roman"/>
          <w:b/>
          <w:sz w:val="24"/>
          <w:szCs w:val="24"/>
          <w:u w:val="single"/>
        </w:rPr>
      </w:pPr>
    </w:p>
    <w:p w:rsidR="00CD2F66" w:rsidRDefault="00CD2F66" w:rsidP="000711AD">
      <w:pPr>
        <w:ind w:firstLine="720"/>
        <w:jc w:val="both"/>
        <w:rPr>
          <w:rFonts w:ascii="Times New Roman" w:hAnsi="Times New Roman" w:cs="Times New Roman"/>
          <w:b/>
          <w:sz w:val="24"/>
          <w:szCs w:val="24"/>
          <w:u w:val="single"/>
        </w:rPr>
      </w:pPr>
    </w:p>
    <w:p w:rsidR="0094216A" w:rsidRPr="0094216A" w:rsidRDefault="0094216A" w:rsidP="000711AD">
      <w:pPr>
        <w:ind w:firstLine="720"/>
        <w:jc w:val="both"/>
        <w:rPr>
          <w:rFonts w:ascii="Times New Roman" w:hAnsi="Times New Roman" w:cs="Times New Roman"/>
          <w:b/>
          <w:sz w:val="24"/>
          <w:szCs w:val="24"/>
          <w:u w:val="single"/>
        </w:rPr>
      </w:pPr>
      <w:r w:rsidRPr="0094216A">
        <w:rPr>
          <w:rFonts w:ascii="Times New Roman" w:hAnsi="Times New Roman" w:cs="Times New Roman"/>
          <w:b/>
          <w:sz w:val="24"/>
          <w:szCs w:val="24"/>
          <w:u w:val="single"/>
        </w:rPr>
        <w:lastRenderedPageBreak/>
        <w:t>Company Response:</w:t>
      </w:r>
    </w:p>
    <w:p w:rsidR="0094216A" w:rsidRDefault="0094216A" w:rsidP="000711AD">
      <w:pPr>
        <w:ind w:left="720"/>
        <w:jc w:val="both"/>
        <w:rPr>
          <w:rFonts w:ascii="Times New Roman" w:hAnsi="Times New Roman" w:cs="Times New Roman"/>
        </w:rPr>
      </w:pPr>
      <w:r>
        <w:rPr>
          <w:rFonts w:ascii="Times New Roman" w:hAnsi="Times New Roman" w:cs="Times New Roman"/>
        </w:rPr>
        <w:t>The Company will provide a statistical count on the number</w:t>
      </w:r>
      <w:r w:rsidR="0043343F">
        <w:rPr>
          <w:rFonts w:ascii="Times New Roman" w:hAnsi="Times New Roman" w:cs="Times New Roman"/>
        </w:rPr>
        <w:t xml:space="preserve"> of</w:t>
      </w:r>
      <w:r>
        <w:rPr>
          <w:rFonts w:ascii="Times New Roman" w:hAnsi="Times New Roman" w:cs="Times New Roman"/>
        </w:rPr>
        <w:t xml:space="preserve"> customers in the treatment and control group by location.  The counts will be available by aggregating by zip code.</w:t>
      </w:r>
      <w:r w:rsidR="00196846">
        <w:rPr>
          <w:rFonts w:ascii="Times New Roman" w:hAnsi="Times New Roman" w:cs="Times New Roman"/>
        </w:rPr>
        <w:t xml:space="preserve">  These values will be available by July 6, 2012.</w:t>
      </w:r>
    </w:p>
    <w:p w:rsidR="00FD44A1" w:rsidRPr="00EC0E06" w:rsidRDefault="00FD44A1">
      <w:pPr>
        <w:rPr>
          <w:rFonts w:ascii="Times New Roman" w:hAnsi="Times New Roman" w:cs="Times New Roman"/>
        </w:rPr>
      </w:pPr>
    </w:p>
    <w:sectPr w:rsidR="00FD44A1" w:rsidRPr="00EC0E06" w:rsidSect="00B956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F24" w:rsidRDefault="00276F24" w:rsidP="00B956FC">
      <w:pPr>
        <w:spacing w:after="0" w:line="240" w:lineRule="auto"/>
      </w:pPr>
      <w:r>
        <w:separator/>
      </w:r>
    </w:p>
  </w:endnote>
  <w:endnote w:type="continuationSeparator" w:id="0">
    <w:p w:rsidR="00276F24" w:rsidRDefault="00276F24" w:rsidP="00B95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5" w:rsidRDefault="004C2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5" w:rsidRDefault="004C22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5" w:rsidRDefault="004C2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F24" w:rsidRDefault="00276F24" w:rsidP="00B956FC">
      <w:pPr>
        <w:spacing w:after="0" w:line="240" w:lineRule="auto"/>
      </w:pPr>
      <w:r>
        <w:separator/>
      </w:r>
    </w:p>
  </w:footnote>
  <w:footnote w:type="continuationSeparator" w:id="0">
    <w:p w:rsidR="00276F24" w:rsidRDefault="00276F24" w:rsidP="00B956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5" w:rsidRDefault="004C22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FC" w:rsidRDefault="00B956FC">
    <w:pPr>
      <w:pStyle w:val="Header"/>
    </w:pPr>
    <w:r>
      <w:t>Home Energy Report Agreements</w:t>
    </w:r>
    <w:r>
      <w:tab/>
    </w:r>
    <w:r>
      <w:tab/>
      <w:t>Attachment A</w:t>
    </w:r>
  </w:p>
  <w:p w:rsidR="00B956FC" w:rsidRDefault="00B956FC">
    <w:pPr>
      <w:pStyle w:val="Header"/>
    </w:pPr>
    <w:r>
      <w:t>July 6, 2012</w:t>
    </w:r>
  </w:p>
  <w:p w:rsidR="00B956FC" w:rsidRDefault="00B956FC">
    <w:pPr>
      <w:pStyle w:val="Header"/>
    </w:pPr>
    <w:r>
      <w:t xml:space="preserve">Page </w:t>
    </w:r>
    <w:fldSimple w:instr=" PAGE   \* MERGEFORMAT ">
      <w:r w:rsidR="004C2295">
        <w:rPr>
          <w:noProof/>
        </w:rPr>
        <w:t>2</w:t>
      </w:r>
    </w:fldSimple>
  </w:p>
  <w:p w:rsidR="00B956FC" w:rsidRDefault="00B956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FC" w:rsidRDefault="00B956FC" w:rsidP="00B956FC">
    <w:pPr>
      <w:pStyle w:val="Header"/>
      <w:jc w:val="right"/>
    </w:pPr>
    <w:r>
      <w:t>Attachment A</w:t>
    </w:r>
  </w:p>
  <w:p w:rsidR="00B956FC" w:rsidRDefault="00B956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51507"/>
    <w:multiLevelType w:val="hybridMultilevel"/>
    <w:tmpl w:val="AF4A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338F0"/>
    <w:multiLevelType w:val="hybridMultilevel"/>
    <w:tmpl w:val="0414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B783C"/>
    <w:multiLevelType w:val="hybridMultilevel"/>
    <w:tmpl w:val="9E0E2D8E"/>
    <w:lvl w:ilvl="0" w:tplc="0409000F">
      <w:start w:val="1"/>
      <w:numFmt w:val="decimal"/>
      <w:lvlText w:val="%1."/>
      <w:lvlJc w:val="left"/>
      <w:pPr>
        <w:ind w:left="720" w:hanging="360"/>
      </w:pPr>
    </w:lvl>
    <w:lvl w:ilvl="1" w:tplc="0E38F99C">
      <w:numFmt w:val="bullet"/>
      <w:lvlText w:val=""/>
      <w:lvlJc w:val="left"/>
      <w:pPr>
        <w:ind w:left="2100" w:hanging="102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56614"/>
    <w:multiLevelType w:val="hybridMultilevel"/>
    <w:tmpl w:val="BC24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FD44A1"/>
    <w:rsid w:val="000711AD"/>
    <w:rsid w:val="000849F6"/>
    <w:rsid w:val="0012793C"/>
    <w:rsid w:val="00196846"/>
    <w:rsid w:val="002402E3"/>
    <w:rsid w:val="00276F24"/>
    <w:rsid w:val="00283A63"/>
    <w:rsid w:val="00291CF4"/>
    <w:rsid w:val="002927B4"/>
    <w:rsid w:val="002A728A"/>
    <w:rsid w:val="002C116A"/>
    <w:rsid w:val="002F2FB1"/>
    <w:rsid w:val="00325B2F"/>
    <w:rsid w:val="00342272"/>
    <w:rsid w:val="00380CDE"/>
    <w:rsid w:val="00395CDB"/>
    <w:rsid w:val="00395F49"/>
    <w:rsid w:val="0043343F"/>
    <w:rsid w:val="00436529"/>
    <w:rsid w:val="004A29A0"/>
    <w:rsid w:val="004C2295"/>
    <w:rsid w:val="005F4EEB"/>
    <w:rsid w:val="00675BDE"/>
    <w:rsid w:val="00690C81"/>
    <w:rsid w:val="006E709C"/>
    <w:rsid w:val="00752846"/>
    <w:rsid w:val="00774A2B"/>
    <w:rsid w:val="007B592E"/>
    <w:rsid w:val="007C6B63"/>
    <w:rsid w:val="00805B13"/>
    <w:rsid w:val="0082395F"/>
    <w:rsid w:val="00844FE6"/>
    <w:rsid w:val="008935DC"/>
    <w:rsid w:val="00914971"/>
    <w:rsid w:val="0094216A"/>
    <w:rsid w:val="009452E3"/>
    <w:rsid w:val="009C2FA2"/>
    <w:rsid w:val="00A17CD2"/>
    <w:rsid w:val="00A501CB"/>
    <w:rsid w:val="00AB074F"/>
    <w:rsid w:val="00AF34BC"/>
    <w:rsid w:val="00B45DA3"/>
    <w:rsid w:val="00B956FC"/>
    <w:rsid w:val="00BE0A2F"/>
    <w:rsid w:val="00C04151"/>
    <w:rsid w:val="00C40F29"/>
    <w:rsid w:val="00C526E8"/>
    <w:rsid w:val="00C531DF"/>
    <w:rsid w:val="00CD2F66"/>
    <w:rsid w:val="00E513CF"/>
    <w:rsid w:val="00E82629"/>
    <w:rsid w:val="00E866CC"/>
    <w:rsid w:val="00EC0E06"/>
    <w:rsid w:val="00F32BF2"/>
    <w:rsid w:val="00FD4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E0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8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CDE"/>
    <w:rPr>
      <w:rFonts w:ascii="Tahoma" w:hAnsi="Tahoma" w:cs="Tahoma"/>
      <w:sz w:val="16"/>
      <w:szCs w:val="16"/>
    </w:rPr>
  </w:style>
  <w:style w:type="character" w:styleId="CommentReference">
    <w:name w:val="annotation reference"/>
    <w:basedOn w:val="DefaultParagraphFont"/>
    <w:uiPriority w:val="99"/>
    <w:semiHidden/>
    <w:unhideWhenUsed/>
    <w:rsid w:val="00A17CD2"/>
    <w:rPr>
      <w:sz w:val="16"/>
      <w:szCs w:val="16"/>
    </w:rPr>
  </w:style>
  <w:style w:type="paragraph" w:styleId="CommentText">
    <w:name w:val="annotation text"/>
    <w:basedOn w:val="Normal"/>
    <w:link w:val="CommentTextChar"/>
    <w:uiPriority w:val="99"/>
    <w:semiHidden/>
    <w:unhideWhenUsed/>
    <w:rsid w:val="00A17CD2"/>
    <w:pPr>
      <w:spacing w:line="240" w:lineRule="auto"/>
    </w:pPr>
    <w:rPr>
      <w:sz w:val="20"/>
      <w:szCs w:val="20"/>
    </w:rPr>
  </w:style>
  <w:style w:type="character" w:customStyle="1" w:styleId="CommentTextChar">
    <w:name w:val="Comment Text Char"/>
    <w:basedOn w:val="DefaultParagraphFont"/>
    <w:link w:val="CommentText"/>
    <w:uiPriority w:val="99"/>
    <w:semiHidden/>
    <w:rsid w:val="00A17CD2"/>
    <w:rPr>
      <w:sz w:val="20"/>
      <w:szCs w:val="20"/>
    </w:rPr>
  </w:style>
  <w:style w:type="paragraph" w:styleId="CommentSubject">
    <w:name w:val="annotation subject"/>
    <w:basedOn w:val="CommentText"/>
    <w:next w:val="CommentText"/>
    <w:link w:val="CommentSubjectChar"/>
    <w:uiPriority w:val="99"/>
    <w:semiHidden/>
    <w:unhideWhenUsed/>
    <w:rsid w:val="00A17CD2"/>
    <w:rPr>
      <w:b/>
      <w:bCs/>
    </w:rPr>
  </w:style>
  <w:style w:type="character" w:customStyle="1" w:styleId="CommentSubjectChar">
    <w:name w:val="Comment Subject Char"/>
    <w:basedOn w:val="CommentTextChar"/>
    <w:link w:val="CommentSubject"/>
    <w:uiPriority w:val="99"/>
    <w:semiHidden/>
    <w:rsid w:val="00A17CD2"/>
    <w:rPr>
      <w:b/>
      <w:bCs/>
    </w:rPr>
  </w:style>
  <w:style w:type="paragraph" w:styleId="Revision">
    <w:name w:val="Revision"/>
    <w:hidden/>
    <w:uiPriority w:val="99"/>
    <w:semiHidden/>
    <w:rsid w:val="00A17CD2"/>
    <w:pPr>
      <w:spacing w:after="0" w:line="240" w:lineRule="auto"/>
    </w:pPr>
  </w:style>
  <w:style w:type="paragraph" w:styleId="Header">
    <w:name w:val="header"/>
    <w:basedOn w:val="Normal"/>
    <w:link w:val="HeaderChar"/>
    <w:uiPriority w:val="99"/>
    <w:unhideWhenUsed/>
    <w:rsid w:val="00B9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6FC"/>
  </w:style>
  <w:style w:type="paragraph" w:styleId="Footer">
    <w:name w:val="footer"/>
    <w:basedOn w:val="Normal"/>
    <w:link w:val="FooterChar"/>
    <w:uiPriority w:val="99"/>
    <w:semiHidden/>
    <w:unhideWhenUsed/>
    <w:rsid w:val="00B956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6FC"/>
  </w:style>
  <w:style w:type="paragraph" w:styleId="FootnoteText">
    <w:name w:val="footnote text"/>
    <w:basedOn w:val="Normal"/>
    <w:link w:val="FootnoteTextChar"/>
    <w:uiPriority w:val="99"/>
    <w:semiHidden/>
    <w:unhideWhenUsed/>
    <w:rsid w:val="00C53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1DF"/>
    <w:rPr>
      <w:sz w:val="20"/>
      <w:szCs w:val="20"/>
    </w:rPr>
  </w:style>
  <w:style w:type="character" w:styleId="FootnoteReference">
    <w:name w:val="footnote reference"/>
    <w:basedOn w:val="DefaultParagraphFont"/>
    <w:uiPriority w:val="99"/>
    <w:semiHidden/>
    <w:unhideWhenUsed/>
    <w:rsid w:val="00C531DF"/>
    <w:rPr>
      <w:vertAlign w:val="superscript"/>
    </w:rPr>
  </w:style>
</w:styles>
</file>

<file path=word/webSettings.xml><?xml version="1.0" encoding="utf-8"?>
<w:webSettings xmlns:r="http://schemas.openxmlformats.org/officeDocument/2006/relationships" xmlns:w="http://schemas.openxmlformats.org/wordprocessingml/2006/main">
  <w:divs>
    <w:div w:id="13535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2012-07-06T07:00:00+00:00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700B4E-56E7-4586-B543-997A84D257E4}"/>
</file>

<file path=customXml/itemProps2.xml><?xml version="1.0" encoding="utf-8"?>
<ds:datastoreItem xmlns:ds="http://schemas.openxmlformats.org/officeDocument/2006/customXml" ds:itemID="{8E985FE2-8FC2-4172-98BB-553F355D37D0}"/>
</file>

<file path=customXml/itemProps3.xml><?xml version="1.0" encoding="utf-8"?>
<ds:datastoreItem xmlns:ds="http://schemas.openxmlformats.org/officeDocument/2006/customXml" ds:itemID="{DDC31158-A222-4D49-B5A0-7B7AE306876A}"/>
</file>

<file path=customXml/itemProps4.xml><?xml version="1.0" encoding="utf-8"?>
<ds:datastoreItem xmlns:ds="http://schemas.openxmlformats.org/officeDocument/2006/customXml" ds:itemID="{A56EA7CB-B339-4C93-99E4-F9EB29699AF6}"/>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2012-07-06T21:47:00Z</dcterms:created>
  <dcterms:modified xsi:type="dcterms:W3CDTF">2012-07-06T21:47:00Z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0x0101006E56B4D1795A2E4DB2F0B01679ED314A008EC0D5F6EAA1564A915F198CD04D0CEE</vt:lpwstr>
  </property>
  <property fmtid="{D5CDD505-2E9C-101B-9397-08002B2CF9AE}" pid="4" name="_docset_NoMedatataSyncRequired">
    <vt:lpwstr>False</vt:lpwstr>
  </property>
</Properties>
</file>