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27" w:rsidRPr="00F676F1" w:rsidRDefault="004D3927" w:rsidP="004D39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676F1">
        <w:rPr>
          <w:sz w:val="24"/>
        </w:rPr>
        <w:t>Agenda Date:</w:t>
      </w:r>
      <w:r w:rsidRPr="00F676F1">
        <w:rPr>
          <w:sz w:val="24"/>
        </w:rPr>
        <w:tab/>
      </w:r>
      <w:r w:rsidRPr="00F676F1">
        <w:rPr>
          <w:sz w:val="24"/>
        </w:rPr>
        <w:tab/>
      </w:r>
      <w:r w:rsidR="001D611D" w:rsidRPr="00F676F1">
        <w:rPr>
          <w:sz w:val="24"/>
        </w:rPr>
        <w:t>May 27, 2010</w:t>
      </w:r>
    </w:p>
    <w:p w:rsidR="004D3927" w:rsidRDefault="00DC47EC"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Item Number:</w:t>
      </w:r>
      <w:r>
        <w:rPr>
          <w:sz w:val="24"/>
        </w:rPr>
        <w:tab/>
      </w:r>
      <w:r>
        <w:rPr>
          <w:sz w:val="24"/>
        </w:rPr>
        <w:tab/>
        <w:t>B3</w:t>
      </w:r>
    </w:p>
    <w:p w:rsidR="00DC47EC" w:rsidRPr="00F676F1" w:rsidRDefault="00DC47EC"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676F1">
        <w:rPr>
          <w:b/>
          <w:bCs/>
          <w:sz w:val="24"/>
        </w:rPr>
        <w:t xml:space="preserve">Docket: </w:t>
      </w:r>
      <w:r w:rsidRPr="00F676F1">
        <w:rPr>
          <w:b/>
          <w:bCs/>
          <w:sz w:val="24"/>
        </w:rPr>
        <w:tab/>
      </w:r>
      <w:r w:rsidRPr="00F676F1">
        <w:rPr>
          <w:b/>
          <w:bCs/>
          <w:sz w:val="24"/>
        </w:rPr>
        <w:tab/>
      </w:r>
      <w:r w:rsidR="001D611D" w:rsidRPr="00F676F1">
        <w:rPr>
          <w:b/>
          <w:bCs/>
          <w:sz w:val="24"/>
        </w:rPr>
        <w:t>TG-091775</w:t>
      </w: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676F1">
        <w:rPr>
          <w:sz w:val="24"/>
        </w:rPr>
        <w:t>Company Name:</w:t>
      </w:r>
      <w:r w:rsidRPr="00F676F1">
        <w:rPr>
          <w:sz w:val="24"/>
        </w:rPr>
        <w:tab/>
        <w:t xml:space="preserve">Yakima Waste Systems, </w:t>
      </w:r>
      <w:r w:rsidR="009E7F53" w:rsidRPr="00F676F1">
        <w:rPr>
          <w:sz w:val="24"/>
        </w:rPr>
        <w:t>Inc.</w:t>
      </w:r>
      <w:r w:rsidRPr="00F676F1">
        <w:rPr>
          <w:sz w:val="24"/>
        </w:rPr>
        <w:t xml:space="preserve"> G-89</w:t>
      </w: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u w:val="single"/>
        </w:rPr>
        <w:t>Staff:</w:t>
      </w:r>
      <w:r w:rsidRPr="00F676F1">
        <w:rPr>
          <w:sz w:val="24"/>
        </w:rPr>
        <w:tab/>
      </w:r>
      <w:r w:rsidRPr="00F676F1">
        <w:rPr>
          <w:sz w:val="24"/>
        </w:rPr>
        <w:tab/>
      </w:r>
      <w:r w:rsidRPr="00F676F1">
        <w:rPr>
          <w:sz w:val="24"/>
        </w:rPr>
        <w:tab/>
        <w:t>Nicki Johnson, Regulatory Analyst</w:t>
      </w: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ab/>
      </w:r>
      <w:r w:rsidRPr="00F676F1">
        <w:rPr>
          <w:sz w:val="24"/>
        </w:rPr>
        <w:tab/>
      </w:r>
      <w:r w:rsidRPr="00F676F1">
        <w:rPr>
          <w:sz w:val="24"/>
        </w:rPr>
        <w:tab/>
        <w:t>Dennis Shutler, Consumer Protection Staff</w:t>
      </w:r>
    </w:p>
    <w:p w:rsidR="002C039A" w:rsidRPr="00F676F1" w:rsidRDefault="002C039A" w:rsidP="007F1BFD">
      <w:pPr>
        <w:pStyle w:val="NoSpacing"/>
        <w:rPr>
          <w:rFonts w:cs="Times New Roman"/>
          <w:szCs w:val="24"/>
        </w:rPr>
      </w:pPr>
    </w:p>
    <w:p w:rsidR="004D3927" w:rsidRPr="00F676F1" w:rsidRDefault="004D3927" w:rsidP="004D3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676F1">
        <w:rPr>
          <w:b/>
          <w:sz w:val="24"/>
          <w:u w:val="single"/>
        </w:rPr>
        <w:t>Recommendation</w:t>
      </w:r>
    </w:p>
    <w:p w:rsidR="004D3927" w:rsidRDefault="004D3927" w:rsidP="007F1BFD">
      <w:pPr>
        <w:pStyle w:val="NoSpacing"/>
        <w:rPr>
          <w:rFonts w:cs="Times New Roman"/>
          <w:szCs w:val="24"/>
        </w:rPr>
      </w:pPr>
    </w:p>
    <w:p w:rsidR="00A66232" w:rsidRDefault="00A66232" w:rsidP="007F1BFD">
      <w:pPr>
        <w:pStyle w:val="NoSpacing"/>
        <w:rPr>
          <w:rFonts w:cs="Times New Roman"/>
          <w:szCs w:val="24"/>
        </w:rPr>
      </w:pPr>
      <w:r>
        <w:rPr>
          <w:rFonts w:cs="Times New Roman"/>
          <w:szCs w:val="24"/>
        </w:rPr>
        <w:t>Issue an order to:</w:t>
      </w:r>
    </w:p>
    <w:p w:rsidR="00A66232" w:rsidRPr="00F676F1" w:rsidRDefault="00A66232" w:rsidP="007F1BFD">
      <w:pPr>
        <w:pStyle w:val="NoSpacing"/>
        <w:rPr>
          <w:rFonts w:cs="Times New Roman"/>
          <w:szCs w:val="24"/>
        </w:rPr>
      </w:pPr>
    </w:p>
    <w:p w:rsidR="00EB5D60" w:rsidRPr="00F676F1" w:rsidRDefault="00EB5D60" w:rsidP="00EB5D60">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 xml:space="preserve">Dismiss the Complaint and Order Suspending the Tariff Revisions filed by </w:t>
      </w:r>
      <w:r w:rsidR="007C31D0" w:rsidRPr="00F676F1">
        <w:rPr>
          <w:sz w:val="24"/>
        </w:rPr>
        <w:t>Yakima Waste Systems, Inc.</w:t>
      </w:r>
    </w:p>
    <w:p w:rsidR="004D3927" w:rsidRPr="00F676F1" w:rsidRDefault="004D3927" w:rsidP="007F1BFD">
      <w:pPr>
        <w:pStyle w:val="NoSpacing"/>
        <w:rPr>
          <w:rFonts w:cs="Times New Roman"/>
          <w:szCs w:val="24"/>
        </w:rPr>
      </w:pPr>
    </w:p>
    <w:p w:rsidR="00AC663B" w:rsidRPr="00F676F1" w:rsidRDefault="0047336B" w:rsidP="007F1BFD">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A</w:t>
      </w:r>
      <w:r w:rsidR="00AC663B" w:rsidRPr="00F676F1">
        <w:rPr>
          <w:sz w:val="24"/>
        </w:rPr>
        <w:t xml:space="preserve">llow the revised rates </w:t>
      </w:r>
      <w:r w:rsidR="00B57E62" w:rsidRPr="00F676F1">
        <w:rPr>
          <w:sz w:val="24"/>
        </w:rPr>
        <w:t xml:space="preserve">filed by Yakima Waste on April 29, 2010, </w:t>
      </w:r>
      <w:r w:rsidR="00AC663B" w:rsidRPr="00F676F1">
        <w:rPr>
          <w:sz w:val="24"/>
        </w:rPr>
        <w:t>to become effective on June 1, 2010</w:t>
      </w:r>
      <w:r w:rsidR="00AA712C" w:rsidRPr="00F676F1">
        <w:rPr>
          <w:sz w:val="24"/>
        </w:rPr>
        <w:t>.</w:t>
      </w:r>
    </w:p>
    <w:p w:rsidR="00AA712C" w:rsidRPr="00F676F1" w:rsidRDefault="00AA712C" w:rsidP="00AA71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B5D60" w:rsidRPr="00F676F1" w:rsidRDefault="00EB5D60" w:rsidP="00BF7430">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Require the compan</w:t>
      </w:r>
      <w:r w:rsidR="007C31D0" w:rsidRPr="00F676F1">
        <w:rPr>
          <w:sz w:val="24"/>
        </w:rPr>
        <w:t>y</w:t>
      </w:r>
      <w:r w:rsidRPr="00F676F1">
        <w:rPr>
          <w:sz w:val="24"/>
        </w:rPr>
        <w:t xml:space="preserve"> to refund to customers the difference between the </w:t>
      </w:r>
      <w:r w:rsidR="00F53F3B" w:rsidRPr="00F676F1">
        <w:rPr>
          <w:sz w:val="24"/>
        </w:rPr>
        <w:t xml:space="preserve">rates in </w:t>
      </w:r>
      <w:r w:rsidR="00F86AC9" w:rsidRPr="00F676F1">
        <w:rPr>
          <w:sz w:val="24"/>
        </w:rPr>
        <w:t xml:space="preserve">effect between </w:t>
      </w:r>
      <w:r w:rsidR="00F53F3B" w:rsidRPr="00F676F1">
        <w:rPr>
          <w:sz w:val="24"/>
        </w:rPr>
        <w:t>January 1, 2010</w:t>
      </w:r>
      <w:r w:rsidR="00F86AC9" w:rsidRPr="00F676F1">
        <w:rPr>
          <w:sz w:val="24"/>
        </w:rPr>
        <w:t xml:space="preserve"> and May 31, 2010</w:t>
      </w:r>
      <w:r w:rsidR="00F53F3B" w:rsidRPr="00F676F1">
        <w:rPr>
          <w:sz w:val="24"/>
        </w:rPr>
        <w:t>, and the revised, permanent rates that will become effective June 1, 2010.</w:t>
      </w:r>
      <w:r w:rsidR="00F53F3B" w:rsidRPr="00F676F1" w:rsidDel="00F53F3B">
        <w:rPr>
          <w:sz w:val="24"/>
        </w:rPr>
        <w:t xml:space="preserve"> </w:t>
      </w:r>
      <w:r w:rsidR="00F53F3B" w:rsidRPr="00F676F1">
        <w:rPr>
          <w:sz w:val="24"/>
        </w:rPr>
        <w:t xml:space="preserve">Allow the company to choose to make a one-time refund immediately or refund the difference over a five month period, allow the company to </w:t>
      </w:r>
      <w:r w:rsidR="00F676F1" w:rsidRPr="00F676F1">
        <w:rPr>
          <w:sz w:val="24"/>
        </w:rPr>
        <w:t xml:space="preserve">make the </w:t>
      </w:r>
      <w:r w:rsidR="00F53F3B" w:rsidRPr="00F676F1">
        <w:rPr>
          <w:sz w:val="24"/>
        </w:rPr>
        <w:t>refund</w:t>
      </w:r>
      <w:r w:rsidR="00F676F1" w:rsidRPr="00F676F1">
        <w:rPr>
          <w:sz w:val="24"/>
        </w:rPr>
        <w:t>s</w:t>
      </w:r>
      <w:r w:rsidR="00F53F3B" w:rsidRPr="00F676F1">
        <w:rPr>
          <w:sz w:val="24"/>
        </w:rPr>
        <w:t xml:space="preserve"> by issuing credits to the customer</w:t>
      </w:r>
      <w:r w:rsidR="00F676F1" w:rsidRPr="00F676F1">
        <w:rPr>
          <w:sz w:val="24"/>
        </w:rPr>
        <w:t>s</w:t>
      </w:r>
      <w:r w:rsidR="00F53F3B" w:rsidRPr="00F676F1">
        <w:rPr>
          <w:sz w:val="24"/>
        </w:rPr>
        <w:t>’ bills, require the company to complete the refund process no later than December 15, 2010,</w:t>
      </w:r>
      <w:r w:rsidR="00F86AC9" w:rsidRPr="00F676F1">
        <w:rPr>
          <w:sz w:val="24"/>
        </w:rPr>
        <w:t xml:space="preserve"> </w:t>
      </w:r>
      <w:r w:rsidR="00CD3B87" w:rsidRPr="00F676F1">
        <w:rPr>
          <w:sz w:val="24"/>
        </w:rPr>
        <w:t>and require the company to file a summary report showing each service level</w:t>
      </w:r>
      <w:r w:rsidR="002D2A75" w:rsidRPr="00F676F1">
        <w:rPr>
          <w:sz w:val="24"/>
        </w:rPr>
        <w:t xml:space="preserve"> affected by a refund</w:t>
      </w:r>
      <w:r w:rsidR="00CD3B87" w:rsidRPr="00F676F1">
        <w:rPr>
          <w:sz w:val="24"/>
        </w:rPr>
        <w:t xml:space="preserve">, the number of customers who received refunds </w:t>
      </w:r>
      <w:r w:rsidR="002D2A75" w:rsidRPr="00F676F1">
        <w:rPr>
          <w:sz w:val="24"/>
        </w:rPr>
        <w:t xml:space="preserve">for each service level </w:t>
      </w:r>
      <w:r w:rsidR="00CD3B87" w:rsidRPr="00F676F1">
        <w:rPr>
          <w:sz w:val="24"/>
        </w:rPr>
        <w:t xml:space="preserve">and the total amount of the </w:t>
      </w:r>
      <w:r w:rsidR="00F53F3B" w:rsidRPr="00F676F1">
        <w:rPr>
          <w:sz w:val="24"/>
        </w:rPr>
        <w:t>refund</w:t>
      </w:r>
      <w:r w:rsidR="00CD3B87" w:rsidRPr="00F676F1">
        <w:rPr>
          <w:sz w:val="24"/>
        </w:rPr>
        <w:t>s</w:t>
      </w:r>
      <w:r w:rsidR="002D2A75" w:rsidRPr="00F676F1">
        <w:rPr>
          <w:sz w:val="24"/>
        </w:rPr>
        <w:t xml:space="preserve"> made for each service level</w:t>
      </w:r>
      <w:r w:rsidR="00F53F3B" w:rsidRPr="00F676F1">
        <w:rPr>
          <w:sz w:val="24"/>
        </w:rPr>
        <w:t>.</w:t>
      </w:r>
    </w:p>
    <w:p w:rsidR="00EB5D60" w:rsidRPr="00F676F1" w:rsidRDefault="00EB5D60" w:rsidP="00BF74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4698" w:rsidRPr="00F676F1" w:rsidRDefault="000E070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b/>
          <w:bCs/>
          <w:sz w:val="24"/>
          <w:u w:val="single"/>
        </w:rPr>
        <w:t>Background</w:t>
      </w:r>
    </w:p>
    <w:p w:rsidR="004D3927" w:rsidRPr="00F676F1" w:rsidRDefault="004D3927" w:rsidP="007F1BFD">
      <w:pPr>
        <w:pStyle w:val="NoSpacing"/>
        <w:rPr>
          <w:rFonts w:cs="Times New Roman"/>
          <w:szCs w:val="24"/>
        </w:rPr>
      </w:pPr>
    </w:p>
    <w:p w:rsidR="004D3927" w:rsidRPr="00F676F1" w:rsidRDefault="000E0709" w:rsidP="007F1BFD">
      <w:pPr>
        <w:pStyle w:val="NoSpacing"/>
        <w:rPr>
          <w:rFonts w:cs="Times New Roman"/>
          <w:szCs w:val="24"/>
        </w:rPr>
      </w:pPr>
      <w:r w:rsidRPr="00F676F1">
        <w:rPr>
          <w:rFonts w:cs="Times New Roman"/>
          <w:szCs w:val="24"/>
        </w:rPr>
        <w:t xml:space="preserve">On November 12, 2009, Yakima Waste Systems, </w:t>
      </w:r>
      <w:r w:rsidR="009E7F53" w:rsidRPr="00F676F1">
        <w:rPr>
          <w:rFonts w:cs="Times New Roman"/>
          <w:szCs w:val="24"/>
        </w:rPr>
        <w:t>Inc.</w:t>
      </w:r>
      <w:r w:rsidRPr="00F676F1">
        <w:rPr>
          <w:rFonts w:cs="Times New Roman"/>
          <w:szCs w:val="24"/>
        </w:rPr>
        <w:t xml:space="preserve"> (Yakima Waste or company) filed with the Utilities and Transportation Commission (commission) tariff revisions that would generate approximately $363,</w:t>
      </w:r>
      <w:r w:rsidR="002B7C60" w:rsidRPr="00F676F1">
        <w:rPr>
          <w:rFonts w:cs="Times New Roman"/>
          <w:szCs w:val="24"/>
        </w:rPr>
        <w:t>7</w:t>
      </w:r>
      <w:r w:rsidRPr="00F676F1">
        <w:rPr>
          <w:rFonts w:cs="Times New Roman"/>
          <w:szCs w:val="24"/>
        </w:rPr>
        <w:t>00 (4.7 percent) in additional annual revenue for solid waste collection services. The filing was prompted by an increase in disposal fees. Disposal fees increased from $27.03 per ton to $30.89 per ton effective January 1, 2010. Yakima Waste filed rates to recover the increased disposal fees without filing all the documents required in a general increase filing.</w:t>
      </w:r>
    </w:p>
    <w:p w:rsidR="000E0709" w:rsidRPr="00F676F1" w:rsidRDefault="000E0709" w:rsidP="007F1BFD">
      <w:pPr>
        <w:pStyle w:val="NoSpacing"/>
        <w:rPr>
          <w:rFonts w:cs="Times New Roman"/>
          <w:szCs w:val="24"/>
        </w:rPr>
      </w:pP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676F1">
        <w:rPr>
          <w:sz w:val="24"/>
        </w:rPr>
        <w:t>On December 23, 2009, the commission issued a complaint and order suspending the tariff revisions filed by the company on November 12, 2009, and the substitute pages the company filed on November 13, 2009, and December 10, 2009; and, allowed the proposed tariffs filed by the company to become effective on January 1, 2010, on a temporary basis, subject to refund if the commission determines that different rates will be fair, just, reasonable and sufficient. The commission also ordered the company:</w:t>
      </w: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E0709" w:rsidRPr="00F676F1" w:rsidRDefault="000E0709" w:rsidP="000E0709">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sidRPr="00F676F1">
        <w:rPr>
          <w:sz w:val="24"/>
        </w:rPr>
        <w:t xml:space="preserve">To file all documents required for a general rate case as provided in WAC 480-07-520 by March 1, 2010, together with any additional documents that may be requested by commission staff. </w:t>
      </w:r>
    </w:p>
    <w:p w:rsidR="000E0709" w:rsidRPr="00F676F1" w:rsidRDefault="000E0709" w:rsidP="000E070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0E0709" w:rsidRPr="00DC47EC" w:rsidRDefault="000E0709" w:rsidP="000E0709">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sidRPr="00F676F1">
        <w:rPr>
          <w:sz w:val="24"/>
        </w:rPr>
        <w:t>To not change or alter the tariffs filed in this Docket during the suspension period, unless authorized by the Commission.</w:t>
      </w:r>
    </w:p>
    <w:p w:rsidR="00DC47EC" w:rsidRPr="00DC47EC" w:rsidRDefault="00DC47EC" w:rsidP="00DC47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676F1">
        <w:rPr>
          <w:sz w:val="24"/>
        </w:rPr>
        <w:t xml:space="preserve">Yakima Waste filed the documents required for a general rate case on March 1, 2010. Staff completed its analysis of the </w:t>
      </w:r>
      <w:r w:rsidR="00E9734D" w:rsidRPr="00F676F1">
        <w:rPr>
          <w:sz w:val="24"/>
        </w:rPr>
        <w:t>c</w:t>
      </w:r>
      <w:r w:rsidRPr="00F676F1">
        <w:rPr>
          <w:sz w:val="24"/>
        </w:rPr>
        <w:t xml:space="preserve">ompany’s supporting financial records, and found Yakima Waste’s current, temporary rates generate more revenue than the </w:t>
      </w:r>
      <w:r w:rsidR="00E9734D" w:rsidRPr="00F676F1">
        <w:rPr>
          <w:sz w:val="24"/>
        </w:rPr>
        <w:t>c</w:t>
      </w:r>
      <w:r w:rsidRPr="00F676F1">
        <w:rPr>
          <w:sz w:val="24"/>
        </w:rPr>
        <w:t xml:space="preserve">ompany needs in its garbage operations. </w:t>
      </w:r>
      <w:r w:rsidR="000F005B" w:rsidRPr="00F676F1">
        <w:rPr>
          <w:sz w:val="24"/>
        </w:rPr>
        <w:t>In the January</w:t>
      </w:r>
      <w:r w:rsidRPr="00F676F1">
        <w:rPr>
          <w:sz w:val="24"/>
        </w:rPr>
        <w:t xml:space="preserve"> </w:t>
      </w:r>
      <w:r w:rsidR="000F005B" w:rsidRPr="00F676F1">
        <w:rPr>
          <w:sz w:val="24"/>
        </w:rPr>
        <w:t xml:space="preserve">2010 filing, the </w:t>
      </w:r>
      <w:r w:rsidR="00E9734D" w:rsidRPr="00F676F1">
        <w:rPr>
          <w:sz w:val="24"/>
        </w:rPr>
        <w:t>c</w:t>
      </w:r>
      <w:r w:rsidRPr="00F676F1">
        <w:rPr>
          <w:sz w:val="24"/>
        </w:rPr>
        <w:t>ompany asked for approximately $363,700 (4.7 percent) of additional garbage revenue</w:t>
      </w:r>
      <w:r w:rsidR="000F005B" w:rsidRPr="00F676F1">
        <w:rPr>
          <w:sz w:val="24"/>
        </w:rPr>
        <w:t>. Residential and commercial rates increased by $219,950.</w:t>
      </w:r>
      <w:r w:rsidRPr="00F676F1">
        <w:rPr>
          <w:sz w:val="24"/>
        </w:rPr>
        <w:t xml:space="preserve"> </w:t>
      </w:r>
      <w:r w:rsidR="000F005B" w:rsidRPr="00F676F1">
        <w:rPr>
          <w:sz w:val="24"/>
        </w:rPr>
        <w:t xml:space="preserve">The remainder of the increase, $143,750, was a pass-through of drop box disposal fees. </w:t>
      </w:r>
      <w:r w:rsidR="009714CB" w:rsidRPr="00F676F1">
        <w:rPr>
          <w:sz w:val="24"/>
        </w:rPr>
        <w:t>T</w:t>
      </w:r>
      <w:r w:rsidRPr="00F676F1">
        <w:rPr>
          <w:sz w:val="24"/>
        </w:rPr>
        <w:t xml:space="preserve">he </w:t>
      </w:r>
      <w:r w:rsidR="00E9734D" w:rsidRPr="00F676F1">
        <w:rPr>
          <w:sz w:val="24"/>
        </w:rPr>
        <w:t>c</w:t>
      </w:r>
      <w:r w:rsidRPr="00F676F1">
        <w:rPr>
          <w:sz w:val="24"/>
        </w:rPr>
        <w:t xml:space="preserve">ompany’s financial records support an increase of only about $93,200 (1.1 percent); approximately $270,500 less than the </w:t>
      </w:r>
      <w:r w:rsidR="00E9734D" w:rsidRPr="00F676F1">
        <w:rPr>
          <w:sz w:val="24"/>
        </w:rPr>
        <w:t>c</w:t>
      </w:r>
      <w:r w:rsidRPr="00F676F1">
        <w:rPr>
          <w:sz w:val="24"/>
        </w:rPr>
        <w:t>ompany requested. The analysis shows that:</w:t>
      </w: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E0709" w:rsidRPr="00F676F1" w:rsidRDefault="000E0709" w:rsidP="000E070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676F1">
        <w:rPr>
          <w:sz w:val="24"/>
        </w:rPr>
        <w:t>Residential and commercial rates in effect prior to January 1, 2010, were too high.</w:t>
      </w:r>
    </w:p>
    <w:p w:rsidR="000E0709" w:rsidRPr="00F676F1" w:rsidRDefault="000E0709" w:rsidP="000E070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6"/>
        <w:rPr>
          <w:sz w:val="24"/>
        </w:rPr>
      </w:pPr>
    </w:p>
    <w:p w:rsidR="000E0709" w:rsidRPr="00F676F1" w:rsidRDefault="000E0709" w:rsidP="000E070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676F1">
        <w:rPr>
          <w:sz w:val="24"/>
        </w:rPr>
        <w:t xml:space="preserve">The </w:t>
      </w:r>
      <w:r w:rsidR="00436D58" w:rsidRPr="00F676F1">
        <w:rPr>
          <w:sz w:val="24"/>
        </w:rPr>
        <w:t xml:space="preserve">present rates for </w:t>
      </w:r>
      <w:r w:rsidRPr="00F676F1">
        <w:rPr>
          <w:sz w:val="24"/>
        </w:rPr>
        <w:t>drop box service are less than the cost of providing the service.</w:t>
      </w: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E0709" w:rsidRPr="00F676F1" w:rsidRDefault="000E0709" w:rsidP="000E070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676F1">
        <w:rPr>
          <w:sz w:val="24"/>
        </w:rPr>
        <w:t>The</w:t>
      </w:r>
      <w:r w:rsidR="00EF5406" w:rsidRPr="00F676F1">
        <w:rPr>
          <w:sz w:val="24"/>
        </w:rPr>
        <w:t xml:space="preserve"> present rates</w:t>
      </w:r>
      <w:r w:rsidRPr="00F676F1">
        <w:rPr>
          <w:sz w:val="24"/>
        </w:rPr>
        <w:t xml:space="preserve"> for voluntary residential recycling and yard waste programs are less than the cost of providing service. The revenue requirements for these programs are $139,600 (99.1 percent</w:t>
      </w:r>
      <w:r w:rsidR="002B7C60" w:rsidRPr="00F676F1">
        <w:rPr>
          <w:sz w:val="24"/>
        </w:rPr>
        <w:t xml:space="preserve"> increase</w:t>
      </w:r>
      <w:r w:rsidRPr="00F676F1">
        <w:rPr>
          <w:sz w:val="24"/>
        </w:rPr>
        <w:t>) in additional annual revenue and $56,900 (86.6 percent</w:t>
      </w:r>
      <w:r w:rsidR="002B7C60" w:rsidRPr="00F676F1">
        <w:rPr>
          <w:sz w:val="24"/>
        </w:rPr>
        <w:t xml:space="preserve"> increase</w:t>
      </w:r>
      <w:r w:rsidRPr="00F676F1">
        <w:rPr>
          <w:sz w:val="24"/>
        </w:rPr>
        <w:t xml:space="preserve">) in additional annual revenue, respectively. </w:t>
      </w:r>
    </w:p>
    <w:p w:rsidR="000E0709" w:rsidRPr="00F676F1" w:rsidRDefault="000E0709" w:rsidP="000E07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57E62" w:rsidRDefault="00B57E62" w:rsidP="000E0709">
      <w:pPr>
        <w:pStyle w:val="NoSpacing"/>
        <w:rPr>
          <w:rFonts w:cs="Times New Roman"/>
          <w:szCs w:val="24"/>
        </w:rPr>
      </w:pPr>
      <w:r w:rsidRPr="00F676F1">
        <w:rPr>
          <w:rFonts w:cs="Times New Roman"/>
          <w:szCs w:val="24"/>
        </w:rPr>
        <w:t>Order 02 issued in this docket authorized Yakima Waste to file revised tariff pages reflecting the revised rates agreed to by staff and the company, and granted Yakima Waste’s request for an exemption from WAC 480-70-266, Tariffs, to allow it to file the revised tariff pages on less than statutory notice to become effective on June 1, 2010. Yakima Waste filed the revised tariff pages on April 29, 2010.</w:t>
      </w:r>
      <w:r w:rsidRPr="00F676F1" w:rsidDel="0046323C">
        <w:rPr>
          <w:rFonts w:cs="Times New Roman"/>
          <w:szCs w:val="24"/>
        </w:rPr>
        <w:t xml:space="preserve"> </w:t>
      </w:r>
    </w:p>
    <w:p w:rsidR="00F676F1" w:rsidRPr="00F676F1" w:rsidRDefault="00F676F1" w:rsidP="000E0709">
      <w:pPr>
        <w:pStyle w:val="NoSpacing"/>
        <w:rPr>
          <w:rFonts w:cs="Times New Roman"/>
          <w:szCs w:val="24"/>
        </w:rPr>
      </w:pPr>
    </w:p>
    <w:p w:rsidR="00F676F1" w:rsidRPr="00F676F1" w:rsidRDefault="00F676F1" w:rsidP="00F676F1">
      <w:pPr>
        <w:pStyle w:val="NoSpacing"/>
        <w:rPr>
          <w:rFonts w:cs="Times New Roman"/>
          <w:szCs w:val="24"/>
        </w:rPr>
      </w:pPr>
      <w:r w:rsidRPr="00F676F1">
        <w:rPr>
          <w:rFonts w:cs="Times New Roman"/>
          <w:szCs w:val="24"/>
        </w:rPr>
        <w:t>The proposed revised rates are higher for some services and lower for others than the rates in effect prior to January 1, 2010, as well as the temporary rates that became effective January 1, 2010. Staff estimates that the Company has over-collected approximately $180,000 since January 1, 2010. Staff recommend</w:t>
      </w:r>
      <w:r>
        <w:rPr>
          <w:rFonts w:cs="Times New Roman"/>
          <w:szCs w:val="24"/>
        </w:rPr>
        <w:t>s</w:t>
      </w:r>
      <w:r w:rsidRPr="00F676F1">
        <w:rPr>
          <w:rFonts w:cs="Times New Roman"/>
          <w:szCs w:val="24"/>
        </w:rPr>
        <w:t xml:space="preserve"> the Commission order the Company to refund to customers the difference between the rates in effect between January 1, 2010 and May 31, 2010, and the revised, permanent rates that will become effective June 1, 2010.</w:t>
      </w:r>
      <w:r w:rsidRPr="00F676F1" w:rsidDel="00F53F3B">
        <w:rPr>
          <w:rFonts w:cs="Times New Roman"/>
          <w:szCs w:val="24"/>
        </w:rPr>
        <w:t xml:space="preserve"> </w:t>
      </w:r>
      <w:r w:rsidRPr="00F676F1">
        <w:rPr>
          <w:rFonts w:cs="Times New Roman"/>
          <w:szCs w:val="24"/>
        </w:rPr>
        <w:t>Staff also recommend</w:t>
      </w:r>
      <w:r>
        <w:rPr>
          <w:rFonts w:cs="Times New Roman"/>
          <w:szCs w:val="24"/>
        </w:rPr>
        <w:t>s</w:t>
      </w:r>
      <w:r w:rsidRPr="00F676F1">
        <w:rPr>
          <w:rFonts w:cs="Times New Roman"/>
          <w:szCs w:val="24"/>
        </w:rPr>
        <w:t xml:space="preserve"> that the Commission allow the Company to choose to make a one-time refund immediately or refund the difference over a five-month period, allow the Company to make the refunds by issuing credits to the customers’ bills, </w:t>
      </w:r>
      <w:r>
        <w:rPr>
          <w:rFonts w:cs="Times New Roman"/>
          <w:szCs w:val="24"/>
        </w:rPr>
        <w:t xml:space="preserve">and </w:t>
      </w:r>
      <w:r w:rsidRPr="00F676F1">
        <w:rPr>
          <w:rFonts w:cs="Times New Roman"/>
          <w:szCs w:val="24"/>
        </w:rPr>
        <w:t>require the company to file a summary report showing each service level affected by a refund, the number of customers who received refunds for each service level and the total amount of the refunds made for each service level.</w:t>
      </w:r>
    </w:p>
    <w:p w:rsidR="00AA712C" w:rsidRPr="00F676F1" w:rsidRDefault="00AA712C" w:rsidP="007F1BFD">
      <w:pPr>
        <w:pStyle w:val="NoSpacing"/>
        <w:rPr>
          <w:rFonts w:cs="Times New Roman"/>
          <w:szCs w:val="24"/>
        </w:rPr>
      </w:pPr>
    </w:p>
    <w:p w:rsidR="004D3927" w:rsidRPr="00F676F1" w:rsidRDefault="00FD25C9" w:rsidP="007F1BFD">
      <w:pPr>
        <w:pStyle w:val="NoSpacing"/>
        <w:rPr>
          <w:rFonts w:cs="Times New Roman"/>
          <w:szCs w:val="24"/>
        </w:rPr>
      </w:pPr>
      <w:r w:rsidRPr="00F676F1">
        <w:rPr>
          <w:rFonts w:cs="Times New Roman"/>
          <w:b/>
          <w:bCs/>
          <w:szCs w:val="24"/>
          <w:u w:val="single"/>
        </w:rPr>
        <w:t>Discussion</w:t>
      </w:r>
    </w:p>
    <w:p w:rsidR="004D3927" w:rsidRPr="00F676F1" w:rsidRDefault="004D3927" w:rsidP="007F1BFD">
      <w:pPr>
        <w:pStyle w:val="NoSpacing"/>
        <w:rPr>
          <w:rFonts w:cs="Times New Roman"/>
          <w:szCs w:val="24"/>
        </w:rPr>
      </w:pPr>
    </w:p>
    <w:p w:rsidR="00941D45" w:rsidRPr="00F676F1" w:rsidRDefault="00941D45" w:rsidP="007F1BFD">
      <w:pPr>
        <w:pStyle w:val="NoSpacing"/>
        <w:rPr>
          <w:rFonts w:cs="Times New Roman"/>
          <w:b/>
          <w:szCs w:val="24"/>
        </w:rPr>
      </w:pPr>
      <w:r w:rsidRPr="00F676F1">
        <w:rPr>
          <w:rFonts w:cs="Times New Roman"/>
          <w:b/>
          <w:szCs w:val="24"/>
        </w:rPr>
        <w:t>Customers and Service</w:t>
      </w:r>
    </w:p>
    <w:p w:rsidR="00002364" w:rsidRPr="00F676F1" w:rsidRDefault="002F2FBC">
      <w:pPr>
        <w:pStyle w:val="Memo01"/>
        <w:rPr>
          <w:rFonts w:cs="Times New Roman"/>
          <w:szCs w:val="24"/>
        </w:rPr>
      </w:pPr>
      <w:r w:rsidRPr="00F676F1">
        <w:rPr>
          <w:rFonts w:cs="Times New Roman"/>
          <w:szCs w:val="24"/>
        </w:rPr>
        <w:t xml:space="preserve">Yakima Waste operates in Yakima County and </w:t>
      </w:r>
      <w:r w:rsidR="00C748E2" w:rsidRPr="00F676F1">
        <w:rPr>
          <w:rFonts w:cs="Times New Roman"/>
          <w:szCs w:val="24"/>
        </w:rPr>
        <w:t xml:space="preserve">serves </w:t>
      </w:r>
      <w:r w:rsidR="00731ADF" w:rsidRPr="00F676F1">
        <w:rPr>
          <w:rFonts w:cs="Times New Roman"/>
          <w:szCs w:val="24"/>
        </w:rPr>
        <w:t xml:space="preserve">approximately </w:t>
      </w:r>
      <w:r w:rsidR="004C3D49" w:rsidRPr="00F676F1">
        <w:rPr>
          <w:rFonts w:cs="Times New Roman"/>
          <w:szCs w:val="24"/>
        </w:rPr>
        <w:t>6,300 commercial and 14</w:t>
      </w:r>
      <w:r w:rsidR="00731ADF" w:rsidRPr="00F676F1">
        <w:rPr>
          <w:rFonts w:cs="Times New Roman"/>
          <w:szCs w:val="24"/>
        </w:rPr>
        <w:t xml:space="preserve">,000 </w:t>
      </w:r>
      <w:r w:rsidR="004C3D49" w:rsidRPr="00F676F1">
        <w:rPr>
          <w:rFonts w:cs="Times New Roman"/>
          <w:szCs w:val="24"/>
        </w:rPr>
        <w:t>residential</w:t>
      </w:r>
      <w:r w:rsidR="00731ADF" w:rsidRPr="00F676F1">
        <w:rPr>
          <w:rFonts w:cs="Times New Roman"/>
          <w:szCs w:val="24"/>
        </w:rPr>
        <w:t xml:space="preserve"> </w:t>
      </w:r>
      <w:r w:rsidR="004C3D49" w:rsidRPr="00F676F1">
        <w:rPr>
          <w:rFonts w:cs="Times New Roman"/>
          <w:szCs w:val="24"/>
        </w:rPr>
        <w:t xml:space="preserve">garbage </w:t>
      </w:r>
      <w:r w:rsidR="007511C3" w:rsidRPr="00F676F1">
        <w:rPr>
          <w:rFonts w:cs="Times New Roman"/>
          <w:szCs w:val="24"/>
        </w:rPr>
        <w:t>customers. The</w:t>
      </w:r>
      <w:r w:rsidRPr="00F676F1">
        <w:rPr>
          <w:rFonts w:cs="Times New Roman"/>
          <w:szCs w:val="24"/>
        </w:rPr>
        <w:t>se</w:t>
      </w:r>
      <w:r w:rsidR="007511C3" w:rsidRPr="00F676F1">
        <w:rPr>
          <w:rFonts w:cs="Times New Roman"/>
          <w:szCs w:val="24"/>
        </w:rPr>
        <w:t xml:space="preserve"> customers include commercial </w:t>
      </w:r>
      <w:r w:rsidR="004204A0" w:rsidRPr="00F676F1">
        <w:rPr>
          <w:rFonts w:cs="Times New Roman"/>
          <w:szCs w:val="24"/>
        </w:rPr>
        <w:t>garbage</w:t>
      </w:r>
      <w:r w:rsidR="004C3D49" w:rsidRPr="00F676F1">
        <w:rPr>
          <w:rFonts w:cs="Times New Roman"/>
          <w:szCs w:val="24"/>
        </w:rPr>
        <w:t xml:space="preserve"> accounts</w:t>
      </w:r>
      <w:r w:rsidR="004204A0" w:rsidRPr="00F676F1">
        <w:rPr>
          <w:rFonts w:cs="Times New Roman"/>
          <w:szCs w:val="24"/>
        </w:rPr>
        <w:t xml:space="preserve"> </w:t>
      </w:r>
      <w:r w:rsidR="007511C3" w:rsidRPr="00F676F1">
        <w:rPr>
          <w:rFonts w:cs="Times New Roman"/>
          <w:szCs w:val="24"/>
        </w:rPr>
        <w:t xml:space="preserve">in the </w:t>
      </w:r>
      <w:r w:rsidR="0046323C" w:rsidRPr="00F676F1">
        <w:rPr>
          <w:rFonts w:cs="Times New Roman"/>
          <w:szCs w:val="24"/>
        </w:rPr>
        <w:t>c</w:t>
      </w:r>
      <w:r w:rsidR="007511C3" w:rsidRPr="00F676F1">
        <w:rPr>
          <w:rFonts w:cs="Times New Roman"/>
          <w:szCs w:val="24"/>
        </w:rPr>
        <w:t xml:space="preserve">ity of Yakima. </w:t>
      </w:r>
      <w:r w:rsidR="00C748E2" w:rsidRPr="00F676F1">
        <w:rPr>
          <w:rFonts w:cs="Times New Roman"/>
          <w:szCs w:val="24"/>
        </w:rPr>
        <w:t>T</w:t>
      </w:r>
      <w:r w:rsidRPr="00F676F1">
        <w:rPr>
          <w:rFonts w:cs="Times New Roman"/>
          <w:szCs w:val="24"/>
        </w:rPr>
        <w:t xml:space="preserve">he company </w:t>
      </w:r>
      <w:r w:rsidR="00C748E2" w:rsidRPr="00F676F1">
        <w:rPr>
          <w:rFonts w:cs="Times New Roman"/>
          <w:szCs w:val="24"/>
        </w:rPr>
        <w:t xml:space="preserve">also </w:t>
      </w:r>
      <w:r w:rsidRPr="00F676F1">
        <w:rPr>
          <w:rFonts w:cs="Times New Roman"/>
          <w:szCs w:val="24"/>
        </w:rPr>
        <w:t xml:space="preserve">provides voluntary subscription </w:t>
      </w:r>
      <w:r w:rsidR="00160429" w:rsidRPr="00F676F1">
        <w:rPr>
          <w:rFonts w:cs="Times New Roman"/>
          <w:szCs w:val="24"/>
        </w:rPr>
        <w:t xml:space="preserve">residential </w:t>
      </w:r>
      <w:r w:rsidRPr="00F676F1">
        <w:rPr>
          <w:rFonts w:cs="Times New Roman"/>
          <w:szCs w:val="24"/>
        </w:rPr>
        <w:t>recycl</w:t>
      </w:r>
      <w:r w:rsidR="00160429" w:rsidRPr="00F676F1">
        <w:rPr>
          <w:rFonts w:cs="Times New Roman"/>
          <w:szCs w:val="24"/>
        </w:rPr>
        <w:t>ing</w:t>
      </w:r>
      <w:r w:rsidRPr="00F676F1">
        <w:rPr>
          <w:rFonts w:cs="Times New Roman"/>
          <w:szCs w:val="24"/>
        </w:rPr>
        <w:t xml:space="preserve"> and </w:t>
      </w:r>
      <w:r w:rsidRPr="00F676F1">
        <w:rPr>
          <w:rFonts w:cs="Times New Roman"/>
          <w:szCs w:val="24"/>
        </w:rPr>
        <w:lastRenderedPageBreak/>
        <w:t>yard waste service</w:t>
      </w:r>
      <w:r w:rsidR="00E00F73" w:rsidRPr="00F676F1">
        <w:rPr>
          <w:rFonts w:cs="Times New Roman"/>
          <w:szCs w:val="24"/>
        </w:rPr>
        <w:t xml:space="preserve"> with</w:t>
      </w:r>
      <w:r w:rsidR="00160429" w:rsidRPr="00F676F1">
        <w:rPr>
          <w:rFonts w:cs="Times New Roman"/>
          <w:szCs w:val="24"/>
        </w:rPr>
        <w:t>in</w:t>
      </w:r>
      <w:r w:rsidR="00E00F73" w:rsidRPr="00F676F1">
        <w:rPr>
          <w:rFonts w:cs="Times New Roman"/>
          <w:szCs w:val="24"/>
        </w:rPr>
        <w:t xml:space="preserve"> </w:t>
      </w:r>
      <w:r w:rsidR="00224C7A" w:rsidRPr="00F676F1">
        <w:rPr>
          <w:rFonts w:cs="Times New Roman"/>
          <w:szCs w:val="24"/>
        </w:rPr>
        <w:t xml:space="preserve">limited </w:t>
      </w:r>
      <w:r w:rsidR="00E00F73" w:rsidRPr="00F676F1">
        <w:rPr>
          <w:rFonts w:cs="Times New Roman"/>
          <w:szCs w:val="24"/>
        </w:rPr>
        <w:t>portions of its operating area</w:t>
      </w:r>
      <w:r w:rsidRPr="00F676F1">
        <w:rPr>
          <w:rFonts w:cs="Times New Roman"/>
          <w:szCs w:val="24"/>
        </w:rPr>
        <w:t>.</w:t>
      </w:r>
      <w:r w:rsidR="00224C7A" w:rsidRPr="00F676F1">
        <w:rPr>
          <w:rFonts w:cs="Times New Roman"/>
          <w:szCs w:val="24"/>
        </w:rPr>
        <w:t xml:space="preserve"> Approximately </w:t>
      </w:r>
      <w:r w:rsidR="00063AA1" w:rsidRPr="00F676F1">
        <w:rPr>
          <w:rFonts w:cs="Times New Roman"/>
          <w:szCs w:val="24"/>
        </w:rPr>
        <w:t>53</w:t>
      </w:r>
      <w:r w:rsidR="00224C7A" w:rsidRPr="00F676F1">
        <w:rPr>
          <w:rFonts w:cs="Times New Roman"/>
          <w:szCs w:val="24"/>
        </w:rPr>
        <w:t xml:space="preserve"> percent of the </w:t>
      </w:r>
      <w:r w:rsidR="002A52D5" w:rsidRPr="00F676F1">
        <w:rPr>
          <w:rFonts w:cs="Times New Roman"/>
          <w:szCs w:val="24"/>
        </w:rPr>
        <w:t xml:space="preserve">customers </w:t>
      </w:r>
      <w:r w:rsidR="00224C7A" w:rsidRPr="00F676F1">
        <w:rPr>
          <w:rFonts w:cs="Times New Roman"/>
          <w:szCs w:val="24"/>
        </w:rPr>
        <w:t xml:space="preserve">within the </w:t>
      </w:r>
      <w:r w:rsidR="00063AA1" w:rsidRPr="00F676F1">
        <w:rPr>
          <w:rFonts w:cs="Times New Roman"/>
          <w:szCs w:val="24"/>
        </w:rPr>
        <w:t xml:space="preserve">company’s </w:t>
      </w:r>
      <w:r w:rsidR="00224C7A" w:rsidRPr="00F676F1">
        <w:rPr>
          <w:rFonts w:cs="Times New Roman"/>
          <w:szCs w:val="24"/>
        </w:rPr>
        <w:t xml:space="preserve">operating area </w:t>
      </w:r>
      <w:r w:rsidR="002A52D5" w:rsidRPr="00F676F1">
        <w:rPr>
          <w:rFonts w:cs="Times New Roman"/>
          <w:szCs w:val="24"/>
        </w:rPr>
        <w:t>d</w:t>
      </w:r>
      <w:r w:rsidR="00224C7A" w:rsidRPr="00F676F1">
        <w:rPr>
          <w:rFonts w:cs="Times New Roman"/>
          <w:szCs w:val="24"/>
        </w:rPr>
        <w:t xml:space="preserve">o not have the option to subscribe </w:t>
      </w:r>
      <w:r w:rsidR="002A52D5" w:rsidRPr="00F676F1">
        <w:rPr>
          <w:rFonts w:cs="Times New Roman"/>
          <w:szCs w:val="24"/>
        </w:rPr>
        <w:t>to</w:t>
      </w:r>
      <w:r w:rsidR="00224C7A" w:rsidRPr="00F676F1">
        <w:rPr>
          <w:rFonts w:cs="Times New Roman"/>
          <w:szCs w:val="24"/>
        </w:rPr>
        <w:t xml:space="preserve"> residential recycling </w:t>
      </w:r>
      <w:r w:rsidR="00063AA1" w:rsidRPr="00F676F1">
        <w:rPr>
          <w:rFonts w:cs="Times New Roman"/>
          <w:szCs w:val="24"/>
        </w:rPr>
        <w:t>or</w:t>
      </w:r>
      <w:r w:rsidR="00224C7A" w:rsidRPr="00F676F1">
        <w:rPr>
          <w:rFonts w:cs="Times New Roman"/>
          <w:szCs w:val="24"/>
        </w:rPr>
        <w:t xml:space="preserve"> yard waste service.</w:t>
      </w:r>
    </w:p>
    <w:p w:rsidR="00E735F4" w:rsidRPr="00F676F1" w:rsidRDefault="00E735F4">
      <w:pPr>
        <w:pStyle w:val="Memo01"/>
        <w:rPr>
          <w:rFonts w:cs="Times New Roman"/>
          <w:szCs w:val="24"/>
        </w:rPr>
      </w:pPr>
    </w:p>
    <w:p w:rsidR="00941D45" w:rsidRPr="00F676F1" w:rsidRDefault="00941D45" w:rsidP="00941D45">
      <w:pPr>
        <w:pStyle w:val="Memo01"/>
        <w:rPr>
          <w:rFonts w:cs="Times New Roman"/>
          <w:szCs w:val="24"/>
        </w:rPr>
      </w:pPr>
      <w:r w:rsidRPr="00F676F1">
        <w:rPr>
          <w:rFonts w:cs="Times New Roman"/>
          <w:szCs w:val="24"/>
        </w:rPr>
        <w:t>The company serves residential recycling customers as follows:</w:t>
      </w:r>
    </w:p>
    <w:p w:rsidR="00941D45" w:rsidRPr="00F676F1" w:rsidRDefault="00941D45" w:rsidP="00941D45">
      <w:pPr>
        <w:pStyle w:val="Memo01"/>
        <w:rPr>
          <w:rFonts w:cs="Times New Roman"/>
          <w:szCs w:val="24"/>
        </w:rPr>
      </w:pPr>
    </w:p>
    <w:p w:rsidR="00941D45" w:rsidRPr="00F676F1" w:rsidRDefault="00941D45" w:rsidP="00941D45">
      <w:pPr>
        <w:pStyle w:val="Memo01"/>
        <w:numPr>
          <w:ilvl w:val="0"/>
          <w:numId w:val="6"/>
        </w:numPr>
        <w:rPr>
          <w:rFonts w:cs="Times New Roman"/>
          <w:szCs w:val="24"/>
        </w:rPr>
      </w:pPr>
      <w:r w:rsidRPr="00F676F1">
        <w:rPr>
          <w:rFonts w:cs="Times New Roman"/>
          <w:szCs w:val="24"/>
        </w:rPr>
        <w:t>1,670 (77 percent of Yakima Waste’s recycling customers) customers within the city of Yakima. The city provides garbage service to about 22,000 residential accounts. Only about 7.6 percent of the city of Yakima’s garbage customers subscribe to the regulated voluntary recycling collection service.</w:t>
      </w:r>
    </w:p>
    <w:p w:rsidR="00941D45" w:rsidRPr="00F676F1" w:rsidRDefault="00941D45" w:rsidP="00941D45">
      <w:pPr>
        <w:pStyle w:val="Memo01"/>
        <w:numPr>
          <w:ilvl w:val="0"/>
          <w:numId w:val="6"/>
        </w:numPr>
        <w:rPr>
          <w:rFonts w:cs="Times New Roman"/>
          <w:szCs w:val="24"/>
        </w:rPr>
      </w:pPr>
      <w:r w:rsidRPr="00F676F1">
        <w:rPr>
          <w:rFonts w:cs="Times New Roman"/>
          <w:szCs w:val="24"/>
        </w:rPr>
        <w:t>500 (23 percent of Yakima Waste’s recycling customers) customers within the area in which Yakima Waste offers both garbage and recycling service. Of the approximately 6,600 residential garbage customers that Yakima Waste serves within the area that residential recycling is available, 500 (13.2 percent) subscribe to recycling service.</w:t>
      </w:r>
    </w:p>
    <w:p w:rsidR="00941D45" w:rsidRPr="00F676F1" w:rsidRDefault="00941D45" w:rsidP="00941D45">
      <w:pPr>
        <w:pStyle w:val="Memo01"/>
        <w:numPr>
          <w:ilvl w:val="0"/>
          <w:numId w:val="6"/>
        </w:numPr>
        <w:rPr>
          <w:rFonts w:cs="Times New Roman"/>
          <w:szCs w:val="24"/>
        </w:rPr>
      </w:pPr>
      <w:r w:rsidRPr="00F676F1">
        <w:rPr>
          <w:rFonts w:cs="Times New Roman"/>
          <w:szCs w:val="24"/>
        </w:rPr>
        <w:t>Approximately 7,400 customers receive regulated garbage service in areas where recycling service is not available.</w:t>
      </w:r>
    </w:p>
    <w:p w:rsidR="00941D45" w:rsidRPr="00F676F1" w:rsidRDefault="00941D45" w:rsidP="00941D45">
      <w:pPr>
        <w:pStyle w:val="Memo01"/>
        <w:rPr>
          <w:rFonts w:cs="Times New Roman"/>
          <w:szCs w:val="24"/>
        </w:rPr>
      </w:pPr>
    </w:p>
    <w:p w:rsidR="00941D45" w:rsidRPr="00F676F1" w:rsidRDefault="00941D45" w:rsidP="00941D45">
      <w:pPr>
        <w:pStyle w:val="Memo01"/>
        <w:rPr>
          <w:rFonts w:cs="Times New Roman"/>
          <w:szCs w:val="24"/>
        </w:rPr>
      </w:pPr>
      <w:r w:rsidRPr="00F676F1">
        <w:rPr>
          <w:rFonts w:cs="Times New Roman"/>
          <w:szCs w:val="24"/>
        </w:rPr>
        <w:t>Approximately 1,100 (16.7 percent) of the 6,600 garbage customers served within the designated urban areas subscribe to yard waste service. Approximately 7,400 customers receive regulated garbage service in areas where yard waste service is not available.</w:t>
      </w:r>
    </w:p>
    <w:p w:rsidR="00C97D61" w:rsidRPr="00F676F1" w:rsidRDefault="00C97D61">
      <w:pPr>
        <w:pStyle w:val="Memo01"/>
        <w:rPr>
          <w:rFonts w:cs="Times New Roman"/>
          <w:szCs w:val="24"/>
        </w:rPr>
      </w:pPr>
    </w:p>
    <w:p w:rsidR="00C97D61" w:rsidRPr="00F676F1" w:rsidRDefault="00160429">
      <w:pPr>
        <w:pStyle w:val="Memo01"/>
        <w:rPr>
          <w:rFonts w:cs="Times New Roman"/>
          <w:szCs w:val="24"/>
        </w:rPr>
      </w:pPr>
      <w:r w:rsidRPr="00F676F1">
        <w:rPr>
          <w:rFonts w:cs="Times New Roman"/>
          <w:szCs w:val="24"/>
        </w:rPr>
        <w:t>Counties and cities exercise their responsibility to manage solid waste through their Comprehensive Solid Waste Management Plans. Neither the city of Yakima nor Yakima County require minimum service levels for residential recycling and neither have established mandatory</w:t>
      </w:r>
      <w:r w:rsidR="002B7C60" w:rsidRPr="00F676F1">
        <w:rPr>
          <w:rFonts w:cs="Times New Roman"/>
          <w:szCs w:val="24"/>
        </w:rPr>
        <w:t>-</w:t>
      </w:r>
      <w:r w:rsidRPr="00F676F1">
        <w:rPr>
          <w:rFonts w:cs="Times New Roman"/>
          <w:szCs w:val="24"/>
        </w:rPr>
        <w:t xml:space="preserve"> pay </w:t>
      </w:r>
      <w:r w:rsidR="00224C7A" w:rsidRPr="00F676F1">
        <w:rPr>
          <w:rFonts w:cs="Times New Roman"/>
          <w:szCs w:val="24"/>
        </w:rPr>
        <w:t xml:space="preserve">for recycling </w:t>
      </w:r>
      <w:r w:rsidRPr="00F676F1">
        <w:rPr>
          <w:rFonts w:cs="Times New Roman"/>
          <w:szCs w:val="24"/>
        </w:rPr>
        <w:t xml:space="preserve">service. </w:t>
      </w:r>
      <w:r w:rsidR="00224C7A" w:rsidRPr="00F676F1">
        <w:rPr>
          <w:rFonts w:cs="Times New Roman"/>
          <w:szCs w:val="24"/>
        </w:rPr>
        <w:t>T</w:t>
      </w:r>
      <w:r w:rsidRPr="00F676F1">
        <w:rPr>
          <w:rFonts w:cs="Times New Roman"/>
          <w:szCs w:val="24"/>
        </w:rPr>
        <w:t xml:space="preserve">he city of Yakima </w:t>
      </w:r>
      <w:r w:rsidR="00C748E2" w:rsidRPr="00F676F1">
        <w:rPr>
          <w:rFonts w:cs="Times New Roman"/>
          <w:szCs w:val="24"/>
        </w:rPr>
        <w:t>provide</w:t>
      </w:r>
      <w:r w:rsidR="00224C7A" w:rsidRPr="00F676F1">
        <w:rPr>
          <w:rFonts w:cs="Times New Roman"/>
          <w:szCs w:val="24"/>
        </w:rPr>
        <w:t>s</w:t>
      </w:r>
      <w:r w:rsidR="00C748E2" w:rsidRPr="00F676F1">
        <w:rPr>
          <w:rFonts w:cs="Times New Roman"/>
          <w:szCs w:val="24"/>
        </w:rPr>
        <w:t xml:space="preserve"> </w:t>
      </w:r>
      <w:r w:rsidRPr="00F676F1">
        <w:rPr>
          <w:rFonts w:cs="Times New Roman"/>
          <w:szCs w:val="24"/>
        </w:rPr>
        <w:t>residential garbage and yard waste collection</w:t>
      </w:r>
      <w:r w:rsidR="00C748E2" w:rsidRPr="00F676F1">
        <w:rPr>
          <w:rFonts w:cs="Times New Roman"/>
          <w:szCs w:val="24"/>
        </w:rPr>
        <w:t xml:space="preserve"> service</w:t>
      </w:r>
      <w:r w:rsidR="00224C7A" w:rsidRPr="00F676F1">
        <w:rPr>
          <w:rFonts w:cs="Times New Roman"/>
          <w:szCs w:val="24"/>
        </w:rPr>
        <w:t xml:space="preserve"> as a city function. However,</w:t>
      </w:r>
      <w:r w:rsidRPr="00F676F1">
        <w:rPr>
          <w:rFonts w:cs="Times New Roman"/>
          <w:szCs w:val="24"/>
        </w:rPr>
        <w:t xml:space="preserve"> the city</w:t>
      </w:r>
      <w:r w:rsidR="00224C7A" w:rsidRPr="00F676F1">
        <w:rPr>
          <w:rFonts w:cs="Times New Roman"/>
          <w:szCs w:val="24"/>
        </w:rPr>
        <w:t xml:space="preserve"> neither</w:t>
      </w:r>
      <w:r w:rsidRPr="00F676F1">
        <w:rPr>
          <w:rFonts w:cs="Times New Roman"/>
          <w:szCs w:val="24"/>
        </w:rPr>
        <w:t xml:space="preserve"> </w:t>
      </w:r>
      <w:r w:rsidR="0046323C" w:rsidRPr="00F676F1">
        <w:rPr>
          <w:rFonts w:cs="Times New Roman"/>
          <w:szCs w:val="24"/>
        </w:rPr>
        <w:t>provide</w:t>
      </w:r>
      <w:r w:rsidR="00224C7A" w:rsidRPr="00F676F1">
        <w:rPr>
          <w:rFonts w:cs="Times New Roman"/>
          <w:szCs w:val="24"/>
        </w:rPr>
        <w:t>s</w:t>
      </w:r>
      <w:r w:rsidR="0046323C" w:rsidRPr="00F676F1">
        <w:rPr>
          <w:rFonts w:cs="Times New Roman"/>
          <w:szCs w:val="24"/>
        </w:rPr>
        <w:t xml:space="preserve"> </w:t>
      </w:r>
      <w:r w:rsidR="002A52D5" w:rsidRPr="00F676F1">
        <w:rPr>
          <w:rFonts w:cs="Times New Roman"/>
          <w:szCs w:val="24"/>
        </w:rPr>
        <w:t>n</w:t>
      </w:r>
      <w:r w:rsidR="0046323C" w:rsidRPr="00F676F1">
        <w:rPr>
          <w:rFonts w:cs="Times New Roman"/>
          <w:szCs w:val="24"/>
        </w:rPr>
        <w:t xml:space="preserve">or </w:t>
      </w:r>
      <w:r w:rsidRPr="00F676F1">
        <w:rPr>
          <w:rFonts w:cs="Times New Roman"/>
          <w:szCs w:val="24"/>
        </w:rPr>
        <w:t>contract</w:t>
      </w:r>
      <w:r w:rsidR="00224C7A" w:rsidRPr="00F676F1">
        <w:rPr>
          <w:rFonts w:cs="Times New Roman"/>
          <w:szCs w:val="24"/>
        </w:rPr>
        <w:t>s</w:t>
      </w:r>
      <w:r w:rsidRPr="00F676F1">
        <w:rPr>
          <w:rFonts w:cs="Times New Roman"/>
          <w:szCs w:val="24"/>
        </w:rPr>
        <w:t xml:space="preserve"> for residential recycling service. </w:t>
      </w:r>
    </w:p>
    <w:p w:rsidR="008A722D" w:rsidRPr="00F676F1" w:rsidRDefault="008A722D">
      <w:pPr>
        <w:pStyle w:val="Memo01"/>
        <w:rPr>
          <w:rFonts w:cs="Times New Roman"/>
          <w:szCs w:val="24"/>
        </w:rPr>
      </w:pPr>
    </w:p>
    <w:p w:rsidR="00691DF6" w:rsidRPr="00F676F1" w:rsidRDefault="00C748E2" w:rsidP="00984582">
      <w:pPr>
        <w:pStyle w:val="Memo01"/>
        <w:rPr>
          <w:rFonts w:cs="Times New Roman"/>
          <w:szCs w:val="24"/>
        </w:rPr>
      </w:pPr>
      <w:r w:rsidRPr="00F676F1">
        <w:rPr>
          <w:rFonts w:cs="Times New Roman"/>
          <w:szCs w:val="24"/>
        </w:rPr>
        <w:t xml:space="preserve">Yakima County </w:t>
      </w:r>
      <w:r w:rsidR="00A00D03" w:rsidRPr="00F676F1">
        <w:rPr>
          <w:rFonts w:cs="Times New Roman"/>
          <w:szCs w:val="24"/>
        </w:rPr>
        <w:t xml:space="preserve">published its Preliminary Solid and Moderate Risk Waste </w:t>
      </w:r>
      <w:r w:rsidRPr="00F676F1">
        <w:rPr>
          <w:rFonts w:cs="Times New Roman"/>
          <w:szCs w:val="24"/>
        </w:rPr>
        <w:t>Management Plan</w:t>
      </w:r>
      <w:r w:rsidR="00F53F3B" w:rsidRPr="00F676F1">
        <w:rPr>
          <w:rFonts w:cs="Times New Roman"/>
          <w:szCs w:val="24"/>
        </w:rPr>
        <w:t xml:space="preserve"> (Plan)</w:t>
      </w:r>
      <w:r w:rsidR="00A00D03" w:rsidRPr="00F676F1">
        <w:rPr>
          <w:rFonts w:cs="Times New Roman"/>
          <w:szCs w:val="24"/>
        </w:rPr>
        <w:t xml:space="preserve"> in October 2009</w:t>
      </w:r>
      <w:r w:rsidRPr="00F676F1">
        <w:rPr>
          <w:rFonts w:cs="Times New Roman"/>
          <w:szCs w:val="24"/>
        </w:rPr>
        <w:t xml:space="preserve">. Although the </w:t>
      </w:r>
      <w:r w:rsidR="00F53F3B" w:rsidRPr="00F676F1">
        <w:rPr>
          <w:rFonts w:cs="Times New Roman"/>
          <w:szCs w:val="24"/>
        </w:rPr>
        <w:t xml:space="preserve">Plan </w:t>
      </w:r>
      <w:r w:rsidRPr="00F676F1">
        <w:rPr>
          <w:rFonts w:cs="Times New Roman"/>
          <w:szCs w:val="24"/>
        </w:rPr>
        <w:t>discusses residential recycling options, including mandatory</w:t>
      </w:r>
      <w:r w:rsidR="002A52D5" w:rsidRPr="00F676F1">
        <w:rPr>
          <w:rFonts w:cs="Times New Roman"/>
          <w:szCs w:val="24"/>
        </w:rPr>
        <w:t>-</w:t>
      </w:r>
      <w:r w:rsidRPr="00F676F1">
        <w:rPr>
          <w:rFonts w:cs="Times New Roman"/>
          <w:szCs w:val="24"/>
        </w:rPr>
        <w:t xml:space="preserve">pay programs, in Alternative D, </w:t>
      </w:r>
      <w:r w:rsidR="00984582" w:rsidRPr="00F676F1">
        <w:rPr>
          <w:rFonts w:cs="Times New Roman"/>
          <w:szCs w:val="24"/>
        </w:rPr>
        <w:t xml:space="preserve">Chapter 4-6, </w:t>
      </w:r>
      <w:r w:rsidRPr="00F676F1">
        <w:rPr>
          <w:rFonts w:cs="Times New Roman"/>
          <w:szCs w:val="24"/>
        </w:rPr>
        <w:t xml:space="preserve">the </w:t>
      </w:r>
      <w:r w:rsidR="00F53F3B" w:rsidRPr="00F676F1">
        <w:rPr>
          <w:rFonts w:cs="Times New Roman"/>
          <w:szCs w:val="24"/>
        </w:rPr>
        <w:t>P</w:t>
      </w:r>
      <w:r w:rsidRPr="00F676F1">
        <w:rPr>
          <w:rFonts w:cs="Times New Roman"/>
          <w:szCs w:val="24"/>
        </w:rPr>
        <w:t>lan makes no recommendation</w:t>
      </w:r>
      <w:r w:rsidR="00691DF6" w:rsidRPr="00F676F1">
        <w:rPr>
          <w:rFonts w:cs="Times New Roman"/>
          <w:szCs w:val="24"/>
        </w:rPr>
        <w:t xml:space="preserve">s for residential recycling in the unincorporated areas </w:t>
      </w:r>
      <w:r w:rsidR="00984582" w:rsidRPr="00F676F1">
        <w:rPr>
          <w:rFonts w:cs="Times New Roman"/>
          <w:szCs w:val="24"/>
        </w:rPr>
        <w:t xml:space="preserve">of </w:t>
      </w:r>
      <w:r w:rsidR="00691DF6" w:rsidRPr="00F676F1">
        <w:rPr>
          <w:rFonts w:cs="Times New Roman"/>
          <w:szCs w:val="24"/>
        </w:rPr>
        <w:t xml:space="preserve">the county. The </w:t>
      </w:r>
      <w:r w:rsidR="00F53F3B" w:rsidRPr="00F676F1">
        <w:rPr>
          <w:rFonts w:cs="Times New Roman"/>
          <w:szCs w:val="24"/>
        </w:rPr>
        <w:t>Pl</w:t>
      </w:r>
      <w:r w:rsidR="00691DF6" w:rsidRPr="00F676F1">
        <w:rPr>
          <w:rFonts w:cs="Times New Roman"/>
          <w:szCs w:val="24"/>
        </w:rPr>
        <w:t xml:space="preserve">an recommends </w:t>
      </w:r>
      <w:r w:rsidR="00984582" w:rsidRPr="00F676F1">
        <w:rPr>
          <w:rFonts w:cs="Times New Roman"/>
          <w:szCs w:val="24"/>
        </w:rPr>
        <w:t xml:space="preserve">in Chapter </w:t>
      </w:r>
      <w:r w:rsidR="00F53F3B" w:rsidRPr="00F676F1">
        <w:rPr>
          <w:rFonts w:cs="Times New Roman"/>
          <w:szCs w:val="24"/>
        </w:rPr>
        <w:t>13-7 that the county</w:t>
      </w:r>
      <w:r w:rsidR="002A52D5" w:rsidRPr="00F676F1">
        <w:rPr>
          <w:rFonts w:cs="Times New Roman"/>
          <w:szCs w:val="24"/>
        </w:rPr>
        <w:t>,</w:t>
      </w:r>
      <w:r w:rsidR="00F53F3B" w:rsidRPr="00F676F1">
        <w:rPr>
          <w:rFonts w:cs="Times New Roman"/>
          <w:szCs w:val="24"/>
        </w:rPr>
        <w:t xml:space="preserve"> “</w:t>
      </w:r>
      <w:r w:rsidR="00984582" w:rsidRPr="00F676F1">
        <w:rPr>
          <w:rFonts w:cs="Times New Roman"/>
          <w:szCs w:val="24"/>
        </w:rPr>
        <w:t>Consider adopting minimum service levels in the future.”</w:t>
      </w:r>
    </w:p>
    <w:p w:rsidR="00002364" w:rsidRPr="00F676F1" w:rsidRDefault="00691DF6" w:rsidP="00AA712C">
      <w:pPr>
        <w:pStyle w:val="Memo01"/>
        <w:rPr>
          <w:rFonts w:cs="Times New Roman"/>
          <w:szCs w:val="24"/>
        </w:rPr>
      </w:pPr>
      <w:r w:rsidRPr="00F676F1">
        <w:rPr>
          <w:rFonts w:cs="Times New Roman"/>
          <w:szCs w:val="24"/>
        </w:rPr>
        <w:t xml:space="preserve"> </w:t>
      </w:r>
    </w:p>
    <w:p w:rsidR="00D501DD" w:rsidRPr="00F676F1" w:rsidRDefault="00941D45">
      <w:pPr>
        <w:pStyle w:val="Memo01"/>
        <w:rPr>
          <w:rFonts w:cs="Times New Roman"/>
          <w:b/>
          <w:szCs w:val="24"/>
        </w:rPr>
      </w:pPr>
      <w:r w:rsidRPr="00F676F1">
        <w:rPr>
          <w:rFonts w:cs="Times New Roman"/>
          <w:b/>
          <w:szCs w:val="24"/>
        </w:rPr>
        <w:t>Expenses</w:t>
      </w:r>
    </w:p>
    <w:p w:rsidR="00731ADF" w:rsidRPr="00F676F1" w:rsidRDefault="00F525F1" w:rsidP="007F1BFD">
      <w:pPr>
        <w:pStyle w:val="NoSpacing"/>
        <w:rPr>
          <w:rFonts w:cs="Times New Roman"/>
          <w:szCs w:val="24"/>
        </w:rPr>
      </w:pPr>
      <w:r w:rsidRPr="00F676F1">
        <w:rPr>
          <w:rFonts w:cs="Times New Roman"/>
          <w:szCs w:val="24"/>
        </w:rPr>
        <w:t>I</w:t>
      </w:r>
      <w:r w:rsidR="003A01C5" w:rsidRPr="00F676F1">
        <w:rPr>
          <w:rFonts w:cs="Times New Roman"/>
          <w:szCs w:val="24"/>
        </w:rPr>
        <w:t>n 2008, the company purchased new automated trucks</w:t>
      </w:r>
      <w:r w:rsidR="004204A0" w:rsidRPr="00F676F1">
        <w:rPr>
          <w:rFonts w:cs="Times New Roman"/>
          <w:szCs w:val="24"/>
        </w:rPr>
        <w:t xml:space="preserve"> and </w:t>
      </w:r>
      <w:r w:rsidR="003A01C5" w:rsidRPr="00F676F1">
        <w:rPr>
          <w:rFonts w:cs="Times New Roman"/>
          <w:szCs w:val="24"/>
        </w:rPr>
        <w:t xml:space="preserve">64-gallon carts to convert </w:t>
      </w:r>
      <w:r w:rsidR="00D42572" w:rsidRPr="00F676F1">
        <w:rPr>
          <w:rFonts w:cs="Times New Roman"/>
          <w:szCs w:val="24"/>
        </w:rPr>
        <w:t xml:space="preserve">residential recycling </w:t>
      </w:r>
      <w:r w:rsidR="003A01C5" w:rsidRPr="00F676F1">
        <w:rPr>
          <w:rFonts w:cs="Times New Roman"/>
          <w:szCs w:val="24"/>
        </w:rPr>
        <w:t xml:space="preserve">to a single-stream </w:t>
      </w:r>
      <w:r w:rsidR="00E00F73" w:rsidRPr="00F676F1">
        <w:rPr>
          <w:rFonts w:cs="Times New Roman"/>
          <w:szCs w:val="24"/>
        </w:rPr>
        <w:t xml:space="preserve">collection </w:t>
      </w:r>
      <w:r w:rsidR="003A01C5" w:rsidRPr="00F676F1">
        <w:rPr>
          <w:rFonts w:cs="Times New Roman"/>
          <w:szCs w:val="24"/>
        </w:rPr>
        <w:t xml:space="preserve">system. </w:t>
      </w:r>
      <w:r w:rsidR="002C189B" w:rsidRPr="00F676F1">
        <w:rPr>
          <w:rFonts w:cs="Times New Roman"/>
          <w:szCs w:val="24"/>
        </w:rPr>
        <w:t xml:space="preserve">The cost of the new trucks and carts exceeded $600,000. </w:t>
      </w:r>
      <w:r w:rsidR="00945F63" w:rsidRPr="00F676F1">
        <w:rPr>
          <w:rFonts w:cs="Times New Roman"/>
          <w:szCs w:val="24"/>
        </w:rPr>
        <w:t xml:space="preserve">The new trucks are used </w:t>
      </w:r>
      <w:r w:rsidR="00EA4052" w:rsidRPr="00F676F1">
        <w:rPr>
          <w:rFonts w:cs="Times New Roman"/>
          <w:szCs w:val="24"/>
        </w:rPr>
        <w:t>70</w:t>
      </w:r>
      <w:r w:rsidR="00945F63" w:rsidRPr="00F676F1">
        <w:rPr>
          <w:rFonts w:cs="Times New Roman"/>
          <w:szCs w:val="24"/>
        </w:rPr>
        <w:t xml:space="preserve"> percent for </w:t>
      </w:r>
      <w:r w:rsidR="009E7F53" w:rsidRPr="00F676F1">
        <w:rPr>
          <w:rFonts w:cs="Times New Roman"/>
          <w:szCs w:val="24"/>
        </w:rPr>
        <w:t xml:space="preserve">residential </w:t>
      </w:r>
      <w:r w:rsidR="00945F63" w:rsidRPr="00F676F1">
        <w:rPr>
          <w:rFonts w:cs="Times New Roman"/>
          <w:szCs w:val="24"/>
        </w:rPr>
        <w:t>recycl</w:t>
      </w:r>
      <w:r w:rsidR="009E7F53" w:rsidRPr="00F676F1">
        <w:rPr>
          <w:rFonts w:cs="Times New Roman"/>
          <w:szCs w:val="24"/>
        </w:rPr>
        <w:t>ing</w:t>
      </w:r>
      <w:r w:rsidR="00945F63" w:rsidRPr="00F676F1">
        <w:rPr>
          <w:rFonts w:cs="Times New Roman"/>
          <w:szCs w:val="24"/>
        </w:rPr>
        <w:t xml:space="preserve"> collection and </w:t>
      </w:r>
      <w:r w:rsidR="00EA4052" w:rsidRPr="00F676F1">
        <w:rPr>
          <w:rFonts w:cs="Times New Roman"/>
          <w:szCs w:val="24"/>
        </w:rPr>
        <w:t xml:space="preserve">30 </w:t>
      </w:r>
      <w:r w:rsidR="00945F63" w:rsidRPr="00F676F1">
        <w:rPr>
          <w:rFonts w:cs="Times New Roman"/>
          <w:szCs w:val="24"/>
        </w:rPr>
        <w:t xml:space="preserve">percent for yard waste collection. </w:t>
      </w:r>
      <w:r w:rsidR="00D929FB" w:rsidRPr="00F676F1">
        <w:rPr>
          <w:rFonts w:cs="Times New Roman"/>
          <w:szCs w:val="24"/>
        </w:rPr>
        <w:t xml:space="preserve">The cost of the new investment and the relatively </w:t>
      </w:r>
      <w:r w:rsidR="003D5FDC" w:rsidRPr="00F676F1">
        <w:rPr>
          <w:rFonts w:cs="Times New Roman"/>
          <w:szCs w:val="24"/>
        </w:rPr>
        <w:t>low</w:t>
      </w:r>
      <w:r w:rsidR="00D929FB" w:rsidRPr="00F676F1">
        <w:rPr>
          <w:rFonts w:cs="Times New Roman"/>
          <w:szCs w:val="24"/>
        </w:rPr>
        <w:t xml:space="preserve"> participation</w:t>
      </w:r>
      <w:r w:rsidR="002C189B" w:rsidRPr="00F676F1">
        <w:rPr>
          <w:rFonts w:cs="Times New Roman"/>
          <w:szCs w:val="24"/>
        </w:rPr>
        <w:t xml:space="preserve"> </w:t>
      </w:r>
      <w:r w:rsidR="00E00F73" w:rsidRPr="00F676F1">
        <w:rPr>
          <w:rFonts w:cs="Times New Roman"/>
          <w:szCs w:val="24"/>
        </w:rPr>
        <w:t xml:space="preserve">rate </w:t>
      </w:r>
      <w:r w:rsidR="002C189B" w:rsidRPr="00F676F1">
        <w:rPr>
          <w:rFonts w:cs="Times New Roman"/>
          <w:szCs w:val="24"/>
        </w:rPr>
        <w:t xml:space="preserve">contribute to the high </w:t>
      </w:r>
      <w:r w:rsidR="00E00F73" w:rsidRPr="00F676F1">
        <w:rPr>
          <w:rFonts w:cs="Times New Roman"/>
          <w:szCs w:val="24"/>
        </w:rPr>
        <w:t xml:space="preserve">average </w:t>
      </w:r>
      <w:r w:rsidR="002C189B" w:rsidRPr="00F676F1">
        <w:rPr>
          <w:rFonts w:cs="Times New Roman"/>
          <w:szCs w:val="24"/>
        </w:rPr>
        <w:t xml:space="preserve">cost of these programs. </w:t>
      </w:r>
      <w:r w:rsidR="00CB0B8C" w:rsidRPr="00F676F1">
        <w:rPr>
          <w:rFonts w:cs="Times New Roman"/>
          <w:szCs w:val="24"/>
        </w:rPr>
        <w:t>In the recycling program, t</w:t>
      </w:r>
      <w:r w:rsidR="002C189B" w:rsidRPr="00F676F1">
        <w:rPr>
          <w:rFonts w:cs="Times New Roman"/>
          <w:szCs w:val="24"/>
        </w:rPr>
        <w:t xml:space="preserve">here is </w:t>
      </w:r>
      <w:r w:rsidR="00CB0B8C" w:rsidRPr="00F676F1">
        <w:rPr>
          <w:rFonts w:cs="Times New Roman"/>
          <w:szCs w:val="24"/>
        </w:rPr>
        <w:t xml:space="preserve">a </w:t>
      </w:r>
      <w:r w:rsidR="002C189B" w:rsidRPr="00F676F1">
        <w:rPr>
          <w:rFonts w:cs="Times New Roman"/>
          <w:szCs w:val="24"/>
        </w:rPr>
        <w:t>potential for many more customers</w:t>
      </w:r>
      <w:r w:rsidR="00CB0B8C" w:rsidRPr="00F676F1">
        <w:rPr>
          <w:rFonts w:cs="Times New Roman"/>
          <w:szCs w:val="24"/>
        </w:rPr>
        <w:t>;</w:t>
      </w:r>
      <w:r w:rsidR="002C189B" w:rsidRPr="00F676F1">
        <w:rPr>
          <w:rFonts w:cs="Times New Roman"/>
          <w:szCs w:val="24"/>
        </w:rPr>
        <w:t xml:space="preserve"> the city </w:t>
      </w:r>
      <w:r w:rsidR="00E00F73" w:rsidRPr="00F676F1">
        <w:rPr>
          <w:rFonts w:cs="Times New Roman"/>
          <w:szCs w:val="24"/>
        </w:rPr>
        <w:t>serves</w:t>
      </w:r>
      <w:r w:rsidR="002C189B" w:rsidRPr="00F676F1">
        <w:rPr>
          <w:rFonts w:cs="Times New Roman"/>
          <w:szCs w:val="24"/>
        </w:rPr>
        <w:t xml:space="preserve"> </w:t>
      </w:r>
      <w:r w:rsidR="00E00F73" w:rsidRPr="00F676F1">
        <w:rPr>
          <w:rFonts w:cs="Times New Roman"/>
          <w:szCs w:val="24"/>
        </w:rPr>
        <w:t>more than</w:t>
      </w:r>
      <w:r w:rsidR="002C189B" w:rsidRPr="00F676F1">
        <w:rPr>
          <w:rFonts w:cs="Times New Roman"/>
          <w:szCs w:val="24"/>
        </w:rPr>
        <w:t xml:space="preserve"> 22,000 residential </w:t>
      </w:r>
      <w:r w:rsidR="00E00F73" w:rsidRPr="00F676F1">
        <w:rPr>
          <w:rFonts w:cs="Times New Roman"/>
          <w:szCs w:val="24"/>
        </w:rPr>
        <w:t xml:space="preserve">garbage </w:t>
      </w:r>
      <w:r w:rsidR="00160429" w:rsidRPr="00F676F1">
        <w:rPr>
          <w:rFonts w:cs="Times New Roman"/>
          <w:szCs w:val="24"/>
        </w:rPr>
        <w:t xml:space="preserve">accounts and </w:t>
      </w:r>
      <w:r w:rsidR="00E00F73" w:rsidRPr="00F676F1">
        <w:rPr>
          <w:rFonts w:cs="Times New Roman"/>
          <w:szCs w:val="24"/>
        </w:rPr>
        <w:t>the company serves approximately 6,600 residential garbage customers within the area that residential recycling is available</w:t>
      </w:r>
      <w:r w:rsidR="00CB0B8C" w:rsidRPr="00F676F1">
        <w:rPr>
          <w:rFonts w:cs="Times New Roman"/>
          <w:szCs w:val="24"/>
        </w:rPr>
        <w:t>.</w:t>
      </w:r>
      <w:r w:rsidR="009C34E7" w:rsidRPr="00F676F1">
        <w:rPr>
          <w:rFonts w:cs="Times New Roman"/>
          <w:szCs w:val="24"/>
        </w:rPr>
        <w:t xml:space="preserve"> </w:t>
      </w:r>
      <w:r w:rsidR="00CB0B8C" w:rsidRPr="00F676F1">
        <w:rPr>
          <w:rFonts w:cs="Times New Roman"/>
          <w:szCs w:val="24"/>
        </w:rPr>
        <w:t>H</w:t>
      </w:r>
      <w:r w:rsidR="002C189B" w:rsidRPr="00F676F1">
        <w:rPr>
          <w:rFonts w:cs="Times New Roman"/>
          <w:szCs w:val="24"/>
        </w:rPr>
        <w:t>owever</w:t>
      </w:r>
      <w:r w:rsidR="00CB0B8C" w:rsidRPr="00F676F1">
        <w:rPr>
          <w:rFonts w:cs="Times New Roman"/>
          <w:szCs w:val="24"/>
        </w:rPr>
        <w:t>,</w:t>
      </w:r>
      <w:r w:rsidR="002C189B" w:rsidRPr="00F676F1">
        <w:rPr>
          <w:rFonts w:cs="Times New Roman"/>
          <w:szCs w:val="24"/>
        </w:rPr>
        <w:t xml:space="preserve"> so far</w:t>
      </w:r>
      <w:r w:rsidR="00CB0B8C" w:rsidRPr="00F676F1">
        <w:rPr>
          <w:rFonts w:cs="Times New Roman"/>
          <w:szCs w:val="24"/>
        </w:rPr>
        <w:t>,</w:t>
      </w:r>
      <w:r w:rsidR="002C189B" w:rsidRPr="00F676F1">
        <w:rPr>
          <w:rFonts w:cs="Times New Roman"/>
          <w:szCs w:val="24"/>
        </w:rPr>
        <w:t xml:space="preserve"> few people have </w:t>
      </w:r>
      <w:r w:rsidR="00CB0B8C" w:rsidRPr="00F676F1">
        <w:rPr>
          <w:rFonts w:cs="Times New Roman"/>
          <w:szCs w:val="24"/>
        </w:rPr>
        <w:t xml:space="preserve">voluntarily </w:t>
      </w:r>
      <w:r w:rsidR="009E7F53" w:rsidRPr="00F676F1">
        <w:rPr>
          <w:rFonts w:cs="Times New Roman"/>
          <w:szCs w:val="24"/>
        </w:rPr>
        <w:t>subscribed to</w:t>
      </w:r>
      <w:r w:rsidR="002C189B" w:rsidRPr="00F676F1">
        <w:rPr>
          <w:rFonts w:cs="Times New Roman"/>
          <w:szCs w:val="24"/>
        </w:rPr>
        <w:t xml:space="preserve"> </w:t>
      </w:r>
      <w:r w:rsidR="00CB0B8C" w:rsidRPr="00F676F1">
        <w:rPr>
          <w:rFonts w:cs="Times New Roman"/>
          <w:szCs w:val="24"/>
        </w:rPr>
        <w:t>the</w:t>
      </w:r>
      <w:r w:rsidR="009C34E7" w:rsidRPr="00F676F1">
        <w:rPr>
          <w:rFonts w:cs="Times New Roman"/>
          <w:szCs w:val="24"/>
        </w:rPr>
        <w:t xml:space="preserve">se </w:t>
      </w:r>
      <w:r w:rsidR="00CB0B8C" w:rsidRPr="00F676F1">
        <w:rPr>
          <w:rFonts w:cs="Times New Roman"/>
          <w:szCs w:val="24"/>
        </w:rPr>
        <w:t>service</w:t>
      </w:r>
      <w:r w:rsidR="009C34E7" w:rsidRPr="00F676F1">
        <w:rPr>
          <w:rFonts w:cs="Times New Roman"/>
          <w:szCs w:val="24"/>
        </w:rPr>
        <w:t>s</w:t>
      </w:r>
      <w:r w:rsidR="00CB0B8C" w:rsidRPr="00F676F1">
        <w:rPr>
          <w:rFonts w:cs="Times New Roman"/>
          <w:szCs w:val="24"/>
        </w:rPr>
        <w:t>.</w:t>
      </w:r>
      <w:r w:rsidR="009C34E7" w:rsidRPr="00F676F1">
        <w:rPr>
          <w:rFonts w:cs="Times New Roman"/>
          <w:szCs w:val="24"/>
        </w:rPr>
        <w:t xml:space="preserve"> </w:t>
      </w:r>
    </w:p>
    <w:p w:rsidR="007511C3" w:rsidRPr="00F676F1" w:rsidRDefault="007511C3" w:rsidP="007F1BFD">
      <w:pPr>
        <w:pStyle w:val="NoSpacing"/>
        <w:rPr>
          <w:rFonts w:cs="Times New Roman"/>
          <w:szCs w:val="24"/>
        </w:rPr>
      </w:pPr>
    </w:p>
    <w:p w:rsidR="00F676F1" w:rsidRPr="00F676F1" w:rsidRDefault="00A00D03" w:rsidP="00F676F1">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b/>
          <w:sz w:val="24"/>
          <w:u w:val="single"/>
        </w:rPr>
        <w:br w:type="page"/>
      </w:r>
      <w:r w:rsidR="00F676F1" w:rsidRPr="00F676F1">
        <w:rPr>
          <w:sz w:val="24"/>
        </w:rPr>
        <w:lastRenderedPageBreak/>
        <w:t>Require the company to refund to customers the difference between the rates in effect between January 1, 2010 and May 31, 2010, and the revised, permanent rates that will become effective June 1, 2010.</w:t>
      </w:r>
      <w:r w:rsidR="00F676F1" w:rsidRPr="00F676F1" w:rsidDel="00F53F3B">
        <w:rPr>
          <w:sz w:val="24"/>
        </w:rPr>
        <w:t xml:space="preserve"> </w:t>
      </w:r>
      <w:r w:rsidR="00F676F1" w:rsidRPr="00F676F1">
        <w:rPr>
          <w:sz w:val="24"/>
        </w:rPr>
        <w:t>Allow the company to choose to make a one-time refund immediately or refund the difference over a five month period, allow the company to make the refunds by issuing credits to the customers’ bills, require the company to complete the refund process no later than December 15, 2010, and require the company to file a summary report showing each service level affected by a refund, the number of customers who received refunds for each service level and the total amount of the refunds made for each service level.</w:t>
      </w:r>
    </w:p>
    <w:p w:rsidR="00A00D03" w:rsidRPr="00F676F1" w:rsidRDefault="00A00D03">
      <w:pPr>
        <w:widowControl/>
        <w:autoSpaceDE/>
        <w:autoSpaceDN/>
        <w:adjustRightInd/>
        <w:spacing w:after="200" w:line="276" w:lineRule="auto"/>
        <w:rPr>
          <w:rFonts w:eastAsiaTheme="minorHAnsi"/>
          <w:b/>
          <w:sz w:val="24"/>
          <w:u w:val="single"/>
        </w:rPr>
      </w:pPr>
    </w:p>
    <w:p w:rsidR="00BF7430" w:rsidRPr="00F676F1" w:rsidRDefault="00BF7430" w:rsidP="00BF7430">
      <w:pPr>
        <w:pStyle w:val="NoSpacing"/>
        <w:jc w:val="center"/>
        <w:rPr>
          <w:rFonts w:cs="Times New Roman"/>
          <w:b/>
          <w:szCs w:val="24"/>
          <w:u w:val="single"/>
        </w:rPr>
      </w:pPr>
      <w:r w:rsidRPr="00F676F1">
        <w:rPr>
          <w:rFonts w:cs="Times New Roman"/>
          <w:b/>
          <w:szCs w:val="24"/>
          <w:u w:val="single"/>
        </w:rPr>
        <w:t>Rate Comparison</w:t>
      </w:r>
    </w:p>
    <w:p w:rsidR="00BF7430" w:rsidRPr="00F676F1" w:rsidRDefault="00BF7430" w:rsidP="00BF7430">
      <w:pPr>
        <w:pStyle w:val="NoSpacing"/>
        <w:rPr>
          <w:rFonts w:cs="Times New Roman"/>
          <w:szCs w:val="24"/>
        </w:rPr>
      </w:pPr>
      <w:r w:rsidRPr="00F676F1">
        <w:rPr>
          <w:rFonts w:cs="Times New Roman"/>
          <w:szCs w:val="24"/>
        </w:rPr>
        <w:t xml:space="preserve">Note: </w:t>
      </w:r>
      <w:r w:rsidRPr="00F676F1">
        <w:rPr>
          <w:rFonts w:cs="Times New Roman"/>
          <w:szCs w:val="24"/>
        </w:rPr>
        <w:tab/>
        <w:t>Revised Rates that are greater than rates in effect prior to January 1, 2010, or Temporary Rates are highlighted.</w:t>
      </w:r>
    </w:p>
    <w:p w:rsidR="00BF7430" w:rsidRPr="00F676F1" w:rsidRDefault="00BF7430" w:rsidP="00BF7430">
      <w:pPr>
        <w:pStyle w:val="NoSpacing"/>
        <w:rPr>
          <w:rFonts w:cs="Times New Roman"/>
          <w:szCs w:val="24"/>
        </w:rPr>
      </w:pP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1"/>
        <w:gridCol w:w="1858"/>
        <w:gridCol w:w="2072"/>
        <w:gridCol w:w="1894"/>
      </w:tblGrid>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p>
        </w:tc>
        <w:tc>
          <w:tcPr>
            <w:tcW w:w="962" w:type="pct"/>
            <w:vAlign w:val="bottom"/>
          </w:tcPr>
          <w:p w:rsidR="00BF7430" w:rsidRPr="00F676F1" w:rsidRDefault="00BF7430" w:rsidP="00BF7430">
            <w:pPr>
              <w:pStyle w:val="NoSpacing"/>
              <w:jc w:val="center"/>
              <w:rPr>
                <w:rFonts w:cs="Times New Roman"/>
                <w:b/>
                <w:szCs w:val="24"/>
              </w:rPr>
            </w:pPr>
            <w:r w:rsidRPr="00F676F1">
              <w:rPr>
                <w:rFonts w:cs="Times New Roman"/>
                <w:b/>
                <w:szCs w:val="24"/>
              </w:rPr>
              <w:t>Rates Prior to</w:t>
            </w:r>
          </w:p>
          <w:p w:rsidR="00BF7430" w:rsidRPr="00F676F1" w:rsidRDefault="00BF7430" w:rsidP="00BF7430">
            <w:pPr>
              <w:pStyle w:val="NoSpacing"/>
              <w:jc w:val="center"/>
              <w:rPr>
                <w:rFonts w:cs="Times New Roman"/>
                <w:b/>
                <w:szCs w:val="24"/>
              </w:rPr>
            </w:pPr>
            <w:r w:rsidRPr="00F676F1">
              <w:rPr>
                <w:rFonts w:cs="Times New Roman"/>
                <w:b/>
                <w:szCs w:val="24"/>
              </w:rPr>
              <w:t>January 1, 2010</w:t>
            </w:r>
          </w:p>
        </w:tc>
        <w:tc>
          <w:tcPr>
            <w:tcW w:w="1073" w:type="pct"/>
            <w:vAlign w:val="bottom"/>
          </w:tcPr>
          <w:p w:rsidR="00BF7430" w:rsidRPr="00F676F1" w:rsidRDefault="00BF7430" w:rsidP="00BF7430">
            <w:pPr>
              <w:pStyle w:val="NoSpacing"/>
              <w:jc w:val="center"/>
              <w:rPr>
                <w:rFonts w:cs="Times New Roman"/>
                <w:b/>
                <w:szCs w:val="24"/>
              </w:rPr>
            </w:pPr>
            <w:r w:rsidRPr="00F676F1">
              <w:rPr>
                <w:rFonts w:cs="Times New Roman"/>
                <w:b/>
                <w:szCs w:val="24"/>
              </w:rPr>
              <w:t>Temporary Rates</w:t>
            </w:r>
          </w:p>
          <w:p w:rsidR="00BF7430" w:rsidRPr="00F676F1" w:rsidRDefault="00BF7430" w:rsidP="00BF7430">
            <w:pPr>
              <w:pStyle w:val="NoSpacing"/>
              <w:jc w:val="center"/>
              <w:rPr>
                <w:rFonts w:cs="Times New Roman"/>
                <w:b/>
                <w:szCs w:val="24"/>
              </w:rPr>
            </w:pPr>
            <w:r w:rsidRPr="00F676F1">
              <w:rPr>
                <w:rFonts w:cs="Times New Roman"/>
                <w:b/>
                <w:szCs w:val="24"/>
              </w:rPr>
              <w:t>January 1, 2010</w:t>
            </w:r>
          </w:p>
        </w:tc>
        <w:tc>
          <w:tcPr>
            <w:tcW w:w="981" w:type="pct"/>
            <w:vAlign w:val="bottom"/>
          </w:tcPr>
          <w:p w:rsidR="00BF7430" w:rsidRPr="00F676F1" w:rsidRDefault="00BF7430" w:rsidP="00BF7430">
            <w:pPr>
              <w:pStyle w:val="NoSpacing"/>
              <w:jc w:val="center"/>
              <w:rPr>
                <w:rFonts w:cs="Times New Roman"/>
                <w:b/>
                <w:szCs w:val="24"/>
              </w:rPr>
            </w:pPr>
            <w:r w:rsidRPr="00F676F1">
              <w:rPr>
                <w:rFonts w:cs="Times New Roman"/>
                <w:b/>
                <w:szCs w:val="24"/>
              </w:rPr>
              <w:t>Revised Rates</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b/>
                <w:bCs/>
                <w:szCs w:val="24"/>
              </w:rPr>
            </w:pPr>
            <w:r w:rsidRPr="00F676F1">
              <w:rPr>
                <w:rFonts w:cs="Times New Roman"/>
                <w:b/>
                <w:bCs/>
                <w:szCs w:val="24"/>
              </w:rPr>
              <w:t xml:space="preserve">            Residential Monthly Rates</w:t>
            </w:r>
          </w:p>
        </w:tc>
        <w:tc>
          <w:tcPr>
            <w:tcW w:w="962" w:type="pct"/>
          </w:tcPr>
          <w:p w:rsidR="00BF7430" w:rsidRPr="00F676F1" w:rsidRDefault="00BF7430" w:rsidP="00BF7430">
            <w:pPr>
              <w:pStyle w:val="NoSpacing"/>
              <w:rPr>
                <w:rFonts w:cs="Times New Roman"/>
                <w:szCs w:val="24"/>
              </w:rPr>
            </w:pPr>
          </w:p>
        </w:tc>
        <w:tc>
          <w:tcPr>
            <w:tcW w:w="1073" w:type="pct"/>
          </w:tcPr>
          <w:p w:rsidR="00BF7430" w:rsidRPr="00F676F1" w:rsidRDefault="00BF7430" w:rsidP="00BF7430">
            <w:pPr>
              <w:pStyle w:val="NoSpacing"/>
              <w:rPr>
                <w:rFonts w:cs="Times New Roman"/>
                <w:szCs w:val="24"/>
              </w:rPr>
            </w:pPr>
          </w:p>
        </w:tc>
        <w:tc>
          <w:tcPr>
            <w:tcW w:w="981" w:type="pct"/>
          </w:tcPr>
          <w:p w:rsidR="00BF7430" w:rsidRPr="00F676F1" w:rsidRDefault="00BF7430" w:rsidP="00BF7430">
            <w:pPr>
              <w:pStyle w:val="NoSpacing"/>
              <w:rPr>
                <w:rFonts w:cs="Times New Roman"/>
                <w:szCs w:val="24"/>
              </w:rPr>
            </w:pPr>
          </w:p>
        </w:tc>
      </w:tr>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r w:rsidRPr="00F676F1">
              <w:rPr>
                <w:rFonts w:cs="Times New Roman"/>
                <w:bCs/>
                <w:szCs w:val="24"/>
              </w:rPr>
              <w:t>One Can Garbage - Weekly Service</w:t>
            </w:r>
          </w:p>
        </w:tc>
        <w:tc>
          <w:tcPr>
            <w:tcW w:w="962" w:type="pct"/>
            <w:shd w:val="clear" w:color="auto" w:fill="auto"/>
            <w:vAlign w:val="bottom"/>
          </w:tcPr>
          <w:p w:rsidR="00BF7430" w:rsidRPr="00F676F1" w:rsidRDefault="00BF7430" w:rsidP="00BF7430">
            <w:pPr>
              <w:pStyle w:val="NoSpacing"/>
              <w:rPr>
                <w:rFonts w:cs="Times New Roman"/>
                <w:szCs w:val="24"/>
              </w:rPr>
            </w:pPr>
            <w:r w:rsidRPr="00F676F1">
              <w:rPr>
                <w:rFonts w:cs="Times New Roman"/>
                <w:szCs w:val="24"/>
              </w:rPr>
              <w:t>$6.42</w:t>
            </w:r>
          </w:p>
        </w:tc>
        <w:tc>
          <w:tcPr>
            <w:tcW w:w="1073" w:type="pct"/>
            <w:vAlign w:val="bottom"/>
          </w:tcPr>
          <w:p w:rsidR="00BF7430" w:rsidRPr="00F676F1" w:rsidRDefault="00BF7430" w:rsidP="00BF7430">
            <w:pPr>
              <w:pStyle w:val="NoSpacing"/>
              <w:rPr>
                <w:rFonts w:cs="Times New Roman"/>
                <w:szCs w:val="24"/>
              </w:rPr>
            </w:pPr>
            <w:r w:rsidRPr="00F676F1">
              <w:rPr>
                <w:rFonts w:cs="Times New Roman"/>
                <w:szCs w:val="24"/>
              </w:rPr>
              <w:t>$6.64</w:t>
            </w: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$6.17</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r w:rsidRPr="00F676F1">
              <w:rPr>
                <w:rFonts w:cs="Times New Roman"/>
                <w:bCs/>
                <w:szCs w:val="24"/>
              </w:rPr>
              <w:t>Two Cans Garbage - Weekly Service</w:t>
            </w:r>
          </w:p>
        </w:tc>
        <w:tc>
          <w:tcPr>
            <w:tcW w:w="962" w:type="pct"/>
            <w:shd w:val="clear" w:color="auto" w:fill="auto"/>
            <w:vAlign w:val="bottom"/>
          </w:tcPr>
          <w:p w:rsidR="00BF7430" w:rsidRPr="00F676F1" w:rsidRDefault="00BF7430" w:rsidP="00BF7430">
            <w:pPr>
              <w:pStyle w:val="NoSpacing"/>
              <w:rPr>
                <w:rFonts w:cs="Times New Roman"/>
                <w:szCs w:val="24"/>
              </w:rPr>
            </w:pPr>
            <w:r w:rsidRPr="00F676F1">
              <w:rPr>
                <w:rFonts w:cs="Times New Roman"/>
                <w:szCs w:val="24"/>
              </w:rPr>
              <w:t>$8.42</w:t>
            </w:r>
          </w:p>
        </w:tc>
        <w:tc>
          <w:tcPr>
            <w:tcW w:w="1073" w:type="pct"/>
            <w:vAlign w:val="bottom"/>
          </w:tcPr>
          <w:p w:rsidR="00BF7430" w:rsidRPr="00F676F1" w:rsidRDefault="00BF7430" w:rsidP="00BF7430">
            <w:pPr>
              <w:pStyle w:val="NoSpacing"/>
              <w:rPr>
                <w:rFonts w:cs="Times New Roman"/>
                <w:szCs w:val="24"/>
              </w:rPr>
            </w:pPr>
            <w:r w:rsidRPr="00F676F1">
              <w:rPr>
                <w:rFonts w:cs="Times New Roman"/>
                <w:szCs w:val="24"/>
              </w:rPr>
              <w:t>$8.81</w:t>
            </w: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$8.09</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r w:rsidRPr="00F676F1">
              <w:rPr>
                <w:rFonts w:cs="Times New Roman"/>
                <w:bCs/>
                <w:szCs w:val="24"/>
              </w:rPr>
              <w:t>Voluntary Residential Recycling – Every-Other-Week Service</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$3.46</w:t>
            </w:r>
          </w:p>
        </w:tc>
        <w:tc>
          <w:tcPr>
            <w:tcW w:w="1073" w:type="pct"/>
            <w:shd w:val="clear" w:color="auto" w:fill="D9D9D9" w:themeFill="background1" w:themeFillShade="D9"/>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$9.00</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r w:rsidRPr="00F676F1">
              <w:rPr>
                <w:rFonts w:cs="Times New Roman"/>
                <w:bCs/>
                <w:szCs w:val="24"/>
              </w:rPr>
              <w:t>Voluntary Yard Waste – Every-Other-Week Service</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$4.86</w:t>
            </w:r>
          </w:p>
        </w:tc>
        <w:tc>
          <w:tcPr>
            <w:tcW w:w="1073" w:type="pct"/>
            <w:shd w:val="clear" w:color="auto" w:fill="D9D9D9" w:themeFill="background1" w:themeFillShade="D9"/>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$9.28</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bCs/>
                <w:szCs w:val="24"/>
              </w:rPr>
            </w:pPr>
          </w:p>
        </w:tc>
        <w:tc>
          <w:tcPr>
            <w:tcW w:w="962" w:type="pct"/>
            <w:vAlign w:val="bottom"/>
          </w:tcPr>
          <w:p w:rsidR="00BF7430" w:rsidRPr="00F676F1" w:rsidRDefault="00BF7430" w:rsidP="00BF7430">
            <w:pPr>
              <w:pStyle w:val="NoSpacing"/>
              <w:rPr>
                <w:rFonts w:cs="Times New Roman"/>
                <w:szCs w:val="24"/>
              </w:rPr>
            </w:pPr>
          </w:p>
        </w:tc>
        <w:tc>
          <w:tcPr>
            <w:tcW w:w="1073" w:type="pct"/>
            <w:shd w:val="clear" w:color="auto" w:fill="auto"/>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p>
        </w:tc>
      </w:tr>
      <w:tr w:rsidR="00BF7430" w:rsidRPr="00F676F1" w:rsidTr="007A7406">
        <w:trPr>
          <w:trHeight w:val="20"/>
          <w:jc w:val="center"/>
        </w:trPr>
        <w:tc>
          <w:tcPr>
            <w:tcW w:w="1984" w:type="pct"/>
          </w:tcPr>
          <w:p w:rsidR="00BF7430" w:rsidRPr="00F676F1" w:rsidRDefault="00BF7430" w:rsidP="00BF7430">
            <w:pPr>
              <w:pStyle w:val="NoSpacing"/>
              <w:rPr>
                <w:rFonts w:cs="Times New Roman"/>
                <w:b/>
                <w:bCs/>
                <w:szCs w:val="24"/>
              </w:rPr>
            </w:pPr>
            <w:r w:rsidRPr="00F676F1">
              <w:rPr>
                <w:rFonts w:cs="Times New Roman"/>
                <w:b/>
                <w:bCs/>
                <w:szCs w:val="24"/>
              </w:rPr>
              <w:t xml:space="preserve">      Commercial and Drop Box</w:t>
            </w:r>
          </w:p>
        </w:tc>
        <w:tc>
          <w:tcPr>
            <w:tcW w:w="962" w:type="pct"/>
            <w:vAlign w:val="bottom"/>
          </w:tcPr>
          <w:p w:rsidR="00BF7430" w:rsidRPr="00F676F1" w:rsidRDefault="00BF7430" w:rsidP="00BF7430">
            <w:pPr>
              <w:pStyle w:val="NoSpacing"/>
              <w:rPr>
                <w:rFonts w:cs="Times New Roman"/>
                <w:szCs w:val="24"/>
              </w:rPr>
            </w:pPr>
          </w:p>
        </w:tc>
        <w:tc>
          <w:tcPr>
            <w:tcW w:w="1073" w:type="pct"/>
            <w:shd w:val="clear" w:color="auto" w:fill="auto"/>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p>
        </w:tc>
      </w:tr>
      <w:tr w:rsidR="00BF7430" w:rsidRPr="00F676F1" w:rsidTr="007A7406">
        <w:trPr>
          <w:trHeight w:val="20"/>
          <w:jc w:val="center"/>
        </w:trPr>
        <w:tc>
          <w:tcPr>
            <w:tcW w:w="1984" w:type="pct"/>
          </w:tcPr>
          <w:p w:rsidR="00BF7430" w:rsidRPr="00F676F1" w:rsidRDefault="00BF7430" w:rsidP="00BF7430">
            <w:pPr>
              <w:pStyle w:val="NoSpacing"/>
              <w:rPr>
                <w:rFonts w:cs="Times New Roman"/>
                <w:szCs w:val="24"/>
              </w:rPr>
            </w:pPr>
            <w:r w:rsidRPr="00F676F1">
              <w:rPr>
                <w:rFonts w:cs="Times New Roman"/>
                <w:szCs w:val="24"/>
              </w:rPr>
              <w:t>One and One Half Yard Container Per Pick Up</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$6.25</w:t>
            </w:r>
          </w:p>
        </w:tc>
        <w:tc>
          <w:tcPr>
            <w:tcW w:w="1073" w:type="pct"/>
            <w:shd w:val="clear" w:color="auto" w:fill="auto"/>
            <w:vAlign w:val="bottom"/>
          </w:tcPr>
          <w:p w:rsidR="00BF7430" w:rsidRPr="00F676F1" w:rsidRDefault="00BF7430" w:rsidP="00BF7430">
            <w:pPr>
              <w:pStyle w:val="NoSpacing"/>
              <w:rPr>
                <w:rFonts w:cs="Times New Roman"/>
                <w:szCs w:val="24"/>
              </w:rPr>
            </w:pPr>
            <w:r w:rsidRPr="00F676F1">
              <w:rPr>
                <w:rFonts w:cs="Times New Roman"/>
                <w:szCs w:val="24"/>
              </w:rPr>
              <w:t>$6.63</w:t>
            </w: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$6.01</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szCs w:val="24"/>
              </w:rPr>
            </w:pPr>
            <w:r w:rsidRPr="00F676F1">
              <w:rPr>
                <w:rFonts w:cs="Times New Roman"/>
                <w:szCs w:val="24"/>
              </w:rPr>
              <w:t>One and One Half Yard Container Rent Per Month</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$9.12</w:t>
            </w:r>
          </w:p>
        </w:tc>
        <w:tc>
          <w:tcPr>
            <w:tcW w:w="1073" w:type="pct"/>
            <w:shd w:val="clear" w:color="auto" w:fill="D9D9D9" w:themeFill="background1" w:themeFillShade="D9"/>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$8.77</w:t>
            </w:r>
          </w:p>
        </w:tc>
      </w:tr>
      <w:tr w:rsidR="00BF7430" w:rsidRPr="00F676F1" w:rsidTr="007A7406">
        <w:trPr>
          <w:trHeight w:val="20"/>
          <w:jc w:val="center"/>
        </w:trPr>
        <w:tc>
          <w:tcPr>
            <w:tcW w:w="1984" w:type="pct"/>
          </w:tcPr>
          <w:p w:rsidR="00BF7430" w:rsidRPr="00F676F1" w:rsidRDefault="00BF7430" w:rsidP="00BF7430">
            <w:pPr>
              <w:pStyle w:val="NoSpacing"/>
              <w:rPr>
                <w:rFonts w:cs="Times New Roman"/>
                <w:szCs w:val="24"/>
              </w:rPr>
            </w:pPr>
            <w:r w:rsidRPr="00F676F1">
              <w:rPr>
                <w:rFonts w:cs="Times New Roman"/>
                <w:szCs w:val="24"/>
              </w:rPr>
              <w:t>Drop Box 20 Yard - Per Pick Up</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$58.20</w:t>
            </w:r>
          </w:p>
        </w:tc>
        <w:tc>
          <w:tcPr>
            <w:tcW w:w="1073" w:type="pct"/>
            <w:shd w:val="clear" w:color="auto" w:fill="D9D9D9" w:themeFill="background1" w:themeFillShade="D9"/>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$65.85</w:t>
            </w:r>
          </w:p>
        </w:tc>
      </w:tr>
      <w:tr w:rsidR="00BF7430" w:rsidRPr="00F676F1" w:rsidTr="007A7406">
        <w:trPr>
          <w:trHeight w:val="20"/>
          <w:jc w:val="center"/>
        </w:trPr>
        <w:tc>
          <w:tcPr>
            <w:tcW w:w="1984" w:type="pct"/>
            <w:vAlign w:val="bottom"/>
          </w:tcPr>
          <w:p w:rsidR="00BF7430" w:rsidRPr="00F676F1" w:rsidRDefault="00BF7430" w:rsidP="00BF7430">
            <w:pPr>
              <w:pStyle w:val="NoSpacing"/>
              <w:rPr>
                <w:rFonts w:cs="Times New Roman"/>
                <w:szCs w:val="24"/>
              </w:rPr>
            </w:pPr>
            <w:r w:rsidRPr="00F676F1">
              <w:rPr>
                <w:rFonts w:cs="Times New Roman"/>
                <w:szCs w:val="24"/>
              </w:rPr>
              <w:t>Drop Box 20 Yard - Rent Per Month</w:t>
            </w:r>
          </w:p>
        </w:tc>
        <w:tc>
          <w:tcPr>
            <w:tcW w:w="962" w:type="pct"/>
            <w:vAlign w:val="bottom"/>
          </w:tcPr>
          <w:p w:rsidR="00BF7430" w:rsidRPr="00F676F1" w:rsidRDefault="00BF7430" w:rsidP="00BF7430">
            <w:pPr>
              <w:pStyle w:val="NoSpacing"/>
              <w:rPr>
                <w:rFonts w:cs="Times New Roman"/>
                <w:szCs w:val="24"/>
              </w:rPr>
            </w:pPr>
            <w:r w:rsidRPr="00F676F1">
              <w:rPr>
                <w:rFonts w:cs="Times New Roman"/>
                <w:szCs w:val="24"/>
              </w:rPr>
              <w:t>$27.00</w:t>
            </w:r>
          </w:p>
        </w:tc>
        <w:tc>
          <w:tcPr>
            <w:tcW w:w="1073" w:type="pct"/>
            <w:shd w:val="clear" w:color="auto" w:fill="D9D9D9" w:themeFill="background1" w:themeFillShade="D9"/>
            <w:vAlign w:val="bottom"/>
          </w:tcPr>
          <w:p w:rsidR="00BF7430" w:rsidRPr="00F676F1" w:rsidRDefault="00BF7430" w:rsidP="00BF7430">
            <w:pPr>
              <w:pStyle w:val="NoSpacing"/>
              <w:rPr>
                <w:rFonts w:cs="Times New Roman"/>
                <w:szCs w:val="24"/>
              </w:rPr>
            </w:pPr>
          </w:p>
        </w:tc>
        <w:tc>
          <w:tcPr>
            <w:tcW w:w="981" w:type="pct"/>
            <w:vAlign w:val="bottom"/>
          </w:tcPr>
          <w:p w:rsidR="00BF7430" w:rsidRPr="00F676F1" w:rsidRDefault="00BF7430" w:rsidP="00BF7430">
            <w:pPr>
              <w:pStyle w:val="NoSpacing"/>
              <w:rPr>
                <w:rFonts w:cs="Times New Roman"/>
                <w:szCs w:val="24"/>
              </w:rPr>
            </w:pPr>
            <w:r w:rsidRPr="00F676F1">
              <w:rPr>
                <w:rFonts w:cs="Times New Roman"/>
                <w:szCs w:val="24"/>
              </w:rPr>
              <w:t>$30.60</w:t>
            </w:r>
          </w:p>
        </w:tc>
      </w:tr>
    </w:tbl>
    <w:p w:rsidR="00BF7430" w:rsidRPr="00F676F1" w:rsidRDefault="00BF7430" w:rsidP="00BF7430">
      <w:pPr>
        <w:pStyle w:val="NoSpacing"/>
        <w:rPr>
          <w:rFonts w:cs="Times New Roman"/>
          <w:szCs w:val="24"/>
        </w:rPr>
      </w:pPr>
    </w:p>
    <w:p w:rsidR="00BF7430" w:rsidRPr="00F676F1" w:rsidRDefault="00BF7430" w:rsidP="00BF7430">
      <w:pPr>
        <w:pStyle w:val="NoSpacing"/>
        <w:rPr>
          <w:rFonts w:cs="Times New Roman"/>
          <w:szCs w:val="24"/>
        </w:rPr>
      </w:pPr>
    </w:p>
    <w:p w:rsidR="00BF7430" w:rsidRPr="00F676F1" w:rsidRDefault="00BF7430" w:rsidP="00BF7430">
      <w:pPr>
        <w:pStyle w:val="NoSpacing"/>
        <w:jc w:val="center"/>
        <w:rPr>
          <w:rFonts w:cs="Times New Roman"/>
          <w:b/>
          <w:szCs w:val="24"/>
          <w:u w:val="single"/>
        </w:rPr>
      </w:pPr>
      <w:r w:rsidRPr="00F676F1">
        <w:rPr>
          <w:rFonts w:cs="Times New Roman"/>
          <w:b/>
          <w:szCs w:val="24"/>
          <w:u w:val="single"/>
        </w:rPr>
        <w:t>Average Customer Charge Comparison – One Can Customer</w:t>
      </w:r>
    </w:p>
    <w:p w:rsidR="00BF7430" w:rsidRPr="00F676F1" w:rsidRDefault="00BF7430" w:rsidP="00BF7430">
      <w:pPr>
        <w:pStyle w:val="NoSpacing"/>
        <w:rPr>
          <w:rFonts w:cs="Times New Roman"/>
          <w:b/>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2"/>
        <w:gridCol w:w="1618"/>
        <w:gridCol w:w="1800"/>
        <w:gridCol w:w="1636"/>
      </w:tblGrid>
      <w:tr w:rsidR="00BF7430" w:rsidRPr="00F676F1" w:rsidTr="007A7406">
        <w:trPr>
          <w:trHeight w:val="307"/>
          <w:jc w:val="center"/>
        </w:trPr>
        <w:tc>
          <w:tcPr>
            <w:tcW w:w="2361" w:type="pct"/>
          </w:tcPr>
          <w:p w:rsidR="00BF7430" w:rsidRPr="00F676F1" w:rsidRDefault="00BF7430" w:rsidP="00BF7430">
            <w:pPr>
              <w:pStyle w:val="NoSpacing"/>
              <w:rPr>
                <w:rFonts w:cs="Times New Roman"/>
                <w:b/>
                <w:szCs w:val="24"/>
              </w:rPr>
            </w:pPr>
            <w:r w:rsidRPr="00F676F1">
              <w:rPr>
                <w:rFonts w:cs="Times New Roman"/>
                <w:b/>
                <w:szCs w:val="24"/>
              </w:rPr>
              <w:t>Monthly Rates</w:t>
            </w:r>
          </w:p>
        </w:tc>
        <w:tc>
          <w:tcPr>
            <w:tcW w:w="845" w:type="pct"/>
            <w:tcBorders>
              <w:bottom w:val="single" w:sz="4" w:space="0" w:color="auto"/>
            </w:tcBorders>
            <w:vAlign w:val="bottom"/>
          </w:tcPr>
          <w:p w:rsidR="00BF7430" w:rsidRPr="00F676F1" w:rsidRDefault="00BF7430" w:rsidP="00BF7430">
            <w:pPr>
              <w:pStyle w:val="NoSpacing"/>
              <w:jc w:val="center"/>
              <w:rPr>
                <w:rFonts w:cs="Times New Roman"/>
                <w:b/>
                <w:szCs w:val="24"/>
              </w:rPr>
            </w:pPr>
            <w:r w:rsidRPr="00F676F1">
              <w:rPr>
                <w:rFonts w:cs="Times New Roman"/>
                <w:b/>
                <w:szCs w:val="24"/>
              </w:rPr>
              <w:t>Rates Prior to</w:t>
            </w:r>
          </w:p>
          <w:p w:rsidR="00BF7430" w:rsidRPr="00F676F1" w:rsidRDefault="00BF7430" w:rsidP="00BF7430">
            <w:pPr>
              <w:pStyle w:val="NoSpacing"/>
              <w:jc w:val="center"/>
              <w:rPr>
                <w:rFonts w:cs="Times New Roman"/>
                <w:b/>
                <w:szCs w:val="24"/>
              </w:rPr>
            </w:pPr>
            <w:r w:rsidRPr="00F676F1">
              <w:rPr>
                <w:rFonts w:cs="Times New Roman"/>
                <w:b/>
                <w:szCs w:val="24"/>
              </w:rPr>
              <w:t>January 1, 2010</w:t>
            </w:r>
          </w:p>
        </w:tc>
        <w:tc>
          <w:tcPr>
            <w:tcW w:w="940" w:type="pct"/>
            <w:tcBorders>
              <w:bottom w:val="single" w:sz="4" w:space="0" w:color="auto"/>
            </w:tcBorders>
            <w:vAlign w:val="bottom"/>
          </w:tcPr>
          <w:p w:rsidR="00BF7430" w:rsidRPr="00F676F1" w:rsidRDefault="00BF7430" w:rsidP="00BF7430">
            <w:pPr>
              <w:pStyle w:val="NoSpacing"/>
              <w:jc w:val="center"/>
              <w:rPr>
                <w:rFonts w:cs="Times New Roman"/>
                <w:b/>
                <w:szCs w:val="24"/>
              </w:rPr>
            </w:pPr>
            <w:r w:rsidRPr="00F676F1">
              <w:rPr>
                <w:rFonts w:cs="Times New Roman"/>
                <w:b/>
                <w:szCs w:val="24"/>
              </w:rPr>
              <w:t>Temporary Rates</w:t>
            </w:r>
          </w:p>
          <w:p w:rsidR="00BF7430" w:rsidRPr="00F676F1" w:rsidRDefault="00BF7430" w:rsidP="00BF7430">
            <w:pPr>
              <w:pStyle w:val="NoSpacing"/>
              <w:jc w:val="center"/>
              <w:rPr>
                <w:rFonts w:cs="Times New Roman"/>
                <w:b/>
                <w:szCs w:val="24"/>
              </w:rPr>
            </w:pPr>
            <w:r w:rsidRPr="00F676F1">
              <w:rPr>
                <w:rFonts w:cs="Times New Roman"/>
                <w:b/>
                <w:szCs w:val="24"/>
              </w:rPr>
              <w:t>January 1, 2010</w:t>
            </w:r>
          </w:p>
        </w:tc>
        <w:tc>
          <w:tcPr>
            <w:tcW w:w="855" w:type="pct"/>
            <w:tcBorders>
              <w:bottom w:val="single" w:sz="4" w:space="0" w:color="auto"/>
            </w:tcBorders>
            <w:vAlign w:val="bottom"/>
          </w:tcPr>
          <w:p w:rsidR="00BF7430" w:rsidRPr="00F676F1" w:rsidRDefault="00BF7430" w:rsidP="00BF7430">
            <w:pPr>
              <w:pStyle w:val="NoSpacing"/>
              <w:jc w:val="center"/>
              <w:rPr>
                <w:rFonts w:cs="Times New Roman"/>
                <w:b/>
                <w:szCs w:val="24"/>
              </w:rPr>
            </w:pPr>
            <w:r w:rsidRPr="00F676F1">
              <w:rPr>
                <w:rFonts w:cs="Times New Roman"/>
                <w:b/>
                <w:szCs w:val="24"/>
              </w:rPr>
              <w:t>Revised Rates</w:t>
            </w:r>
          </w:p>
        </w:tc>
      </w:tr>
      <w:tr w:rsidR="00BF7430" w:rsidRPr="00F676F1" w:rsidTr="007A7406">
        <w:trPr>
          <w:trHeight w:val="307"/>
          <w:jc w:val="center"/>
        </w:trPr>
        <w:tc>
          <w:tcPr>
            <w:tcW w:w="2361" w:type="pct"/>
          </w:tcPr>
          <w:p w:rsidR="00BF7430" w:rsidRPr="00F676F1" w:rsidRDefault="00BF7430" w:rsidP="00BF7430">
            <w:pPr>
              <w:pStyle w:val="NoSpacing"/>
              <w:rPr>
                <w:rFonts w:cs="Times New Roman"/>
                <w:szCs w:val="24"/>
              </w:rPr>
            </w:pPr>
            <w:r w:rsidRPr="00F676F1">
              <w:rPr>
                <w:rFonts w:cs="Times New Roman"/>
                <w:szCs w:val="24"/>
              </w:rPr>
              <w:t>One Can Weekly Garbage Service</w:t>
            </w:r>
          </w:p>
        </w:tc>
        <w:tc>
          <w:tcPr>
            <w:tcW w:w="845" w:type="pct"/>
            <w:tcBorders>
              <w:bottom w:val="sing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$6.42</w:t>
            </w:r>
          </w:p>
        </w:tc>
        <w:tc>
          <w:tcPr>
            <w:tcW w:w="940" w:type="pct"/>
            <w:tcBorders>
              <w:bottom w:val="sing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$6.64</w:t>
            </w:r>
          </w:p>
        </w:tc>
        <w:tc>
          <w:tcPr>
            <w:tcW w:w="855" w:type="pct"/>
            <w:tcBorders>
              <w:bottom w:val="sing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$6.17</w:t>
            </w:r>
          </w:p>
        </w:tc>
      </w:tr>
      <w:tr w:rsidR="00BF7430" w:rsidRPr="00F676F1" w:rsidTr="007A7406">
        <w:trPr>
          <w:trHeight w:val="307"/>
          <w:jc w:val="center"/>
        </w:trPr>
        <w:tc>
          <w:tcPr>
            <w:tcW w:w="2361" w:type="pct"/>
          </w:tcPr>
          <w:p w:rsidR="00BF7430" w:rsidRPr="00F676F1" w:rsidRDefault="00BF7430" w:rsidP="00BF7430">
            <w:pPr>
              <w:pStyle w:val="NoSpacing"/>
              <w:rPr>
                <w:rFonts w:cs="Times New Roman"/>
                <w:szCs w:val="24"/>
              </w:rPr>
            </w:pPr>
            <w:r w:rsidRPr="00F676F1">
              <w:rPr>
                <w:rFonts w:cs="Times New Roman"/>
                <w:szCs w:val="24"/>
              </w:rPr>
              <w:t>Recycling Cart (Voluntary Every-Other-Week Service)</w:t>
            </w:r>
          </w:p>
        </w:tc>
        <w:tc>
          <w:tcPr>
            <w:tcW w:w="845"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$3.46</w:t>
            </w:r>
          </w:p>
        </w:tc>
        <w:tc>
          <w:tcPr>
            <w:tcW w:w="940"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$3.46</w:t>
            </w:r>
          </w:p>
        </w:tc>
        <w:tc>
          <w:tcPr>
            <w:tcW w:w="855"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$9.00</w:t>
            </w:r>
          </w:p>
        </w:tc>
      </w:tr>
      <w:tr w:rsidR="00BF7430" w:rsidRPr="00F676F1" w:rsidTr="007A7406">
        <w:trPr>
          <w:trHeight w:val="307"/>
          <w:jc w:val="center"/>
        </w:trPr>
        <w:tc>
          <w:tcPr>
            <w:tcW w:w="2361" w:type="pct"/>
          </w:tcPr>
          <w:p w:rsidR="00BF7430" w:rsidRPr="00F676F1" w:rsidRDefault="00BF7430" w:rsidP="00BF7430">
            <w:pPr>
              <w:pStyle w:val="NoSpacing"/>
              <w:rPr>
                <w:rFonts w:cs="Times New Roman"/>
                <w:szCs w:val="24"/>
              </w:rPr>
            </w:pPr>
            <w:r w:rsidRPr="00F676F1">
              <w:rPr>
                <w:rFonts w:cs="Times New Roman"/>
                <w:szCs w:val="24"/>
              </w:rPr>
              <w:t>Total Monthly Bill</w:t>
            </w:r>
          </w:p>
        </w:tc>
        <w:tc>
          <w:tcPr>
            <w:tcW w:w="845"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$9.88</w:t>
            </w:r>
          </w:p>
        </w:tc>
        <w:tc>
          <w:tcPr>
            <w:tcW w:w="940"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$10.10</w:t>
            </w:r>
          </w:p>
        </w:tc>
        <w:tc>
          <w:tcPr>
            <w:tcW w:w="855" w:type="pct"/>
            <w:tcBorders>
              <w:bottom w:val="double" w:sz="4" w:space="0" w:color="auto"/>
            </w:tcBorders>
            <w:vAlign w:val="bottom"/>
          </w:tcPr>
          <w:p w:rsidR="00BF7430" w:rsidRPr="00F676F1" w:rsidRDefault="00BF7430" w:rsidP="00BF7430">
            <w:pPr>
              <w:pStyle w:val="NoSpacing"/>
              <w:rPr>
                <w:rFonts w:cs="Times New Roman"/>
                <w:szCs w:val="24"/>
              </w:rPr>
            </w:pPr>
            <w:r w:rsidRPr="00F676F1">
              <w:rPr>
                <w:rFonts w:cs="Times New Roman"/>
                <w:szCs w:val="24"/>
              </w:rPr>
              <w:t>$15.17</w:t>
            </w:r>
          </w:p>
        </w:tc>
      </w:tr>
      <w:tr w:rsidR="00BF7430" w:rsidRPr="00F676F1" w:rsidTr="007A7406">
        <w:trPr>
          <w:trHeight w:val="292"/>
          <w:jc w:val="center"/>
        </w:trPr>
        <w:tc>
          <w:tcPr>
            <w:tcW w:w="3205" w:type="pct"/>
            <w:gridSpan w:val="2"/>
          </w:tcPr>
          <w:p w:rsidR="00BF7430" w:rsidRPr="00F676F1" w:rsidRDefault="00BF7430" w:rsidP="00BF7430">
            <w:pPr>
              <w:pStyle w:val="NoSpacing"/>
              <w:rPr>
                <w:rFonts w:cs="Times New Roman"/>
                <w:szCs w:val="24"/>
              </w:rPr>
            </w:pPr>
            <w:r w:rsidRPr="00F676F1">
              <w:rPr>
                <w:rFonts w:cs="Times New Roman"/>
                <w:szCs w:val="24"/>
              </w:rPr>
              <w:t xml:space="preserve">Increase </w:t>
            </w:r>
          </w:p>
        </w:tc>
        <w:tc>
          <w:tcPr>
            <w:tcW w:w="940" w:type="pct"/>
            <w:vAlign w:val="bottom"/>
          </w:tcPr>
          <w:p w:rsidR="00BF7430" w:rsidRPr="00F676F1" w:rsidRDefault="00BF7430" w:rsidP="00BF7430">
            <w:pPr>
              <w:pStyle w:val="NoSpacing"/>
              <w:rPr>
                <w:rFonts w:cs="Times New Roman"/>
                <w:szCs w:val="24"/>
              </w:rPr>
            </w:pPr>
            <w:r w:rsidRPr="00F676F1">
              <w:rPr>
                <w:rFonts w:cs="Times New Roman"/>
                <w:szCs w:val="24"/>
              </w:rPr>
              <w:t>2.2%</w:t>
            </w:r>
          </w:p>
        </w:tc>
        <w:tc>
          <w:tcPr>
            <w:tcW w:w="855" w:type="pct"/>
            <w:vAlign w:val="bottom"/>
          </w:tcPr>
          <w:p w:rsidR="00BF7430" w:rsidRPr="00F676F1" w:rsidRDefault="00BF7430" w:rsidP="00BF7430">
            <w:pPr>
              <w:pStyle w:val="NoSpacing"/>
              <w:rPr>
                <w:rFonts w:cs="Times New Roman"/>
                <w:szCs w:val="24"/>
              </w:rPr>
            </w:pPr>
            <w:r w:rsidRPr="00F676F1">
              <w:rPr>
                <w:rFonts w:cs="Times New Roman"/>
                <w:szCs w:val="24"/>
              </w:rPr>
              <w:t>50.2%</w:t>
            </w:r>
          </w:p>
        </w:tc>
      </w:tr>
    </w:tbl>
    <w:p w:rsidR="0037288F" w:rsidRPr="00F676F1" w:rsidRDefault="00F7055A" w:rsidP="007F1BFD">
      <w:pPr>
        <w:pStyle w:val="NoSpacing"/>
        <w:rPr>
          <w:rFonts w:cs="Times New Roman"/>
          <w:b/>
          <w:bCs/>
          <w:szCs w:val="24"/>
          <w:u w:val="single"/>
        </w:rPr>
      </w:pPr>
      <w:r w:rsidRPr="00F676F1">
        <w:rPr>
          <w:rFonts w:cs="Times New Roman"/>
          <w:b/>
          <w:bCs/>
          <w:szCs w:val="24"/>
          <w:u w:val="single"/>
        </w:rPr>
        <w:lastRenderedPageBreak/>
        <w:t>Customer Comments</w:t>
      </w:r>
    </w:p>
    <w:p w:rsidR="00F7055A" w:rsidRPr="00F676F1" w:rsidRDefault="00F7055A" w:rsidP="007F1BFD">
      <w:pPr>
        <w:pStyle w:val="NoSpacing"/>
        <w:rPr>
          <w:rFonts w:cs="Times New Roman"/>
          <w:bCs/>
          <w:szCs w:val="24"/>
        </w:rPr>
      </w:pPr>
    </w:p>
    <w:p w:rsidR="00FC159C" w:rsidRPr="00F676F1" w:rsidRDefault="00FC159C" w:rsidP="00FC159C">
      <w:pPr>
        <w:pStyle w:val="BodyText"/>
        <w:widowControl/>
        <w:tabs>
          <w:tab w:val="left" w:pos="0"/>
        </w:tabs>
        <w:rPr>
          <w:rFonts w:ascii="Times New Roman" w:hAnsi="Times New Roman"/>
        </w:rPr>
      </w:pPr>
      <w:r w:rsidRPr="00F676F1">
        <w:rPr>
          <w:rFonts w:ascii="Times New Roman" w:hAnsi="Times New Roman"/>
        </w:rPr>
        <w:t xml:space="preserve">On April 29, 2010, the company notified its customers of the proposed </w:t>
      </w:r>
      <w:r w:rsidR="0046323C" w:rsidRPr="00F676F1">
        <w:rPr>
          <w:rFonts w:ascii="Times New Roman" w:hAnsi="Times New Roman"/>
        </w:rPr>
        <w:t xml:space="preserve">revised </w:t>
      </w:r>
      <w:r w:rsidRPr="00F676F1">
        <w:rPr>
          <w:rFonts w:ascii="Times New Roman" w:hAnsi="Times New Roman"/>
        </w:rPr>
        <w:t xml:space="preserve">rate increase by mail. The commission received </w:t>
      </w:r>
      <w:r w:rsidR="00EF2C9E" w:rsidRPr="00F676F1">
        <w:rPr>
          <w:rFonts w:ascii="Times New Roman" w:hAnsi="Times New Roman"/>
        </w:rPr>
        <w:t>52</w:t>
      </w:r>
      <w:r w:rsidRPr="00F676F1">
        <w:rPr>
          <w:rFonts w:ascii="Times New Roman" w:hAnsi="Times New Roman"/>
        </w:rPr>
        <w:t xml:space="preserve"> customer comments on this filing; </w:t>
      </w:r>
      <w:r w:rsidR="00EF2C9E" w:rsidRPr="00F676F1">
        <w:rPr>
          <w:rFonts w:ascii="Times New Roman" w:hAnsi="Times New Roman"/>
        </w:rPr>
        <w:t>51</w:t>
      </w:r>
      <w:r w:rsidRPr="00F676F1">
        <w:rPr>
          <w:rFonts w:ascii="Times New Roman" w:hAnsi="Times New Roman"/>
        </w:rPr>
        <w:t xml:space="preserve"> customers oppose the proposed increase, and one is undecided. Please note that customers often address several issues of concern within one comment. Therefore, subtotals may not equal the total number of comments submitted.</w:t>
      </w:r>
    </w:p>
    <w:p w:rsidR="00FC159C" w:rsidRPr="00F676F1" w:rsidRDefault="00FC159C" w:rsidP="00FC159C">
      <w:pPr>
        <w:pStyle w:val="BodyText"/>
        <w:widowControl/>
        <w:tabs>
          <w:tab w:val="left" w:pos="0"/>
        </w:tabs>
        <w:rPr>
          <w:rFonts w:ascii="Times New Roman" w:hAnsi="Times New Roman"/>
        </w:rPr>
      </w:pPr>
    </w:p>
    <w:p w:rsidR="00FC159C" w:rsidRPr="00F676F1" w:rsidRDefault="00FC159C" w:rsidP="00FC159C">
      <w:pPr>
        <w:pStyle w:val="BodyText"/>
        <w:widowControl/>
        <w:tabs>
          <w:tab w:val="left" w:pos="0"/>
        </w:tabs>
        <w:rPr>
          <w:rFonts w:ascii="Times New Roman" w:hAnsi="Times New Roman"/>
        </w:rPr>
      </w:pPr>
      <w:r w:rsidRPr="00F676F1">
        <w:rPr>
          <w:rFonts w:ascii="Times New Roman" w:hAnsi="Times New Roman"/>
        </w:rPr>
        <w:t>Consumer Protection staff advised customers that they may access company documents about this rate case at </w:t>
      </w:r>
      <w:hyperlink r:id="rId10" w:history="1">
        <w:r w:rsidRPr="00F676F1">
          <w:rPr>
            <w:rFonts w:ascii="Times New Roman" w:hAnsi="Times New Roman"/>
          </w:rPr>
          <w:t>www.utc.wa.gov</w:t>
        </w:r>
      </w:hyperlink>
      <w:r w:rsidRPr="00F676F1">
        <w:rPr>
          <w:rFonts w:ascii="Times New Roman" w:hAnsi="Times New Roman"/>
        </w:rPr>
        <w:t>, and that they may contact Dennis Shutler at 1-888-333-9882 with questions or concerns.</w:t>
      </w:r>
    </w:p>
    <w:p w:rsidR="00FC159C" w:rsidRPr="00F676F1" w:rsidRDefault="00FC159C" w:rsidP="00FC159C">
      <w:pPr>
        <w:pStyle w:val="BodyText"/>
        <w:tabs>
          <w:tab w:val="left" w:pos="360"/>
        </w:tabs>
        <w:rPr>
          <w:rFonts w:ascii="Times New Roman" w:hAnsi="Times New Roman"/>
        </w:rPr>
      </w:pPr>
    </w:p>
    <w:p w:rsidR="00FC159C" w:rsidRPr="00F676F1" w:rsidRDefault="00FC159C" w:rsidP="00FC159C">
      <w:pPr>
        <w:pStyle w:val="BodyText"/>
        <w:rPr>
          <w:rFonts w:ascii="Times New Roman" w:hAnsi="Times New Roman"/>
          <w:b/>
        </w:rPr>
      </w:pPr>
      <w:r w:rsidRPr="00F676F1">
        <w:rPr>
          <w:rFonts w:ascii="Times New Roman" w:hAnsi="Times New Roman"/>
          <w:b/>
        </w:rPr>
        <w:t>Business Practice Comments</w:t>
      </w:r>
    </w:p>
    <w:p w:rsidR="00FC159C" w:rsidRPr="00F676F1" w:rsidRDefault="00FC159C" w:rsidP="00FC159C">
      <w:pPr>
        <w:pStyle w:val="BodyText"/>
        <w:numPr>
          <w:ilvl w:val="0"/>
          <w:numId w:val="7"/>
        </w:numPr>
        <w:rPr>
          <w:rFonts w:ascii="Times New Roman" w:hAnsi="Times New Roman"/>
        </w:rPr>
      </w:pPr>
      <w:r w:rsidRPr="00F676F1">
        <w:rPr>
          <w:rFonts w:ascii="Times New Roman" w:hAnsi="Times New Roman"/>
        </w:rPr>
        <w:t xml:space="preserve">One customer believes the company would operate more cost effectively if recyclables are picked up less frequently. Two customers believe the company would operate more cost effectively if recyclables were picked up more frequently. </w:t>
      </w:r>
    </w:p>
    <w:p w:rsidR="00FC159C" w:rsidRPr="00F676F1" w:rsidRDefault="00FC159C" w:rsidP="00FC159C">
      <w:pPr>
        <w:pStyle w:val="BodyText"/>
        <w:ind w:left="360"/>
        <w:rPr>
          <w:rFonts w:ascii="Times New Roman" w:hAnsi="Times New Roman"/>
        </w:rPr>
      </w:pPr>
    </w:p>
    <w:p w:rsidR="00FC159C" w:rsidRPr="00F676F1" w:rsidRDefault="00FC159C" w:rsidP="00FC159C">
      <w:pPr>
        <w:pStyle w:val="BodyText"/>
        <w:tabs>
          <w:tab w:val="left" w:pos="360"/>
        </w:tabs>
        <w:ind w:left="360"/>
        <w:rPr>
          <w:rFonts w:ascii="Times New Roman" w:hAnsi="Times New Roman"/>
          <w:b/>
        </w:rPr>
      </w:pPr>
      <w:r w:rsidRPr="00F676F1">
        <w:rPr>
          <w:rFonts w:ascii="Times New Roman" w:hAnsi="Times New Roman"/>
          <w:b/>
        </w:rPr>
        <w:t>Staff Response</w:t>
      </w:r>
    </w:p>
    <w:p w:rsidR="00FC159C" w:rsidRPr="00F676F1" w:rsidRDefault="00FC159C" w:rsidP="00FC159C">
      <w:pPr>
        <w:pStyle w:val="BodyText"/>
        <w:ind w:left="360"/>
        <w:rPr>
          <w:rFonts w:ascii="Times New Roman" w:hAnsi="Times New Roman"/>
        </w:rPr>
      </w:pPr>
      <w:r w:rsidRPr="00F676F1">
        <w:rPr>
          <w:rFonts w:ascii="Times New Roman" w:hAnsi="Times New Roman"/>
        </w:rPr>
        <w:t xml:space="preserve">The company currently picks up recyclables every other week. Once a week service is more costly to the customer than once every other week. </w:t>
      </w:r>
    </w:p>
    <w:p w:rsidR="00FC159C" w:rsidRPr="00F676F1" w:rsidRDefault="00FC159C" w:rsidP="00FC159C">
      <w:pPr>
        <w:pStyle w:val="BodyText"/>
        <w:tabs>
          <w:tab w:val="left" w:pos="360"/>
        </w:tabs>
        <w:rPr>
          <w:rFonts w:ascii="Times New Roman" w:hAnsi="Times New Roman"/>
        </w:rPr>
      </w:pPr>
    </w:p>
    <w:p w:rsidR="00FC159C" w:rsidRPr="00F676F1" w:rsidRDefault="00FC159C" w:rsidP="00FC15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eastAsia="Calibri"/>
          <w:b/>
          <w:sz w:val="24"/>
        </w:rPr>
      </w:pPr>
      <w:r w:rsidRPr="00F676F1">
        <w:rPr>
          <w:rFonts w:eastAsia="Calibri"/>
          <w:b/>
          <w:sz w:val="24"/>
        </w:rPr>
        <w:t>Service Quality Comments</w:t>
      </w:r>
    </w:p>
    <w:p w:rsidR="00FC159C" w:rsidRPr="00F676F1" w:rsidRDefault="00FC159C" w:rsidP="00FC159C">
      <w:pPr>
        <w:numPr>
          <w:ilvl w:val="0"/>
          <w:numId w:val="8"/>
        </w:numPr>
        <w:ind w:left="360"/>
        <w:rPr>
          <w:sz w:val="24"/>
        </w:rPr>
      </w:pPr>
      <w:r w:rsidRPr="00F676F1">
        <w:rPr>
          <w:rFonts w:eastAsia="Calibri"/>
          <w:sz w:val="24"/>
        </w:rPr>
        <w:t xml:space="preserve">Two customers commented on poor customer service; one because of </w:t>
      </w:r>
      <w:r w:rsidRPr="00F676F1">
        <w:rPr>
          <w:sz w:val="24"/>
        </w:rPr>
        <w:t xml:space="preserve">missed pickups, and one because of disputed charges. </w:t>
      </w:r>
    </w:p>
    <w:p w:rsidR="00FC159C" w:rsidRPr="00F676F1" w:rsidRDefault="00FC159C" w:rsidP="00FC159C">
      <w:pPr>
        <w:widowControl/>
        <w:ind w:left="360"/>
        <w:rPr>
          <w:rFonts w:eastAsia="Calibri"/>
          <w:sz w:val="24"/>
        </w:rPr>
      </w:pPr>
    </w:p>
    <w:p w:rsidR="00FC159C" w:rsidRPr="00F676F1" w:rsidRDefault="00FC159C" w:rsidP="00FC159C">
      <w:pPr>
        <w:pStyle w:val="BodyText"/>
        <w:tabs>
          <w:tab w:val="left" w:pos="360"/>
        </w:tabs>
        <w:ind w:left="360"/>
        <w:rPr>
          <w:rFonts w:ascii="Times New Roman" w:hAnsi="Times New Roman"/>
          <w:b/>
        </w:rPr>
      </w:pPr>
      <w:r w:rsidRPr="00F676F1">
        <w:rPr>
          <w:rFonts w:ascii="Times New Roman" w:hAnsi="Times New Roman"/>
          <w:b/>
        </w:rPr>
        <w:t>Staff Response</w:t>
      </w:r>
    </w:p>
    <w:p w:rsidR="00FC159C" w:rsidRPr="00F676F1" w:rsidRDefault="00FC159C" w:rsidP="00FC159C">
      <w:pPr>
        <w:ind w:left="360"/>
        <w:rPr>
          <w:sz w:val="24"/>
        </w:rPr>
      </w:pPr>
      <w:r w:rsidRPr="00F676F1">
        <w:rPr>
          <w:sz w:val="24"/>
        </w:rPr>
        <w:t>Staff contacted the customers and offered to open an informal complaint to look into their issues. Both customers declined.</w:t>
      </w:r>
      <w:r w:rsidRPr="00F676F1">
        <w:rPr>
          <w:rFonts w:eastAsia="Calibri"/>
          <w:sz w:val="24"/>
        </w:rPr>
        <w:t xml:space="preserve">  </w:t>
      </w:r>
    </w:p>
    <w:p w:rsidR="00FC159C" w:rsidRPr="00F676F1" w:rsidRDefault="00FC159C" w:rsidP="00FC159C">
      <w:pPr>
        <w:pStyle w:val="BodyText"/>
        <w:tabs>
          <w:tab w:val="left" w:pos="360"/>
        </w:tabs>
        <w:rPr>
          <w:rFonts w:ascii="Times New Roman" w:hAnsi="Times New Roman"/>
        </w:rPr>
      </w:pPr>
    </w:p>
    <w:p w:rsidR="00FC159C" w:rsidRPr="00F676F1" w:rsidRDefault="00FC159C" w:rsidP="00FC159C">
      <w:pPr>
        <w:pStyle w:val="BodyText"/>
        <w:widowControl/>
        <w:rPr>
          <w:rFonts w:ascii="Times New Roman" w:hAnsi="Times New Roman"/>
          <w:b/>
        </w:rPr>
      </w:pPr>
      <w:r w:rsidRPr="00F676F1">
        <w:rPr>
          <w:rFonts w:ascii="Times New Roman" w:hAnsi="Times New Roman"/>
          <w:b/>
        </w:rPr>
        <w:t>General Comment</w:t>
      </w:r>
    </w:p>
    <w:p w:rsidR="00941D45" w:rsidRPr="00F676F1" w:rsidRDefault="00FC159C" w:rsidP="00FC159C">
      <w:pPr>
        <w:pStyle w:val="BodyText"/>
        <w:widowControl/>
        <w:numPr>
          <w:ilvl w:val="0"/>
          <w:numId w:val="7"/>
        </w:numPr>
        <w:rPr>
          <w:rFonts w:ascii="Times New Roman" w:hAnsi="Times New Roman"/>
        </w:rPr>
      </w:pPr>
      <w:r w:rsidRPr="00F676F1">
        <w:rPr>
          <w:rFonts w:ascii="Times New Roman" w:hAnsi="Times New Roman"/>
        </w:rPr>
        <w:t>Thirty-</w:t>
      </w:r>
      <w:r w:rsidR="00EF2C9E" w:rsidRPr="00F676F1">
        <w:rPr>
          <w:rFonts w:ascii="Times New Roman" w:hAnsi="Times New Roman"/>
        </w:rPr>
        <w:t>seven</w:t>
      </w:r>
      <w:r w:rsidRPr="00F676F1">
        <w:rPr>
          <w:rFonts w:ascii="Times New Roman" w:hAnsi="Times New Roman"/>
        </w:rPr>
        <w:t xml:space="preserve"> customers believe the amount of the increase is excessive due to the amount of the increase and current economic conditions. </w:t>
      </w:r>
      <w:r w:rsidR="00EF2C9E" w:rsidRPr="00F676F1">
        <w:rPr>
          <w:rFonts w:ascii="Times New Roman" w:hAnsi="Times New Roman"/>
        </w:rPr>
        <w:t>Nine</w:t>
      </w:r>
      <w:r w:rsidRPr="00F676F1">
        <w:rPr>
          <w:rFonts w:ascii="Times New Roman" w:hAnsi="Times New Roman"/>
        </w:rPr>
        <w:t xml:space="preserve"> customers believe a smaller rate increase should be considered. </w:t>
      </w:r>
      <w:r w:rsidR="00941D45" w:rsidRPr="00F676F1">
        <w:rPr>
          <w:rFonts w:ascii="Times New Roman" w:hAnsi="Times New Roman"/>
        </w:rPr>
        <w:br/>
      </w:r>
    </w:p>
    <w:p w:rsidR="00FC159C" w:rsidRPr="00F676F1" w:rsidRDefault="00EF2C9E" w:rsidP="00FC159C">
      <w:pPr>
        <w:pStyle w:val="BodyText"/>
        <w:widowControl/>
        <w:numPr>
          <w:ilvl w:val="0"/>
          <w:numId w:val="7"/>
        </w:numPr>
        <w:rPr>
          <w:rFonts w:ascii="Times New Roman" w:hAnsi="Times New Roman"/>
        </w:rPr>
      </w:pPr>
      <w:r w:rsidRPr="00F676F1">
        <w:rPr>
          <w:rFonts w:ascii="Times New Roman" w:hAnsi="Times New Roman"/>
        </w:rPr>
        <w:t>Thirteen</w:t>
      </w:r>
      <w:r w:rsidR="00FC159C" w:rsidRPr="00F676F1">
        <w:rPr>
          <w:rFonts w:ascii="Times New Roman" w:hAnsi="Times New Roman"/>
        </w:rPr>
        <w:t xml:space="preserve"> customers stated they will cancel their recycling service if this rate increase is allowed.</w:t>
      </w:r>
    </w:p>
    <w:p w:rsidR="00FC159C" w:rsidRPr="00F676F1" w:rsidRDefault="00FC159C" w:rsidP="00FC159C">
      <w:pPr>
        <w:pStyle w:val="BodyText"/>
        <w:widowControl/>
        <w:ind w:left="360"/>
        <w:rPr>
          <w:rFonts w:ascii="Times New Roman" w:hAnsi="Times New Roman"/>
        </w:rPr>
      </w:pPr>
    </w:p>
    <w:p w:rsidR="00FC159C" w:rsidRPr="00F676F1" w:rsidRDefault="00FC159C" w:rsidP="00FC159C">
      <w:pPr>
        <w:pStyle w:val="BodyText"/>
        <w:tabs>
          <w:tab w:val="left" w:pos="360"/>
        </w:tabs>
        <w:ind w:left="360"/>
        <w:rPr>
          <w:rFonts w:ascii="Times New Roman" w:hAnsi="Times New Roman"/>
          <w:b/>
        </w:rPr>
      </w:pPr>
      <w:r w:rsidRPr="00F676F1">
        <w:rPr>
          <w:rFonts w:ascii="Times New Roman" w:hAnsi="Times New Roman"/>
          <w:b/>
        </w:rPr>
        <w:t>Staff Response</w:t>
      </w:r>
    </w:p>
    <w:p w:rsidR="00C675B2" w:rsidRPr="00F676F1" w:rsidRDefault="00FC159C" w:rsidP="00E36126">
      <w:pPr>
        <w:pStyle w:val="NoSpacing"/>
        <w:ind w:left="360"/>
        <w:rPr>
          <w:rFonts w:cs="Times New Roman"/>
          <w:bCs/>
          <w:szCs w:val="24"/>
        </w:rPr>
      </w:pPr>
      <w:r w:rsidRPr="00F676F1">
        <w:rPr>
          <w:rFonts w:cs="Times New Roman"/>
          <w:szCs w:val="24"/>
        </w:rPr>
        <w:t>Customers were advised that state law requires rates to be fair and reasonable, and sufficient to allow the company the opportunity to recover reasonable operating expenses and earn a reasonable return on investment.</w:t>
      </w:r>
    </w:p>
    <w:p w:rsidR="00F7055A" w:rsidRPr="00F676F1" w:rsidRDefault="00F7055A" w:rsidP="007F1BFD">
      <w:pPr>
        <w:pStyle w:val="NoSpacing"/>
        <w:rPr>
          <w:rFonts w:cs="Times New Roman"/>
          <w:bCs/>
          <w:szCs w:val="24"/>
        </w:rPr>
      </w:pPr>
    </w:p>
    <w:p w:rsidR="00691DF6" w:rsidRPr="00F676F1" w:rsidRDefault="00691DF6" w:rsidP="00691DF6">
      <w:pPr>
        <w:pStyle w:val="NoSpacing"/>
        <w:rPr>
          <w:rFonts w:cs="Times New Roman"/>
          <w:szCs w:val="24"/>
        </w:rPr>
      </w:pPr>
      <w:r w:rsidRPr="00F676F1">
        <w:rPr>
          <w:rFonts w:cs="Times New Roman"/>
          <w:szCs w:val="24"/>
        </w:rPr>
        <w:t xml:space="preserve">Commission staff has completed its review of the company’s supporting financial documents, books and records. Staff’s review shows that the expenses are reasonable and required as part of the company’s operations, that the financial information supports the revised revenue requirement, and that the revised rates and charges are fair, just, reasonable, and sufficient. The </w:t>
      </w:r>
      <w:r w:rsidRPr="00F676F1">
        <w:rPr>
          <w:rFonts w:cs="Times New Roman"/>
          <w:szCs w:val="24"/>
        </w:rPr>
        <w:lastRenderedPageBreak/>
        <w:t>customer</w:t>
      </w:r>
      <w:r w:rsidR="00AA712C" w:rsidRPr="00F676F1">
        <w:rPr>
          <w:rFonts w:cs="Times New Roman"/>
          <w:szCs w:val="24"/>
        </w:rPr>
        <w:t>s</w:t>
      </w:r>
      <w:r w:rsidRPr="00F676F1">
        <w:rPr>
          <w:rFonts w:cs="Times New Roman"/>
          <w:szCs w:val="24"/>
        </w:rPr>
        <w:t>’ comments do not change staff’s opinion that the company’s financial information supports the revised revenue requirement and the revised rates and charges are fair, just, reasonable, and sufficient.</w:t>
      </w:r>
    </w:p>
    <w:p w:rsidR="00691DF6" w:rsidRPr="00F676F1" w:rsidRDefault="00691DF6" w:rsidP="007F1BFD">
      <w:pPr>
        <w:pStyle w:val="NoSpacing"/>
        <w:rPr>
          <w:rFonts w:cs="Times New Roman"/>
          <w:szCs w:val="24"/>
        </w:rPr>
      </w:pPr>
    </w:p>
    <w:p w:rsidR="007C31D0" w:rsidRPr="00F676F1" w:rsidRDefault="007C31D0" w:rsidP="007C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676F1">
        <w:rPr>
          <w:b/>
          <w:sz w:val="24"/>
          <w:u w:val="single"/>
        </w:rPr>
        <w:t>Conclusion</w:t>
      </w:r>
    </w:p>
    <w:p w:rsidR="00A66232" w:rsidRPr="00A66232" w:rsidRDefault="00A66232" w:rsidP="00A66232">
      <w:pPr>
        <w:pStyle w:val="NoSpacing"/>
      </w:pPr>
    </w:p>
    <w:p w:rsidR="00A66232" w:rsidRPr="00A66232" w:rsidRDefault="00A66232" w:rsidP="00A66232">
      <w:pPr>
        <w:pStyle w:val="NoSpacing"/>
      </w:pPr>
      <w:r w:rsidRPr="00A66232">
        <w:t>Issue an order to:</w:t>
      </w:r>
    </w:p>
    <w:p w:rsidR="004D3927" w:rsidRPr="00F676F1" w:rsidRDefault="004D3927" w:rsidP="007F1BFD">
      <w:pPr>
        <w:pStyle w:val="NoSpacing"/>
        <w:rPr>
          <w:rFonts w:cs="Times New Roman"/>
          <w:szCs w:val="24"/>
        </w:rPr>
      </w:pPr>
    </w:p>
    <w:p w:rsidR="00AC663B" w:rsidRPr="00F676F1" w:rsidRDefault="0066471C" w:rsidP="00AC663B">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Dismiss the Complaint and Order Suspending the Tariff Revisions filed by Yakima Waste Systems, Inc.</w:t>
      </w:r>
    </w:p>
    <w:p w:rsidR="00AC663B" w:rsidRPr="00F676F1" w:rsidRDefault="00AC663B" w:rsidP="00AC6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F676F1" w:rsidRPr="00F676F1" w:rsidRDefault="003124CD" w:rsidP="00F676F1">
      <w:pPr>
        <w:pStyle w:val="ListParagraph"/>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Allow the revised rates to become effective on June 1, 2010</w:t>
      </w:r>
      <w:r w:rsidR="002D2A75" w:rsidRPr="00F676F1">
        <w:rPr>
          <w:sz w:val="24"/>
        </w:rPr>
        <w:t>.</w:t>
      </w:r>
    </w:p>
    <w:p w:rsidR="00F676F1" w:rsidRPr="00F676F1" w:rsidRDefault="00F676F1" w:rsidP="00F676F1">
      <w:pPr>
        <w:pStyle w:val="ListParagraph"/>
        <w:rPr>
          <w:sz w:val="24"/>
        </w:rPr>
      </w:pPr>
    </w:p>
    <w:p w:rsidR="00F676F1" w:rsidRPr="00F676F1" w:rsidRDefault="00F676F1" w:rsidP="00F676F1">
      <w:pPr>
        <w:pStyle w:val="ListParagraph"/>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676F1">
        <w:rPr>
          <w:sz w:val="24"/>
        </w:rPr>
        <w:t>Require the company to refund to customers the difference between the rates in effect between January 1, 2010 and May 31, 2010, and the revised, permanent rates that will become effective June 1, 2010.</w:t>
      </w:r>
      <w:r w:rsidRPr="00F676F1" w:rsidDel="00F53F3B">
        <w:rPr>
          <w:sz w:val="24"/>
        </w:rPr>
        <w:t xml:space="preserve"> </w:t>
      </w:r>
      <w:r w:rsidRPr="00F676F1">
        <w:rPr>
          <w:sz w:val="24"/>
        </w:rPr>
        <w:t>Allow the company to choose to make a one-time refund immediately or refund the difference over a five month period, allow the company to make the refunds by issuing credits to the customers’ bills, require the company to complete the refund process no later than December 15, 2010, and require the company to file a summary report showing each service level affected by a refund, the number of customers who received refunds for each service level and the total amount of the refunds made for each service level.</w:t>
      </w:r>
    </w:p>
    <w:p w:rsidR="00AC663B" w:rsidRPr="00AA712C" w:rsidRDefault="00AC663B" w:rsidP="00AC6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AC663B" w:rsidRPr="00AA712C" w:rsidSect="00FD25C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8F" w:rsidRDefault="0037288F" w:rsidP="004D3927">
      <w:r>
        <w:separator/>
      </w:r>
    </w:p>
  </w:endnote>
  <w:endnote w:type="continuationSeparator" w:id="0">
    <w:p w:rsidR="0037288F" w:rsidRDefault="0037288F" w:rsidP="004D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8F" w:rsidRDefault="0037288F" w:rsidP="004D3927">
      <w:r>
        <w:separator/>
      </w:r>
    </w:p>
  </w:footnote>
  <w:footnote w:type="continuationSeparator" w:id="0">
    <w:p w:rsidR="0037288F" w:rsidRDefault="0037288F" w:rsidP="004D3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8F" w:rsidRPr="00FE0AD1" w:rsidRDefault="0037288F" w:rsidP="00FD25C9">
    <w:pPr>
      <w:spacing w:line="238" w:lineRule="auto"/>
    </w:pPr>
    <w:r w:rsidRPr="00FE0AD1">
      <w:t>Docket TG-</w:t>
    </w:r>
    <w:r>
      <w:t>091775</w:t>
    </w:r>
  </w:p>
  <w:p w:rsidR="0037288F" w:rsidRDefault="0037288F" w:rsidP="00FD25C9">
    <w:pPr>
      <w:spacing w:line="238" w:lineRule="auto"/>
    </w:pPr>
    <w:r>
      <w:t>May 27, 2010</w:t>
    </w:r>
  </w:p>
  <w:p w:rsidR="0037288F" w:rsidRPr="00FE0AD1" w:rsidRDefault="0037288F" w:rsidP="00FD25C9">
    <w:pPr>
      <w:tabs>
        <w:tab w:val="left" w:pos="3000"/>
      </w:tabs>
      <w:spacing w:line="238" w:lineRule="auto"/>
      <w:rPr>
        <w:rStyle w:val="PageNumber"/>
      </w:rPr>
    </w:pPr>
    <w:r w:rsidRPr="00FE0AD1">
      <w:t xml:space="preserve">Page </w:t>
    </w:r>
    <w:r w:rsidR="000C2216" w:rsidRPr="00FE0AD1">
      <w:rPr>
        <w:rStyle w:val="PageNumber"/>
      </w:rPr>
      <w:fldChar w:fldCharType="begin"/>
    </w:r>
    <w:r w:rsidRPr="00FE0AD1">
      <w:rPr>
        <w:rStyle w:val="PageNumber"/>
      </w:rPr>
      <w:instrText xml:space="preserve"> PAGE </w:instrText>
    </w:r>
    <w:r w:rsidR="000C2216" w:rsidRPr="00FE0AD1">
      <w:rPr>
        <w:rStyle w:val="PageNumber"/>
      </w:rPr>
      <w:fldChar w:fldCharType="separate"/>
    </w:r>
    <w:r w:rsidR="007653B5">
      <w:rPr>
        <w:rStyle w:val="PageNumber"/>
        <w:noProof/>
      </w:rPr>
      <w:t>6</w:t>
    </w:r>
    <w:r w:rsidR="000C2216" w:rsidRPr="00FE0AD1">
      <w:rPr>
        <w:rStyle w:val="PageNumber"/>
      </w:rPr>
      <w:fldChar w:fldCharType="end"/>
    </w:r>
    <w:r>
      <w:rPr>
        <w:rStyle w:val="PageNumber"/>
      </w:rPr>
      <w:tab/>
    </w:r>
  </w:p>
  <w:p w:rsidR="0037288F" w:rsidRDefault="003728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8E4F56"/>
    <w:multiLevelType w:val="hybridMultilevel"/>
    <w:tmpl w:val="A1E0B0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224A0"/>
    <w:multiLevelType w:val="hybridMultilevel"/>
    <w:tmpl w:val="7F2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F92B04"/>
    <w:multiLevelType w:val="hybridMultilevel"/>
    <w:tmpl w:val="C90EB8D6"/>
    <w:lvl w:ilvl="0" w:tplc="EB3853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08E5893"/>
    <w:multiLevelType w:val="hybridMultilevel"/>
    <w:tmpl w:val="A4FA9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D3927"/>
    <w:rsid w:val="00002364"/>
    <w:rsid w:val="0000410E"/>
    <w:rsid w:val="00007B30"/>
    <w:rsid w:val="00033A5A"/>
    <w:rsid w:val="00040C1A"/>
    <w:rsid w:val="00063AA1"/>
    <w:rsid w:val="00067429"/>
    <w:rsid w:val="00075ADE"/>
    <w:rsid w:val="000762D4"/>
    <w:rsid w:val="00093BA9"/>
    <w:rsid w:val="000B22E0"/>
    <w:rsid w:val="000C2212"/>
    <w:rsid w:val="000C2216"/>
    <w:rsid w:val="000C4924"/>
    <w:rsid w:val="000E0709"/>
    <w:rsid w:val="000F005B"/>
    <w:rsid w:val="001149A3"/>
    <w:rsid w:val="00126003"/>
    <w:rsid w:val="00155514"/>
    <w:rsid w:val="00160429"/>
    <w:rsid w:val="00181CD9"/>
    <w:rsid w:val="001A10BF"/>
    <w:rsid w:val="001A3E02"/>
    <w:rsid w:val="001B22B6"/>
    <w:rsid w:val="001C5AB1"/>
    <w:rsid w:val="001D46BC"/>
    <w:rsid w:val="001D5E5D"/>
    <w:rsid w:val="001D611D"/>
    <w:rsid w:val="001E25CB"/>
    <w:rsid w:val="001F4B79"/>
    <w:rsid w:val="00201078"/>
    <w:rsid w:val="0021521F"/>
    <w:rsid w:val="00224C7A"/>
    <w:rsid w:val="0022668A"/>
    <w:rsid w:val="0028072F"/>
    <w:rsid w:val="00283773"/>
    <w:rsid w:val="0029019F"/>
    <w:rsid w:val="002A04A7"/>
    <w:rsid w:val="002A18E1"/>
    <w:rsid w:val="002A52D5"/>
    <w:rsid w:val="002B6E87"/>
    <w:rsid w:val="002B7C60"/>
    <w:rsid w:val="002C039A"/>
    <w:rsid w:val="002C189B"/>
    <w:rsid w:val="002D2A75"/>
    <w:rsid w:val="002E29FD"/>
    <w:rsid w:val="002F2FBC"/>
    <w:rsid w:val="003124CD"/>
    <w:rsid w:val="003530ED"/>
    <w:rsid w:val="003560CA"/>
    <w:rsid w:val="0037288F"/>
    <w:rsid w:val="003A01C5"/>
    <w:rsid w:val="003B08F4"/>
    <w:rsid w:val="003B0CA4"/>
    <w:rsid w:val="003D3CBF"/>
    <w:rsid w:val="003D5FDC"/>
    <w:rsid w:val="003E7AB4"/>
    <w:rsid w:val="003F0372"/>
    <w:rsid w:val="004014BD"/>
    <w:rsid w:val="004026C2"/>
    <w:rsid w:val="00406062"/>
    <w:rsid w:val="00406375"/>
    <w:rsid w:val="0042024B"/>
    <w:rsid w:val="004204A0"/>
    <w:rsid w:val="00434698"/>
    <w:rsid w:val="00436D58"/>
    <w:rsid w:val="0046323C"/>
    <w:rsid w:val="0047336B"/>
    <w:rsid w:val="004A56BC"/>
    <w:rsid w:val="004C3D49"/>
    <w:rsid w:val="004C4244"/>
    <w:rsid w:val="004D3927"/>
    <w:rsid w:val="004E22A6"/>
    <w:rsid w:val="004F1D08"/>
    <w:rsid w:val="00505088"/>
    <w:rsid w:val="005203FE"/>
    <w:rsid w:val="0052587F"/>
    <w:rsid w:val="00535908"/>
    <w:rsid w:val="00544E2F"/>
    <w:rsid w:val="005724FF"/>
    <w:rsid w:val="005C7A0F"/>
    <w:rsid w:val="005E44C6"/>
    <w:rsid w:val="00606FF6"/>
    <w:rsid w:val="0066471C"/>
    <w:rsid w:val="00691DF6"/>
    <w:rsid w:val="00697CBA"/>
    <w:rsid w:val="006C17F0"/>
    <w:rsid w:val="006D2134"/>
    <w:rsid w:val="006D271C"/>
    <w:rsid w:val="006D5584"/>
    <w:rsid w:val="006F27A0"/>
    <w:rsid w:val="006F7629"/>
    <w:rsid w:val="00722C26"/>
    <w:rsid w:val="00724F48"/>
    <w:rsid w:val="00731ADF"/>
    <w:rsid w:val="0073767F"/>
    <w:rsid w:val="007511C3"/>
    <w:rsid w:val="007653B5"/>
    <w:rsid w:val="00797E00"/>
    <w:rsid w:val="007A619A"/>
    <w:rsid w:val="007C0E13"/>
    <w:rsid w:val="007C2B71"/>
    <w:rsid w:val="007C31D0"/>
    <w:rsid w:val="007F1BFD"/>
    <w:rsid w:val="007F5E4F"/>
    <w:rsid w:val="00813B0C"/>
    <w:rsid w:val="00835DA2"/>
    <w:rsid w:val="0084455A"/>
    <w:rsid w:val="00850231"/>
    <w:rsid w:val="00891902"/>
    <w:rsid w:val="008A722D"/>
    <w:rsid w:val="008F46F1"/>
    <w:rsid w:val="00941D45"/>
    <w:rsid w:val="00945F63"/>
    <w:rsid w:val="00950807"/>
    <w:rsid w:val="00951833"/>
    <w:rsid w:val="009616E2"/>
    <w:rsid w:val="009714CB"/>
    <w:rsid w:val="00984582"/>
    <w:rsid w:val="00993C47"/>
    <w:rsid w:val="009A42CF"/>
    <w:rsid w:val="009A7A29"/>
    <w:rsid w:val="009C1D79"/>
    <w:rsid w:val="009C34E7"/>
    <w:rsid w:val="009D1F72"/>
    <w:rsid w:val="009D3870"/>
    <w:rsid w:val="009E7811"/>
    <w:rsid w:val="009E7F53"/>
    <w:rsid w:val="009F1EE4"/>
    <w:rsid w:val="009F2DA1"/>
    <w:rsid w:val="009F4D91"/>
    <w:rsid w:val="00A00D03"/>
    <w:rsid w:val="00A0112E"/>
    <w:rsid w:val="00A168F0"/>
    <w:rsid w:val="00A2242A"/>
    <w:rsid w:val="00A566D2"/>
    <w:rsid w:val="00A63555"/>
    <w:rsid w:val="00A66232"/>
    <w:rsid w:val="00A67AB4"/>
    <w:rsid w:val="00A84C2A"/>
    <w:rsid w:val="00A95D23"/>
    <w:rsid w:val="00AA5C7C"/>
    <w:rsid w:val="00AA712C"/>
    <w:rsid w:val="00AC663B"/>
    <w:rsid w:val="00AF0071"/>
    <w:rsid w:val="00AF6A38"/>
    <w:rsid w:val="00B04BE2"/>
    <w:rsid w:val="00B57E62"/>
    <w:rsid w:val="00B64E35"/>
    <w:rsid w:val="00B716D5"/>
    <w:rsid w:val="00B85770"/>
    <w:rsid w:val="00B92B2F"/>
    <w:rsid w:val="00BD6FE5"/>
    <w:rsid w:val="00BE2817"/>
    <w:rsid w:val="00BF7430"/>
    <w:rsid w:val="00C12523"/>
    <w:rsid w:val="00C26D80"/>
    <w:rsid w:val="00C34BE0"/>
    <w:rsid w:val="00C37D01"/>
    <w:rsid w:val="00C60B03"/>
    <w:rsid w:val="00C675B2"/>
    <w:rsid w:val="00C748E2"/>
    <w:rsid w:val="00C97D61"/>
    <w:rsid w:val="00CB0B8C"/>
    <w:rsid w:val="00CB1C4A"/>
    <w:rsid w:val="00CB5FA7"/>
    <w:rsid w:val="00CB6B1A"/>
    <w:rsid w:val="00CC0A5B"/>
    <w:rsid w:val="00CD3B87"/>
    <w:rsid w:val="00D039CE"/>
    <w:rsid w:val="00D06AD0"/>
    <w:rsid w:val="00D24C81"/>
    <w:rsid w:val="00D33516"/>
    <w:rsid w:val="00D42572"/>
    <w:rsid w:val="00D501DD"/>
    <w:rsid w:val="00D86EB8"/>
    <w:rsid w:val="00D929FB"/>
    <w:rsid w:val="00DC47EC"/>
    <w:rsid w:val="00DD2A47"/>
    <w:rsid w:val="00DE107E"/>
    <w:rsid w:val="00DE7CA9"/>
    <w:rsid w:val="00DF112F"/>
    <w:rsid w:val="00E00F73"/>
    <w:rsid w:val="00E07F6A"/>
    <w:rsid w:val="00E1739A"/>
    <w:rsid w:val="00E36126"/>
    <w:rsid w:val="00E63DC5"/>
    <w:rsid w:val="00E735F4"/>
    <w:rsid w:val="00E95010"/>
    <w:rsid w:val="00E9734D"/>
    <w:rsid w:val="00EA4052"/>
    <w:rsid w:val="00EB50D7"/>
    <w:rsid w:val="00EB5D60"/>
    <w:rsid w:val="00EC36D5"/>
    <w:rsid w:val="00ED3A65"/>
    <w:rsid w:val="00EE385A"/>
    <w:rsid w:val="00EF071D"/>
    <w:rsid w:val="00EF2C9E"/>
    <w:rsid w:val="00EF5406"/>
    <w:rsid w:val="00F3295F"/>
    <w:rsid w:val="00F32C6F"/>
    <w:rsid w:val="00F40A0C"/>
    <w:rsid w:val="00F525F1"/>
    <w:rsid w:val="00F53F3B"/>
    <w:rsid w:val="00F676F1"/>
    <w:rsid w:val="00F7055A"/>
    <w:rsid w:val="00F736FE"/>
    <w:rsid w:val="00F86AC9"/>
    <w:rsid w:val="00F95877"/>
    <w:rsid w:val="00FC159C"/>
    <w:rsid w:val="00FD02CB"/>
    <w:rsid w:val="00FD2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2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semiHidden/>
    <w:unhideWhenUsed/>
    <w:rsid w:val="004D3927"/>
    <w:pPr>
      <w:tabs>
        <w:tab w:val="center" w:pos="4680"/>
        <w:tab w:val="right" w:pos="9360"/>
      </w:tabs>
    </w:pPr>
  </w:style>
  <w:style w:type="character" w:customStyle="1" w:styleId="HeaderChar">
    <w:name w:val="Header Char"/>
    <w:basedOn w:val="DefaultParagraphFont"/>
    <w:link w:val="Header"/>
    <w:uiPriority w:val="99"/>
    <w:semiHidden/>
    <w:rsid w:val="004D3927"/>
    <w:rPr>
      <w:rFonts w:ascii="Times New Roman" w:eastAsia="Times New Roman" w:hAnsi="Times New Roman" w:cs="Times New Roman"/>
      <w:sz w:val="20"/>
      <w:szCs w:val="24"/>
    </w:rPr>
  </w:style>
  <w:style w:type="paragraph" w:styleId="Footer">
    <w:name w:val="footer"/>
    <w:basedOn w:val="Normal"/>
    <w:link w:val="FooterChar"/>
    <w:uiPriority w:val="99"/>
    <w:semiHidden/>
    <w:unhideWhenUsed/>
    <w:rsid w:val="004D3927"/>
    <w:pPr>
      <w:tabs>
        <w:tab w:val="center" w:pos="4680"/>
        <w:tab w:val="right" w:pos="9360"/>
      </w:tabs>
    </w:pPr>
  </w:style>
  <w:style w:type="character" w:customStyle="1" w:styleId="FooterChar">
    <w:name w:val="Footer Char"/>
    <w:basedOn w:val="DefaultParagraphFont"/>
    <w:link w:val="Footer"/>
    <w:uiPriority w:val="99"/>
    <w:semiHidden/>
    <w:rsid w:val="004D3927"/>
    <w:rPr>
      <w:rFonts w:ascii="Times New Roman" w:eastAsia="Times New Roman" w:hAnsi="Times New Roman" w:cs="Times New Roman"/>
      <w:sz w:val="20"/>
      <w:szCs w:val="24"/>
    </w:rPr>
  </w:style>
  <w:style w:type="character" w:styleId="PageNumber">
    <w:name w:val="page number"/>
    <w:basedOn w:val="DefaultParagraphFont"/>
    <w:rsid w:val="004D3927"/>
  </w:style>
  <w:style w:type="character" w:styleId="FootnoteReference">
    <w:name w:val="footnote reference"/>
    <w:semiHidden/>
    <w:rsid w:val="000E0709"/>
  </w:style>
  <w:style w:type="paragraph" w:styleId="ListParagraph">
    <w:name w:val="List Paragraph"/>
    <w:basedOn w:val="Normal"/>
    <w:uiPriority w:val="34"/>
    <w:qFormat/>
    <w:rsid w:val="000E0709"/>
    <w:pPr>
      <w:ind w:left="720"/>
    </w:pPr>
  </w:style>
  <w:style w:type="paragraph" w:styleId="BalloonText">
    <w:name w:val="Balloon Text"/>
    <w:basedOn w:val="Normal"/>
    <w:link w:val="BalloonTextChar"/>
    <w:uiPriority w:val="99"/>
    <w:semiHidden/>
    <w:unhideWhenUsed/>
    <w:rsid w:val="003D5FDC"/>
    <w:rPr>
      <w:rFonts w:ascii="Tahoma" w:hAnsi="Tahoma" w:cs="Tahoma"/>
      <w:sz w:val="16"/>
      <w:szCs w:val="16"/>
    </w:rPr>
  </w:style>
  <w:style w:type="character" w:customStyle="1" w:styleId="BalloonTextChar">
    <w:name w:val="Balloon Text Char"/>
    <w:basedOn w:val="DefaultParagraphFont"/>
    <w:link w:val="BalloonText"/>
    <w:uiPriority w:val="99"/>
    <w:semiHidden/>
    <w:rsid w:val="003D5FDC"/>
    <w:rPr>
      <w:rFonts w:ascii="Tahoma" w:eastAsia="Times New Roman" w:hAnsi="Tahoma" w:cs="Tahoma"/>
      <w:sz w:val="16"/>
      <w:szCs w:val="16"/>
    </w:rPr>
  </w:style>
  <w:style w:type="paragraph" w:customStyle="1" w:styleId="Memo01">
    <w:name w:val="Memo 01"/>
    <w:basedOn w:val="NoSpacing"/>
    <w:link w:val="Memo01Char"/>
    <w:qFormat/>
    <w:rsid w:val="003D5FDC"/>
  </w:style>
  <w:style w:type="character" w:customStyle="1" w:styleId="NoSpacingChar">
    <w:name w:val="No Spacing Char"/>
    <w:basedOn w:val="DefaultParagraphFont"/>
    <w:link w:val="NoSpacing"/>
    <w:uiPriority w:val="1"/>
    <w:rsid w:val="003D5FDC"/>
    <w:rPr>
      <w:rFonts w:ascii="Times New Roman" w:hAnsi="Times New Roman"/>
      <w:sz w:val="24"/>
    </w:rPr>
  </w:style>
  <w:style w:type="character" w:customStyle="1" w:styleId="Memo01Char">
    <w:name w:val="Memo 01 Char"/>
    <w:basedOn w:val="NoSpacingChar"/>
    <w:link w:val="Memo01"/>
    <w:rsid w:val="003D5FDC"/>
  </w:style>
  <w:style w:type="character" w:styleId="CommentReference">
    <w:name w:val="annotation reference"/>
    <w:basedOn w:val="DefaultParagraphFont"/>
    <w:uiPriority w:val="99"/>
    <w:semiHidden/>
    <w:unhideWhenUsed/>
    <w:rsid w:val="005E44C6"/>
    <w:rPr>
      <w:sz w:val="16"/>
      <w:szCs w:val="16"/>
    </w:rPr>
  </w:style>
  <w:style w:type="paragraph" w:styleId="CommentText">
    <w:name w:val="annotation text"/>
    <w:basedOn w:val="Normal"/>
    <w:link w:val="CommentTextChar"/>
    <w:uiPriority w:val="99"/>
    <w:semiHidden/>
    <w:unhideWhenUsed/>
    <w:rsid w:val="005E44C6"/>
    <w:rPr>
      <w:szCs w:val="20"/>
    </w:rPr>
  </w:style>
  <w:style w:type="character" w:customStyle="1" w:styleId="CommentTextChar">
    <w:name w:val="Comment Text Char"/>
    <w:basedOn w:val="DefaultParagraphFont"/>
    <w:link w:val="CommentText"/>
    <w:uiPriority w:val="99"/>
    <w:semiHidden/>
    <w:rsid w:val="005E4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4C6"/>
    <w:rPr>
      <w:b/>
      <w:bCs/>
    </w:rPr>
  </w:style>
  <w:style w:type="character" w:customStyle="1" w:styleId="CommentSubjectChar">
    <w:name w:val="Comment Subject Char"/>
    <w:basedOn w:val="CommentTextChar"/>
    <w:link w:val="CommentSubject"/>
    <w:uiPriority w:val="99"/>
    <w:semiHidden/>
    <w:rsid w:val="005E44C6"/>
    <w:rPr>
      <w:b/>
      <w:bCs/>
    </w:rPr>
  </w:style>
  <w:style w:type="paragraph" w:styleId="BodyText">
    <w:name w:val="Body Text"/>
    <w:basedOn w:val="Normal"/>
    <w:link w:val="BodyTextChar"/>
    <w:rsid w:val="00FC159C"/>
    <w:rPr>
      <w:rFonts w:ascii="Courier" w:hAnsi="Courier"/>
      <w:sz w:val="24"/>
    </w:rPr>
  </w:style>
  <w:style w:type="character" w:customStyle="1" w:styleId="BodyTextChar">
    <w:name w:val="Body Text Char"/>
    <w:basedOn w:val="DefaultParagraphFont"/>
    <w:link w:val="BodyText"/>
    <w:rsid w:val="00FC159C"/>
    <w:rPr>
      <w:rFonts w:ascii="Courier" w:eastAsia="Times New Roman" w:hAnsi="Courier" w:cs="Times New Roman"/>
      <w:sz w:val="24"/>
      <w:szCs w:val="24"/>
    </w:rPr>
  </w:style>
  <w:style w:type="paragraph" w:customStyle="1" w:styleId="FindingsConclusions">
    <w:name w:val="Findings &amp; Conclusions"/>
    <w:basedOn w:val="Normal"/>
    <w:autoRedefine/>
    <w:rsid w:val="00F676F1"/>
    <w:pPr>
      <w:widowControl/>
      <w:numPr>
        <w:numId w:val="9"/>
      </w:numPr>
      <w:autoSpaceDE/>
      <w:autoSpaceDN/>
      <w:adjustRightInd/>
      <w:spacing w:line="288" w:lineRule="auto"/>
    </w:pPr>
    <w:rPr>
      <w:sz w:val="24"/>
    </w:rPr>
  </w:style>
</w:styles>
</file>

<file path=word/webSettings.xml><?xml version="1.0" encoding="utf-8"?>
<w:webSettings xmlns:r="http://schemas.openxmlformats.org/officeDocument/2006/relationships" xmlns:w="http://schemas.openxmlformats.org/wordprocessingml/2006/main">
  <w:divs>
    <w:div w:id="4401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2010-05-27T07:00:00+00:00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554627-092D-49B0-B545-82F4AAB688EB}"/>
</file>

<file path=customXml/itemProps2.xml><?xml version="1.0" encoding="utf-8"?>
<ds:datastoreItem xmlns:ds="http://schemas.openxmlformats.org/officeDocument/2006/customXml" ds:itemID="{A377436B-3399-415C-9324-BED68C6DE0A4}"/>
</file>

<file path=customXml/itemProps3.xml><?xml version="1.0" encoding="utf-8"?>
<ds:datastoreItem xmlns:ds="http://schemas.openxmlformats.org/officeDocument/2006/customXml" ds:itemID="{9C50EA99-437A-4E9B-BACF-A4F1ED726569}"/>
</file>

<file path=customXml/itemProps4.xml><?xml version="1.0" encoding="utf-8"?>
<ds:datastoreItem xmlns:ds="http://schemas.openxmlformats.org/officeDocument/2006/customXml" ds:itemID="{CD2B43E3-58A5-4EED-B382-A86FEEBAEFE6}"/>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Yakima Waste</vt:lpstr>
    </vt:vector>
  </TitlesOfParts>
  <Company>Washington Utilities and Transportation Commission</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Yakima Waste</dc:title>
  <dc:subject/>
  <dc:creator>NJohnson</dc:creator>
  <cp:keywords/>
  <dc:description/>
  <cp:lastModifiedBy>Lisa Wyse, Records Manager</cp:lastModifiedBy>
  <cp:revision>2</cp:revision>
  <cp:lastPrinted>2010-05-24T18:08:00Z</cp:lastPrinted>
  <dcterms:created xsi:type="dcterms:W3CDTF">2010-05-24T22:18:00Z</dcterms:created>
  <dcterms:modified xsi:type="dcterms:W3CDTF">2010-05-24T22:18:00Z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