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72A81" w14:textId="77777777" w:rsidR="005711E5" w:rsidRPr="00DF4C0E" w:rsidRDefault="005711E5">
      <w:pPr>
        <w:pStyle w:val="BodyText"/>
        <w:rPr>
          <w:b/>
          <w:bCs/>
          <w:sz w:val="25"/>
          <w:szCs w:val="25"/>
        </w:rPr>
      </w:pPr>
      <w:r w:rsidRPr="00DF4C0E">
        <w:rPr>
          <w:b/>
          <w:bCs/>
          <w:sz w:val="25"/>
          <w:szCs w:val="25"/>
        </w:rPr>
        <w:t>BEFORE THE WASHINGTON</w:t>
      </w:r>
    </w:p>
    <w:p w14:paraId="31B68502" w14:textId="77777777" w:rsidR="005711E5" w:rsidRPr="00DF4C0E" w:rsidRDefault="005711E5">
      <w:pPr>
        <w:pStyle w:val="BodyText"/>
        <w:rPr>
          <w:b/>
          <w:bCs/>
          <w:sz w:val="25"/>
          <w:szCs w:val="25"/>
        </w:rPr>
      </w:pPr>
      <w:r w:rsidRPr="00DF4C0E">
        <w:rPr>
          <w:b/>
          <w:bCs/>
          <w:sz w:val="25"/>
          <w:szCs w:val="25"/>
        </w:rPr>
        <w:t>UTILITIES AND TRANSPORTATION COMMISSION</w:t>
      </w:r>
    </w:p>
    <w:p w14:paraId="42197804" w14:textId="77777777" w:rsidR="00DC39A1" w:rsidRPr="00DF4C0E" w:rsidRDefault="00DC39A1">
      <w:pPr>
        <w:pStyle w:val="BodyText"/>
        <w:rPr>
          <w:sz w:val="25"/>
          <w:szCs w:val="25"/>
        </w:rPr>
      </w:pPr>
    </w:p>
    <w:p w14:paraId="661E0692" w14:textId="77777777" w:rsidR="00892A0D" w:rsidRPr="00DF4C0E" w:rsidRDefault="00892A0D">
      <w:pPr>
        <w:pStyle w:val="BodyText"/>
        <w:rPr>
          <w:sz w:val="25"/>
          <w:szCs w:val="25"/>
        </w:rPr>
      </w:pPr>
    </w:p>
    <w:tbl>
      <w:tblPr>
        <w:tblStyle w:val="TableGrid"/>
        <w:tblW w:w="817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305"/>
        <w:gridCol w:w="3459"/>
      </w:tblGrid>
      <w:tr w:rsidR="00A4735A" w:rsidRPr="00DF4C0E" w14:paraId="01914426" w14:textId="77777777" w:rsidTr="00A4735A">
        <w:trPr>
          <w:trHeight w:val="3108"/>
        </w:trPr>
        <w:tc>
          <w:tcPr>
            <w:tcW w:w="4410" w:type="dxa"/>
          </w:tcPr>
          <w:p w14:paraId="28EEF611" w14:textId="77777777" w:rsidR="00A4735A" w:rsidRPr="00DF4C0E" w:rsidRDefault="00A4735A" w:rsidP="00892A0D">
            <w:pPr>
              <w:pStyle w:val="BodyText"/>
              <w:jc w:val="left"/>
              <w:rPr>
                <w:sz w:val="25"/>
                <w:szCs w:val="25"/>
              </w:rPr>
            </w:pPr>
            <w:r w:rsidRPr="00DF4C0E">
              <w:rPr>
                <w:sz w:val="25"/>
                <w:szCs w:val="25"/>
              </w:rPr>
              <w:t>WASHINGTON UTILITIES AND TRANSPORTATION COMMISSION,</w:t>
            </w:r>
          </w:p>
          <w:p w14:paraId="7262BAA5" w14:textId="77777777" w:rsidR="00A4735A" w:rsidRPr="00DF4C0E" w:rsidRDefault="00A4735A" w:rsidP="00892A0D">
            <w:pPr>
              <w:pStyle w:val="BodyText"/>
              <w:jc w:val="left"/>
              <w:rPr>
                <w:sz w:val="25"/>
                <w:szCs w:val="25"/>
              </w:rPr>
            </w:pPr>
          </w:p>
          <w:p w14:paraId="509F4F4A" w14:textId="77777777" w:rsidR="00A4735A" w:rsidRPr="00DF4C0E" w:rsidRDefault="00A4735A" w:rsidP="00892A0D">
            <w:pPr>
              <w:pStyle w:val="BodyText"/>
              <w:tabs>
                <w:tab w:val="left" w:pos="2174"/>
              </w:tabs>
              <w:jc w:val="left"/>
              <w:rPr>
                <w:sz w:val="25"/>
                <w:szCs w:val="25"/>
              </w:rPr>
            </w:pPr>
            <w:r w:rsidRPr="00DF4C0E">
              <w:rPr>
                <w:sz w:val="25"/>
                <w:szCs w:val="25"/>
              </w:rPr>
              <w:tab/>
              <w:t>Complainant,</w:t>
            </w:r>
          </w:p>
          <w:p w14:paraId="0AB1B3C3" w14:textId="77777777" w:rsidR="00A4735A" w:rsidRPr="00DF4C0E" w:rsidRDefault="00A4735A" w:rsidP="00892A0D">
            <w:pPr>
              <w:pStyle w:val="BodyText"/>
              <w:tabs>
                <w:tab w:val="left" w:pos="2174"/>
              </w:tabs>
              <w:jc w:val="left"/>
              <w:rPr>
                <w:sz w:val="25"/>
                <w:szCs w:val="25"/>
              </w:rPr>
            </w:pPr>
          </w:p>
          <w:p w14:paraId="5E49E634" w14:textId="77777777" w:rsidR="00A4735A" w:rsidRPr="00DF4C0E" w:rsidRDefault="00A4735A" w:rsidP="00892A0D">
            <w:pPr>
              <w:pStyle w:val="BodyText"/>
              <w:tabs>
                <w:tab w:val="left" w:pos="2174"/>
              </w:tabs>
              <w:jc w:val="left"/>
              <w:rPr>
                <w:sz w:val="25"/>
                <w:szCs w:val="25"/>
              </w:rPr>
            </w:pPr>
            <w:proofErr w:type="gramStart"/>
            <w:r w:rsidRPr="00DF4C0E">
              <w:rPr>
                <w:sz w:val="25"/>
                <w:szCs w:val="25"/>
              </w:rPr>
              <w:t>v</w:t>
            </w:r>
            <w:proofErr w:type="gramEnd"/>
            <w:r w:rsidRPr="00DF4C0E">
              <w:rPr>
                <w:sz w:val="25"/>
                <w:szCs w:val="25"/>
              </w:rPr>
              <w:t>.</w:t>
            </w:r>
          </w:p>
          <w:p w14:paraId="541132BB" w14:textId="77777777" w:rsidR="00A4735A" w:rsidRPr="00DF4C0E" w:rsidRDefault="00A4735A" w:rsidP="00892A0D">
            <w:pPr>
              <w:pStyle w:val="BodyText"/>
              <w:tabs>
                <w:tab w:val="left" w:pos="2174"/>
              </w:tabs>
              <w:jc w:val="left"/>
              <w:rPr>
                <w:sz w:val="25"/>
                <w:szCs w:val="25"/>
              </w:rPr>
            </w:pPr>
          </w:p>
          <w:p w14:paraId="32D4019B" w14:textId="77777777" w:rsidR="00A4735A" w:rsidRPr="00DF4C0E" w:rsidRDefault="00A4735A" w:rsidP="00892A0D">
            <w:pPr>
              <w:pStyle w:val="BodyText"/>
              <w:tabs>
                <w:tab w:val="left" w:pos="2174"/>
              </w:tabs>
              <w:jc w:val="left"/>
              <w:rPr>
                <w:sz w:val="25"/>
                <w:szCs w:val="25"/>
              </w:rPr>
            </w:pPr>
            <w:r w:rsidRPr="00DF4C0E">
              <w:rPr>
                <w:sz w:val="25"/>
                <w:szCs w:val="25"/>
              </w:rPr>
              <w:t>WASTE CONTROL, INC. (G-101),</w:t>
            </w:r>
          </w:p>
          <w:p w14:paraId="0A4E70B4" w14:textId="77777777" w:rsidR="00A4735A" w:rsidRPr="00DF4C0E" w:rsidRDefault="00A4735A" w:rsidP="00892A0D">
            <w:pPr>
              <w:pStyle w:val="BodyText"/>
              <w:tabs>
                <w:tab w:val="left" w:pos="2174"/>
              </w:tabs>
              <w:jc w:val="left"/>
              <w:rPr>
                <w:sz w:val="25"/>
                <w:szCs w:val="25"/>
              </w:rPr>
            </w:pPr>
          </w:p>
          <w:p w14:paraId="7E465140" w14:textId="77777777" w:rsidR="00A4735A" w:rsidRPr="00DF4C0E" w:rsidRDefault="00A4735A" w:rsidP="00892A0D">
            <w:pPr>
              <w:pStyle w:val="BodyText"/>
              <w:tabs>
                <w:tab w:val="left" w:pos="2174"/>
              </w:tabs>
              <w:jc w:val="left"/>
              <w:rPr>
                <w:sz w:val="25"/>
                <w:szCs w:val="25"/>
              </w:rPr>
            </w:pPr>
            <w:r w:rsidRPr="00DF4C0E">
              <w:rPr>
                <w:sz w:val="25"/>
                <w:szCs w:val="25"/>
              </w:rPr>
              <w:tab/>
              <w:t>Respondent.</w:t>
            </w:r>
          </w:p>
          <w:p w14:paraId="6AA7F65D" w14:textId="77777777" w:rsidR="00A4735A" w:rsidRPr="00DF4C0E" w:rsidRDefault="00A4735A" w:rsidP="00892A0D">
            <w:pPr>
              <w:pStyle w:val="BodyText"/>
              <w:tabs>
                <w:tab w:val="left" w:pos="2174"/>
              </w:tabs>
              <w:jc w:val="left"/>
              <w:rPr>
                <w:sz w:val="25"/>
                <w:szCs w:val="25"/>
              </w:rPr>
            </w:pPr>
          </w:p>
          <w:p w14:paraId="48A34033" w14:textId="77777777" w:rsidR="00A4735A" w:rsidRPr="00DF4C0E" w:rsidRDefault="00A4735A" w:rsidP="00892A0D">
            <w:pPr>
              <w:pStyle w:val="BodyText"/>
              <w:tabs>
                <w:tab w:val="left" w:pos="2174"/>
              </w:tabs>
              <w:jc w:val="left"/>
              <w:rPr>
                <w:sz w:val="25"/>
                <w:szCs w:val="25"/>
              </w:rPr>
            </w:pPr>
            <w:r w:rsidRPr="00DF4C0E">
              <w:rPr>
                <w:sz w:val="25"/>
                <w:szCs w:val="25"/>
              </w:rPr>
              <w:t>. . . . . . . . . . . . . . . . . . . . . . . . . . . . . . . .</w:t>
            </w:r>
            <w:r>
              <w:rPr>
                <w:sz w:val="25"/>
                <w:szCs w:val="25"/>
              </w:rPr>
              <w:t xml:space="preserve"> . . </w:t>
            </w:r>
          </w:p>
        </w:tc>
        <w:tc>
          <w:tcPr>
            <w:tcW w:w="305" w:type="dxa"/>
          </w:tcPr>
          <w:p w14:paraId="39E2CC61" w14:textId="77777777" w:rsidR="00A4735A" w:rsidRPr="00DF4C0E" w:rsidRDefault="00A4735A" w:rsidP="00892A0D">
            <w:pPr>
              <w:pStyle w:val="BodyText"/>
              <w:jc w:val="left"/>
              <w:rPr>
                <w:sz w:val="25"/>
                <w:szCs w:val="25"/>
              </w:rPr>
            </w:pPr>
            <w:r w:rsidRPr="00DF4C0E">
              <w:rPr>
                <w:sz w:val="25"/>
                <w:szCs w:val="25"/>
              </w:rPr>
              <w:t>)</w:t>
            </w:r>
          </w:p>
          <w:p w14:paraId="4CC775A3" w14:textId="77777777" w:rsidR="00A4735A" w:rsidRPr="00DF4C0E" w:rsidRDefault="00A4735A" w:rsidP="00892A0D">
            <w:pPr>
              <w:pStyle w:val="BodyText"/>
              <w:jc w:val="left"/>
              <w:rPr>
                <w:sz w:val="25"/>
                <w:szCs w:val="25"/>
              </w:rPr>
            </w:pPr>
            <w:r w:rsidRPr="00DF4C0E">
              <w:rPr>
                <w:sz w:val="25"/>
                <w:szCs w:val="25"/>
              </w:rPr>
              <w:t>)</w:t>
            </w:r>
          </w:p>
          <w:p w14:paraId="1AF8C43C" w14:textId="77777777" w:rsidR="00A4735A" w:rsidRPr="00DF4C0E" w:rsidRDefault="00A4735A" w:rsidP="00892A0D">
            <w:pPr>
              <w:pStyle w:val="BodyText"/>
              <w:jc w:val="left"/>
              <w:rPr>
                <w:sz w:val="25"/>
                <w:szCs w:val="25"/>
              </w:rPr>
            </w:pPr>
            <w:r w:rsidRPr="00DF4C0E">
              <w:rPr>
                <w:sz w:val="25"/>
                <w:szCs w:val="25"/>
              </w:rPr>
              <w:t>)</w:t>
            </w:r>
          </w:p>
          <w:p w14:paraId="548CF95A" w14:textId="77777777" w:rsidR="00A4735A" w:rsidRPr="00DF4C0E" w:rsidRDefault="00A4735A" w:rsidP="00892A0D">
            <w:pPr>
              <w:pStyle w:val="BodyText"/>
              <w:jc w:val="left"/>
              <w:rPr>
                <w:sz w:val="25"/>
                <w:szCs w:val="25"/>
              </w:rPr>
            </w:pPr>
            <w:r w:rsidRPr="00DF4C0E">
              <w:rPr>
                <w:sz w:val="25"/>
                <w:szCs w:val="25"/>
              </w:rPr>
              <w:t>)</w:t>
            </w:r>
          </w:p>
          <w:p w14:paraId="3F46DD71" w14:textId="77777777" w:rsidR="00A4735A" w:rsidRPr="00DF4C0E" w:rsidRDefault="00A4735A" w:rsidP="00892A0D">
            <w:pPr>
              <w:pStyle w:val="BodyText"/>
              <w:jc w:val="left"/>
              <w:rPr>
                <w:sz w:val="25"/>
                <w:szCs w:val="25"/>
              </w:rPr>
            </w:pPr>
            <w:r w:rsidRPr="00DF4C0E">
              <w:rPr>
                <w:sz w:val="25"/>
                <w:szCs w:val="25"/>
              </w:rPr>
              <w:t>)</w:t>
            </w:r>
          </w:p>
          <w:p w14:paraId="1CAA1989" w14:textId="77777777" w:rsidR="00A4735A" w:rsidRPr="00DF4C0E" w:rsidRDefault="00A4735A" w:rsidP="00892A0D">
            <w:pPr>
              <w:pStyle w:val="BodyText"/>
              <w:jc w:val="left"/>
              <w:rPr>
                <w:sz w:val="25"/>
                <w:szCs w:val="25"/>
              </w:rPr>
            </w:pPr>
            <w:r w:rsidRPr="00DF4C0E">
              <w:rPr>
                <w:sz w:val="25"/>
                <w:szCs w:val="25"/>
              </w:rPr>
              <w:t>)</w:t>
            </w:r>
          </w:p>
          <w:p w14:paraId="44A25C4F" w14:textId="77777777" w:rsidR="00A4735A" w:rsidRPr="00DF4C0E" w:rsidRDefault="00A4735A" w:rsidP="00892A0D">
            <w:pPr>
              <w:pStyle w:val="BodyText"/>
              <w:jc w:val="left"/>
              <w:rPr>
                <w:sz w:val="25"/>
                <w:szCs w:val="25"/>
              </w:rPr>
            </w:pPr>
            <w:r w:rsidRPr="00DF4C0E">
              <w:rPr>
                <w:sz w:val="25"/>
                <w:szCs w:val="25"/>
              </w:rPr>
              <w:t>)</w:t>
            </w:r>
          </w:p>
          <w:p w14:paraId="23BC1DBD" w14:textId="77777777" w:rsidR="00A4735A" w:rsidRPr="00DF4C0E" w:rsidRDefault="00A4735A" w:rsidP="00892A0D">
            <w:pPr>
              <w:pStyle w:val="BodyText"/>
              <w:jc w:val="left"/>
              <w:rPr>
                <w:sz w:val="25"/>
                <w:szCs w:val="25"/>
              </w:rPr>
            </w:pPr>
            <w:r w:rsidRPr="00DF4C0E">
              <w:rPr>
                <w:sz w:val="25"/>
                <w:szCs w:val="25"/>
              </w:rPr>
              <w:t>)</w:t>
            </w:r>
          </w:p>
          <w:p w14:paraId="02CDA9BD" w14:textId="77777777" w:rsidR="00A4735A" w:rsidRPr="00DF4C0E" w:rsidRDefault="00A4735A" w:rsidP="00892A0D">
            <w:pPr>
              <w:pStyle w:val="BodyText"/>
              <w:jc w:val="left"/>
              <w:rPr>
                <w:sz w:val="25"/>
                <w:szCs w:val="25"/>
              </w:rPr>
            </w:pPr>
            <w:r w:rsidRPr="00DF4C0E">
              <w:rPr>
                <w:sz w:val="25"/>
                <w:szCs w:val="25"/>
              </w:rPr>
              <w:t>)</w:t>
            </w:r>
          </w:p>
          <w:p w14:paraId="26F5757A" w14:textId="77777777" w:rsidR="00A4735A" w:rsidRPr="00DF4C0E" w:rsidRDefault="00A4735A" w:rsidP="00892A0D">
            <w:pPr>
              <w:pStyle w:val="BodyText"/>
              <w:jc w:val="left"/>
              <w:rPr>
                <w:sz w:val="25"/>
                <w:szCs w:val="25"/>
              </w:rPr>
            </w:pPr>
            <w:r w:rsidRPr="00DF4C0E">
              <w:rPr>
                <w:sz w:val="25"/>
                <w:szCs w:val="25"/>
              </w:rPr>
              <w:t>)</w:t>
            </w:r>
          </w:p>
          <w:p w14:paraId="31A89D8B" w14:textId="77777777" w:rsidR="00A4735A" w:rsidRPr="00DF4C0E" w:rsidRDefault="00A4735A" w:rsidP="00892A0D">
            <w:pPr>
              <w:pStyle w:val="BodyText"/>
              <w:jc w:val="left"/>
              <w:rPr>
                <w:sz w:val="25"/>
                <w:szCs w:val="25"/>
              </w:rPr>
            </w:pPr>
            <w:r w:rsidRPr="00DF4C0E">
              <w:rPr>
                <w:sz w:val="25"/>
                <w:szCs w:val="25"/>
              </w:rPr>
              <w:t>)</w:t>
            </w:r>
          </w:p>
          <w:p w14:paraId="2CB0AE45" w14:textId="77777777" w:rsidR="00A4735A" w:rsidRPr="00DF4C0E" w:rsidRDefault="00A4735A" w:rsidP="006F16E7">
            <w:pPr>
              <w:pStyle w:val="BodyText"/>
              <w:jc w:val="left"/>
              <w:rPr>
                <w:sz w:val="25"/>
                <w:szCs w:val="25"/>
              </w:rPr>
            </w:pPr>
            <w:r w:rsidRPr="00DF4C0E">
              <w:rPr>
                <w:sz w:val="25"/>
                <w:szCs w:val="25"/>
              </w:rPr>
              <w:t>)</w:t>
            </w:r>
          </w:p>
        </w:tc>
        <w:tc>
          <w:tcPr>
            <w:tcW w:w="3459" w:type="dxa"/>
          </w:tcPr>
          <w:p w14:paraId="111A5F91" w14:textId="77777777" w:rsidR="00A4735A" w:rsidRPr="00DF4C0E" w:rsidRDefault="00A4735A" w:rsidP="00A4735A">
            <w:pPr>
              <w:pStyle w:val="BodyText"/>
              <w:tabs>
                <w:tab w:val="left" w:pos="2334"/>
              </w:tabs>
              <w:jc w:val="left"/>
              <w:rPr>
                <w:sz w:val="25"/>
                <w:szCs w:val="25"/>
              </w:rPr>
            </w:pPr>
            <w:r w:rsidRPr="00DF4C0E">
              <w:rPr>
                <w:sz w:val="25"/>
                <w:szCs w:val="25"/>
              </w:rPr>
              <w:t>DOCKET TG-1</w:t>
            </w:r>
            <w:r>
              <w:rPr>
                <w:sz w:val="25"/>
                <w:szCs w:val="25"/>
              </w:rPr>
              <w:t>40560</w:t>
            </w:r>
          </w:p>
          <w:p w14:paraId="3BD0F0A1" w14:textId="77777777" w:rsidR="00A4735A" w:rsidRPr="00DF4C0E" w:rsidRDefault="00A4735A" w:rsidP="00892A0D">
            <w:pPr>
              <w:pStyle w:val="BodyText"/>
              <w:jc w:val="left"/>
              <w:rPr>
                <w:sz w:val="25"/>
                <w:szCs w:val="25"/>
              </w:rPr>
            </w:pPr>
          </w:p>
          <w:p w14:paraId="59AC17BE" w14:textId="77777777" w:rsidR="00A4735A" w:rsidRPr="00DF4C0E" w:rsidRDefault="00A4735A" w:rsidP="00892A0D">
            <w:pPr>
              <w:pStyle w:val="BodyText"/>
              <w:jc w:val="left"/>
              <w:rPr>
                <w:sz w:val="25"/>
                <w:szCs w:val="25"/>
              </w:rPr>
            </w:pPr>
          </w:p>
          <w:p w14:paraId="3A17CA43" w14:textId="77777777" w:rsidR="00A4735A" w:rsidRPr="00DF4C0E" w:rsidRDefault="00A4735A" w:rsidP="00892A0D">
            <w:pPr>
              <w:pStyle w:val="BodyText"/>
              <w:jc w:val="left"/>
              <w:rPr>
                <w:sz w:val="25"/>
                <w:szCs w:val="25"/>
              </w:rPr>
            </w:pPr>
            <w:r w:rsidRPr="00DF4C0E">
              <w:rPr>
                <w:sz w:val="25"/>
                <w:szCs w:val="25"/>
              </w:rPr>
              <w:t xml:space="preserve">ORDER </w:t>
            </w:r>
            <w:r>
              <w:rPr>
                <w:sz w:val="25"/>
                <w:szCs w:val="25"/>
              </w:rPr>
              <w:t>11</w:t>
            </w:r>
          </w:p>
          <w:p w14:paraId="3DB737F1" w14:textId="77777777" w:rsidR="00A4735A" w:rsidRPr="00DF4C0E" w:rsidRDefault="00A4735A" w:rsidP="00892A0D">
            <w:pPr>
              <w:pStyle w:val="BodyText"/>
              <w:jc w:val="left"/>
              <w:rPr>
                <w:sz w:val="25"/>
                <w:szCs w:val="25"/>
              </w:rPr>
            </w:pPr>
          </w:p>
          <w:p w14:paraId="38E9FCF5" w14:textId="77777777" w:rsidR="00A4735A" w:rsidRPr="00DF4C0E" w:rsidRDefault="00A4735A" w:rsidP="00892A0D">
            <w:pPr>
              <w:pStyle w:val="BodyText"/>
              <w:jc w:val="left"/>
              <w:rPr>
                <w:sz w:val="25"/>
                <w:szCs w:val="25"/>
              </w:rPr>
            </w:pPr>
          </w:p>
          <w:p w14:paraId="039A05C5" w14:textId="77777777" w:rsidR="00A4735A" w:rsidRDefault="00A4735A" w:rsidP="007B09C5">
            <w:pPr>
              <w:spacing w:line="264" w:lineRule="auto"/>
              <w:rPr>
                <w:sz w:val="25"/>
                <w:szCs w:val="25"/>
              </w:rPr>
            </w:pPr>
          </w:p>
          <w:p w14:paraId="46DC03F9" w14:textId="77777777" w:rsidR="00A4735A" w:rsidRPr="00DF4C0E" w:rsidRDefault="00A4735A" w:rsidP="003A7E01">
            <w:pPr>
              <w:spacing w:line="264" w:lineRule="auto"/>
              <w:rPr>
                <w:sz w:val="25"/>
                <w:szCs w:val="25"/>
              </w:rPr>
            </w:pPr>
            <w:r w:rsidRPr="00DF4C0E">
              <w:rPr>
                <w:sz w:val="25"/>
                <w:szCs w:val="25"/>
              </w:rPr>
              <w:t xml:space="preserve">ORDER </w:t>
            </w:r>
            <w:r>
              <w:rPr>
                <w:sz w:val="25"/>
                <w:szCs w:val="25"/>
              </w:rPr>
              <w:t>GRANTING WASTE CONTROL’S MOTION FOR TEMPORARY RATE RELIEF, SUBJECT TO REFUND</w:t>
            </w:r>
            <w:r w:rsidRPr="00DF4C0E">
              <w:rPr>
                <w:sz w:val="25"/>
                <w:szCs w:val="25"/>
              </w:rPr>
              <w:t xml:space="preserve"> </w:t>
            </w:r>
          </w:p>
        </w:tc>
      </w:tr>
    </w:tbl>
    <w:p w14:paraId="3CF00D5E" w14:textId="77777777" w:rsidR="003A7E01" w:rsidRPr="003A7E01" w:rsidRDefault="003A7E01" w:rsidP="003A7E01">
      <w:pPr>
        <w:spacing w:line="288" w:lineRule="auto"/>
        <w:rPr>
          <w:sz w:val="25"/>
          <w:szCs w:val="25"/>
        </w:rPr>
      </w:pPr>
    </w:p>
    <w:p w14:paraId="603DA564" w14:textId="77777777" w:rsidR="00A4735A" w:rsidRPr="00A4735A" w:rsidRDefault="00DC3D40" w:rsidP="004059E6">
      <w:pPr>
        <w:numPr>
          <w:ilvl w:val="0"/>
          <w:numId w:val="2"/>
        </w:numPr>
        <w:spacing w:line="288" w:lineRule="auto"/>
        <w:rPr>
          <w:sz w:val="25"/>
          <w:szCs w:val="25"/>
        </w:rPr>
      </w:pPr>
      <w:r w:rsidRPr="00DF4C0E">
        <w:rPr>
          <w:b/>
          <w:sz w:val="25"/>
          <w:szCs w:val="25"/>
        </w:rPr>
        <w:t>NATURE OF PROCEEDING.</w:t>
      </w:r>
      <w:r w:rsidR="004059E6" w:rsidRPr="00DF4C0E">
        <w:rPr>
          <w:b/>
          <w:sz w:val="25"/>
          <w:szCs w:val="25"/>
        </w:rPr>
        <w:t xml:space="preserve">  </w:t>
      </w:r>
      <w:r w:rsidR="00342C43" w:rsidRPr="00C6214E">
        <w:rPr>
          <w:sz w:val="25"/>
          <w:szCs w:val="25"/>
        </w:rPr>
        <w:t xml:space="preserve">On April 3, 2014, Waste Control, Inc. (WCI or Company) filed with the Washington Utilities and Transportation Commission (Commission) new Tariff No. 16 reflecting a general rate increase that, if approved, would generate approximately $532,000 (15.4 percent) in additional revenue.  </w:t>
      </w:r>
      <w:r w:rsidR="00342C43">
        <w:rPr>
          <w:sz w:val="25"/>
          <w:szCs w:val="25"/>
        </w:rPr>
        <w:t>The Company is currently collecting additional, temporary revenues, which are subject to refund, for increased disposal fees in Cowlitz County.</w:t>
      </w:r>
      <w:r w:rsidR="00342C43">
        <w:rPr>
          <w:rStyle w:val="FootnoteReference"/>
          <w:sz w:val="25"/>
          <w:szCs w:val="25"/>
        </w:rPr>
        <w:footnoteReference w:id="1"/>
      </w:r>
      <w:r w:rsidR="00B13E27">
        <w:rPr>
          <w:sz w:val="25"/>
          <w:szCs w:val="25"/>
        </w:rPr>
        <w:t xml:space="preserve">  </w:t>
      </w:r>
      <w:r w:rsidR="008D1805" w:rsidRPr="00DF4C0E">
        <w:rPr>
          <w:bCs/>
          <w:sz w:val="25"/>
          <w:szCs w:val="25"/>
        </w:rPr>
        <w:t xml:space="preserve"> </w:t>
      </w:r>
      <w:r w:rsidR="00957479">
        <w:rPr>
          <w:bCs/>
          <w:sz w:val="25"/>
          <w:szCs w:val="25"/>
        </w:rPr>
        <w:t xml:space="preserve">On October 14, 2014, WCI, </w:t>
      </w:r>
    </w:p>
    <w:p w14:paraId="37FED541" w14:textId="77777777" w:rsidR="00A4735A" w:rsidRDefault="00957479" w:rsidP="00A4735A">
      <w:pPr>
        <w:spacing w:line="288" w:lineRule="auto"/>
        <w:rPr>
          <w:bCs/>
          <w:sz w:val="25"/>
          <w:szCs w:val="25"/>
        </w:rPr>
      </w:pPr>
      <w:proofErr w:type="gramStart"/>
      <w:r>
        <w:rPr>
          <w:bCs/>
          <w:sz w:val="25"/>
          <w:szCs w:val="25"/>
        </w:rPr>
        <w:t>the</w:t>
      </w:r>
      <w:proofErr w:type="gramEnd"/>
      <w:r>
        <w:rPr>
          <w:bCs/>
          <w:sz w:val="25"/>
          <w:szCs w:val="25"/>
        </w:rPr>
        <w:t xml:space="preserve"> Commission’s regulatory staff (Staff),</w:t>
      </w:r>
      <w:r w:rsidRPr="003C7362">
        <w:rPr>
          <w:rStyle w:val="FootnoteReference"/>
          <w:sz w:val="25"/>
          <w:szCs w:val="25"/>
        </w:rPr>
        <w:footnoteReference w:id="2"/>
      </w:r>
      <w:r>
        <w:rPr>
          <w:bCs/>
          <w:sz w:val="25"/>
          <w:szCs w:val="25"/>
        </w:rPr>
        <w:t xml:space="preserve"> and intervenor</w:t>
      </w:r>
      <w:r w:rsidR="009A1C87">
        <w:rPr>
          <w:bCs/>
          <w:sz w:val="25"/>
          <w:szCs w:val="25"/>
        </w:rPr>
        <w:t>,</w:t>
      </w:r>
      <w:r>
        <w:rPr>
          <w:bCs/>
          <w:sz w:val="25"/>
          <w:szCs w:val="25"/>
        </w:rPr>
        <w:t xml:space="preserve"> Washington Refuse and Recycling Association (WRRA) filed an all-party, partial settlement which resolved </w:t>
      </w:r>
    </w:p>
    <w:p w14:paraId="4647F5FB" w14:textId="77777777" w:rsidR="004059E6" w:rsidRPr="00DF4C0E" w:rsidRDefault="00957479" w:rsidP="00A4735A">
      <w:pPr>
        <w:spacing w:line="288" w:lineRule="auto"/>
        <w:rPr>
          <w:sz w:val="25"/>
          <w:szCs w:val="25"/>
        </w:rPr>
      </w:pPr>
      <w:proofErr w:type="gramStart"/>
      <w:r>
        <w:rPr>
          <w:bCs/>
          <w:sz w:val="25"/>
          <w:szCs w:val="25"/>
        </w:rPr>
        <w:t>all</w:t>
      </w:r>
      <w:proofErr w:type="gramEnd"/>
      <w:r>
        <w:rPr>
          <w:bCs/>
          <w:sz w:val="25"/>
          <w:szCs w:val="25"/>
        </w:rPr>
        <w:t xml:space="preserve"> but four contested adjustments in the proceeding.  </w:t>
      </w:r>
      <w:r w:rsidR="004059E6" w:rsidRPr="00DF4C0E">
        <w:rPr>
          <w:bCs/>
          <w:sz w:val="25"/>
          <w:szCs w:val="25"/>
        </w:rPr>
        <w:t xml:space="preserve">   </w:t>
      </w:r>
    </w:p>
    <w:p w14:paraId="51B47014" w14:textId="77777777" w:rsidR="002B02ED" w:rsidRPr="00DF4C0E" w:rsidRDefault="002B02ED" w:rsidP="002B02ED">
      <w:pPr>
        <w:spacing w:line="288" w:lineRule="auto"/>
        <w:rPr>
          <w:sz w:val="25"/>
          <w:szCs w:val="25"/>
        </w:rPr>
      </w:pPr>
    </w:p>
    <w:p w14:paraId="123C9D90" w14:textId="77777777" w:rsidR="00A4735A" w:rsidRDefault="004872D8" w:rsidP="008446C2">
      <w:pPr>
        <w:numPr>
          <w:ilvl w:val="0"/>
          <w:numId w:val="2"/>
        </w:numPr>
        <w:spacing w:line="288" w:lineRule="auto"/>
        <w:rPr>
          <w:sz w:val="25"/>
          <w:szCs w:val="25"/>
        </w:rPr>
      </w:pPr>
      <w:r w:rsidRPr="00DF4C0E">
        <w:rPr>
          <w:b/>
          <w:sz w:val="25"/>
          <w:szCs w:val="25"/>
        </w:rPr>
        <w:t xml:space="preserve">MOTION TO </w:t>
      </w:r>
      <w:r w:rsidR="00640A79">
        <w:rPr>
          <w:b/>
          <w:sz w:val="25"/>
          <w:szCs w:val="25"/>
        </w:rPr>
        <w:t>ALLOW TEMPORARY RATES SUBJECT TO REFUND</w:t>
      </w:r>
      <w:r w:rsidR="004059E6" w:rsidRPr="00DF4C0E">
        <w:rPr>
          <w:b/>
          <w:bCs/>
          <w:sz w:val="25"/>
          <w:szCs w:val="25"/>
        </w:rPr>
        <w:t>.</w:t>
      </w:r>
      <w:r w:rsidR="00DC5E5B">
        <w:rPr>
          <w:rStyle w:val="FootnoteReference"/>
          <w:b/>
          <w:bCs/>
          <w:sz w:val="25"/>
          <w:szCs w:val="25"/>
        </w:rPr>
        <w:footnoteReference w:id="3"/>
      </w:r>
      <w:r w:rsidR="004059E6" w:rsidRPr="00DF4C0E">
        <w:rPr>
          <w:sz w:val="25"/>
          <w:szCs w:val="25"/>
        </w:rPr>
        <w:t xml:space="preserve">  </w:t>
      </w:r>
      <w:r w:rsidR="006B237C" w:rsidRPr="00DF4C0E">
        <w:rPr>
          <w:sz w:val="25"/>
          <w:szCs w:val="25"/>
        </w:rPr>
        <w:t xml:space="preserve">On </w:t>
      </w:r>
      <w:r w:rsidR="009A1C87">
        <w:rPr>
          <w:sz w:val="25"/>
          <w:szCs w:val="25"/>
        </w:rPr>
        <w:t>February 24, 2015</w:t>
      </w:r>
      <w:r w:rsidR="006B237C" w:rsidRPr="00DF4C0E">
        <w:rPr>
          <w:sz w:val="25"/>
          <w:szCs w:val="25"/>
        </w:rPr>
        <w:t xml:space="preserve">, </w:t>
      </w:r>
      <w:r w:rsidR="000C075B">
        <w:rPr>
          <w:sz w:val="25"/>
          <w:szCs w:val="25"/>
        </w:rPr>
        <w:t>WCI</w:t>
      </w:r>
      <w:r w:rsidR="00B13E27">
        <w:rPr>
          <w:sz w:val="25"/>
          <w:szCs w:val="25"/>
        </w:rPr>
        <w:t xml:space="preserve"> </w:t>
      </w:r>
      <w:r w:rsidR="00F84B35">
        <w:rPr>
          <w:sz w:val="25"/>
          <w:szCs w:val="25"/>
        </w:rPr>
        <w:t xml:space="preserve">filed a </w:t>
      </w:r>
      <w:r w:rsidR="000C075B">
        <w:rPr>
          <w:sz w:val="25"/>
          <w:szCs w:val="25"/>
        </w:rPr>
        <w:t>request</w:t>
      </w:r>
      <w:r w:rsidR="00F84B35">
        <w:rPr>
          <w:sz w:val="25"/>
          <w:szCs w:val="25"/>
        </w:rPr>
        <w:t xml:space="preserve"> </w:t>
      </w:r>
      <w:r w:rsidR="00640A79">
        <w:rPr>
          <w:sz w:val="25"/>
          <w:szCs w:val="25"/>
        </w:rPr>
        <w:t>to allow temporary rates</w:t>
      </w:r>
      <w:r w:rsidR="009A1C87">
        <w:rPr>
          <w:sz w:val="25"/>
          <w:szCs w:val="25"/>
        </w:rPr>
        <w:t xml:space="preserve">, subject to refund, </w:t>
      </w:r>
      <w:r w:rsidR="00D72104">
        <w:rPr>
          <w:sz w:val="25"/>
          <w:szCs w:val="25"/>
        </w:rPr>
        <w:t xml:space="preserve">at </w:t>
      </w:r>
    </w:p>
    <w:p w14:paraId="3A755F2D" w14:textId="77777777" w:rsidR="00A4735A" w:rsidRDefault="00D72104" w:rsidP="00A4735A">
      <w:pPr>
        <w:spacing w:line="288" w:lineRule="auto"/>
        <w:rPr>
          <w:sz w:val="25"/>
          <w:szCs w:val="25"/>
        </w:rPr>
      </w:pPr>
      <w:proofErr w:type="gramStart"/>
      <w:r>
        <w:rPr>
          <w:sz w:val="25"/>
          <w:szCs w:val="25"/>
        </w:rPr>
        <w:lastRenderedPageBreak/>
        <w:t>the</w:t>
      </w:r>
      <w:proofErr w:type="gramEnd"/>
      <w:r w:rsidR="00640A79">
        <w:rPr>
          <w:sz w:val="25"/>
          <w:szCs w:val="25"/>
        </w:rPr>
        <w:t xml:space="preserve"> </w:t>
      </w:r>
      <w:r w:rsidR="00DA2E16">
        <w:rPr>
          <w:sz w:val="25"/>
          <w:szCs w:val="25"/>
        </w:rPr>
        <w:t>stipulated partial settlement agreement level</w:t>
      </w:r>
      <w:r w:rsidR="00CF6028">
        <w:rPr>
          <w:sz w:val="25"/>
          <w:szCs w:val="25"/>
        </w:rPr>
        <w:t xml:space="preserve"> of</w:t>
      </w:r>
      <w:r w:rsidR="00640A79">
        <w:rPr>
          <w:sz w:val="25"/>
          <w:szCs w:val="25"/>
        </w:rPr>
        <w:t xml:space="preserve"> </w:t>
      </w:r>
      <w:r>
        <w:rPr>
          <w:sz w:val="25"/>
          <w:szCs w:val="25"/>
        </w:rPr>
        <w:t>$339,912</w:t>
      </w:r>
      <w:r w:rsidR="00CF6028">
        <w:rPr>
          <w:sz w:val="25"/>
          <w:szCs w:val="25"/>
        </w:rPr>
        <w:t xml:space="preserve"> (Motion).</w:t>
      </w:r>
      <w:r w:rsidR="00CF6028">
        <w:rPr>
          <w:rStyle w:val="FootnoteReference"/>
          <w:sz w:val="25"/>
          <w:szCs w:val="25"/>
        </w:rPr>
        <w:footnoteReference w:id="4"/>
      </w:r>
      <w:r w:rsidR="00CF6028">
        <w:rPr>
          <w:sz w:val="25"/>
          <w:szCs w:val="25"/>
        </w:rPr>
        <w:t xml:space="preserve">  </w:t>
      </w:r>
      <w:r>
        <w:rPr>
          <w:sz w:val="25"/>
          <w:szCs w:val="25"/>
        </w:rPr>
        <w:t xml:space="preserve"> </w:t>
      </w:r>
      <w:r w:rsidR="00974227" w:rsidRPr="00DF4C0E">
        <w:rPr>
          <w:sz w:val="25"/>
          <w:szCs w:val="25"/>
        </w:rPr>
        <w:t xml:space="preserve">The </w:t>
      </w:r>
    </w:p>
    <w:p w14:paraId="43D10E39" w14:textId="77777777" w:rsidR="00A4735A" w:rsidRDefault="00974227" w:rsidP="00A4735A">
      <w:pPr>
        <w:spacing w:line="288" w:lineRule="auto"/>
        <w:rPr>
          <w:sz w:val="25"/>
          <w:szCs w:val="25"/>
        </w:rPr>
      </w:pPr>
      <w:r w:rsidRPr="00DF4C0E">
        <w:rPr>
          <w:sz w:val="25"/>
          <w:szCs w:val="25"/>
        </w:rPr>
        <w:t xml:space="preserve">Company </w:t>
      </w:r>
      <w:r w:rsidR="005D2FB0">
        <w:rPr>
          <w:sz w:val="25"/>
          <w:szCs w:val="25"/>
        </w:rPr>
        <w:t xml:space="preserve">states that </w:t>
      </w:r>
      <w:r w:rsidR="008D4922">
        <w:rPr>
          <w:sz w:val="25"/>
          <w:szCs w:val="25"/>
        </w:rPr>
        <w:t xml:space="preserve">the </w:t>
      </w:r>
      <w:r w:rsidR="00FA06D9">
        <w:rPr>
          <w:sz w:val="25"/>
          <w:szCs w:val="25"/>
        </w:rPr>
        <w:t xml:space="preserve">prolonged </w:t>
      </w:r>
      <w:r w:rsidR="008D4922">
        <w:rPr>
          <w:sz w:val="25"/>
          <w:szCs w:val="25"/>
        </w:rPr>
        <w:t>duration of the proceeding has contributed to the decline of WCI’s financial and operating cash position</w:t>
      </w:r>
      <w:r w:rsidRPr="00DF4C0E">
        <w:rPr>
          <w:sz w:val="25"/>
          <w:szCs w:val="25"/>
        </w:rPr>
        <w:t>.</w:t>
      </w:r>
      <w:r w:rsidR="008D4922">
        <w:rPr>
          <w:rStyle w:val="FootnoteReference"/>
          <w:sz w:val="25"/>
          <w:szCs w:val="25"/>
        </w:rPr>
        <w:footnoteReference w:id="5"/>
      </w:r>
      <w:r w:rsidRPr="00DF4C0E">
        <w:rPr>
          <w:sz w:val="25"/>
          <w:szCs w:val="25"/>
        </w:rPr>
        <w:t xml:space="preserve">  </w:t>
      </w:r>
      <w:r w:rsidR="009E2E38">
        <w:rPr>
          <w:sz w:val="25"/>
          <w:szCs w:val="25"/>
        </w:rPr>
        <w:t>WCI points to its three-</w:t>
      </w:r>
    </w:p>
    <w:p w14:paraId="461B887C" w14:textId="77777777" w:rsidR="00A4735A" w:rsidRDefault="009E2E38" w:rsidP="00A4735A">
      <w:pPr>
        <w:spacing w:line="288" w:lineRule="auto"/>
        <w:rPr>
          <w:sz w:val="25"/>
          <w:szCs w:val="25"/>
        </w:rPr>
      </w:pPr>
      <w:proofErr w:type="gramStart"/>
      <w:r>
        <w:rPr>
          <w:sz w:val="25"/>
          <w:szCs w:val="25"/>
        </w:rPr>
        <w:t>month</w:t>
      </w:r>
      <w:proofErr w:type="gramEnd"/>
      <w:r>
        <w:rPr>
          <w:sz w:val="25"/>
          <w:szCs w:val="25"/>
        </w:rPr>
        <w:t xml:space="preserve"> extension of the suspension period from April 1, 2015, to July 1, 2015, as evidence of the procedural delays this case has experienced.</w:t>
      </w:r>
      <w:r>
        <w:rPr>
          <w:rStyle w:val="FootnoteReference"/>
          <w:sz w:val="25"/>
          <w:szCs w:val="25"/>
        </w:rPr>
        <w:footnoteReference w:id="6"/>
      </w:r>
      <w:r>
        <w:rPr>
          <w:sz w:val="25"/>
          <w:szCs w:val="25"/>
        </w:rPr>
        <w:t xml:space="preserve">  </w:t>
      </w:r>
      <w:r w:rsidR="00B56730">
        <w:rPr>
          <w:sz w:val="25"/>
          <w:szCs w:val="25"/>
        </w:rPr>
        <w:t>It</w:t>
      </w:r>
      <w:r w:rsidR="00FA06D9">
        <w:rPr>
          <w:sz w:val="25"/>
          <w:szCs w:val="25"/>
        </w:rPr>
        <w:t xml:space="preserve"> has already been </w:t>
      </w:r>
    </w:p>
    <w:p w14:paraId="294FC67A" w14:textId="77777777" w:rsidR="00A4735A" w:rsidRDefault="00FA06D9" w:rsidP="00A4735A">
      <w:pPr>
        <w:spacing w:line="288" w:lineRule="auto"/>
        <w:rPr>
          <w:sz w:val="25"/>
          <w:szCs w:val="25"/>
        </w:rPr>
      </w:pPr>
      <w:proofErr w:type="gramStart"/>
      <w:r>
        <w:rPr>
          <w:sz w:val="25"/>
          <w:szCs w:val="25"/>
        </w:rPr>
        <w:t>allowed</w:t>
      </w:r>
      <w:proofErr w:type="gramEnd"/>
      <w:r>
        <w:rPr>
          <w:sz w:val="25"/>
          <w:szCs w:val="25"/>
        </w:rPr>
        <w:t xml:space="preserve"> to collect, subject to refund, approximately $176,000 of the $339,912 on an annual basis</w:t>
      </w:r>
      <w:r w:rsidR="00B56730">
        <w:rPr>
          <w:sz w:val="25"/>
          <w:szCs w:val="25"/>
        </w:rPr>
        <w:t xml:space="preserve"> </w:t>
      </w:r>
      <w:r w:rsidR="00F4081F">
        <w:rPr>
          <w:sz w:val="25"/>
          <w:szCs w:val="25"/>
        </w:rPr>
        <w:t>to recover</w:t>
      </w:r>
      <w:r w:rsidR="00B56730">
        <w:rPr>
          <w:sz w:val="25"/>
          <w:szCs w:val="25"/>
        </w:rPr>
        <w:t xml:space="preserve"> increased disposal fees in Cowlitz County</w:t>
      </w:r>
      <w:r>
        <w:rPr>
          <w:sz w:val="25"/>
          <w:szCs w:val="25"/>
        </w:rPr>
        <w:t>.</w:t>
      </w:r>
      <w:r>
        <w:rPr>
          <w:rStyle w:val="FootnoteReference"/>
          <w:sz w:val="25"/>
          <w:szCs w:val="25"/>
        </w:rPr>
        <w:footnoteReference w:id="7"/>
      </w:r>
      <w:r>
        <w:rPr>
          <w:sz w:val="25"/>
          <w:szCs w:val="25"/>
        </w:rPr>
        <w:t xml:space="preserve"> </w:t>
      </w:r>
      <w:r w:rsidR="00F4081F">
        <w:rPr>
          <w:sz w:val="25"/>
          <w:szCs w:val="25"/>
        </w:rPr>
        <w:t xml:space="preserve"> </w:t>
      </w:r>
      <w:r>
        <w:rPr>
          <w:sz w:val="25"/>
          <w:szCs w:val="25"/>
        </w:rPr>
        <w:t xml:space="preserve">The Company </w:t>
      </w:r>
    </w:p>
    <w:p w14:paraId="747E1075" w14:textId="77777777" w:rsidR="00A4735A" w:rsidRDefault="00FA06D9" w:rsidP="00A4735A">
      <w:pPr>
        <w:spacing w:line="288" w:lineRule="auto"/>
        <w:rPr>
          <w:sz w:val="25"/>
          <w:szCs w:val="25"/>
        </w:rPr>
      </w:pPr>
      <w:proofErr w:type="gramStart"/>
      <w:r>
        <w:rPr>
          <w:sz w:val="25"/>
          <w:szCs w:val="25"/>
        </w:rPr>
        <w:t>states</w:t>
      </w:r>
      <w:proofErr w:type="gramEnd"/>
      <w:r>
        <w:rPr>
          <w:sz w:val="25"/>
          <w:szCs w:val="25"/>
        </w:rPr>
        <w:t xml:space="preserve"> that it is willing to accept the $339,912 </w:t>
      </w:r>
      <w:r w:rsidR="002571FE">
        <w:rPr>
          <w:sz w:val="25"/>
          <w:szCs w:val="25"/>
        </w:rPr>
        <w:t xml:space="preserve">amount “for implementation of interim rates on a temporary basis, but notes that </w:t>
      </w:r>
      <w:r w:rsidR="006C02B6">
        <w:rPr>
          <w:sz w:val="25"/>
          <w:szCs w:val="25"/>
        </w:rPr>
        <w:t>[</w:t>
      </w:r>
      <w:r w:rsidR="00F4081F">
        <w:rPr>
          <w:sz w:val="25"/>
          <w:szCs w:val="25"/>
        </w:rPr>
        <w:t>the amount</w:t>
      </w:r>
      <w:r w:rsidR="006C02B6">
        <w:rPr>
          <w:sz w:val="25"/>
          <w:szCs w:val="25"/>
        </w:rPr>
        <w:t>]</w:t>
      </w:r>
      <w:r w:rsidR="00F4081F">
        <w:rPr>
          <w:sz w:val="25"/>
          <w:szCs w:val="25"/>
        </w:rPr>
        <w:t xml:space="preserve"> </w:t>
      </w:r>
      <w:r w:rsidR="002571FE">
        <w:rPr>
          <w:sz w:val="25"/>
          <w:szCs w:val="25"/>
        </w:rPr>
        <w:t xml:space="preserve">only incudes rate case costs at </w:t>
      </w:r>
    </w:p>
    <w:p w14:paraId="234A460D" w14:textId="77777777" w:rsidR="003A54DE" w:rsidRDefault="002571FE" w:rsidP="00A4735A">
      <w:pPr>
        <w:spacing w:line="288" w:lineRule="auto"/>
        <w:rPr>
          <w:sz w:val="25"/>
          <w:szCs w:val="25"/>
        </w:rPr>
      </w:pPr>
      <w:proofErr w:type="gramStart"/>
      <w:r>
        <w:rPr>
          <w:sz w:val="25"/>
          <w:szCs w:val="25"/>
        </w:rPr>
        <w:t>the</w:t>
      </w:r>
      <w:proofErr w:type="gramEnd"/>
      <w:r>
        <w:rPr>
          <w:sz w:val="25"/>
          <w:szCs w:val="25"/>
        </w:rPr>
        <w:t xml:space="preserve"> Staff advocated 50 [percent] level through July, 2014.”</w:t>
      </w:r>
      <w:r>
        <w:rPr>
          <w:rStyle w:val="FootnoteReference"/>
          <w:sz w:val="25"/>
          <w:szCs w:val="25"/>
        </w:rPr>
        <w:footnoteReference w:id="8"/>
      </w:r>
      <w:r w:rsidR="006B237C" w:rsidRPr="00DF4C0E">
        <w:rPr>
          <w:sz w:val="25"/>
          <w:szCs w:val="25"/>
        </w:rPr>
        <w:t xml:space="preserve"> </w:t>
      </w:r>
      <w:r>
        <w:rPr>
          <w:sz w:val="25"/>
          <w:szCs w:val="25"/>
        </w:rPr>
        <w:t xml:space="preserve"> </w:t>
      </w:r>
    </w:p>
    <w:p w14:paraId="736E29C6" w14:textId="77777777" w:rsidR="002571FE" w:rsidRDefault="002571FE" w:rsidP="002571FE">
      <w:pPr>
        <w:pStyle w:val="ListParagraph"/>
        <w:rPr>
          <w:sz w:val="25"/>
          <w:szCs w:val="25"/>
        </w:rPr>
      </w:pPr>
    </w:p>
    <w:p w14:paraId="644594F4" w14:textId="77777777" w:rsidR="00A4735A" w:rsidRDefault="002571FE" w:rsidP="008446C2">
      <w:pPr>
        <w:numPr>
          <w:ilvl w:val="0"/>
          <w:numId w:val="2"/>
        </w:numPr>
        <w:spacing w:line="288" w:lineRule="auto"/>
        <w:rPr>
          <w:sz w:val="25"/>
          <w:szCs w:val="25"/>
        </w:rPr>
      </w:pPr>
      <w:r>
        <w:rPr>
          <w:sz w:val="25"/>
          <w:szCs w:val="25"/>
        </w:rPr>
        <w:t xml:space="preserve">Along with its Motion, WCI </w:t>
      </w:r>
      <w:r w:rsidR="006C02B6">
        <w:rPr>
          <w:sz w:val="25"/>
          <w:szCs w:val="25"/>
        </w:rPr>
        <w:t>filed a</w:t>
      </w:r>
      <w:r>
        <w:rPr>
          <w:sz w:val="25"/>
          <w:szCs w:val="25"/>
        </w:rPr>
        <w:t xml:space="preserve"> Declaration of Jacqueline G. Davis (Declaration),</w:t>
      </w:r>
    </w:p>
    <w:p w14:paraId="5C703094" w14:textId="77777777" w:rsidR="00A4735A" w:rsidRDefault="002571FE" w:rsidP="00522BCC">
      <w:pPr>
        <w:spacing w:line="288" w:lineRule="auto"/>
        <w:rPr>
          <w:sz w:val="25"/>
          <w:szCs w:val="25"/>
        </w:rPr>
      </w:pPr>
      <w:r>
        <w:rPr>
          <w:sz w:val="25"/>
          <w:szCs w:val="25"/>
        </w:rPr>
        <w:t xml:space="preserve"> </w:t>
      </w:r>
      <w:proofErr w:type="gramStart"/>
      <w:r>
        <w:rPr>
          <w:sz w:val="25"/>
          <w:szCs w:val="25"/>
        </w:rPr>
        <w:t>the</w:t>
      </w:r>
      <w:proofErr w:type="gramEnd"/>
      <w:r>
        <w:rPr>
          <w:sz w:val="25"/>
          <w:szCs w:val="25"/>
        </w:rPr>
        <w:t xml:space="preserve"> Company’s lead outside accountant.  Ms. Davis </w:t>
      </w:r>
      <w:r w:rsidR="00143E60">
        <w:rPr>
          <w:sz w:val="25"/>
          <w:szCs w:val="25"/>
        </w:rPr>
        <w:t xml:space="preserve">asserts that the Company </w:t>
      </w:r>
      <w:r w:rsidR="006C02B6">
        <w:rPr>
          <w:sz w:val="25"/>
          <w:szCs w:val="25"/>
        </w:rPr>
        <w:t xml:space="preserve">has </w:t>
      </w:r>
    </w:p>
    <w:p w14:paraId="570472BC" w14:textId="77777777" w:rsidR="00A4735A" w:rsidRDefault="006C02B6" w:rsidP="00522BCC">
      <w:pPr>
        <w:spacing w:line="288" w:lineRule="auto"/>
        <w:rPr>
          <w:sz w:val="25"/>
          <w:szCs w:val="25"/>
        </w:rPr>
      </w:pPr>
      <w:proofErr w:type="gramStart"/>
      <w:r>
        <w:rPr>
          <w:sz w:val="25"/>
          <w:szCs w:val="25"/>
        </w:rPr>
        <w:t>been</w:t>
      </w:r>
      <w:proofErr w:type="gramEnd"/>
      <w:r w:rsidR="00143E60">
        <w:rPr>
          <w:sz w:val="25"/>
          <w:szCs w:val="25"/>
        </w:rPr>
        <w:t xml:space="preserve"> out of compliance with its loan covenant responsibilities for WCI’s and its affiliates’ loans with Union Bank</w:t>
      </w:r>
      <w:r w:rsidR="00162ADE">
        <w:rPr>
          <w:sz w:val="25"/>
          <w:szCs w:val="25"/>
        </w:rPr>
        <w:t xml:space="preserve"> as of the </w:t>
      </w:r>
      <w:r>
        <w:rPr>
          <w:sz w:val="25"/>
          <w:szCs w:val="25"/>
        </w:rPr>
        <w:t xml:space="preserve">third </w:t>
      </w:r>
      <w:r w:rsidR="00162ADE">
        <w:rPr>
          <w:sz w:val="25"/>
          <w:szCs w:val="25"/>
        </w:rPr>
        <w:t>quarter ending September 30, 2014</w:t>
      </w:r>
      <w:r w:rsidR="00143E60">
        <w:rPr>
          <w:sz w:val="25"/>
          <w:szCs w:val="25"/>
        </w:rPr>
        <w:t>.</w:t>
      </w:r>
      <w:r w:rsidR="00143E60">
        <w:rPr>
          <w:rStyle w:val="FootnoteReference"/>
          <w:sz w:val="25"/>
          <w:szCs w:val="25"/>
        </w:rPr>
        <w:footnoteReference w:id="9"/>
      </w:r>
      <w:r w:rsidR="00162ADE">
        <w:rPr>
          <w:sz w:val="25"/>
          <w:szCs w:val="25"/>
        </w:rPr>
        <w:t xml:space="preserve">  While she has not fully reviewed the most current informal financial data available, </w:t>
      </w:r>
    </w:p>
    <w:p w14:paraId="60B26F63" w14:textId="77777777" w:rsidR="00A4735A" w:rsidRDefault="00162ADE" w:rsidP="00522BCC">
      <w:pPr>
        <w:spacing w:line="288" w:lineRule="auto"/>
        <w:rPr>
          <w:sz w:val="25"/>
          <w:szCs w:val="25"/>
        </w:rPr>
      </w:pPr>
      <w:r>
        <w:rPr>
          <w:sz w:val="25"/>
          <w:szCs w:val="25"/>
        </w:rPr>
        <w:t>Ms. Davis believes the “loan covenant violation has continued past the fourth quarter 2014 and continues today.”</w:t>
      </w:r>
      <w:r>
        <w:rPr>
          <w:rStyle w:val="FootnoteReference"/>
          <w:sz w:val="25"/>
          <w:szCs w:val="25"/>
        </w:rPr>
        <w:footnoteReference w:id="10"/>
      </w:r>
      <w:r w:rsidR="00D37243">
        <w:rPr>
          <w:sz w:val="25"/>
          <w:szCs w:val="25"/>
        </w:rPr>
        <w:t xml:space="preserve">  Ms. Davis argues that the continuing violation is the </w:t>
      </w:r>
    </w:p>
    <w:p w14:paraId="386801AE" w14:textId="77777777" w:rsidR="00522BCC" w:rsidRDefault="00D37243" w:rsidP="00522BCC">
      <w:pPr>
        <w:spacing w:line="288" w:lineRule="auto"/>
        <w:rPr>
          <w:sz w:val="25"/>
          <w:szCs w:val="25"/>
        </w:rPr>
      </w:pPr>
      <w:proofErr w:type="gramStart"/>
      <w:r>
        <w:rPr>
          <w:sz w:val="25"/>
          <w:szCs w:val="25"/>
        </w:rPr>
        <w:t>result</w:t>
      </w:r>
      <w:proofErr w:type="gramEnd"/>
      <w:r>
        <w:rPr>
          <w:sz w:val="25"/>
          <w:szCs w:val="25"/>
        </w:rPr>
        <w:t xml:space="preserve"> of “non-realization of the additional revenue requirement for the regulated </w:t>
      </w:r>
    </w:p>
    <w:p w14:paraId="09154C74" w14:textId="77777777" w:rsidR="00522BCC" w:rsidRDefault="00D37243" w:rsidP="00522BCC">
      <w:pPr>
        <w:spacing w:line="288" w:lineRule="auto"/>
        <w:rPr>
          <w:sz w:val="25"/>
          <w:szCs w:val="25"/>
        </w:rPr>
      </w:pPr>
      <w:proofErr w:type="gramStart"/>
      <w:r>
        <w:rPr>
          <w:sz w:val="25"/>
          <w:szCs w:val="25"/>
        </w:rPr>
        <w:t>solid</w:t>
      </w:r>
      <w:proofErr w:type="gramEnd"/>
      <w:r>
        <w:rPr>
          <w:sz w:val="25"/>
          <w:szCs w:val="25"/>
        </w:rPr>
        <w:t xml:space="preserve"> waste company of [WCI], and particularly, the ongoing outlay of material legal </w:t>
      </w:r>
    </w:p>
    <w:p w14:paraId="1122A242" w14:textId="77777777" w:rsidR="00522BCC" w:rsidRDefault="00D37243" w:rsidP="00522BCC">
      <w:pPr>
        <w:spacing w:line="288" w:lineRule="auto"/>
        <w:rPr>
          <w:sz w:val="25"/>
          <w:szCs w:val="25"/>
        </w:rPr>
      </w:pPr>
      <w:proofErr w:type="gramStart"/>
      <w:r>
        <w:rPr>
          <w:sz w:val="25"/>
          <w:szCs w:val="25"/>
        </w:rPr>
        <w:t>and</w:t>
      </w:r>
      <w:proofErr w:type="gramEnd"/>
      <w:r>
        <w:rPr>
          <w:sz w:val="25"/>
          <w:szCs w:val="25"/>
        </w:rPr>
        <w:t xml:space="preserve"> accounting costs to defend the Company’s general rate filing in these </w:t>
      </w:r>
    </w:p>
    <w:p w14:paraId="78B78694" w14:textId="77777777" w:rsidR="00522BCC" w:rsidRDefault="00D37243" w:rsidP="00522BCC">
      <w:pPr>
        <w:spacing w:line="288" w:lineRule="auto"/>
        <w:rPr>
          <w:sz w:val="25"/>
          <w:szCs w:val="25"/>
        </w:rPr>
      </w:pPr>
      <w:proofErr w:type="gramStart"/>
      <w:r>
        <w:rPr>
          <w:sz w:val="25"/>
          <w:szCs w:val="25"/>
        </w:rPr>
        <w:lastRenderedPageBreak/>
        <w:t>proceedings</w:t>
      </w:r>
      <w:proofErr w:type="gramEnd"/>
      <w:r>
        <w:rPr>
          <w:sz w:val="25"/>
          <w:szCs w:val="25"/>
        </w:rPr>
        <w:t>.”</w:t>
      </w:r>
      <w:r>
        <w:rPr>
          <w:rStyle w:val="FootnoteReference"/>
          <w:sz w:val="25"/>
          <w:szCs w:val="25"/>
        </w:rPr>
        <w:footnoteReference w:id="11"/>
      </w:r>
      <w:r w:rsidR="00570218">
        <w:rPr>
          <w:sz w:val="25"/>
          <w:szCs w:val="25"/>
        </w:rPr>
        <w:t xml:space="preserve">  </w:t>
      </w:r>
      <w:r w:rsidR="001A2653">
        <w:rPr>
          <w:sz w:val="25"/>
          <w:szCs w:val="25"/>
        </w:rPr>
        <w:t>Despite</w:t>
      </w:r>
      <w:r w:rsidR="00570218">
        <w:rPr>
          <w:sz w:val="25"/>
          <w:szCs w:val="25"/>
        </w:rPr>
        <w:t xml:space="preserve"> the interim rate relief, subject to refund, of approximately $176,000, the owners of WCI have had to infuse capital into the Company to stave </w:t>
      </w:r>
    </w:p>
    <w:p w14:paraId="33B2DC58" w14:textId="77777777" w:rsidR="002571FE" w:rsidRPr="00DF4C0E" w:rsidRDefault="00570218" w:rsidP="00522BCC">
      <w:pPr>
        <w:spacing w:line="288" w:lineRule="auto"/>
        <w:rPr>
          <w:sz w:val="25"/>
          <w:szCs w:val="25"/>
        </w:rPr>
      </w:pPr>
      <w:proofErr w:type="gramStart"/>
      <w:r>
        <w:rPr>
          <w:sz w:val="25"/>
          <w:szCs w:val="25"/>
        </w:rPr>
        <w:t>off</w:t>
      </w:r>
      <w:proofErr w:type="gramEnd"/>
      <w:r>
        <w:rPr>
          <w:sz w:val="25"/>
          <w:szCs w:val="25"/>
        </w:rPr>
        <w:t xml:space="preserve"> further operating losses.</w:t>
      </w:r>
      <w:r>
        <w:rPr>
          <w:rStyle w:val="FootnoteReference"/>
          <w:sz w:val="25"/>
          <w:szCs w:val="25"/>
        </w:rPr>
        <w:footnoteReference w:id="12"/>
      </w:r>
    </w:p>
    <w:p w14:paraId="6FBBEA1E" w14:textId="77777777" w:rsidR="003A54DE" w:rsidRPr="00DF4C0E" w:rsidRDefault="003A54DE" w:rsidP="003A54DE">
      <w:pPr>
        <w:pStyle w:val="ListParagraph"/>
        <w:rPr>
          <w:sz w:val="25"/>
          <w:szCs w:val="25"/>
        </w:rPr>
      </w:pPr>
    </w:p>
    <w:p w14:paraId="17116C0C" w14:textId="77777777" w:rsidR="00522BCC" w:rsidRDefault="008446C2" w:rsidP="00EA2C88">
      <w:pPr>
        <w:numPr>
          <w:ilvl w:val="0"/>
          <w:numId w:val="2"/>
        </w:numPr>
        <w:spacing w:line="288" w:lineRule="auto"/>
        <w:rPr>
          <w:sz w:val="25"/>
          <w:szCs w:val="25"/>
        </w:rPr>
      </w:pPr>
      <w:r w:rsidRPr="00337A90">
        <w:rPr>
          <w:sz w:val="25"/>
          <w:szCs w:val="25"/>
        </w:rPr>
        <w:t xml:space="preserve">On </w:t>
      </w:r>
      <w:r w:rsidR="00570218">
        <w:rPr>
          <w:sz w:val="25"/>
          <w:szCs w:val="25"/>
        </w:rPr>
        <w:t>March 6, 2015</w:t>
      </w:r>
      <w:r w:rsidRPr="00337A90">
        <w:rPr>
          <w:sz w:val="25"/>
          <w:szCs w:val="25"/>
        </w:rPr>
        <w:t xml:space="preserve">, Staff filed a response to </w:t>
      </w:r>
      <w:r w:rsidR="00570218">
        <w:rPr>
          <w:sz w:val="25"/>
          <w:szCs w:val="25"/>
        </w:rPr>
        <w:t>WCI’s</w:t>
      </w:r>
      <w:r w:rsidRPr="00337A90">
        <w:rPr>
          <w:sz w:val="25"/>
          <w:szCs w:val="25"/>
        </w:rPr>
        <w:t xml:space="preserve"> Motion</w:t>
      </w:r>
      <w:r w:rsidR="00570218">
        <w:rPr>
          <w:sz w:val="25"/>
          <w:szCs w:val="25"/>
        </w:rPr>
        <w:t xml:space="preserve"> (</w:t>
      </w:r>
      <w:r w:rsidR="00EA2C88">
        <w:rPr>
          <w:sz w:val="25"/>
          <w:szCs w:val="25"/>
        </w:rPr>
        <w:t xml:space="preserve">Staff’s </w:t>
      </w:r>
      <w:r w:rsidR="00570218">
        <w:rPr>
          <w:sz w:val="25"/>
          <w:szCs w:val="25"/>
        </w:rPr>
        <w:t xml:space="preserve">Response).  </w:t>
      </w:r>
      <w:r w:rsidR="000F5E45">
        <w:rPr>
          <w:sz w:val="25"/>
          <w:szCs w:val="25"/>
        </w:rPr>
        <w:t xml:space="preserve">Staff </w:t>
      </w:r>
    </w:p>
    <w:p w14:paraId="126AD89C" w14:textId="77777777" w:rsidR="00522BCC" w:rsidRDefault="00AE1B01" w:rsidP="00522BCC">
      <w:pPr>
        <w:spacing w:line="288" w:lineRule="auto"/>
        <w:rPr>
          <w:sz w:val="25"/>
          <w:szCs w:val="25"/>
        </w:rPr>
      </w:pPr>
      <w:proofErr w:type="gramStart"/>
      <w:r>
        <w:rPr>
          <w:sz w:val="25"/>
          <w:szCs w:val="25"/>
        </w:rPr>
        <w:t>does</w:t>
      </w:r>
      <w:proofErr w:type="gramEnd"/>
      <w:r w:rsidR="000F5E45">
        <w:rPr>
          <w:sz w:val="25"/>
          <w:szCs w:val="25"/>
        </w:rPr>
        <w:t xml:space="preserve"> no</w:t>
      </w:r>
      <w:r>
        <w:rPr>
          <w:sz w:val="25"/>
          <w:szCs w:val="25"/>
        </w:rPr>
        <w:t>t</w:t>
      </w:r>
      <w:r w:rsidR="000F5E45">
        <w:rPr>
          <w:sz w:val="25"/>
          <w:szCs w:val="25"/>
        </w:rPr>
        <w:t xml:space="preserve"> </w:t>
      </w:r>
      <w:r>
        <w:rPr>
          <w:sz w:val="25"/>
          <w:szCs w:val="25"/>
        </w:rPr>
        <w:t>object to</w:t>
      </w:r>
      <w:r w:rsidR="000F5E45">
        <w:rPr>
          <w:sz w:val="25"/>
          <w:szCs w:val="25"/>
        </w:rPr>
        <w:t xml:space="preserve"> the Company’s Motion</w:t>
      </w:r>
      <w:r w:rsidR="0008520A">
        <w:rPr>
          <w:sz w:val="25"/>
          <w:szCs w:val="25"/>
        </w:rPr>
        <w:t xml:space="preserve">, although it requests </w:t>
      </w:r>
      <w:r w:rsidR="000F5E45">
        <w:rPr>
          <w:sz w:val="25"/>
          <w:szCs w:val="25"/>
        </w:rPr>
        <w:t xml:space="preserve">that the Commission </w:t>
      </w:r>
      <w:r w:rsidR="0008520A">
        <w:rPr>
          <w:sz w:val="25"/>
          <w:szCs w:val="25"/>
        </w:rPr>
        <w:t xml:space="preserve">utilize Staff’s proposed rate design should it </w:t>
      </w:r>
      <w:r w:rsidR="000F5E45">
        <w:rPr>
          <w:sz w:val="25"/>
          <w:szCs w:val="25"/>
        </w:rPr>
        <w:t xml:space="preserve">grant WCI’s </w:t>
      </w:r>
      <w:r w:rsidR="0008520A">
        <w:rPr>
          <w:sz w:val="25"/>
          <w:szCs w:val="25"/>
        </w:rPr>
        <w:t>Motion</w:t>
      </w:r>
      <w:r w:rsidR="003A54DE" w:rsidRPr="00337A90">
        <w:rPr>
          <w:sz w:val="25"/>
          <w:szCs w:val="25"/>
        </w:rPr>
        <w:t>.</w:t>
      </w:r>
      <w:r w:rsidR="0008520A">
        <w:rPr>
          <w:rStyle w:val="FootnoteReference"/>
          <w:sz w:val="25"/>
          <w:szCs w:val="25"/>
        </w:rPr>
        <w:footnoteReference w:id="13"/>
      </w:r>
      <w:r w:rsidR="003A54DE" w:rsidRPr="00337A90">
        <w:rPr>
          <w:sz w:val="25"/>
          <w:szCs w:val="25"/>
        </w:rPr>
        <w:t xml:space="preserve">  </w:t>
      </w:r>
      <w:r w:rsidR="001A2653">
        <w:rPr>
          <w:sz w:val="25"/>
          <w:szCs w:val="25"/>
        </w:rPr>
        <w:t>A</w:t>
      </w:r>
      <w:r w:rsidR="00E64B5A">
        <w:rPr>
          <w:sz w:val="25"/>
          <w:szCs w:val="25"/>
        </w:rPr>
        <w:t>ppend</w:t>
      </w:r>
      <w:r w:rsidR="00B62E0A">
        <w:rPr>
          <w:sz w:val="25"/>
          <w:szCs w:val="25"/>
        </w:rPr>
        <w:t>ed to its Response</w:t>
      </w:r>
      <w:r w:rsidR="001A2653">
        <w:rPr>
          <w:sz w:val="25"/>
          <w:szCs w:val="25"/>
        </w:rPr>
        <w:t xml:space="preserve">, Staff </w:t>
      </w:r>
      <w:r w:rsidR="00E64B5A">
        <w:rPr>
          <w:sz w:val="25"/>
          <w:szCs w:val="25"/>
        </w:rPr>
        <w:t>filed Attachment A1 explaining its rate design methodology</w:t>
      </w:r>
      <w:r w:rsidR="001A2653">
        <w:rPr>
          <w:sz w:val="25"/>
          <w:szCs w:val="25"/>
        </w:rPr>
        <w:t xml:space="preserve">.  </w:t>
      </w:r>
      <w:r w:rsidR="00E64B5A">
        <w:rPr>
          <w:sz w:val="25"/>
          <w:szCs w:val="25"/>
        </w:rPr>
        <w:t xml:space="preserve">Staff calculates a $317,649 revenue deficiency for regulated operations and $22,264 </w:t>
      </w:r>
    </w:p>
    <w:p w14:paraId="2804A0C1" w14:textId="77777777" w:rsidR="00EA2C88" w:rsidRPr="00EA2C88" w:rsidRDefault="00E64B5A" w:rsidP="00522BCC">
      <w:pPr>
        <w:spacing w:line="288" w:lineRule="auto"/>
        <w:rPr>
          <w:sz w:val="25"/>
          <w:szCs w:val="25"/>
        </w:rPr>
      </w:pPr>
      <w:proofErr w:type="gramStart"/>
      <w:r>
        <w:rPr>
          <w:sz w:val="25"/>
          <w:szCs w:val="25"/>
        </w:rPr>
        <w:t>assigned</w:t>
      </w:r>
      <w:proofErr w:type="gramEnd"/>
      <w:r>
        <w:rPr>
          <w:sz w:val="25"/>
          <w:szCs w:val="25"/>
        </w:rPr>
        <w:t xml:space="preserve"> to non-regulated Kalama operations.</w:t>
      </w:r>
      <w:r>
        <w:rPr>
          <w:rStyle w:val="FootnoteReference"/>
          <w:sz w:val="25"/>
          <w:szCs w:val="25"/>
        </w:rPr>
        <w:footnoteReference w:id="14"/>
      </w:r>
      <w:r>
        <w:rPr>
          <w:sz w:val="25"/>
          <w:szCs w:val="25"/>
        </w:rPr>
        <w:t xml:space="preserve">  </w:t>
      </w:r>
    </w:p>
    <w:p w14:paraId="5497DBE9" w14:textId="77777777" w:rsidR="00E64B5A" w:rsidRDefault="00E64B5A" w:rsidP="00E64B5A">
      <w:pPr>
        <w:pStyle w:val="ListParagraph"/>
        <w:rPr>
          <w:sz w:val="25"/>
          <w:szCs w:val="25"/>
        </w:rPr>
      </w:pPr>
    </w:p>
    <w:p w14:paraId="60DC64A4" w14:textId="77777777" w:rsidR="00522BCC" w:rsidRDefault="00EA2C88" w:rsidP="008446C2">
      <w:pPr>
        <w:numPr>
          <w:ilvl w:val="0"/>
          <w:numId w:val="2"/>
        </w:numPr>
        <w:spacing w:line="288" w:lineRule="auto"/>
        <w:rPr>
          <w:sz w:val="25"/>
          <w:szCs w:val="25"/>
        </w:rPr>
      </w:pPr>
      <w:r>
        <w:rPr>
          <w:sz w:val="25"/>
          <w:szCs w:val="25"/>
        </w:rPr>
        <w:t xml:space="preserve">WRRA also filed a Response to the Company’s Motion (WRRA’s Response).  </w:t>
      </w:r>
    </w:p>
    <w:p w14:paraId="020DD01B" w14:textId="77777777" w:rsidR="00522BCC" w:rsidRDefault="007931A3" w:rsidP="00522BCC">
      <w:pPr>
        <w:spacing w:line="288" w:lineRule="auto"/>
        <w:rPr>
          <w:sz w:val="25"/>
          <w:szCs w:val="25"/>
        </w:rPr>
      </w:pPr>
      <w:r>
        <w:rPr>
          <w:sz w:val="25"/>
          <w:szCs w:val="25"/>
        </w:rPr>
        <w:t>WRRA argues in</w:t>
      </w:r>
      <w:r w:rsidR="005640E3">
        <w:rPr>
          <w:sz w:val="25"/>
          <w:szCs w:val="25"/>
        </w:rPr>
        <w:t xml:space="preserve"> favor of WCI’s Motion as there are safeguards, in the form of </w:t>
      </w:r>
    </w:p>
    <w:p w14:paraId="66F55E31" w14:textId="77777777" w:rsidR="00E64B5A" w:rsidRDefault="005640E3" w:rsidP="00522BCC">
      <w:pPr>
        <w:spacing w:line="288" w:lineRule="auto"/>
        <w:rPr>
          <w:sz w:val="25"/>
          <w:szCs w:val="25"/>
        </w:rPr>
      </w:pPr>
      <w:proofErr w:type="gramStart"/>
      <w:r>
        <w:rPr>
          <w:sz w:val="25"/>
          <w:szCs w:val="25"/>
        </w:rPr>
        <w:t>possible</w:t>
      </w:r>
      <w:proofErr w:type="gramEnd"/>
      <w:r>
        <w:rPr>
          <w:sz w:val="25"/>
          <w:szCs w:val="25"/>
        </w:rPr>
        <w:t xml:space="preserve"> refunds to customers, should the Commission decide the rates are inappropriate.</w:t>
      </w:r>
      <w:r w:rsidR="0097288C">
        <w:rPr>
          <w:rStyle w:val="FootnoteReference"/>
          <w:sz w:val="25"/>
          <w:szCs w:val="25"/>
        </w:rPr>
        <w:footnoteReference w:id="15"/>
      </w:r>
      <w:r w:rsidR="0097288C">
        <w:rPr>
          <w:sz w:val="25"/>
          <w:szCs w:val="25"/>
        </w:rPr>
        <w:t xml:space="preserve">  </w:t>
      </w:r>
      <w:r w:rsidR="005C3BD0">
        <w:rPr>
          <w:sz w:val="25"/>
          <w:szCs w:val="25"/>
        </w:rPr>
        <w:t>WRRA asserts that the requested temporary rates are the result of an agreed upon partial settlement.</w:t>
      </w:r>
      <w:r w:rsidR="005C3BD0">
        <w:rPr>
          <w:rStyle w:val="FootnoteReference"/>
          <w:sz w:val="25"/>
          <w:szCs w:val="25"/>
        </w:rPr>
        <w:footnoteReference w:id="16"/>
      </w:r>
    </w:p>
    <w:p w14:paraId="6E2B7B75" w14:textId="77777777" w:rsidR="005C3BD0" w:rsidRDefault="005C3BD0" w:rsidP="005C3BD0">
      <w:pPr>
        <w:pStyle w:val="ListParagraph"/>
        <w:rPr>
          <w:sz w:val="25"/>
          <w:szCs w:val="25"/>
        </w:rPr>
      </w:pPr>
    </w:p>
    <w:p w14:paraId="152C1970" w14:textId="77777777" w:rsidR="005C3BD0" w:rsidRPr="00337A90" w:rsidRDefault="005C3BD0" w:rsidP="008446C2">
      <w:pPr>
        <w:numPr>
          <w:ilvl w:val="0"/>
          <w:numId w:val="2"/>
        </w:numPr>
        <w:spacing w:line="288" w:lineRule="auto"/>
        <w:rPr>
          <w:sz w:val="25"/>
          <w:szCs w:val="25"/>
        </w:rPr>
      </w:pPr>
      <w:r>
        <w:rPr>
          <w:sz w:val="25"/>
          <w:szCs w:val="25"/>
        </w:rPr>
        <w:t>On March 19, 2015, WCI filed its Reply to Staff’s Response (WCI’s Reply).  The Company agrees to Staff’s rate design methodology “rather than continue to dispute computations and analyses that will require even more delay and time to resolve.”</w:t>
      </w:r>
      <w:r>
        <w:rPr>
          <w:rStyle w:val="FootnoteReference"/>
          <w:sz w:val="25"/>
          <w:szCs w:val="25"/>
        </w:rPr>
        <w:footnoteReference w:id="17"/>
      </w:r>
    </w:p>
    <w:p w14:paraId="57D8A0BF" w14:textId="77777777" w:rsidR="008446C2" w:rsidRPr="00DF4C0E" w:rsidRDefault="008446C2" w:rsidP="006B237C">
      <w:pPr>
        <w:pStyle w:val="NoSpacing"/>
        <w:spacing w:line="264" w:lineRule="auto"/>
        <w:rPr>
          <w:szCs w:val="25"/>
        </w:rPr>
      </w:pPr>
    </w:p>
    <w:p w14:paraId="2C9BAF08" w14:textId="77777777" w:rsidR="00522BCC" w:rsidRDefault="009A7965" w:rsidP="00337A90">
      <w:pPr>
        <w:numPr>
          <w:ilvl w:val="0"/>
          <w:numId w:val="2"/>
        </w:numPr>
        <w:spacing w:line="264" w:lineRule="auto"/>
        <w:rPr>
          <w:sz w:val="25"/>
          <w:szCs w:val="25"/>
        </w:rPr>
      </w:pPr>
      <w:r>
        <w:rPr>
          <w:b/>
          <w:sz w:val="25"/>
          <w:szCs w:val="25"/>
        </w:rPr>
        <w:lastRenderedPageBreak/>
        <w:t xml:space="preserve">DISCUSSION/DECISION.  </w:t>
      </w:r>
      <w:r w:rsidR="00E7459E">
        <w:rPr>
          <w:sz w:val="25"/>
          <w:szCs w:val="25"/>
        </w:rPr>
        <w:t>The</w:t>
      </w:r>
      <w:r w:rsidR="00762917">
        <w:rPr>
          <w:sz w:val="25"/>
          <w:szCs w:val="25"/>
        </w:rPr>
        <w:t xml:space="preserve"> parties have agreed</w:t>
      </w:r>
      <w:r w:rsidR="00E7459E">
        <w:rPr>
          <w:sz w:val="25"/>
          <w:szCs w:val="25"/>
        </w:rPr>
        <w:t>, in the partial settlement agreement,</w:t>
      </w:r>
      <w:r w:rsidR="00762917">
        <w:rPr>
          <w:sz w:val="25"/>
          <w:szCs w:val="25"/>
        </w:rPr>
        <w:t xml:space="preserve"> that the Company is experiencing </w:t>
      </w:r>
      <w:r w:rsidR="00762917" w:rsidRPr="00762917">
        <w:rPr>
          <w:i/>
          <w:sz w:val="25"/>
          <w:szCs w:val="25"/>
        </w:rPr>
        <w:t>some</w:t>
      </w:r>
      <w:r w:rsidR="00762917">
        <w:rPr>
          <w:sz w:val="25"/>
          <w:szCs w:val="25"/>
        </w:rPr>
        <w:t xml:space="preserve"> revenue </w:t>
      </w:r>
      <w:r w:rsidR="005B1AAF">
        <w:rPr>
          <w:sz w:val="25"/>
          <w:szCs w:val="25"/>
        </w:rPr>
        <w:t>shortfall</w:t>
      </w:r>
      <w:r w:rsidR="009E2E38">
        <w:rPr>
          <w:sz w:val="25"/>
          <w:szCs w:val="25"/>
        </w:rPr>
        <w:t xml:space="preserve">.  </w:t>
      </w:r>
      <w:r w:rsidR="00A44E5A">
        <w:rPr>
          <w:sz w:val="25"/>
          <w:szCs w:val="25"/>
        </w:rPr>
        <w:t xml:space="preserve">Given the </w:t>
      </w:r>
    </w:p>
    <w:p w14:paraId="6B96921B" w14:textId="77777777" w:rsidR="00522BCC" w:rsidRDefault="00A44E5A" w:rsidP="00522BCC">
      <w:pPr>
        <w:spacing w:line="264" w:lineRule="auto"/>
      </w:pPr>
      <w:proofErr w:type="gramStart"/>
      <w:r>
        <w:t>unique</w:t>
      </w:r>
      <w:proofErr w:type="gramEnd"/>
      <w:r>
        <w:t xml:space="preserve"> circumstances surrounding this proceeding, the lack of any opposition to WCI’s request, and perhaps most importantly, the ability of the Commission to order a full </w:t>
      </w:r>
    </w:p>
    <w:p w14:paraId="0A700B99" w14:textId="77777777" w:rsidR="00522BCC" w:rsidRDefault="00A44E5A" w:rsidP="00522BCC">
      <w:pPr>
        <w:spacing w:line="264" w:lineRule="auto"/>
        <w:rPr>
          <w:sz w:val="25"/>
          <w:szCs w:val="25"/>
        </w:rPr>
      </w:pPr>
      <w:proofErr w:type="gramStart"/>
      <w:r>
        <w:t>refund</w:t>
      </w:r>
      <w:proofErr w:type="gramEnd"/>
      <w:r>
        <w:t xml:space="preserve"> of the temporary rates should it reject the partial settlement, </w:t>
      </w:r>
      <w:r w:rsidR="009872CB">
        <w:rPr>
          <w:sz w:val="25"/>
          <w:szCs w:val="25"/>
        </w:rPr>
        <w:t xml:space="preserve">we find the </w:t>
      </w:r>
    </w:p>
    <w:p w14:paraId="0779B4BE" w14:textId="77777777" w:rsidR="00522BCC" w:rsidRDefault="009872CB" w:rsidP="00522BCC">
      <w:pPr>
        <w:spacing w:line="264" w:lineRule="auto"/>
        <w:rPr>
          <w:sz w:val="25"/>
          <w:szCs w:val="25"/>
        </w:rPr>
      </w:pPr>
      <w:r>
        <w:rPr>
          <w:sz w:val="25"/>
          <w:szCs w:val="25"/>
        </w:rPr>
        <w:t>Company</w:t>
      </w:r>
      <w:r w:rsidR="00A44E5A">
        <w:rPr>
          <w:sz w:val="25"/>
          <w:szCs w:val="25"/>
        </w:rPr>
        <w:t>’s</w:t>
      </w:r>
      <w:r>
        <w:rPr>
          <w:sz w:val="25"/>
          <w:szCs w:val="25"/>
        </w:rPr>
        <w:t xml:space="preserve"> request reasonable.  We grant the Company’s Motion and approve the temporary rates, subject to refund</w:t>
      </w:r>
      <w:r w:rsidR="00430B81">
        <w:rPr>
          <w:sz w:val="25"/>
          <w:szCs w:val="25"/>
        </w:rPr>
        <w:t>, effective April 1, 2015</w:t>
      </w:r>
      <w:r>
        <w:rPr>
          <w:sz w:val="25"/>
          <w:szCs w:val="25"/>
        </w:rPr>
        <w:t xml:space="preserve">.  </w:t>
      </w:r>
      <w:r w:rsidR="00354AD4">
        <w:rPr>
          <w:sz w:val="25"/>
          <w:szCs w:val="25"/>
        </w:rPr>
        <w:t xml:space="preserve">WCI should file </w:t>
      </w:r>
    </w:p>
    <w:p w14:paraId="63178D6D" w14:textId="77777777" w:rsidR="00DF4C0E" w:rsidRPr="00337A90" w:rsidRDefault="00354AD4" w:rsidP="00522BCC">
      <w:pPr>
        <w:spacing w:line="264" w:lineRule="auto"/>
        <w:rPr>
          <w:sz w:val="25"/>
          <w:szCs w:val="25"/>
        </w:rPr>
      </w:pPr>
      <w:proofErr w:type="gramStart"/>
      <w:r>
        <w:rPr>
          <w:sz w:val="25"/>
          <w:szCs w:val="25"/>
        </w:rPr>
        <w:t>conforming</w:t>
      </w:r>
      <w:proofErr w:type="gramEnd"/>
      <w:r>
        <w:rPr>
          <w:sz w:val="25"/>
          <w:szCs w:val="25"/>
        </w:rPr>
        <w:t xml:space="preserve"> tariffs, utilizing Staff’s rate design methodology, no later than Monday, March 30, 2015.</w:t>
      </w:r>
    </w:p>
    <w:p w14:paraId="1999757A" w14:textId="77777777" w:rsidR="003A45CF" w:rsidRPr="00DF4C0E" w:rsidRDefault="003A45CF" w:rsidP="003A45CF">
      <w:pPr>
        <w:rPr>
          <w:sz w:val="25"/>
          <w:szCs w:val="25"/>
        </w:rPr>
      </w:pPr>
    </w:p>
    <w:p w14:paraId="2F3C8BDC" w14:textId="77777777" w:rsidR="003A45CF" w:rsidRPr="00DF4C0E" w:rsidRDefault="00A01153" w:rsidP="003A45CF">
      <w:pPr>
        <w:pStyle w:val="Heading2"/>
        <w:spacing w:line="264" w:lineRule="auto"/>
        <w:rPr>
          <w:rFonts w:ascii="Times New Roman" w:hAnsi="Times New Roman"/>
          <w:b w:val="0"/>
          <w:bCs w:val="0"/>
          <w:sz w:val="25"/>
          <w:szCs w:val="25"/>
        </w:rPr>
      </w:pPr>
      <w:r>
        <w:rPr>
          <w:rFonts w:ascii="Times New Roman" w:hAnsi="Times New Roman"/>
          <w:sz w:val="25"/>
          <w:szCs w:val="25"/>
        </w:rPr>
        <w:t xml:space="preserve">O R D E </w:t>
      </w:r>
      <w:r w:rsidR="003A45CF" w:rsidRPr="00DF4C0E">
        <w:rPr>
          <w:rFonts w:ascii="Times New Roman" w:hAnsi="Times New Roman"/>
          <w:sz w:val="25"/>
          <w:szCs w:val="25"/>
        </w:rPr>
        <w:t>R</w:t>
      </w:r>
    </w:p>
    <w:p w14:paraId="40CE35C9" w14:textId="77777777" w:rsidR="003A45CF" w:rsidRPr="00DF4C0E" w:rsidRDefault="003A45CF" w:rsidP="00A01153">
      <w:pPr>
        <w:spacing w:line="264" w:lineRule="auto"/>
        <w:rPr>
          <w:sz w:val="25"/>
          <w:szCs w:val="25"/>
        </w:rPr>
      </w:pPr>
    </w:p>
    <w:p w14:paraId="41F24912" w14:textId="77777777" w:rsidR="00E127E1" w:rsidRDefault="003A45CF" w:rsidP="00E127E1">
      <w:pPr>
        <w:spacing w:line="264" w:lineRule="auto"/>
        <w:rPr>
          <w:sz w:val="25"/>
          <w:szCs w:val="25"/>
        </w:rPr>
      </w:pPr>
      <w:r w:rsidRPr="00DF4C0E">
        <w:rPr>
          <w:sz w:val="25"/>
          <w:szCs w:val="25"/>
        </w:rPr>
        <w:t>THE COMMISSION ORDERS That</w:t>
      </w:r>
      <w:r w:rsidR="00E127E1">
        <w:rPr>
          <w:sz w:val="25"/>
          <w:szCs w:val="25"/>
        </w:rPr>
        <w:t>:</w:t>
      </w:r>
    </w:p>
    <w:p w14:paraId="06EA0458" w14:textId="77777777" w:rsidR="00E127E1" w:rsidRDefault="00E127E1" w:rsidP="00E127E1">
      <w:pPr>
        <w:spacing w:line="264" w:lineRule="auto"/>
        <w:rPr>
          <w:sz w:val="25"/>
          <w:szCs w:val="25"/>
        </w:rPr>
      </w:pPr>
    </w:p>
    <w:p w14:paraId="5AB55E69" w14:textId="77777777" w:rsidR="004059E6" w:rsidRDefault="00E127E1" w:rsidP="008E2614">
      <w:pPr>
        <w:numPr>
          <w:ilvl w:val="0"/>
          <w:numId w:val="2"/>
        </w:numPr>
        <w:tabs>
          <w:tab w:val="clear" w:pos="0"/>
          <w:tab w:val="left" w:pos="720"/>
        </w:tabs>
        <w:spacing w:line="264" w:lineRule="auto"/>
        <w:rPr>
          <w:sz w:val="25"/>
          <w:szCs w:val="25"/>
        </w:rPr>
      </w:pPr>
      <w:r>
        <w:rPr>
          <w:sz w:val="25"/>
          <w:szCs w:val="25"/>
        </w:rPr>
        <w:t>(1)</w:t>
      </w:r>
      <w:r>
        <w:rPr>
          <w:sz w:val="25"/>
          <w:szCs w:val="25"/>
        </w:rPr>
        <w:tab/>
      </w:r>
      <w:r w:rsidR="00A44E5A">
        <w:rPr>
          <w:sz w:val="25"/>
          <w:szCs w:val="25"/>
        </w:rPr>
        <w:t xml:space="preserve">Waste Control, Inc.’s request for </w:t>
      </w:r>
      <w:r w:rsidR="00924E42" w:rsidRPr="00DF4C0E">
        <w:rPr>
          <w:sz w:val="25"/>
          <w:szCs w:val="25"/>
        </w:rPr>
        <w:t xml:space="preserve">temporary </w:t>
      </w:r>
      <w:r w:rsidR="009872CB">
        <w:rPr>
          <w:sz w:val="25"/>
          <w:szCs w:val="25"/>
        </w:rPr>
        <w:t xml:space="preserve">rates, subject to refund, at the stipulated partial settlement agreement level, and utilizing Staff’s rate design methodology, </w:t>
      </w:r>
      <w:r w:rsidR="003A45CF" w:rsidRPr="00DF4C0E">
        <w:rPr>
          <w:sz w:val="25"/>
          <w:szCs w:val="25"/>
        </w:rPr>
        <w:t xml:space="preserve">is </w:t>
      </w:r>
      <w:r w:rsidR="0098396F" w:rsidRPr="00DF4C0E">
        <w:rPr>
          <w:sz w:val="25"/>
          <w:szCs w:val="25"/>
        </w:rPr>
        <w:t>approved</w:t>
      </w:r>
      <w:r w:rsidR="00430B81">
        <w:rPr>
          <w:sz w:val="25"/>
          <w:szCs w:val="25"/>
        </w:rPr>
        <w:t>, effective April 1, 2015</w:t>
      </w:r>
      <w:r w:rsidR="003A45CF" w:rsidRPr="00DF4C0E">
        <w:rPr>
          <w:sz w:val="25"/>
          <w:szCs w:val="25"/>
        </w:rPr>
        <w:t>.</w:t>
      </w:r>
    </w:p>
    <w:p w14:paraId="7AF3D60E" w14:textId="77777777" w:rsidR="008D21B0" w:rsidRDefault="008D21B0" w:rsidP="008D21B0">
      <w:pPr>
        <w:tabs>
          <w:tab w:val="left" w:pos="720"/>
        </w:tabs>
        <w:spacing w:line="264" w:lineRule="auto"/>
        <w:rPr>
          <w:sz w:val="25"/>
          <w:szCs w:val="25"/>
        </w:rPr>
      </w:pPr>
    </w:p>
    <w:p w14:paraId="7767D736" w14:textId="77777777" w:rsidR="008D21B0" w:rsidRDefault="008D21B0" w:rsidP="00167B60">
      <w:pPr>
        <w:numPr>
          <w:ilvl w:val="0"/>
          <w:numId w:val="2"/>
        </w:numPr>
        <w:tabs>
          <w:tab w:val="clear" w:pos="0"/>
          <w:tab w:val="left" w:pos="648"/>
          <w:tab w:val="left" w:pos="720"/>
        </w:tabs>
        <w:spacing w:line="264" w:lineRule="auto"/>
        <w:rPr>
          <w:sz w:val="25"/>
          <w:szCs w:val="25"/>
        </w:rPr>
      </w:pPr>
      <w:r>
        <w:rPr>
          <w:sz w:val="25"/>
          <w:szCs w:val="25"/>
        </w:rPr>
        <w:t>(2)</w:t>
      </w:r>
      <w:r>
        <w:rPr>
          <w:sz w:val="25"/>
          <w:szCs w:val="25"/>
        </w:rPr>
        <w:tab/>
      </w:r>
      <w:r w:rsidR="00167B60">
        <w:rPr>
          <w:sz w:val="25"/>
          <w:szCs w:val="25"/>
        </w:rPr>
        <w:tab/>
      </w:r>
      <w:r w:rsidR="003B3E14">
        <w:rPr>
          <w:sz w:val="25"/>
          <w:szCs w:val="25"/>
        </w:rPr>
        <w:t>Waste Control, Inc. will file conforming tariffs, utilizing Staff’s rate design methodology, no later than March 30, 2015.</w:t>
      </w:r>
    </w:p>
    <w:p w14:paraId="65B823D5" w14:textId="77777777" w:rsidR="009872CB" w:rsidRDefault="009872CB" w:rsidP="009872CB">
      <w:pPr>
        <w:spacing w:line="264" w:lineRule="auto"/>
        <w:rPr>
          <w:sz w:val="25"/>
          <w:szCs w:val="25"/>
        </w:rPr>
      </w:pPr>
    </w:p>
    <w:p w14:paraId="64438DE6" w14:textId="77777777" w:rsidR="004059E6" w:rsidRPr="00DF4C0E" w:rsidRDefault="004059E6" w:rsidP="004059E6">
      <w:pPr>
        <w:spacing w:line="288" w:lineRule="auto"/>
        <w:rPr>
          <w:sz w:val="25"/>
          <w:szCs w:val="25"/>
        </w:rPr>
      </w:pPr>
      <w:r w:rsidRPr="00DF4C0E">
        <w:rPr>
          <w:sz w:val="25"/>
          <w:szCs w:val="25"/>
        </w:rPr>
        <w:t xml:space="preserve">Dated at Olympia, Washington, and effective </w:t>
      </w:r>
      <w:r w:rsidR="009872CB">
        <w:rPr>
          <w:sz w:val="25"/>
          <w:szCs w:val="25"/>
        </w:rPr>
        <w:t>March 25, 2015</w:t>
      </w:r>
      <w:r w:rsidRPr="00DF4C0E">
        <w:rPr>
          <w:sz w:val="25"/>
          <w:szCs w:val="25"/>
        </w:rPr>
        <w:t>.</w:t>
      </w:r>
    </w:p>
    <w:p w14:paraId="0EA7A37F" w14:textId="77777777" w:rsidR="004059E6" w:rsidRPr="00DF4C0E" w:rsidRDefault="004059E6" w:rsidP="004059E6">
      <w:pPr>
        <w:pStyle w:val="Header"/>
        <w:tabs>
          <w:tab w:val="clear" w:pos="4320"/>
          <w:tab w:val="clear" w:pos="8640"/>
        </w:tabs>
        <w:spacing w:line="288" w:lineRule="auto"/>
        <w:rPr>
          <w:sz w:val="25"/>
          <w:szCs w:val="25"/>
        </w:rPr>
      </w:pPr>
    </w:p>
    <w:p w14:paraId="50380B0A" w14:textId="77777777" w:rsidR="004059E6" w:rsidRPr="00DF4C0E" w:rsidRDefault="004059E6" w:rsidP="004059E6">
      <w:pPr>
        <w:spacing w:line="288" w:lineRule="auto"/>
        <w:jc w:val="center"/>
        <w:rPr>
          <w:sz w:val="25"/>
          <w:szCs w:val="25"/>
        </w:rPr>
      </w:pPr>
      <w:r w:rsidRPr="00DF4C0E">
        <w:rPr>
          <w:sz w:val="25"/>
          <w:szCs w:val="25"/>
        </w:rPr>
        <w:t>WASHINGTON UTILITIES AND TRANSPORTATION COMMISSION</w:t>
      </w:r>
    </w:p>
    <w:p w14:paraId="110C588D" w14:textId="77777777" w:rsidR="004059E6" w:rsidRPr="00DF4C0E" w:rsidRDefault="004059E6" w:rsidP="004059E6">
      <w:pPr>
        <w:spacing w:line="288" w:lineRule="auto"/>
        <w:rPr>
          <w:sz w:val="25"/>
          <w:szCs w:val="25"/>
        </w:rPr>
      </w:pPr>
    </w:p>
    <w:p w14:paraId="21ADCB80" w14:textId="77777777" w:rsidR="004059E6" w:rsidRPr="00DF4C0E" w:rsidRDefault="004059E6" w:rsidP="004059E6">
      <w:pPr>
        <w:spacing w:line="288" w:lineRule="auto"/>
        <w:rPr>
          <w:sz w:val="25"/>
          <w:szCs w:val="25"/>
        </w:rPr>
      </w:pPr>
    </w:p>
    <w:p w14:paraId="2364C2C5" w14:textId="77777777" w:rsidR="00024CD1" w:rsidRPr="00DF4C0E" w:rsidRDefault="00024CD1" w:rsidP="004059E6">
      <w:pPr>
        <w:spacing w:line="288" w:lineRule="auto"/>
        <w:rPr>
          <w:sz w:val="25"/>
          <w:szCs w:val="25"/>
        </w:rPr>
      </w:pPr>
    </w:p>
    <w:p w14:paraId="6B90CE2A" w14:textId="77777777" w:rsidR="00024CD1" w:rsidRPr="00DF4C0E" w:rsidRDefault="00E87F73" w:rsidP="00024CD1">
      <w:pPr>
        <w:spacing w:line="288" w:lineRule="auto"/>
        <w:ind w:left="3600" w:firstLine="720"/>
        <w:rPr>
          <w:sz w:val="25"/>
          <w:szCs w:val="25"/>
        </w:rPr>
      </w:pPr>
      <w:r w:rsidRPr="00DF4C0E">
        <w:rPr>
          <w:sz w:val="25"/>
          <w:szCs w:val="25"/>
        </w:rPr>
        <w:t>MARGUERITE E. FRIEDLANDER</w:t>
      </w:r>
    </w:p>
    <w:p w14:paraId="2D420FDA" w14:textId="77777777" w:rsidR="004059E6" w:rsidRDefault="00024CD1" w:rsidP="004059E6">
      <w:pPr>
        <w:spacing w:line="288" w:lineRule="auto"/>
        <w:rPr>
          <w:sz w:val="25"/>
          <w:szCs w:val="25"/>
        </w:rPr>
      </w:pPr>
      <w:r w:rsidRPr="00DF4C0E">
        <w:rPr>
          <w:sz w:val="25"/>
          <w:szCs w:val="25"/>
        </w:rPr>
        <w:tab/>
      </w:r>
      <w:r w:rsidRPr="00DF4C0E">
        <w:rPr>
          <w:sz w:val="25"/>
          <w:szCs w:val="25"/>
        </w:rPr>
        <w:tab/>
      </w:r>
      <w:r w:rsidRPr="00DF4C0E">
        <w:rPr>
          <w:sz w:val="25"/>
          <w:szCs w:val="25"/>
        </w:rPr>
        <w:tab/>
      </w:r>
      <w:r w:rsidRPr="00DF4C0E">
        <w:rPr>
          <w:sz w:val="25"/>
          <w:szCs w:val="25"/>
        </w:rPr>
        <w:tab/>
      </w:r>
      <w:r w:rsidRPr="00DF4C0E">
        <w:rPr>
          <w:sz w:val="25"/>
          <w:szCs w:val="25"/>
        </w:rPr>
        <w:tab/>
      </w:r>
      <w:r w:rsidRPr="00DF4C0E">
        <w:rPr>
          <w:sz w:val="25"/>
          <w:szCs w:val="25"/>
        </w:rPr>
        <w:tab/>
        <w:t>Administrative Law Judge</w:t>
      </w:r>
    </w:p>
    <w:p w14:paraId="5A66FBEE" w14:textId="77777777" w:rsidR="009872CB" w:rsidRDefault="009872CB" w:rsidP="004059E6">
      <w:pPr>
        <w:spacing w:line="288" w:lineRule="auto"/>
        <w:rPr>
          <w:sz w:val="25"/>
          <w:szCs w:val="25"/>
        </w:rPr>
      </w:pPr>
    </w:p>
    <w:p w14:paraId="3BDBBC38" w14:textId="77777777" w:rsidR="009872CB" w:rsidRDefault="009872CB" w:rsidP="004059E6">
      <w:pPr>
        <w:spacing w:line="288" w:lineRule="auto"/>
        <w:rPr>
          <w:sz w:val="25"/>
          <w:szCs w:val="25"/>
        </w:rPr>
      </w:pPr>
    </w:p>
    <w:p w14:paraId="77D07340" w14:textId="77777777" w:rsidR="00522BCC" w:rsidRDefault="009872CB" w:rsidP="009872CB">
      <w:pPr>
        <w:spacing w:line="264" w:lineRule="auto"/>
        <w:rPr>
          <w:b/>
          <w:bCs/>
          <w:sz w:val="25"/>
          <w:szCs w:val="25"/>
        </w:rPr>
      </w:pPr>
      <w:r w:rsidRPr="001D4C79">
        <w:rPr>
          <w:b/>
          <w:bCs/>
          <w:sz w:val="25"/>
          <w:szCs w:val="25"/>
        </w:rPr>
        <w:t xml:space="preserve">NOTICE TO PARTIES:  This is an Interlocutory Order of the Commission.  Administrative review may be available through a petition for review, filed </w:t>
      </w:r>
    </w:p>
    <w:p w14:paraId="12E26653" w14:textId="77777777" w:rsidR="009872CB" w:rsidRPr="001D4C79" w:rsidRDefault="009872CB" w:rsidP="009872CB">
      <w:pPr>
        <w:spacing w:line="264" w:lineRule="auto"/>
        <w:rPr>
          <w:sz w:val="25"/>
          <w:szCs w:val="25"/>
        </w:rPr>
      </w:pPr>
      <w:proofErr w:type="gramStart"/>
      <w:r w:rsidRPr="001D4C79">
        <w:rPr>
          <w:b/>
          <w:bCs/>
          <w:sz w:val="25"/>
          <w:szCs w:val="25"/>
        </w:rPr>
        <w:t>within</w:t>
      </w:r>
      <w:proofErr w:type="gramEnd"/>
      <w:r w:rsidRPr="001D4C79">
        <w:rPr>
          <w:b/>
          <w:bCs/>
          <w:sz w:val="25"/>
          <w:szCs w:val="25"/>
        </w:rPr>
        <w:t xml:space="preserve"> 10 days of the service of this Order pursuant to </w:t>
      </w:r>
      <w:r w:rsidRPr="001D4C79">
        <w:rPr>
          <w:b/>
          <w:bCs/>
          <w:i/>
          <w:iCs/>
          <w:sz w:val="25"/>
          <w:szCs w:val="25"/>
        </w:rPr>
        <w:t>WAC 480-07-810</w:t>
      </w:r>
      <w:r w:rsidRPr="001D4C79">
        <w:rPr>
          <w:b/>
          <w:bCs/>
          <w:sz w:val="25"/>
          <w:szCs w:val="25"/>
        </w:rPr>
        <w:t>.</w:t>
      </w:r>
    </w:p>
    <w:p w14:paraId="127C2C3D" w14:textId="77777777" w:rsidR="009872CB" w:rsidRPr="00DF4C0E" w:rsidRDefault="009872CB" w:rsidP="004059E6">
      <w:pPr>
        <w:spacing w:line="288" w:lineRule="auto"/>
        <w:rPr>
          <w:sz w:val="25"/>
          <w:szCs w:val="25"/>
        </w:rPr>
      </w:pPr>
    </w:p>
    <w:sectPr w:rsidR="009872CB" w:rsidRPr="00DF4C0E" w:rsidSect="00A4735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530" w:bottom="1440" w:left="2160" w:header="1440" w:footer="720" w:gutter="0"/>
      <w:cols w:space="0" w:equalWidth="0">
        <w:col w:w="9000" w:space="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734F0" w14:textId="77777777" w:rsidR="00CB0B3E" w:rsidRDefault="00CB0B3E">
      <w:r>
        <w:separator/>
      </w:r>
    </w:p>
  </w:endnote>
  <w:endnote w:type="continuationSeparator" w:id="0">
    <w:p w14:paraId="6091FAB1" w14:textId="77777777" w:rsidR="00CB0B3E" w:rsidRDefault="00CB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D6CB2" w14:textId="77777777" w:rsidR="00B415A7" w:rsidRDefault="00B41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6E5EA" w14:textId="77777777" w:rsidR="00B415A7" w:rsidRDefault="00B415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8AAC" w14:textId="77777777" w:rsidR="00B415A7" w:rsidRDefault="00B41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AE155" w14:textId="77777777" w:rsidR="00CB0B3E" w:rsidRDefault="00CB0B3E">
      <w:r>
        <w:separator/>
      </w:r>
    </w:p>
  </w:footnote>
  <w:footnote w:type="continuationSeparator" w:id="0">
    <w:p w14:paraId="7EDB5176" w14:textId="77777777" w:rsidR="00CB0B3E" w:rsidRDefault="00CB0B3E">
      <w:r>
        <w:continuationSeparator/>
      </w:r>
    </w:p>
  </w:footnote>
  <w:footnote w:id="1">
    <w:p w14:paraId="5D85460F" w14:textId="77777777" w:rsidR="00342C43" w:rsidRPr="0085210D" w:rsidRDefault="00342C43" w:rsidP="003A7E01">
      <w:pPr>
        <w:pStyle w:val="FootnoteText"/>
        <w:spacing w:after="120"/>
        <w:rPr>
          <w:i/>
        </w:rPr>
      </w:pPr>
      <w:r w:rsidRPr="00342C43">
        <w:rPr>
          <w:rStyle w:val="FootnoteReference"/>
          <w:sz w:val="22"/>
        </w:rPr>
        <w:footnoteRef/>
      </w:r>
      <w:r w:rsidRPr="00342C43">
        <w:rPr>
          <w:sz w:val="22"/>
        </w:rPr>
        <w:t xml:space="preserve"> </w:t>
      </w:r>
      <w:r w:rsidR="0085210D">
        <w:rPr>
          <w:i/>
          <w:sz w:val="22"/>
        </w:rPr>
        <w:t>WUTC v. Waste Control, Inc.,</w:t>
      </w:r>
      <w:r w:rsidR="0085210D">
        <w:rPr>
          <w:sz w:val="22"/>
        </w:rPr>
        <w:t xml:space="preserve"> Docket TG-131794, Order 01, Complaint and Order Suspending Tariff; and, Allowing Rates on a Temporary Basis, Subject to Refund (November 27, 2013). The temporary rates were implemented on December 1, 2013. See also, Docket TG-131794, Order 05, Initial Order Granting Motion to Dismiss and Rejecting Tariff Filing, ¶ 20 (March 25, 2014).</w:t>
      </w:r>
    </w:p>
  </w:footnote>
  <w:footnote w:id="2">
    <w:p w14:paraId="5CDDA0EA" w14:textId="77777777" w:rsidR="00957479" w:rsidRPr="003C7362" w:rsidRDefault="00957479" w:rsidP="003A7E01">
      <w:pPr>
        <w:pStyle w:val="FootnoteText"/>
        <w:spacing w:after="120"/>
        <w:rPr>
          <w:sz w:val="22"/>
          <w:szCs w:val="22"/>
        </w:rPr>
      </w:pPr>
      <w:r w:rsidRPr="003C7362">
        <w:rPr>
          <w:rStyle w:val="FootnoteReference"/>
          <w:sz w:val="22"/>
          <w:szCs w:val="22"/>
        </w:rPr>
        <w:footnoteRef/>
      </w:r>
      <w:r w:rsidRPr="003C7362">
        <w:rPr>
          <w:sz w:val="22"/>
          <w:szCs w:val="22"/>
        </w:rPr>
        <w:t xml:space="preserve"> In a </w:t>
      </w:r>
      <w:r w:rsidRPr="003C7362">
        <w:rPr>
          <w:iCs/>
          <w:sz w:val="22"/>
          <w:szCs w:val="22"/>
        </w:rPr>
        <w:t xml:space="preserve">formal proceeding, such as this, the Commission’s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3C7362">
        <w:rPr>
          <w:i/>
          <w:iCs/>
          <w:sz w:val="22"/>
          <w:szCs w:val="22"/>
        </w:rPr>
        <w:t>See</w:t>
      </w:r>
      <w:r w:rsidRPr="003C7362">
        <w:rPr>
          <w:iCs/>
          <w:sz w:val="22"/>
          <w:szCs w:val="22"/>
        </w:rPr>
        <w:t xml:space="preserve"> RCW 34.05.455.</w:t>
      </w:r>
    </w:p>
  </w:footnote>
  <w:footnote w:id="3">
    <w:p w14:paraId="3D730753" w14:textId="77777777" w:rsidR="00DC5E5B" w:rsidRPr="003A7E01" w:rsidRDefault="00DC5E5B" w:rsidP="003A7E01">
      <w:pPr>
        <w:pStyle w:val="FootnoteText"/>
        <w:spacing w:after="120"/>
        <w:rPr>
          <w:sz w:val="22"/>
          <w:szCs w:val="22"/>
        </w:rPr>
      </w:pPr>
      <w:r w:rsidRPr="00DC5E5B">
        <w:rPr>
          <w:rStyle w:val="FootnoteReference"/>
          <w:sz w:val="22"/>
        </w:rPr>
        <w:footnoteRef/>
      </w:r>
      <w:r>
        <w:rPr>
          <w:sz w:val="22"/>
        </w:rPr>
        <w:t xml:space="preserve"> </w:t>
      </w:r>
      <w:r w:rsidR="00AE1B01">
        <w:rPr>
          <w:sz w:val="22"/>
        </w:rPr>
        <w:t>The</w:t>
      </w:r>
      <w:r>
        <w:rPr>
          <w:sz w:val="22"/>
        </w:rPr>
        <w:t xml:space="preserve"> parties recognize the procedural awkwardness of requesting imposition of temporary rates subject to refund in an adjudicated general rate case.  </w:t>
      </w:r>
      <w:r w:rsidR="00510CB7">
        <w:rPr>
          <w:sz w:val="22"/>
        </w:rPr>
        <w:t xml:space="preserve">Although this procedural Motion would typically be addressed prior to </w:t>
      </w:r>
      <w:r w:rsidR="00AE1B01">
        <w:rPr>
          <w:sz w:val="22"/>
        </w:rPr>
        <w:t xml:space="preserve">the Commission’s </w:t>
      </w:r>
      <w:r w:rsidR="00510CB7">
        <w:rPr>
          <w:sz w:val="22"/>
        </w:rPr>
        <w:t xml:space="preserve">suspension of the Company’s tariff, </w:t>
      </w:r>
      <w:r w:rsidR="009F1C2A">
        <w:rPr>
          <w:sz w:val="22"/>
        </w:rPr>
        <w:t xml:space="preserve">RCW </w:t>
      </w:r>
      <w:r w:rsidR="009F1C2A" w:rsidRPr="003A7E01">
        <w:rPr>
          <w:sz w:val="22"/>
          <w:szCs w:val="22"/>
        </w:rPr>
        <w:t>80.01.060 and WAC 480-07-330(2)</w:t>
      </w:r>
      <w:r w:rsidR="00C134F7" w:rsidRPr="003A7E01">
        <w:rPr>
          <w:sz w:val="22"/>
          <w:szCs w:val="22"/>
        </w:rPr>
        <w:t xml:space="preserve"> </w:t>
      </w:r>
      <w:r w:rsidR="00AE1B01" w:rsidRPr="003A7E01">
        <w:rPr>
          <w:sz w:val="22"/>
          <w:szCs w:val="22"/>
        </w:rPr>
        <w:t xml:space="preserve">does </w:t>
      </w:r>
      <w:r w:rsidR="00C134F7" w:rsidRPr="003A7E01">
        <w:rPr>
          <w:sz w:val="22"/>
          <w:szCs w:val="22"/>
        </w:rPr>
        <w:t>confer broad authority on administrative law judges</w:t>
      </w:r>
      <w:r w:rsidR="00AE1B01" w:rsidRPr="003A7E01">
        <w:rPr>
          <w:sz w:val="22"/>
          <w:szCs w:val="22"/>
        </w:rPr>
        <w:t xml:space="preserve"> to enter interlocutory and initial orders</w:t>
      </w:r>
      <w:r w:rsidR="00510CB7" w:rsidRPr="003A7E01">
        <w:rPr>
          <w:sz w:val="22"/>
          <w:szCs w:val="22"/>
        </w:rPr>
        <w:t xml:space="preserve">.  </w:t>
      </w:r>
    </w:p>
  </w:footnote>
  <w:footnote w:id="4">
    <w:p w14:paraId="00ECDE96" w14:textId="77777777" w:rsidR="00CF6028" w:rsidRPr="003A7E01" w:rsidRDefault="00CF6028" w:rsidP="003A7E01">
      <w:pPr>
        <w:pStyle w:val="FootnoteText"/>
        <w:spacing w:after="120"/>
        <w:rPr>
          <w:sz w:val="22"/>
          <w:szCs w:val="22"/>
        </w:rPr>
      </w:pPr>
      <w:r w:rsidRPr="003A7E01">
        <w:rPr>
          <w:rStyle w:val="FootnoteReference"/>
          <w:sz w:val="22"/>
          <w:szCs w:val="22"/>
        </w:rPr>
        <w:footnoteRef/>
      </w:r>
      <w:r w:rsidRPr="003A7E01">
        <w:rPr>
          <w:sz w:val="22"/>
          <w:szCs w:val="22"/>
        </w:rPr>
        <w:t xml:space="preserve"> Motion, ¶ 1.  WCI bases this calculation on the partial settlement agreement and Staff’s Response to Bench Request No. 1.</w:t>
      </w:r>
    </w:p>
  </w:footnote>
  <w:footnote w:id="5">
    <w:p w14:paraId="1A23D565" w14:textId="77777777" w:rsidR="008D4922" w:rsidRPr="003A7E01" w:rsidRDefault="008D4922" w:rsidP="003A7E01">
      <w:pPr>
        <w:pStyle w:val="FootnoteText"/>
        <w:spacing w:after="120"/>
        <w:rPr>
          <w:sz w:val="22"/>
          <w:szCs w:val="22"/>
        </w:rPr>
      </w:pPr>
      <w:r w:rsidRPr="003A7E01">
        <w:rPr>
          <w:rStyle w:val="FootnoteReference"/>
          <w:sz w:val="22"/>
          <w:szCs w:val="22"/>
        </w:rPr>
        <w:footnoteRef/>
      </w:r>
      <w:r w:rsidRPr="003A7E01">
        <w:rPr>
          <w:sz w:val="22"/>
          <w:szCs w:val="22"/>
        </w:rPr>
        <w:t xml:space="preserve"> </w:t>
      </w:r>
      <w:r w:rsidRPr="003A7E01">
        <w:rPr>
          <w:i/>
          <w:sz w:val="22"/>
          <w:szCs w:val="22"/>
        </w:rPr>
        <w:t>Id</w:t>
      </w:r>
      <w:r w:rsidRPr="003A7E01">
        <w:rPr>
          <w:sz w:val="22"/>
          <w:szCs w:val="22"/>
        </w:rPr>
        <w:t xml:space="preserve">., ¶ 4.  The Company </w:t>
      </w:r>
      <w:r w:rsidR="005A6611" w:rsidRPr="003A7E01">
        <w:rPr>
          <w:sz w:val="22"/>
          <w:szCs w:val="22"/>
        </w:rPr>
        <w:t xml:space="preserve">concedes </w:t>
      </w:r>
      <w:r w:rsidR="00D578E3" w:rsidRPr="003A7E01">
        <w:rPr>
          <w:sz w:val="22"/>
          <w:szCs w:val="22"/>
        </w:rPr>
        <w:t xml:space="preserve">that </w:t>
      </w:r>
      <w:r w:rsidR="005A6611" w:rsidRPr="003A7E01">
        <w:rPr>
          <w:sz w:val="22"/>
          <w:szCs w:val="22"/>
        </w:rPr>
        <w:t xml:space="preserve">Staff attributes much of the </w:t>
      </w:r>
      <w:r w:rsidR="00D578E3" w:rsidRPr="003A7E01">
        <w:rPr>
          <w:sz w:val="22"/>
          <w:szCs w:val="22"/>
        </w:rPr>
        <w:t>fault for the rate request’s extended processing time to WCI.  WCI challenges this assertion and states that, regardless of the source of the delay, “the Company has suffered a documented and now stipulated revenue requirement deficiency.”  Id., n. 1.</w:t>
      </w:r>
    </w:p>
  </w:footnote>
  <w:footnote w:id="6">
    <w:p w14:paraId="6BBE404F" w14:textId="77777777" w:rsidR="009E2E38" w:rsidRPr="003A7E01" w:rsidRDefault="009E2E38" w:rsidP="003A7E01">
      <w:pPr>
        <w:pStyle w:val="FootnoteText"/>
        <w:spacing w:after="120"/>
        <w:rPr>
          <w:sz w:val="22"/>
          <w:szCs w:val="22"/>
        </w:rPr>
      </w:pPr>
      <w:r w:rsidRPr="003A7E01">
        <w:rPr>
          <w:rStyle w:val="FootnoteReference"/>
          <w:sz w:val="22"/>
          <w:szCs w:val="22"/>
        </w:rPr>
        <w:footnoteRef/>
      </w:r>
      <w:r w:rsidRPr="003A7E01">
        <w:rPr>
          <w:sz w:val="22"/>
          <w:szCs w:val="22"/>
        </w:rPr>
        <w:t xml:space="preserve"> </w:t>
      </w:r>
      <w:r w:rsidRPr="003A7E01">
        <w:rPr>
          <w:i/>
          <w:sz w:val="22"/>
          <w:szCs w:val="22"/>
        </w:rPr>
        <w:t>Id</w:t>
      </w:r>
      <w:r w:rsidRPr="003A7E01">
        <w:rPr>
          <w:sz w:val="22"/>
          <w:szCs w:val="22"/>
        </w:rPr>
        <w:t>., ¶ 3.</w:t>
      </w:r>
    </w:p>
  </w:footnote>
  <w:footnote w:id="7">
    <w:p w14:paraId="7CB5FA03" w14:textId="77777777" w:rsidR="00FA06D9" w:rsidRPr="003A7E01" w:rsidRDefault="00FA06D9" w:rsidP="003A7E01">
      <w:pPr>
        <w:pStyle w:val="FootnoteText"/>
        <w:spacing w:after="120"/>
        <w:rPr>
          <w:sz w:val="22"/>
          <w:szCs w:val="22"/>
        </w:rPr>
      </w:pPr>
      <w:r w:rsidRPr="003A7E01">
        <w:rPr>
          <w:rStyle w:val="FootnoteReference"/>
          <w:sz w:val="22"/>
          <w:szCs w:val="22"/>
        </w:rPr>
        <w:footnoteRef/>
      </w:r>
      <w:r w:rsidRPr="003A7E01">
        <w:rPr>
          <w:sz w:val="22"/>
          <w:szCs w:val="22"/>
        </w:rPr>
        <w:t xml:space="preserve"> </w:t>
      </w:r>
      <w:r w:rsidRPr="003A7E01">
        <w:rPr>
          <w:i/>
          <w:sz w:val="22"/>
          <w:szCs w:val="22"/>
        </w:rPr>
        <w:t>Id</w:t>
      </w:r>
      <w:r w:rsidRPr="003A7E01">
        <w:rPr>
          <w:sz w:val="22"/>
          <w:szCs w:val="22"/>
        </w:rPr>
        <w:t>., n. 2.</w:t>
      </w:r>
      <w:r w:rsidR="00B56730" w:rsidRPr="003A7E01">
        <w:rPr>
          <w:sz w:val="22"/>
          <w:szCs w:val="22"/>
        </w:rPr>
        <w:t xml:space="preserve">  </w:t>
      </w:r>
      <w:r w:rsidR="00F4081F" w:rsidRPr="003A7E01">
        <w:rPr>
          <w:sz w:val="22"/>
          <w:szCs w:val="22"/>
        </w:rPr>
        <w:t xml:space="preserve">See, </w:t>
      </w:r>
      <w:r w:rsidR="00B56730" w:rsidRPr="003A7E01">
        <w:rPr>
          <w:sz w:val="22"/>
          <w:szCs w:val="22"/>
        </w:rPr>
        <w:t xml:space="preserve">WUTC v. Waste Control, </w:t>
      </w:r>
      <w:r w:rsidR="00A44E5A" w:rsidRPr="003A7E01">
        <w:rPr>
          <w:sz w:val="22"/>
          <w:szCs w:val="22"/>
        </w:rPr>
        <w:t>Inc.</w:t>
      </w:r>
      <w:r w:rsidR="00B56730" w:rsidRPr="003A7E01">
        <w:rPr>
          <w:sz w:val="22"/>
          <w:szCs w:val="22"/>
        </w:rPr>
        <w:t>, Docket TG-131794</w:t>
      </w:r>
      <w:r w:rsidR="00F4081F" w:rsidRPr="003A7E01">
        <w:rPr>
          <w:sz w:val="22"/>
          <w:szCs w:val="22"/>
        </w:rPr>
        <w:t>, Order 01, Complaint and Order Suspending Tariff; and, Allowing Rates on a Temporary Basis, Subject to Refund (November 27, 2013).</w:t>
      </w:r>
    </w:p>
  </w:footnote>
  <w:footnote w:id="8">
    <w:p w14:paraId="6C454F7B" w14:textId="77777777" w:rsidR="002571FE" w:rsidRPr="003A7E01" w:rsidRDefault="002571FE" w:rsidP="003A7E01">
      <w:pPr>
        <w:pStyle w:val="FootnoteText"/>
        <w:spacing w:after="120"/>
        <w:rPr>
          <w:sz w:val="22"/>
          <w:szCs w:val="22"/>
        </w:rPr>
      </w:pPr>
      <w:r w:rsidRPr="003A7E01">
        <w:rPr>
          <w:rStyle w:val="FootnoteReference"/>
          <w:sz w:val="22"/>
          <w:szCs w:val="22"/>
        </w:rPr>
        <w:footnoteRef/>
      </w:r>
      <w:r w:rsidRPr="003A7E01">
        <w:rPr>
          <w:sz w:val="22"/>
          <w:szCs w:val="22"/>
        </w:rPr>
        <w:t xml:space="preserve"> </w:t>
      </w:r>
      <w:r w:rsidRPr="003A7E01">
        <w:rPr>
          <w:i/>
          <w:sz w:val="22"/>
          <w:szCs w:val="22"/>
        </w:rPr>
        <w:t>Id.</w:t>
      </w:r>
      <w:r w:rsidRPr="003A7E01">
        <w:rPr>
          <w:sz w:val="22"/>
          <w:szCs w:val="22"/>
        </w:rPr>
        <w:t>, ¶ 4.</w:t>
      </w:r>
    </w:p>
  </w:footnote>
  <w:footnote w:id="9">
    <w:p w14:paraId="3A070E68" w14:textId="77777777" w:rsidR="00143E60" w:rsidRPr="003A7E01" w:rsidRDefault="00143E60" w:rsidP="003A7E01">
      <w:pPr>
        <w:pStyle w:val="FootnoteText"/>
        <w:spacing w:after="120"/>
        <w:rPr>
          <w:sz w:val="22"/>
          <w:szCs w:val="22"/>
        </w:rPr>
      </w:pPr>
      <w:r w:rsidRPr="003A7E01">
        <w:rPr>
          <w:rStyle w:val="FootnoteReference"/>
          <w:sz w:val="22"/>
          <w:szCs w:val="22"/>
        </w:rPr>
        <w:footnoteRef/>
      </w:r>
      <w:r w:rsidRPr="003A7E01">
        <w:rPr>
          <w:sz w:val="22"/>
          <w:szCs w:val="22"/>
        </w:rPr>
        <w:t xml:space="preserve"> Declaration, ¶ 3.</w:t>
      </w:r>
    </w:p>
  </w:footnote>
  <w:footnote w:id="10">
    <w:p w14:paraId="3BC074D6" w14:textId="77777777" w:rsidR="00162ADE" w:rsidRPr="003A7E01" w:rsidRDefault="00162ADE" w:rsidP="003A7E01">
      <w:pPr>
        <w:pStyle w:val="FootnoteText"/>
        <w:spacing w:after="120"/>
        <w:rPr>
          <w:sz w:val="22"/>
          <w:szCs w:val="22"/>
        </w:rPr>
      </w:pPr>
      <w:r w:rsidRPr="003A7E01">
        <w:rPr>
          <w:rStyle w:val="FootnoteReference"/>
          <w:sz w:val="22"/>
          <w:szCs w:val="22"/>
        </w:rPr>
        <w:footnoteRef/>
      </w:r>
      <w:r w:rsidRPr="003A7E01">
        <w:rPr>
          <w:sz w:val="22"/>
          <w:szCs w:val="22"/>
        </w:rPr>
        <w:t xml:space="preserve"> </w:t>
      </w:r>
      <w:r w:rsidRPr="003A7E01">
        <w:rPr>
          <w:i/>
          <w:sz w:val="22"/>
          <w:szCs w:val="22"/>
        </w:rPr>
        <w:t>Id.</w:t>
      </w:r>
    </w:p>
  </w:footnote>
  <w:footnote w:id="11">
    <w:p w14:paraId="614F1367" w14:textId="77777777" w:rsidR="00D37243" w:rsidRDefault="00D37243" w:rsidP="003A7E01">
      <w:pPr>
        <w:pStyle w:val="FootnoteText"/>
        <w:spacing w:after="120"/>
      </w:pPr>
      <w:r w:rsidRPr="003A7E01">
        <w:rPr>
          <w:rStyle w:val="FootnoteReference"/>
          <w:sz w:val="22"/>
          <w:szCs w:val="22"/>
        </w:rPr>
        <w:footnoteRef/>
      </w:r>
      <w:r w:rsidRPr="003A7E01">
        <w:rPr>
          <w:sz w:val="22"/>
          <w:szCs w:val="22"/>
        </w:rPr>
        <w:t xml:space="preserve"> </w:t>
      </w:r>
      <w:r w:rsidRPr="003A7E01">
        <w:rPr>
          <w:i/>
          <w:sz w:val="22"/>
          <w:szCs w:val="22"/>
        </w:rPr>
        <w:t>Id</w:t>
      </w:r>
      <w:r w:rsidRPr="003A7E01">
        <w:rPr>
          <w:sz w:val="22"/>
          <w:szCs w:val="22"/>
        </w:rPr>
        <w:t>.</w:t>
      </w:r>
    </w:p>
  </w:footnote>
  <w:footnote w:id="12">
    <w:p w14:paraId="31A83235" w14:textId="77777777" w:rsidR="00570218" w:rsidRDefault="00570218" w:rsidP="003A7E01">
      <w:pPr>
        <w:pStyle w:val="FootnoteText"/>
        <w:spacing w:after="120"/>
      </w:pPr>
      <w:r w:rsidRPr="00570218">
        <w:rPr>
          <w:rStyle w:val="FootnoteReference"/>
          <w:sz w:val="22"/>
        </w:rPr>
        <w:footnoteRef/>
      </w:r>
      <w:r>
        <w:rPr>
          <w:sz w:val="22"/>
        </w:rPr>
        <w:t xml:space="preserve"> </w:t>
      </w:r>
      <w:r w:rsidRPr="003A7E01">
        <w:rPr>
          <w:i/>
          <w:sz w:val="22"/>
        </w:rPr>
        <w:t>Id</w:t>
      </w:r>
      <w:r>
        <w:rPr>
          <w:sz w:val="22"/>
        </w:rPr>
        <w:t>., ¶ 4.</w:t>
      </w:r>
      <w:r w:rsidRPr="00570218">
        <w:rPr>
          <w:sz w:val="22"/>
        </w:rPr>
        <w:t xml:space="preserve"> </w:t>
      </w:r>
    </w:p>
  </w:footnote>
  <w:footnote w:id="13">
    <w:p w14:paraId="1C9AE24A" w14:textId="77777777" w:rsidR="0008520A" w:rsidRDefault="0008520A" w:rsidP="003A7E01">
      <w:pPr>
        <w:pStyle w:val="FootnoteText"/>
        <w:spacing w:after="120"/>
      </w:pPr>
      <w:r w:rsidRPr="0008520A">
        <w:rPr>
          <w:rStyle w:val="FootnoteReference"/>
          <w:sz w:val="22"/>
        </w:rPr>
        <w:footnoteRef/>
      </w:r>
      <w:r w:rsidRPr="0008520A">
        <w:rPr>
          <w:sz w:val="22"/>
        </w:rPr>
        <w:t xml:space="preserve"> </w:t>
      </w:r>
      <w:r>
        <w:rPr>
          <w:sz w:val="22"/>
        </w:rPr>
        <w:t>Staff’s Response, ¶ 3.</w:t>
      </w:r>
    </w:p>
  </w:footnote>
  <w:footnote w:id="14">
    <w:p w14:paraId="7CE7EBD9" w14:textId="77777777" w:rsidR="00E64B5A" w:rsidRDefault="00E64B5A" w:rsidP="003A7E01">
      <w:pPr>
        <w:pStyle w:val="FootnoteText"/>
        <w:spacing w:after="120"/>
      </w:pPr>
      <w:r w:rsidRPr="00E64B5A">
        <w:rPr>
          <w:rStyle w:val="FootnoteReference"/>
          <w:sz w:val="22"/>
        </w:rPr>
        <w:footnoteRef/>
      </w:r>
      <w:r w:rsidRPr="00E64B5A">
        <w:rPr>
          <w:sz w:val="22"/>
        </w:rPr>
        <w:t xml:space="preserve"> </w:t>
      </w:r>
      <w:r w:rsidRPr="003A7E01">
        <w:rPr>
          <w:i/>
          <w:sz w:val="22"/>
        </w:rPr>
        <w:t>Id.</w:t>
      </w:r>
      <w:r w:rsidR="0048208E">
        <w:rPr>
          <w:sz w:val="22"/>
        </w:rPr>
        <w:t xml:space="preserve">  </w:t>
      </w:r>
      <w:r w:rsidR="0048208E" w:rsidRPr="0048208E">
        <w:rPr>
          <w:sz w:val="22"/>
          <w:szCs w:val="25"/>
        </w:rPr>
        <w:t>Staff states that it cannot take a position on the Company’s claim that it has violated its affiliates’ loan covenants as WCI has not provided the specific loan details.</w:t>
      </w:r>
      <w:r w:rsidR="0048208E">
        <w:rPr>
          <w:sz w:val="22"/>
          <w:szCs w:val="25"/>
        </w:rPr>
        <w:t xml:space="preserve">  Id., ¶ 6.  Instead, Staff argues that the Company’s Motion and supporting Declaration </w:t>
      </w:r>
      <w:r w:rsidR="000C1BA0">
        <w:rPr>
          <w:sz w:val="22"/>
          <w:szCs w:val="25"/>
        </w:rPr>
        <w:t>support Staff’s broader contention that WCI and its various affiliates are entangled.</w:t>
      </w:r>
    </w:p>
  </w:footnote>
  <w:footnote w:id="15">
    <w:p w14:paraId="684FE229" w14:textId="77777777" w:rsidR="0097288C" w:rsidRDefault="0097288C" w:rsidP="003A7E01">
      <w:pPr>
        <w:pStyle w:val="FootnoteText"/>
        <w:spacing w:after="120"/>
      </w:pPr>
      <w:r w:rsidRPr="0097288C">
        <w:rPr>
          <w:rStyle w:val="FootnoteReference"/>
          <w:sz w:val="22"/>
        </w:rPr>
        <w:footnoteRef/>
      </w:r>
      <w:r w:rsidRPr="0097288C">
        <w:rPr>
          <w:sz w:val="22"/>
        </w:rPr>
        <w:t xml:space="preserve"> </w:t>
      </w:r>
      <w:r>
        <w:rPr>
          <w:sz w:val="22"/>
        </w:rPr>
        <w:t>WRRA’s Response at 2.</w:t>
      </w:r>
    </w:p>
  </w:footnote>
  <w:footnote w:id="16">
    <w:p w14:paraId="5BA42253" w14:textId="77777777" w:rsidR="005C3BD0" w:rsidRDefault="005C3BD0" w:rsidP="003A7E01">
      <w:pPr>
        <w:pStyle w:val="FootnoteText"/>
        <w:spacing w:after="120"/>
      </w:pPr>
      <w:r w:rsidRPr="005C3BD0">
        <w:rPr>
          <w:rStyle w:val="FootnoteReference"/>
          <w:sz w:val="22"/>
        </w:rPr>
        <w:footnoteRef/>
      </w:r>
      <w:r w:rsidRPr="005C3BD0">
        <w:rPr>
          <w:sz w:val="22"/>
        </w:rPr>
        <w:t xml:space="preserve"> </w:t>
      </w:r>
      <w:r w:rsidRPr="003A7E01">
        <w:rPr>
          <w:i/>
          <w:sz w:val="22"/>
        </w:rPr>
        <w:t>Id</w:t>
      </w:r>
      <w:r>
        <w:rPr>
          <w:sz w:val="22"/>
        </w:rPr>
        <w:t>.</w:t>
      </w:r>
    </w:p>
  </w:footnote>
  <w:footnote w:id="17">
    <w:p w14:paraId="42C5A56A" w14:textId="77777777" w:rsidR="005C3BD0" w:rsidRDefault="005C3BD0" w:rsidP="003A7E01">
      <w:pPr>
        <w:pStyle w:val="FootnoteText"/>
        <w:spacing w:after="120"/>
      </w:pPr>
      <w:r w:rsidRPr="005C3BD0">
        <w:rPr>
          <w:rStyle w:val="FootnoteReference"/>
          <w:sz w:val="22"/>
        </w:rPr>
        <w:footnoteRef/>
      </w:r>
      <w:r w:rsidRPr="005C3BD0">
        <w:rPr>
          <w:sz w:val="22"/>
        </w:rPr>
        <w:t xml:space="preserve"> </w:t>
      </w:r>
      <w:r w:rsidR="009A7965">
        <w:rPr>
          <w:sz w:val="22"/>
        </w:rPr>
        <w:t xml:space="preserve">WCI’s Reply, ¶ 3.  </w:t>
      </w:r>
      <w:r w:rsidR="009A7965" w:rsidRPr="009A7965">
        <w:rPr>
          <w:sz w:val="22"/>
          <w:szCs w:val="25"/>
        </w:rPr>
        <w:t>WCI does take issue with Staff’s characterization “that the loan covenants affecting all six Waste Control Companies are intertwined to the extent that cross-collateralization or interdependent financing arrangements enable ‘piercing of the corporate veil’ for the purpose of constructing theories in allowing aggregation of capital structures for affiliate returns on rental properties.”</w:t>
      </w:r>
      <w:r w:rsidR="009A7965">
        <w:rPr>
          <w:sz w:val="22"/>
          <w:szCs w:val="25"/>
        </w:rPr>
        <w:t xml:space="preserve">  Id., </w:t>
      </w:r>
      <w:r w:rsidR="009A7965">
        <w:rPr>
          <w:sz w:val="22"/>
        </w:rPr>
        <w:t>¶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F565D" w14:textId="77777777" w:rsidR="00B415A7" w:rsidRDefault="00B41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86C2F" w14:textId="77777777" w:rsidR="00CB0B3E" w:rsidRPr="00F523EC" w:rsidRDefault="00CB0B3E" w:rsidP="003A7E01">
    <w:pPr>
      <w:pStyle w:val="Header"/>
      <w:tabs>
        <w:tab w:val="clear" w:pos="8640"/>
        <w:tab w:val="right" w:pos="8460"/>
      </w:tabs>
      <w:rPr>
        <w:rStyle w:val="PageNumber"/>
        <w:b/>
        <w:bCs/>
        <w:sz w:val="20"/>
      </w:rPr>
    </w:pPr>
    <w:r>
      <w:rPr>
        <w:b/>
        <w:bCs/>
        <w:sz w:val="20"/>
      </w:rPr>
      <w:t>DOCKET TG-1</w:t>
    </w:r>
    <w:r w:rsidR="00D52958">
      <w:rPr>
        <w:b/>
        <w:bCs/>
        <w:sz w:val="20"/>
      </w:rPr>
      <w:t>40560</w:t>
    </w:r>
    <w:r w:rsidRPr="00F523EC">
      <w:rPr>
        <w:b/>
        <w:bCs/>
        <w:sz w:val="20"/>
      </w:rPr>
      <w:tab/>
    </w:r>
    <w:r w:rsidRPr="00F523EC">
      <w:rPr>
        <w:b/>
        <w:bCs/>
        <w:sz w:val="20"/>
      </w:rPr>
      <w:tab/>
      <w:t xml:space="preserve">PAGE </w:t>
    </w:r>
    <w:r w:rsidRPr="00F523EC">
      <w:rPr>
        <w:rStyle w:val="PageNumber"/>
        <w:b/>
        <w:bCs/>
        <w:sz w:val="20"/>
      </w:rPr>
      <w:fldChar w:fldCharType="begin"/>
    </w:r>
    <w:r w:rsidRPr="00F523EC">
      <w:rPr>
        <w:rStyle w:val="PageNumber"/>
        <w:b/>
        <w:bCs/>
        <w:sz w:val="20"/>
      </w:rPr>
      <w:instrText xml:space="preserve"> PAGE </w:instrText>
    </w:r>
    <w:r w:rsidRPr="00F523EC">
      <w:rPr>
        <w:rStyle w:val="PageNumber"/>
        <w:b/>
        <w:bCs/>
        <w:sz w:val="20"/>
      </w:rPr>
      <w:fldChar w:fldCharType="separate"/>
    </w:r>
    <w:r w:rsidR="00D25048">
      <w:rPr>
        <w:rStyle w:val="PageNumber"/>
        <w:b/>
        <w:bCs/>
        <w:noProof/>
        <w:sz w:val="20"/>
      </w:rPr>
      <w:t>4</w:t>
    </w:r>
    <w:r w:rsidRPr="00F523EC">
      <w:rPr>
        <w:rStyle w:val="PageNumber"/>
        <w:b/>
        <w:bCs/>
        <w:sz w:val="20"/>
      </w:rPr>
      <w:fldChar w:fldCharType="end"/>
    </w:r>
  </w:p>
  <w:p w14:paraId="227B43C2" w14:textId="77777777" w:rsidR="00CB0B3E" w:rsidRPr="00F523EC" w:rsidRDefault="00CB0B3E">
    <w:pPr>
      <w:pStyle w:val="Header"/>
      <w:rPr>
        <w:rStyle w:val="PageNumber"/>
        <w:b/>
        <w:bCs/>
        <w:sz w:val="20"/>
      </w:rPr>
    </w:pPr>
    <w:r w:rsidRPr="00F523EC">
      <w:rPr>
        <w:rStyle w:val="PageNumber"/>
        <w:b/>
        <w:bCs/>
        <w:sz w:val="20"/>
      </w:rPr>
      <w:t xml:space="preserve">ORDER </w:t>
    </w:r>
    <w:r w:rsidR="00D72104">
      <w:rPr>
        <w:rStyle w:val="PageNumber"/>
        <w:b/>
        <w:bCs/>
        <w:sz w:val="20"/>
      </w:rPr>
      <w:t>11</w:t>
    </w:r>
  </w:p>
  <w:p w14:paraId="6DE3268A" w14:textId="77777777" w:rsidR="00CB0B3E" w:rsidRPr="00F523EC" w:rsidRDefault="00CB0B3E">
    <w:pPr>
      <w:pStyle w:val="Header"/>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4FA93" w14:textId="1E892E09" w:rsidR="00B415A7" w:rsidRPr="00B415A7" w:rsidRDefault="00B415A7" w:rsidP="00B415A7">
    <w:pPr>
      <w:pStyle w:val="Header"/>
      <w:tabs>
        <w:tab w:val="clear" w:pos="8640"/>
        <w:tab w:val="right" w:pos="8550"/>
      </w:tabs>
      <w:jc w:val="right"/>
      <w:rPr>
        <w:b/>
        <w:sz w:val="20"/>
        <w:szCs w:val="20"/>
      </w:rPr>
    </w:pPr>
    <w:r>
      <w:rPr>
        <w:b/>
        <w:sz w:val="20"/>
        <w:szCs w:val="20"/>
      </w:rPr>
      <w:t>[Service date March 25, 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B15"/>
    <w:multiLevelType w:val="hybridMultilevel"/>
    <w:tmpl w:val="7DA8F474"/>
    <w:lvl w:ilvl="0" w:tplc="0E2E59A4">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71526"/>
    <w:multiLevelType w:val="hybridMultilevel"/>
    <w:tmpl w:val="276CB9F2"/>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E063A0"/>
    <w:multiLevelType w:val="hybridMultilevel"/>
    <w:tmpl w:val="9B72CAE0"/>
    <w:lvl w:ilvl="0" w:tplc="A51478C6">
      <w:start w:val="1"/>
      <w:numFmt w:val="decimal"/>
      <w:lvlText w:val="%1"/>
      <w:lvlJc w:val="left"/>
      <w:pPr>
        <w:tabs>
          <w:tab w:val="num" w:pos="0"/>
        </w:tabs>
        <w:ind w:left="0" w:hanging="720"/>
      </w:pPr>
      <w:rPr>
        <w:rFonts w:ascii="Times New Roman" w:hAnsi="Times New Roman"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B74294"/>
    <w:multiLevelType w:val="hybridMultilevel"/>
    <w:tmpl w:val="87BEFAA0"/>
    <w:lvl w:ilvl="0" w:tplc="4D2C0D2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F62854"/>
    <w:multiLevelType w:val="hybridMultilevel"/>
    <w:tmpl w:val="D576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80986"/>
    <w:multiLevelType w:val="hybridMultilevel"/>
    <w:tmpl w:val="88747476"/>
    <w:lvl w:ilvl="0" w:tplc="8E108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AA32DC"/>
    <w:multiLevelType w:val="hybridMultilevel"/>
    <w:tmpl w:val="08B429A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55"/>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1B"/>
    <w:rsid w:val="0000458E"/>
    <w:rsid w:val="00004AD9"/>
    <w:rsid w:val="00024CD1"/>
    <w:rsid w:val="000477A6"/>
    <w:rsid w:val="00061E67"/>
    <w:rsid w:val="00077947"/>
    <w:rsid w:val="00083556"/>
    <w:rsid w:val="0008520A"/>
    <w:rsid w:val="000A2E10"/>
    <w:rsid w:val="000A30D2"/>
    <w:rsid w:val="000A5CAE"/>
    <w:rsid w:val="000B4295"/>
    <w:rsid w:val="000C075B"/>
    <w:rsid w:val="000C1BA0"/>
    <w:rsid w:val="000C200E"/>
    <w:rsid w:val="000C468E"/>
    <w:rsid w:val="000D5F40"/>
    <w:rsid w:val="000D6A1B"/>
    <w:rsid w:val="000E14C0"/>
    <w:rsid w:val="000E4BC9"/>
    <w:rsid w:val="000E75B5"/>
    <w:rsid w:val="000F1D22"/>
    <w:rsid w:val="000F45EC"/>
    <w:rsid w:val="000F5E45"/>
    <w:rsid w:val="000F6A61"/>
    <w:rsid w:val="0011065E"/>
    <w:rsid w:val="0012336B"/>
    <w:rsid w:val="00143E60"/>
    <w:rsid w:val="00161DE2"/>
    <w:rsid w:val="00162ADE"/>
    <w:rsid w:val="00167B60"/>
    <w:rsid w:val="0017428F"/>
    <w:rsid w:val="00177BFE"/>
    <w:rsid w:val="00181093"/>
    <w:rsid w:val="001851E1"/>
    <w:rsid w:val="001922F7"/>
    <w:rsid w:val="001A2653"/>
    <w:rsid w:val="001B5A8E"/>
    <w:rsid w:val="001C097D"/>
    <w:rsid w:val="001C37C8"/>
    <w:rsid w:val="001C5C92"/>
    <w:rsid w:val="001C7685"/>
    <w:rsid w:val="001D2E1C"/>
    <w:rsid w:val="001E456A"/>
    <w:rsid w:val="00200E0C"/>
    <w:rsid w:val="00233306"/>
    <w:rsid w:val="00236A18"/>
    <w:rsid w:val="002458F0"/>
    <w:rsid w:val="00245E9C"/>
    <w:rsid w:val="002571FE"/>
    <w:rsid w:val="00257F90"/>
    <w:rsid w:val="0026515A"/>
    <w:rsid w:val="00272DB6"/>
    <w:rsid w:val="002841B6"/>
    <w:rsid w:val="002B02ED"/>
    <w:rsid w:val="002B7624"/>
    <w:rsid w:val="002D3B16"/>
    <w:rsid w:val="002D7538"/>
    <w:rsid w:val="002E263B"/>
    <w:rsid w:val="003215C9"/>
    <w:rsid w:val="00321F71"/>
    <w:rsid w:val="00337A90"/>
    <w:rsid w:val="00342C43"/>
    <w:rsid w:val="00343481"/>
    <w:rsid w:val="00354AD4"/>
    <w:rsid w:val="00373A0E"/>
    <w:rsid w:val="00382A8A"/>
    <w:rsid w:val="003A45CF"/>
    <w:rsid w:val="003A54DE"/>
    <w:rsid w:val="003A7E01"/>
    <w:rsid w:val="003B3E14"/>
    <w:rsid w:val="003C2893"/>
    <w:rsid w:val="003C3D41"/>
    <w:rsid w:val="003C400B"/>
    <w:rsid w:val="003D0A22"/>
    <w:rsid w:val="003D1190"/>
    <w:rsid w:val="003D6407"/>
    <w:rsid w:val="003D7633"/>
    <w:rsid w:val="003E7566"/>
    <w:rsid w:val="004059E6"/>
    <w:rsid w:val="00407582"/>
    <w:rsid w:val="00410180"/>
    <w:rsid w:val="00416DB9"/>
    <w:rsid w:val="00427395"/>
    <w:rsid w:val="00430B81"/>
    <w:rsid w:val="00434B19"/>
    <w:rsid w:val="00451653"/>
    <w:rsid w:val="00461360"/>
    <w:rsid w:val="004661ED"/>
    <w:rsid w:val="00474753"/>
    <w:rsid w:val="004806A5"/>
    <w:rsid w:val="0048208E"/>
    <w:rsid w:val="00483D29"/>
    <w:rsid w:val="004872D8"/>
    <w:rsid w:val="004876C4"/>
    <w:rsid w:val="004919CE"/>
    <w:rsid w:val="004B5BDF"/>
    <w:rsid w:val="004B7A43"/>
    <w:rsid w:val="004D4A06"/>
    <w:rsid w:val="004F0ABB"/>
    <w:rsid w:val="00504B40"/>
    <w:rsid w:val="00510CB7"/>
    <w:rsid w:val="00522BCC"/>
    <w:rsid w:val="0052470A"/>
    <w:rsid w:val="00532381"/>
    <w:rsid w:val="00533D33"/>
    <w:rsid w:val="00535C63"/>
    <w:rsid w:val="00554D04"/>
    <w:rsid w:val="005640E3"/>
    <w:rsid w:val="00570218"/>
    <w:rsid w:val="005711E5"/>
    <w:rsid w:val="00576CE9"/>
    <w:rsid w:val="00582A11"/>
    <w:rsid w:val="00585DDF"/>
    <w:rsid w:val="005872A3"/>
    <w:rsid w:val="00590813"/>
    <w:rsid w:val="005A10B4"/>
    <w:rsid w:val="005A3B4D"/>
    <w:rsid w:val="005A6611"/>
    <w:rsid w:val="005B1AAF"/>
    <w:rsid w:val="005B7124"/>
    <w:rsid w:val="005C3BD0"/>
    <w:rsid w:val="005D2FB0"/>
    <w:rsid w:val="005D7742"/>
    <w:rsid w:val="005E44A2"/>
    <w:rsid w:val="005E6F51"/>
    <w:rsid w:val="005E71D0"/>
    <w:rsid w:val="005F41C0"/>
    <w:rsid w:val="006034BA"/>
    <w:rsid w:val="00614AA9"/>
    <w:rsid w:val="00624601"/>
    <w:rsid w:val="006271E8"/>
    <w:rsid w:val="00640A79"/>
    <w:rsid w:val="00670B35"/>
    <w:rsid w:val="0067482D"/>
    <w:rsid w:val="00687C38"/>
    <w:rsid w:val="006B008C"/>
    <w:rsid w:val="006B237C"/>
    <w:rsid w:val="006C02B6"/>
    <w:rsid w:val="006C3612"/>
    <w:rsid w:val="006D2993"/>
    <w:rsid w:val="006E11B3"/>
    <w:rsid w:val="006F16E7"/>
    <w:rsid w:val="0071495E"/>
    <w:rsid w:val="00723E4D"/>
    <w:rsid w:val="00754749"/>
    <w:rsid w:val="00762917"/>
    <w:rsid w:val="00764701"/>
    <w:rsid w:val="00780175"/>
    <w:rsid w:val="00780C39"/>
    <w:rsid w:val="00790181"/>
    <w:rsid w:val="007931A3"/>
    <w:rsid w:val="00793ECE"/>
    <w:rsid w:val="007B09C5"/>
    <w:rsid w:val="007C6396"/>
    <w:rsid w:val="00815A2E"/>
    <w:rsid w:val="00817AF5"/>
    <w:rsid w:val="00835849"/>
    <w:rsid w:val="00841C4C"/>
    <w:rsid w:val="00843363"/>
    <w:rsid w:val="008446C2"/>
    <w:rsid w:val="00846882"/>
    <w:rsid w:val="0085210D"/>
    <w:rsid w:val="00855732"/>
    <w:rsid w:val="00861098"/>
    <w:rsid w:val="0086626A"/>
    <w:rsid w:val="00871AF0"/>
    <w:rsid w:val="00871C36"/>
    <w:rsid w:val="00881A92"/>
    <w:rsid w:val="0088564D"/>
    <w:rsid w:val="00892A0D"/>
    <w:rsid w:val="00894FB7"/>
    <w:rsid w:val="008B0AC8"/>
    <w:rsid w:val="008C0C7D"/>
    <w:rsid w:val="008C33FA"/>
    <w:rsid w:val="008C3602"/>
    <w:rsid w:val="008C67C4"/>
    <w:rsid w:val="008D1805"/>
    <w:rsid w:val="008D21B0"/>
    <w:rsid w:val="008D4922"/>
    <w:rsid w:val="008E2614"/>
    <w:rsid w:val="008F0E2D"/>
    <w:rsid w:val="008F1FCE"/>
    <w:rsid w:val="008F522B"/>
    <w:rsid w:val="00900204"/>
    <w:rsid w:val="009054DC"/>
    <w:rsid w:val="009203B6"/>
    <w:rsid w:val="00922D7C"/>
    <w:rsid w:val="00923999"/>
    <w:rsid w:val="00924E42"/>
    <w:rsid w:val="0092713B"/>
    <w:rsid w:val="00957479"/>
    <w:rsid w:val="00965F84"/>
    <w:rsid w:val="00972457"/>
    <w:rsid w:val="0097288C"/>
    <w:rsid w:val="00973B3C"/>
    <w:rsid w:val="00974227"/>
    <w:rsid w:val="0097454A"/>
    <w:rsid w:val="009766F2"/>
    <w:rsid w:val="0098396F"/>
    <w:rsid w:val="009872CB"/>
    <w:rsid w:val="009A1C87"/>
    <w:rsid w:val="009A7965"/>
    <w:rsid w:val="009B0D06"/>
    <w:rsid w:val="009B637B"/>
    <w:rsid w:val="009C6E59"/>
    <w:rsid w:val="009D1BF4"/>
    <w:rsid w:val="009E2E38"/>
    <w:rsid w:val="009F1C2A"/>
    <w:rsid w:val="009F53BE"/>
    <w:rsid w:val="00A01153"/>
    <w:rsid w:val="00A01AB3"/>
    <w:rsid w:val="00A05A5E"/>
    <w:rsid w:val="00A112E4"/>
    <w:rsid w:val="00A11DD7"/>
    <w:rsid w:val="00A12760"/>
    <w:rsid w:val="00A1514B"/>
    <w:rsid w:val="00A3253B"/>
    <w:rsid w:val="00A32770"/>
    <w:rsid w:val="00A44E5A"/>
    <w:rsid w:val="00A4735A"/>
    <w:rsid w:val="00A64AED"/>
    <w:rsid w:val="00A81DE4"/>
    <w:rsid w:val="00A84830"/>
    <w:rsid w:val="00A8530D"/>
    <w:rsid w:val="00A912B3"/>
    <w:rsid w:val="00AA1325"/>
    <w:rsid w:val="00AA3CB6"/>
    <w:rsid w:val="00AB67C7"/>
    <w:rsid w:val="00AD5050"/>
    <w:rsid w:val="00AE0AFD"/>
    <w:rsid w:val="00AE1B01"/>
    <w:rsid w:val="00AE1F2C"/>
    <w:rsid w:val="00AE2198"/>
    <w:rsid w:val="00AE5D30"/>
    <w:rsid w:val="00AF6C67"/>
    <w:rsid w:val="00B132CB"/>
    <w:rsid w:val="00B13450"/>
    <w:rsid w:val="00B13E27"/>
    <w:rsid w:val="00B154B4"/>
    <w:rsid w:val="00B415A7"/>
    <w:rsid w:val="00B42B7C"/>
    <w:rsid w:val="00B44ED0"/>
    <w:rsid w:val="00B4570A"/>
    <w:rsid w:val="00B56730"/>
    <w:rsid w:val="00B61BF7"/>
    <w:rsid w:val="00B62E0A"/>
    <w:rsid w:val="00B74567"/>
    <w:rsid w:val="00B7626D"/>
    <w:rsid w:val="00B767F2"/>
    <w:rsid w:val="00B8506F"/>
    <w:rsid w:val="00B857DC"/>
    <w:rsid w:val="00B91D7E"/>
    <w:rsid w:val="00BA3DC9"/>
    <w:rsid w:val="00BA4E78"/>
    <w:rsid w:val="00BA6928"/>
    <w:rsid w:val="00BA7554"/>
    <w:rsid w:val="00BB23F4"/>
    <w:rsid w:val="00BC1B21"/>
    <w:rsid w:val="00BF481F"/>
    <w:rsid w:val="00BF6AAC"/>
    <w:rsid w:val="00C134F7"/>
    <w:rsid w:val="00C2536E"/>
    <w:rsid w:val="00C27E41"/>
    <w:rsid w:val="00C35593"/>
    <w:rsid w:val="00C50397"/>
    <w:rsid w:val="00C508F7"/>
    <w:rsid w:val="00C562F9"/>
    <w:rsid w:val="00C6151D"/>
    <w:rsid w:val="00C81123"/>
    <w:rsid w:val="00CA2649"/>
    <w:rsid w:val="00CB0B3E"/>
    <w:rsid w:val="00CC0361"/>
    <w:rsid w:val="00CC64FE"/>
    <w:rsid w:val="00CD3241"/>
    <w:rsid w:val="00CE551A"/>
    <w:rsid w:val="00CE7B4B"/>
    <w:rsid w:val="00CF6028"/>
    <w:rsid w:val="00D0002C"/>
    <w:rsid w:val="00D0311D"/>
    <w:rsid w:val="00D03BB4"/>
    <w:rsid w:val="00D25048"/>
    <w:rsid w:val="00D252EF"/>
    <w:rsid w:val="00D37243"/>
    <w:rsid w:val="00D47014"/>
    <w:rsid w:val="00D4753C"/>
    <w:rsid w:val="00D52958"/>
    <w:rsid w:val="00D53941"/>
    <w:rsid w:val="00D55305"/>
    <w:rsid w:val="00D578E3"/>
    <w:rsid w:val="00D72104"/>
    <w:rsid w:val="00D80B74"/>
    <w:rsid w:val="00D8388C"/>
    <w:rsid w:val="00DA2E16"/>
    <w:rsid w:val="00DA3D48"/>
    <w:rsid w:val="00DC39A1"/>
    <w:rsid w:val="00DC3D40"/>
    <w:rsid w:val="00DC5382"/>
    <w:rsid w:val="00DC5E5B"/>
    <w:rsid w:val="00DD0DE6"/>
    <w:rsid w:val="00DF4C0E"/>
    <w:rsid w:val="00DF7FC4"/>
    <w:rsid w:val="00E127E1"/>
    <w:rsid w:val="00E3735C"/>
    <w:rsid w:val="00E37F95"/>
    <w:rsid w:val="00E50DC4"/>
    <w:rsid w:val="00E61EF1"/>
    <w:rsid w:val="00E6207E"/>
    <w:rsid w:val="00E64B5A"/>
    <w:rsid w:val="00E6570A"/>
    <w:rsid w:val="00E700E9"/>
    <w:rsid w:val="00E720B0"/>
    <w:rsid w:val="00E7459E"/>
    <w:rsid w:val="00E77771"/>
    <w:rsid w:val="00E77C95"/>
    <w:rsid w:val="00E77D3F"/>
    <w:rsid w:val="00E87F73"/>
    <w:rsid w:val="00E93208"/>
    <w:rsid w:val="00E972FD"/>
    <w:rsid w:val="00EA2C88"/>
    <w:rsid w:val="00EC3B3D"/>
    <w:rsid w:val="00ED249B"/>
    <w:rsid w:val="00EE31EA"/>
    <w:rsid w:val="00EE5CE7"/>
    <w:rsid w:val="00EF45DF"/>
    <w:rsid w:val="00F01266"/>
    <w:rsid w:val="00F12196"/>
    <w:rsid w:val="00F24673"/>
    <w:rsid w:val="00F326EC"/>
    <w:rsid w:val="00F342D5"/>
    <w:rsid w:val="00F4081F"/>
    <w:rsid w:val="00F523EC"/>
    <w:rsid w:val="00F578A6"/>
    <w:rsid w:val="00F7532D"/>
    <w:rsid w:val="00F84B35"/>
    <w:rsid w:val="00F97419"/>
    <w:rsid w:val="00FA06D9"/>
    <w:rsid w:val="00FC630D"/>
    <w:rsid w:val="00FC741B"/>
    <w:rsid w:val="00FD16D5"/>
    <w:rsid w:val="00FE42B4"/>
    <w:rsid w:val="00FF57EC"/>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951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Arial" w:hAnsi="Arial" w:cs="Arial"/>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link w:val="Heading3Char"/>
    <w:uiPriority w:val="9"/>
    <w:semiHidden/>
    <w:unhideWhenUsed/>
    <w:qFormat/>
    <w:rsid w:val="00024C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5040" w:firstLine="8640"/>
    </w:pPr>
    <w:rPr>
      <w:rFonts w:ascii="Palatino Linotype" w:hAnsi="Palatino Linotype" w:cs="Arial"/>
    </w:rPr>
  </w:style>
  <w:style w:type="paragraph" w:styleId="BodyTextIndent2">
    <w:name w:val="Body Text Indent 2"/>
    <w:basedOn w:val="Normal"/>
    <w:semiHidden/>
    <w:pPr>
      <w:ind w:left="385"/>
    </w:pPr>
    <w:rPr>
      <w:rFonts w:ascii="Palatino Linotype" w:hAnsi="Palatino Linotype"/>
    </w:rPr>
  </w:style>
  <w:style w:type="character" w:styleId="CommentReference">
    <w:name w:val="annotation reference"/>
    <w:uiPriority w:val="99"/>
    <w:semiHidden/>
    <w:unhideWhenUsed/>
    <w:rsid w:val="00A1514B"/>
    <w:rPr>
      <w:sz w:val="16"/>
      <w:szCs w:val="16"/>
    </w:rPr>
  </w:style>
  <w:style w:type="paragraph" w:styleId="CommentText">
    <w:name w:val="annotation text"/>
    <w:basedOn w:val="Normal"/>
    <w:link w:val="CommentTextChar"/>
    <w:uiPriority w:val="99"/>
    <w:semiHidden/>
    <w:unhideWhenUsed/>
    <w:rsid w:val="00A1514B"/>
    <w:rPr>
      <w:sz w:val="20"/>
      <w:szCs w:val="20"/>
    </w:rPr>
  </w:style>
  <w:style w:type="character" w:customStyle="1" w:styleId="CommentTextChar">
    <w:name w:val="Comment Text Char"/>
    <w:basedOn w:val="DefaultParagraphFont"/>
    <w:link w:val="CommentText"/>
    <w:uiPriority w:val="99"/>
    <w:semiHidden/>
    <w:rsid w:val="00A1514B"/>
  </w:style>
  <w:style w:type="paragraph" w:styleId="CommentSubject">
    <w:name w:val="annotation subject"/>
    <w:basedOn w:val="CommentText"/>
    <w:next w:val="CommentText"/>
    <w:link w:val="CommentSubjectChar"/>
    <w:uiPriority w:val="99"/>
    <w:semiHidden/>
    <w:unhideWhenUsed/>
    <w:rsid w:val="00A1514B"/>
    <w:rPr>
      <w:b/>
      <w:bCs/>
    </w:rPr>
  </w:style>
  <w:style w:type="character" w:customStyle="1" w:styleId="CommentSubjectChar">
    <w:name w:val="Comment Subject Char"/>
    <w:link w:val="CommentSubject"/>
    <w:uiPriority w:val="99"/>
    <w:semiHidden/>
    <w:rsid w:val="00A1514B"/>
    <w:rPr>
      <w:b/>
      <w:bCs/>
    </w:rPr>
  </w:style>
  <w:style w:type="paragraph" w:styleId="BalloonText">
    <w:name w:val="Balloon Text"/>
    <w:basedOn w:val="Normal"/>
    <w:link w:val="BalloonTextChar"/>
    <w:uiPriority w:val="99"/>
    <w:semiHidden/>
    <w:unhideWhenUsed/>
    <w:rsid w:val="00A1514B"/>
    <w:rPr>
      <w:rFonts w:ascii="Tahoma" w:hAnsi="Tahoma" w:cs="Tahoma"/>
      <w:sz w:val="16"/>
      <w:szCs w:val="16"/>
    </w:rPr>
  </w:style>
  <w:style w:type="character" w:customStyle="1" w:styleId="BalloonTextChar">
    <w:name w:val="Balloon Text Char"/>
    <w:link w:val="BalloonText"/>
    <w:uiPriority w:val="99"/>
    <w:semiHidden/>
    <w:rsid w:val="00A1514B"/>
    <w:rPr>
      <w:rFonts w:ascii="Tahoma" w:hAnsi="Tahoma" w:cs="Tahoma"/>
      <w:sz w:val="16"/>
      <w:szCs w:val="16"/>
    </w:rPr>
  </w:style>
  <w:style w:type="table" w:styleId="TableGrid">
    <w:name w:val="Table Grid"/>
    <w:basedOn w:val="TableNormal"/>
    <w:uiPriority w:val="59"/>
    <w:rsid w:val="0089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C92"/>
    <w:pPr>
      <w:ind w:left="720"/>
      <w:contextualSpacing/>
    </w:pPr>
  </w:style>
  <w:style w:type="character" w:styleId="Hyperlink">
    <w:name w:val="Hyperlink"/>
    <w:uiPriority w:val="99"/>
    <w:rsid w:val="004059E6"/>
    <w:rPr>
      <w:color w:val="0000FF"/>
      <w:u w:val="single"/>
    </w:rPr>
  </w:style>
  <w:style w:type="character" w:customStyle="1" w:styleId="HeaderChar">
    <w:name w:val="Header Char"/>
    <w:link w:val="Header"/>
    <w:uiPriority w:val="99"/>
    <w:rsid w:val="004059E6"/>
    <w:rPr>
      <w:sz w:val="24"/>
      <w:szCs w:val="24"/>
    </w:rPr>
  </w:style>
  <w:style w:type="character" w:customStyle="1" w:styleId="Heading3Char">
    <w:name w:val="Heading 3 Char"/>
    <w:basedOn w:val="DefaultParagraphFont"/>
    <w:link w:val="Heading3"/>
    <w:uiPriority w:val="9"/>
    <w:semiHidden/>
    <w:rsid w:val="00024CD1"/>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6D2993"/>
    <w:rPr>
      <w:sz w:val="20"/>
      <w:szCs w:val="20"/>
    </w:rPr>
  </w:style>
  <w:style w:type="character" w:customStyle="1" w:styleId="FootnoteTextChar">
    <w:name w:val="Footnote Text Char"/>
    <w:basedOn w:val="DefaultParagraphFont"/>
    <w:link w:val="FootnoteText"/>
    <w:uiPriority w:val="99"/>
    <w:semiHidden/>
    <w:rsid w:val="006D2993"/>
  </w:style>
  <w:style w:type="character" w:styleId="FootnoteReference">
    <w:name w:val="footnote reference"/>
    <w:basedOn w:val="DefaultParagraphFont"/>
    <w:uiPriority w:val="99"/>
    <w:semiHidden/>
    <w:unhideWhenUsed/>
    <w:rsid w:val="006D2993"/>
    <w:rPr>
      <w:vertAlign w:val="superscript"/>
    </w:rPr>
  </w:style>
  <w:style w:type="paragraph" w:styleId="Revision">
    <w:name w:val="Revision"/>
    <w:hidden/>
    <w:uiPriority w:val="99"/>
    <w:semiHidden/>
    <w:rsid w:val="000E75B5"/>
    <w:rPr>
      <w:sz w:val="24"/>
      <w:szCs w:val="24"/>
    </w:rPr>
  </w:style>
  <w:style w:type="paragraph" w:styleId="NoSpacing">
    <w:name w:val="No Spacing"/>
    <w:uiPriority w:val="1"/>
    <w:qFormat/>
    <w:rsid w:val="006B237C"/>
    <w:rPr>
      <w:rFonts w:eastAsia="Calibri"/>
      <w:sz w:val="25"/>
      <w:szCs w:val="22"/>
    </w:rPr>
  </w:style>
  <w:style w:type="paragraph" w:customStyle="1" w:styleId="Findings">
    <w:name w:val="Findings"/>
    <w:basedOn w:val="Normal"/>
    <w:rsid w:val="003A45C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Formal</CaseStatus>
    <OpenedDate xmlns="dc463f71-b30c-4ab2-9473-d307f9d35888">2014-04-03T07:00:00+00:00</OpenedDate>
    <Date1 xmlns="dc463f71-b30c-4ab2-9473-d307f9d35888">2015-03-25T07:00:00+00:00</Date1>
    <IsDocumentOrder xmlns="dc463f71-b30c-4ab2-9473-d307f9d35888">true</IsDocumentOrder>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9EC7E-FE11-4CCA-8F04-DAF4911F42D6}"/>
</file>

<file path=customXml/itemProps2.xml><?xml version="1.0" encoding="utf-8"?>
<ds:datastoreItem xmlns:ds="http://schemas.openxmlformats.org/officeDocument/2006/customXml" ds:itemID="{DD563658-54AC-4A39-8309-B0C76F95265B}"/>
</file>

<file path=customXml/itemProps3.xml><?xml version="1.0" encoding="utf-8"?>
<ds:datastoreItem xmlns:ds="http://schemas.openxmlformats.org/officeDocument/2006/customXml" ds:itemID="{1AF051F3-19CA-4201-9C70-744504939A59}"/>
</file>

<file path=customXml/itemProps4.xml><?xml version="1.0" encoding="utf-8"?>
<ds:datastoreItem xmlns:ds="http://schemas.openxmlformats.org/officeDocument/2006/customXml" ds:itemID="{7FBF3E74-1F40-4A07-8611-8AFDFA1808DA}"/>
</file>

<file path=customXml/itemProps5.xml><?xml version="1.0" encoding="utf-8"?>
<ds:datastoreItem xmlns:ds="http://schemas.openxmlformats.org/officeDocument/2006/customXml" ds:itemID="{490C7678-463F-4124-AF47-366EE2563037}"/>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2015-03-25T17:37:00Z</dcterms:created>
  <dcterms:modified xsi:type="dcterms:W3CDTF">2015-03-25T17:37:00Z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