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AA" w:rsidRDefault="00E817DC" w:rsidP="00AD3312">
      <w:pPr>
        <w:rPr>
          <w:rFonts w:ascii="Times New Roman" w:hAnsi="Times New Roman" w:cs="Times New Roman"/>
          <w:b/>
          <w:sz w:val="24"/>
          <w:szCs w:val="24"/>
        </w:rPr>
      </w:pPr>
      <w:r w:rsidRPr="00CE3C00">
        <w:rPr>
          <w:rFonts w:ascii="Times New Roman" w:hAnsi="Times New Roman" w:cs="Times New Roman"/>
          <w:b/>
          <w:sz w:val="24"/>
          <w:szCs w:val="24"/>
        </w:rPr>
        <w:t xml:space="preserve">Portland General Electric Company </w:t>
      </w:r>
      <w:bookmarkStart w:id="0" w:name="_GoBack"/>
      <w:bookmarkEnd w:id="0"/>
    </w:p>
    <w:p w:rsidR="002C039A" w:rsidRPr="00CE3C00" w:rsidRDefault="00E817DC" w:rsidP="00AD3312">
      <w:pPr>
        <w:rPr>
          <w:rFonts w:ascii="Times New Roman" w:hAnsi="Times New Roman" w:cs="Times New Roman"/>
          <w:b/>
          <w:sz w:val="24"/>
          <w:szCs w:val="24"/>
        </w:rPr>
      </w:pPr>
      <w:proofErr w:type="spellStart"/>
      <w:r w:rsidRPr="00CE3C00">
        <w:rPr>
          <w:rFonts w:ascii="Times New Roman" w:hAnsi="Times New Roman" w:cs="Times New Roman"/>
          <w:b/>
          <w:sz w:val="24"/>
          <w:szCs w:val="24"/>
        </w:rPr>
        <w:t>Disp</w:t>
      </w:r>
      <w:r w:rsidR="00B47CC8">
        <w:rPr>
          <w:rFonts w:ascii="Times New Roman" w:hAnsi="Times New Roman" w:cs="Times New Roman"/>
          <w:b/>
          <w:sz w:val="24"/>
          <w:szCs w:val="24"/>
        </w:rPr>
        <w:t>a</w:t>
      </w:r>
      <w:r w:rsidRPr="00CE3C00">
        <w:rPr>
          <w:rFonts w:ascii="Times New Roman" w:hAnsi="Times New Roman" w:cs="Times New Roman"/>
          <w:b/>
          <w:sz w:val="24"/>
          <w:szCs w:val="24"/>
        </w:rPr>
        <w:t>t</w:t>
      </w:r>
      <w:r w:rsidR="00B47CC8">
        <w:rPr>
          <w:rFonts w:ascii="Times New Roman" w:hAnsi="Times New Roman" w:cs="Times New Roman"/>
          <w:b/>
          <w:sz w:val="24"/>
          <w:szCs w:val="24"/>
        </w:rPr>
        <w:t>cha</w:t>
      </w:r>
      <w:r w:rsidRPr="00CE3C00">
        <w:rPr>
          <w:rFonts w:ascii="Times New Roman" w:hAnsi="Times New Roman" w:cs="Times New Roman"/>
          <w:b/>
          <w:sz w:val="24"/>
          <w:szCs w:val="24"/>
        </w:rPr>
        <w:t>ble</w:t>
      </w:r>
      <w:proofErr w:type="spellEnd"/>
      <w:r w:rsidRPr="00CE3C00">
        <w:rPr>
          <w:rFonts w:ascii="Times New Roman" w:hAnsi="Times New Roman" w:cs="Times New Roman"/>
          <w:b/>
          <w:sz w:val="24"/>
          <w:szCs w:val="24"/>
        </w:rPr>
        <w:t xml:space="preserve"> Standby Generation (</w:t>
      </w:r>
      <w:proofErr w:type="spellStart"/>
      <w:r w:rsidRPr="00CE3C00">
        <w:rPr>
          <w:rFonts w:ascii="Times New Roman" w:hAnsi="Times New Roman" w:cs="Times New Roman"/>
          <w:b/>
          <w:sz w:val="24"/>
          <w:szCs w:val="24"/>
        </w:rPr>
        <w:t>DSG</w:t>
      </w:r>
      <w:proofErr w:type="spellEnd"/>
      <w:r w:rsidRPr="00CE3C00">
        <w:rPr>
          <w:rFonts w:ascii="Times New Roman" w:hAnsi="Times New Roman" w:cs="Times New Roman"/>
          <w:b/>
          <w:sz w:val="24"/>
          <w:szCs w:val="24"/>
        </w:rPr>
        <w:t>) Contact Log</w:t>
      </w:r>
    </w:p>
    <w:p w:rsidR="00E817DC" w:rsidRDefault="00E817DC" w:rsidP="00AD3312">
      <w:pPr>
        <w:rPr>
          <w:rFonts w:ascii="Times New Roman" w:hAnsi="Times New Roman" w:cs="Times New Roman"/>
          <w:sz w:val="24"/>
          <w:szCs w:val="24"/>
        </w:rPr>
      </w:pPr>
    </w:p>
    <w:p w:rsidR="00BC74AA" w:rsidRDefault="00BC74AA" w:rsidP="00AD3312">
      <w:pPr>
        <w:rPr>
          <w:rFonts w:ascii="Times New Roman" w:hAnsi="Times New Roman" w:cs="Times New Roman"/>
          <w:sz w:val="24"/>
          <w:szCs w:val="24"/>
        </w:rPr>
      </w:pPr>
      <w:r>
        <w:rPr>
          <w:rFonts w:ascii="Times New Roman" w:hAnsi="Times New Roman" w:cs="Times New Roman"/>
          <w:sz w:val="24"/>
          <w:szCs w:val="24"/>
        </w:rPr>
        <w:t xml:space="preserve">Prepared by David Nightingale, </w:t>
      </w:r>
      <w:r w:rsidR="00B8564F">
        <w:rPr>
          <w:rFonts w:ascii="Times New Roman" w:hAnsi="Times New Roman" w:cs="Times New Roman"/>
          <w:sz w:val="24"/>
          <w:szCs w:val="24"/>
        </w:rPr>
        <w:t>UTC S</w:t>
      </w:r>
      <w:r>
        <w:rPr>
          <w:rFonts w:ascii="Times New Roman" w:hAnsi="Times New Roman" w:cs="Times New Roman"/>
          <w:sz w:val="24"/>
          <w:szCs w:val="24"/>
        </w:rPr>
        <w:t xml:space="preserve">taff,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2013.</w:t>
      </w:r>
    </w:p>
    <w:p w:rsidR="00E817DC" w:rsidRDefault="00E817DC"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8"/>
        <w:gridCol w:w="2700"/>
        <w:gridCol w:w="5598"/>
      </w:tblGrid>
      <w:tr w:rsidR="00E817DC" w:rsidRPr="00CE3C00">
        <w:tc>
          <w:tcPr>
            <w:tcW w:w="1278" w:type="dxa"/>
            <w:vAlign w:val="bottom"/>
          </w:tcPr>
          <w:p w:rsidR="00E817DC" w:rsidRPr="00CE3C00" w:rsidRDefault="00E817DC" w:rsidP="00BC74AA">
            <w:pPr>
              <w:rPr>
                <w:rFonts w:ascii="Times New Roman" w:hAnsi="Times New Roman" w:cs="Times New Roman"/>
                <w:b/>
                <w:sz w:val="24"/>
                <w:szCs w:val="24"/>
              </w:rPr>
            </w:pPr>
            <w:r w:rsidRPr="00CE3C00">
              <w:rPr>
                <w:rFonts w:ascii="Times New Roman" w:hAnsi="Times New Roman" w:cs="Times New Roman"/>
                <w:b/>
                <w:sz w:val="24"/>
                <w:szCs w:val="24"/>
              </w:rPr>
              <w:t>Date</w:t>
            </w:r>
          </w:p>
        </w:tc>
        <w:tc>
          <w:tcPr>
            <w:tcW w:w="2700" w:type="dxa"/>
            <w:vAlign w:val="bottom"/>
          </w:tcPr>
          <w:p w:rsidR="00E817DC" w:rsidRPr="00CE3C00" w:rsidRDefault="00BC74AA" w:rsidP="00BC74AA">
            <w:pPr>
              <w:rPr>
                <w:rFonts w:ascii="Times New Roman" w:hAnsi="Times New Roman" w:cs="Times New Roman"/>
                <w:b/>
                <w:sz w:val="24"/>
                <w:szCs w:val="24"/>
              </w:rPr>
            </w:pPr>
            <w:r>
              <w:rPr>
                <w:rFonts w:ascii="Times New Roman" w:hAnsi="Times New Roman" w:cs="Times New Roman"/>
                <w:b/>
                <w:sz w:val="24"/>
                <w:szCs w:val="24"/>
              </w:rPr>
              <w:t>Contact</w:t>
            </w:r>
          </w:p>
        </w:tc>
        <w:tc>
          <w:tcPr>
            <w:tcW w:w="5598" w:type="dxa"/>
            <w:vAlign w:val="bottom"/>
          </w:tcPr>
          <w:p w:rsidR="00E817DC" w:rsidRPr="00CE3C00" w:rsidRDefault="00E817DC" w:rsidP="00BC74AA">
            <w:pPr>
              <w:rPr>
                <w:rFonts w:ascii="Times New Roman" w:hAnsi="Times New Roman" w:cs="Times New Roman"/>
                <w:b/>
                <w:sz w:val="24"/>
                <w:szCs w:val="24"/>
              </w:rPr>
            </w:pPr>
            <w:r w:rsidRPr="00CE3C00">
              <w:rPr>
                <w:rFonts w:ascii="Times New Roman" w:hAnsi="Times New Roman" w:cs="Times New Roman"/>
                <w:b/>
                <w:sz w:val="24"/>
                <w:szCs w:val="24"/>
              </w:rPr>
              <w:t>Discussion</w:t>
            </w:r>
          </w:p>
        </w:tc>
      </w:tr>
      <w:tr w:rsidR="00E817DC">
        <w:tc>
          <w:tcPr>
            <w:tcW w:w="1278" w:type="dxa"/>
          </w:tcPr>
          <w:p w:rsidR="00E817DC" w:rsidRDefault="00E817DC" w:rsidP="00AD3312">
            <w:pPr>
              <w:rPr>
                <w:rFonts w:ascii="Times New Roman" w:hAnsi="Times New Roman" w:cs="Times New Roman"/>
                <w:sz w:val="24"/>
                <w:szCs w:val="24"/>
              </w:rPr>
            </w:pPr>
            <w:r>
              <w:rPr>
                <w:rFonts w:ascii="Times New Roman" w:hAnsi="Times New Roman" w:cs="Times New Roman"/>
                <w:sz w:val="24"/>
                <w:szCs w:val="24"/>
              </w:rPr>
              <w:t>7/10/2013</w:t>
            </w:r>
          </w:p>
        </w:tc>
        <w:tc>
          <w:tcPr>
            <w:tcW w:w="2700" w:type="dxa"/>
          </w:tcPr>
          <w:p w:rsidR="00E817DC" w:rsidRDefault="00E817DC" w:rsidP="00AD3312">
            <w:pPr>
              <w:rPr>
                <w:rFonts w:ascii="Times New Roman" w:hAnsi="Times New Roman" w:cs="Times New Roman"/>
                <w:sz w:val="24"/>
                <w:szCs w:val="24"/>
              </w:rPr>
            </w:pPr>
            <w:r>
              <w:rPr>
                <w:rFonts w:ascii="Times New Roman" w:hAnsi="Times New Roman" w:cs="Times New Roman"/>
                <w:sz w:val="24"/>
                <w:szCs w:val="24"/>
              </w:rPr>
              <w:t>Ed Rainey, PGE</w:t>
            </w:r>
          </w:p>
        </w:tc>
        <w:tc>
          <w:tcPr>
            <w:tcW w:w="5598" w:type="dxa"/>
          </w:tcPr>
          <w:p w:rsidR="00E817DC" w:rsidRDefault="00E817DC" w:rsidP="00AD3312">
            <w:pPr>
              <w:rPr>
                <w:rFonts w:ascii="Times New Roman" w:hAnsi="Times New Roman" w:cs="Times New Roman"/>
                <w:sz w:val="24"/>
                <w:szCs w:val="24"/>
              </w:rPr>
            </w:pPr>
            <w:r>
              <w:rPr>
                <w:rFonts w:ascii="Times New Roman" w:hAnsi="Times New Roman" w:cs="Times New Roman"/>
                <w:sz w:val="24"/>
                <w:szCs w:val="24"/>
              </w:rPr>
              <w:t xml:space="preserve">DSG program began in 1999 with the first customer connected and operational in 2000.  </w:t>
            </w:r>
          </w:p>
        </w:tc>
      </w:tr>
      <w:tr w:rsidR="00E817DC">
        <w:tc>
          <w:tcPr>
            <w:tcW w:w="1278" w:type="dxa"/>
          </w:tcPr>
          <w:p w:rsidR="00E817DC" w:rsidRDefault="00E817DC" w:rsidP="00AD3312">
            <w:pPr>
              <w:rPr>
                <w:rFonts w:ascii="Times New Roman" w:hAnsi="Times New Roman" w:cs="Times New Roman"/>
                <w:sz w:val="24"/>
                <w:szCs w:val="24"/>
              </w:rPr>
            </w:pPr>
            <w:r>
              <w:rPr>
                <w:rFonts w:ascii="Times New Roman" w:hAnsi="Times New Roman" w:cs="Times New Roman"/>
                <w:sz w:val="24"/>
                <w:szCs w:val="24"/>
              </w:rPr>
              <w:t>7/12/2013</w:t>
            </w:r>
          </w:p>
        </w:tc>
        <w:tc>
          <w:tcPr>
            <w:tcW w:w="2700" w:type="dxa"/>
          </w:tcPr>
          <w:p w:rsidR="00E817DC" w:rsidRDefault="00CE3C00" w:rsidP="00555080">
            <w:pPr>
              <w:rPr>
                <w:rFonts w:ascii="Times New Roman" w:hAnsi="Times New Roman" w:cs="Times New Roman"/>
                <w:sz w:val="24"/>
                <w:szCs w:val="24"/>
              </w:rPr>
            </w:pPr>
            <w:r>
              <w:rPr>
                <w:rFonts w:ascii="Times New Roman" w:hAnsi="Times New Roman" w:cs="Times New Roman"/>
                <w:sz w:val="24"/>
                <w:szCs w:val="24"/>
              </w:rPr>
              <w:t>Kelly</w:t>
            </w:r>
            <w:r w:rsidR="00E817DC">
              <w:rPr>
                <w:rFonts w:ascii="Times New Roman" w:hAnsi="Times New Roman" w:cs="Times New Roman"/>
                <w:sz w:val="24"/>
                <w:szCs w:val="24"/>
              </w:rPr>
              <w:t xml:space="preserve"> Cox, </w:t>
            </w:r>
            <w:r>
              <w:rPr>
                <w:rFonts w:ascii="Times New Roman" w:hAnsi="Times New Roman" w:cs="Times New Roman"/>
                <w:sz w:val="24"/>
                <w:szCs w:val="24"/>
              </w:rPr>
              <w:t xml:space="preserve">PGE </w:t>
            </w:r>
            <w:r w:rsidR="00E817DC">
              <w:rPr>
                <w:rFonts w:ascii="Times New Roman" w:hAnsi="Times New Roman" w:cs="Times New Roman"/>
                <w:sz w:val="24"/>
                <w:szCs w:val="24"/>
              </w:rPr>
              <w:t>Manager, Customer Specia</w:t>
            </w:r>
            <w:r w:rsidR="00555080">
              <w:rPr>
                <w:rFonts w:ascii="Times New Roman" w:hAnsi="Times New Roman" w:cs="Times New Roman"/>
                <w:sz w:val="24"/>
                <w:szCs w:val="24"/>
              </w:rPr>
              <w:t>l</w:t>
            </w:r>
            <w:r w:rsidR="00E817DC">
              <w:rPr>
                <w:rFonts w:ascii="Times New Roman" w:hAnsi="Times New Roman" w:cs="Times New Roman"/>
                <w:sz w:val="24"/>
                <w:szCs w:val="24"/>
              </w:rPr>
              <w:t>ized Programs</w:t>
            </w:r>
          </w:p>
        </w:tc>
        <w:tc>
          <w:tcPr>
            <w:tcW w:w="5598" w:type="dxa"/>
          </w:tcPr>
          <w:p w:rsidR="00E817DC"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Size of program</w:t>
            </w:r>
            <w:r>
              <w:rPr>
                <w:rFonts w:ascii="Times New Roman" w:hAnsi="Times New Roman" w:cs="Times New Roman"/>
                <w:sz w:val="24"/>
                <w:szCs w:val="24"/>
              </w:rPr>
              <w:t xml:space="preserve">: </w:t>
            </w:r>
            <w:r w:rsidR="00FE3384">
              <w:rPr>
                <w:rFonts w:ascii="Times New Roman" w:hAnsi="Times New Roman" w:cs="Times New Roman"/>
                <w:sz w:val="24"/>
                <w:szCs w:val="24"/>
              </w:rPr>
              <w:t>Had 88 MW of nameplate capacity at the end of 2012 and anticipate having 104 MW in the program by the end of 2013.  Currently at 89 MW.  In 2012 they added 20 MW and in 2013 they will add 16 MW.</w:t>
            </w:r>
          </w:p>
          <w:p w:rsidR="00CE3C00"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Operation and Maintenance</w:t>
            </w:r>
            <w:r>
              <w:rPr>
                <w:rFonts w:ascii="Times New Roman" w:hAnsi="Times New Roman" w:cs="Times New Roman"/>
                <w:sz w:val="24"/>
                <w:szCs w:val="24"/>
              </w:rPr>
              <w:t xml:space="preserve">: </w:t>
            </w:r>
            <w:r w:rsidR="00FE3384">
              <w:rPr>
                <w:rFonts w:ascii="Times New Roman" w:hAnsi="Times New Roman" w:cs="Times New Roman"/>
                <w:sz w:val="24"/>
                <w:szCs w:val="24"/>
              </w:rPr>
              <w:t>When they start the standby generators they run them at 90% of their rated capacity.  They run them all for an hour a month to assure their operation and reliability.  They perform quarterly on-site inspections and annual maintenance.</w:t>
            </w:r>
            <w:r>
              <w:rPr>
                <w:rFonts w:ascii="Times New Roman" w:hAnsi="Times New Roman" w:cs="Times New Roman"/>
                <w:sz w:val="24"/>
                <w:szCs w:val="24"/>
              </w:rPr>
              <w:t xml:space="preserve"> The Company has paid for all maintenance and fuel costs for the generators.</w:t>
            </w:r>
          </w:p>
          <w:p w:rsidR="00FE3384"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Cost-effectiveness</w:t>
            </w:r>
            <w:r>
              <w:rPr>
                <w:rFonts w:ascii="Times New Roman" w:hAnsi="Times New Roman" w:cs="Times New Roman"/>
                <w:sz w:val="24"/>
                <w:szCs w:val="24"/>
              </w:rPr>
              <w:t xml:space="preserve">: </w:t>
            </w:r>
            <w:r w:rsidR="00FE3384">
              <w:rPr>
                <w:rFonts w:ascii="Times New Roman" w:hAnsi="Times New Roman" w:cs="Times New Roman"/>
                <w:sz w:val="24"/>
                <w:szCs w:val="24"/>
              </w:rPr>
              <w:t>They have found this peaking resource to be more cost effective than purchasing capacity on single cycle combustion turbines.</w:t>
            </w:r>
          </w:p>
          <w:p w:rsidR="00CE3C00"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Reduced non-spinning reserves</w:t>
            </w:r>
            <w:r>
              <w:rPr>
                <w:rFonts w:ascii="Times New Roman" w:hAnsi="Times New Roman" w:cs="Times New Roman"/>
                <w:sz w:val="24"/>
                <w:szCs w:val="24"/>
              </w:rPr>
              <w:t xml:space="preserve">: </w:t>
            </w:r>
            <w:r w:rsidR="00FE3384">
              <w:rPr>
                <w:rFonts w:ascii="Times New Roman" w:hAnsi="Times New Roman" w:cs="Times New Roman"/>
                <w:sz w:val="24"/>
                <w:szCs w:val="24"/>
              </w:rPr>
              <w:t xml:space="preserve">The DSG resources provide all of the non-spinning reserves for the PGE system which provides a significant savings to the Company.  </w:t>
            </w:r>
          </w:p>
          <w:p w:rsidR="00FE3384"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Grid reliability increases</w:t>
            </w:r>
            <w:r>
              <w:rPr>
                <w:rFonts w:ascii="Times New Roman" w:hAnsi="Times New Roman" w:cs="Times New Roman"/>
                <w:sz w:val="24"/>
                <w:szCs w:val="24"/>
              </w:rPr>
              <w:t xml:space="preserve">: </w:t>
            </w:r>
            <w:r w:rsidR="00FE3384">
              <w:rPr>
                <w:rFonts w:ascii="Times New Roman" w:hAnsi="Times New Roman" w:cs="Times New Roman"/>
                <w:sz w:val="24"/>
                <w:szCs w:val="24"/>
              </w:rPr>
              <w:t>The DSG also increases reliability when a feeder is heating up due to heavy loading and a DSG is available it can temporarily reduce the overloading on that circuit.</w:t>
            </w:r>
          </w:p>
          <w:p w:rsidR="00CE3C00" w:rsidRDefault="00CE3C00" w:rsidP="00FE3384">
            <w:pPr>
              <w:rPr>
                <w:rFonts w:ascii="Times New Roman" w:hAnsi="Times New Roman" w:cs="Times New Roman"/>
                <w:sz w:val="24"/>
                <w:szCs w:val="24"/>
              </w:rPr>
            </w:pPr>
            <w:r w:rsidRPr="00CE3C00">
              <w:rPr>
                <w:rFonts w:ascii="Times New Roman" w:hAnsi="Times New Roman" w:cs="Times New Roman"/>
                <w:b/>
                <w:i/>
                <w:sz w:val="24"/>
                <w:szCs w:val="24"/>
              </w:rPr>
              <w:t>New EPA Air Quality Standards</w:t>
            </w:r>
            <w:r>
              <w:rPr>
                <w:rFonts w:ascii="Times New Roman" w:hAnsi="Times New Roman" w:cs="Times New Roman"/>
                <w:sz w:val="24"/>
                <w:szCs w:val="24"/>
              </w:rPr>
              <w:t>:  In January 2013 US EPA implemented revised rules for Recipr</w:t>
            </w:r>
            <w:r w:rsidR="00B47CC8">
              <w:rPr>
                <w:rFonts w:ascii="Times New Roman" w:hAnsi="Times New Roman" w:cs="Times New Roman"/>
                <w:sz w:val="24"/>
                <w:szCs w:val="24"/>
              </w:rPr>
              <w:t>o</w:t>
            </w:r>
            <w:r>
              <w:rPr>
                <w:rFonts w:ascii="Times New Roman" w:hAnsi="Times New Roman" w:cs="Times New Roman"/>
                <w:sz w:val="24"/>
                <w:szCs w:val="24"/>
              </w:rPr>
              <w:t xml:space="preserve">cating Internal Combustion Engines (RICE Rules).  The Company has chosen to classify the DSG program as emergency generators to allow continued use as intended.  This will limit the maximum number of hours of operation per year for energy to 50 hours.  Kelly Cox believes that this will not decrease the value of the DSG resource very much, as 50 hours should provide enough operating time for critical peak reduction that the company would normally want to run these units. </w:t>
            </w:r>
          </w:p>
          <w:p w:rsidR="00CE3C00" w:rsidRDefault="00CE3C00" w:rsidP="00FE3384">
            <w:pPr>
              <w:rPr>
                <w:rFonts w:ascii="Times New Roman" w:hAnsi="Times New Roman" w:cs="Times New Roman"/>
                <w:sz w:val="24"/>
                <w:szCs w:val="24"/>
              </w:rPr>
            </w:pPr>
          </w:p>
        </w:tc>
      </w:tr>
    </w:tbl>
    <w:p w:rsidR="00E817DC" w:rsidRDefault="00E817DC" w:rsidP="00AD3312">
      <w:pPr>
        <w:rPr>
          <w:rFonts w:ascii="Times New Roman" w:hAnsi="Times New Roman" w:cs="Times New Roman"/>
          <w:sz w:val="24"/>
          <w:szCs w:val="24"/>
        </w:rPr>
      </w:pPr>
    </w:p>
    <w:p w:rsidR="00E817DC" w:rsidRPr="00AD3312" w:rsidRDefault="00E817DC" w:rsidP="00AD3312">
      <w:pPr>
        <w:rPr>
          <w:rFonts w:ascii="Times New Roman" w:hAnsi="Times New Roman" w:cs="Times New Roman"/>
          <w:sz w:val="24"/>
          <w:szCs w:val="24"/>
        </w:rPr>
      </w:pPr>
    </w:p>
    <w:sectPr w:rsidR="00E817DC" w:rsidRPr="00AD3312" w:rsidSect="001C5A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AD" w:rsidRDefault="00E505AD" w:rsidP="00E505AD">
      <w:r>
        <w:separator/>
      </w:r>
    </w:p>
  </w:endnote>
  <w:endnote w:type="continuationSeparator" w:id="0">
    <w:p w:rsidR="00E505AD" w:rsidRDefault="00E505AD" w:rsidP="00E5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AD" w:rsidRDefault="00E505AD" w:rsidP="00E505AD">
      <w:r>
        <w:separator/>
      </w:r>
    </w:p>
  </w:footnote>
  <w:footnote w:type="continuationSeparator" w:id="0">
    <w:p w:rsidR="00E505AD" w:rsidRDefault="00E505AD" w:rsidP="00E5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AD" w:rsidRDefault="00E505AD" w:rsidP="00E505AD">
    <w:pPr>
      <w:pStyle w:val="Header"/>
      <w:ind w:left="7200"/>
      <w:rPr>
        <w:rFonts w:ascii="Times New Roman" w:hAnsi="Times New Roman" w:cs="Times New Roman"/>
        <w:sz w:val="20"/>
        <w:szCs w:val="20"/>
      </w:rPr>
    </w:pPr>
    <w:r>
      <w:rPr>
        <w:rFonts w:ascii="Times New Roman" w:hAnsi="Times New Roman" w:cs="Times New Roman"/>
        <w:sz w:val="20"/>
        <w:szCs w:val="20"/>
      </w:rPr>
      <w:t>Exhibit No. ___ (</w:t>
    </w:r>
    <w:proofErr w:type="spellStart"/>
    <w:r>
      <w:rPr>
        <w:rFonts w:ascii="Times New Roman" w:hAnsi="Times New Roman" w:cs="Times New Roman"/>
        <w:sz w:val="20"/>
        <w:szCs w:val="20"/>
      </w:rPr>
      <w:t>JMW</w:t>
    </w:r>
    <w:proofErr w:type="spellEnd"/>
    <w:r>
      <w:rPr>
        <w:rFonts w:ascii="Times New Roman" w:hAnsi="Times New Roman" w:cs="Times New Roman"/>
        <w:sz w:val="20"/>
        <w:szCs w:val="20"/>
      </w:rPr>
      <w:t>-8)</w:t>
    </w:r>
  </w:p>
  <w:p w:rsidR="00E505AD" w:rsidRDefault="00E505AD" w:rsidP="00E505AD">
    <w:pPr>
      <w:pStyle w:val="Header"/>
      <w:ind w:left="7200"/>
      <w:rPr>
        <w:rFonts w:ascii="Times New Roman" w:hAnsi="Times New Roman" w:cs="Times New Roman"/>
        <w:sz w:val="20"/>
        <w:szCs w:val="20"/>
      </w:rPr>
    </w:pPr>
    <w:r>
      <w:rPr>
        <w:rFonts w:ascii="Times New Roman" w:hAnsi="Times New Roman" w:cs="Times New Roman"/>
        <w:sz w:val="20"/>
        <w:szCs w:val="20"/>
      </w:rPr>
      <w:t xml:space="preserve">Docket </w:t>
    </w:r>
    <w:proofErr w:type="spellStart"/>
    <w:r>
      <w:rPr>
        <w:rFonts w:ascii="Times New Roman" w:hAnsi="Times New Roman" w:cs="Times New Roman"/>
        <w:sz w:val="20"/>
        <w:szCs w:val="20"/>
      </w:rPr>
      <w:t>UE</w:t>
    </w:r>
    <w:proofErr w:type="spellEnd"/>
    <w:r>
      <w:rPr>
        <w:rFonts w:ascii="Times New Roman" w:hAnsi="Times New Roman" w:cs="Times New Roman"/>
        <w:sz w:val="20"/>
        <w:szCs w:val="20"/>
      </w:rPr>
      <w:t xml:space="preserve">-130617 </w:t>
    </w:r>
  </w:p>
  <w:p w:rsidR="00E505AD" w:rsidRDefault="00E505AD" w:rsidP="00E505AD">
    <w:pPr>
      <w:pStyle w:val="Header"/>
      <w:ind w:left="7200"/>
      <w:rPr>
        <w:rFonts w:ascii="Times New Roman" w:hAnsi="Times New Roman" w:cs="Times New Roman"/>
        <w:sz w:val="20"/>
        <w:szCs w:val="20"/>
      </w:rPr>
    </w:pPr>
    <w:r>
      <w:rPr>
        <w:rFonts w:ascii="Times New Roman" w:hAnsi="Times New Roman" w:cs="Times New Roman"/>
        <w:sz w:val="20"/>
        <w:szCs w:val="20"/>
      </w:rPr>
      <w:t xml:space="preserve">Page 1 of 1 </w:t>
    </w:r>
  </w:p>
  <w:p w:rsidR="00E505AD" w:rsidRPr="00E505AD" w:rsidRDefault="00E505AD" w:rsidP="00E505AD">
    <w:pPr>
      <w:pStyle w:val="Header"/>
      <w:ind w:left="720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17DC"/>
    <w:rsid w:val="000E640C"/>
    <w:rsid w:val="00194AEC"/>
    <w:rsid w:val="001C5AB1"/>
    <w:rsid w:val="001E1D7A"/>
    <w:rsid w:val="002C039A"/>
    <w:rsid w:val="002E7B1F"/>
    <w:rsid w:val="004B0965"/>
    <w:rsid w:val="00552600"/>
    <w:rsid w:val="00555080"/>
    <w:rsid w:val="005A6C74"/>
    <w:rsid w:val="00672F7B"/>
    <w:rsid w:val="00676E6F"/>
    <w:rsid w:val="006A41EE"/>
    <w:rsid w:val="00A84C2A"/>
    <w:rsid w:val="00AD3312"/>
    <w:rsid w:val="00AE273E"/>
    <w:rsid w:val="00B13041"/>
    <w:rsid w:val="00B47CC8"/>
    <w:rsid w:val="00B8564F"/>
    <w:rsid w:val="00BC74AA"/>
    <w:rsid w:val="00CE3C00"/>
    <w:rsid w:val="00DA1B86"/>
    <w:rsid w:val="00DD2A47"/>
    <w:rsid w:val="00E505AD"/>
    <w:rsid w:val="00E817DC"/>
    <w:rsid w:val="00F21B68"/>
    <w:rsid w:val="00FE3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1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05AD"/>
    <w:pPr>
      <w:tabs>
        <w:tab w:val="center" w:pos="4680"/>
        <w:tab w:val="right" w:pos="9360"/>
      </w:tabs>
    </w:pPr>
  </w:style>
  <w:style w:type="character" w:customStyle="1" w:styleId="HeaderChar">
    <w:name w:val="Header Char"/>
    <w:basedOn w:val="DefaultParagraphFont"/>
    <w:link w:val="Header"/>
    <w:uiPriority w:val="99"/>
    <w:rsid w:val="00E505AD"/>
  </w:style>
  <w:style w:type="paragraph" w:styleId="Footer">
    <w:name w:val="footer"/>
    <w:basedOn w:val="Normal"/>
    <w:link w:val="FooterChar"/>
    <w:uiPriority w:val="99"/>
    <w:unhideWhenUsed/>
    <w:rsid w:val="00E505AD"/>
    <w:pPr>
      <w:tabs>
        <w:tab w:val="center" w:pos="4680"/>
        <w:tab w:val="right" w:pos="9360"/>
      </w:tabs>
    </w:pPr>
  </w:style>
  <w:style w:type="character" w:customStyle="1" w:styleId="FooterChar">
    <w:name w:val="Footer Char"/>
    <w:basedOn w:val="DefaultParagraphFont"/>
    <w:link w:val="Footer"/>
    <w:uiPriority w:val="99"/>
    <w:rsid w:val="00E50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1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351317-5580-43C4-B6FF-17E2FA7EF62F}"/>
</file>

<file path=customXml/itemProps2.xml><?xml version="1.0" encoding="utf-8"?>
<ds:datastoreItem xmlns:ds="http://schemas.openxmlformats.org/officeDocument/2006/customXml" ds:itemID="{09351BB3-8938-4A63-A19A-27BE7D5DC9A0}"/>
</file>

<file path=customXml/itemProps3.xml><?xml version="1.0" encoding="utf-8"?>
<ds:datastoreItem xmlns:ds="http://schemas.openxmlformats.org/officeDocument/2006/customXml" ds:itemID="{71A7EA93-671E-49DE-A921-CBDD98185C5B}"/>
</file>

<file path=customXml/itemProps4.xml><?xml version="1.0" encoding="utf-8"?>
<ds:datastoreItem xmlns:ds="http://schemas.openxmlformats.org/officeDocument/2006/customXml" ds:itemID="{48E9A31C-FA7A-470A-8BAC-48CE34C25D40}"/>
</file>

<file path=customXml/itemProps5.xml><?xml version="1.0" encoding="utf-8"?>
<ds:datastoreItem xmlns:ds="http://schemas.openxmlformats.org/officeDocument/2006/customXml" ds:itemID="{EA9FF424-869C-4DDB-9E39-3CF6B9876E43}"/>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 David (UTC)</dc:creator>
  <cp:lastModifiedBy>Krista Gross</cp:lastModifiedBy>
  <cp:revision>3</cp:revision>
  <dcterms:created xsi:type="dcterms:W3CDTF">2013-08-13T21:03:00Z</dcterms:created>
  <dcterms:modified xsi:type="dcterms:W3CDTF">2013-08-13T21:38:00Z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