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22" w:rsidRPr="00551C30" w:rsidRDefault="00627022">
      <w:pPr>
        <w:rPr>
          <w:rFonts w:ascii="Times New Roman" w:hAnsi="Times New Roman" w:cs="Times New Roman"/>
        </w:rPr>
      </w:pPr>
    </w:p>
    <w:p w:rsidR="00627022" w:rsidRPr="00551C30" w:rsidRDefault="00627022">
      <w:pPr>
        <w:rPr>
          <w:rFonts w:ascii="Times New Roman" w:hAnsi="Times New Roman" w:cs="Times New Roman"/>
        </w:rPr>
      </w:pPr>
    </w:p>
    <w:p w:rsidR="00627022" w:rsidRPr="00551C30" w:rsidRDefault="00627022">
      <w:pPr>
        <w:rPr>
          <w:rFonts w:ascii="Times New Roman" w:hAnsi="Times New Roman" w:cs="Times New Roman"/>
        </w:rPr>
      </w:pPr>
    </w:p>
    <w:p w:rsidR="00627022" w:rsidRPr="00551C30" w:rsidRDefault="00627022">
      <w:pPr>
        <w:rPr>
          <w:rFonts w:ascii="Times New Roman" w:hAnsi="Times New Roman" w:cs="Times New Roman"/>
        </w:rPr>
      </w:pPr>
    </w:p>
    <w:p w:rsidR="00627022" w:rsidRPr="00551C30" w:rsidRDefault="00627022">
      <w:pPr>
        <w:rPr>
          <w:rFonts w:ascii="Times New Roman" w:hAnsi="Times New Roman" w:cs="Times New Roman"/>
        </w:rPr>
      </w:pPr>
    </w:p>
    <w:p w:rsidR="00627022" w:rsidRPr="00551C30" w:rsidRDefault="00627022">
      <w:pPr>
        <w:rPr>
          <w:rFonts w:ascii="Times New Roman" w:hAnsi="Times New Roman" w:cs="Times New Roman"/>
        </w:rPr>
      </w:pPr>
    </w:p>
    <w:p w:rsidR="00627022" w:rsidRPr="00551C30" w:rsidRDefault="00627022">
      <w:pPr>
        <w:rPr>
          <w:rFonts w:ascii="Times New Roman" w:hAnsi="Times New Roman" w:cs="Times New Roman"/>
        </w:rPr>
      </w:pPr>
    </w:p>
    <w:p w:rsidR="00627022" w:rsidRPr="00551C30" w:rsidRDefault="00627022">
      <w:pPr>
        <w:rPr>
          <w:rFonts w:ascii="Times New Roman" w:hAnsi="Times New Roman" w:cs="Times New Roman"/>
          <w:b/>
          <w:sz w:val="40"/>
        </w:rPr>
      </w:pPr>
    </w:p>
    <w:p w:rsidR="00627022" w:rsidRPr="00551C30" w:rsidRDefault="00922172" w:rsidP="00922172">
      <w:pPr>
        <w:jc w:val="center"/>
        <w:rPr>
          <w:rFonts w:ascii="Times New Roman" w:hAnsi="Times New Roman" w:cs="Times New Roman"/>
          <w:b/>
          <w:sz w:val="48"/>
        </w:rPr>
      </w:pPr>
      <w:r w:rsidRPr="00551C30">
        <w:rPr>
          <w:rFonts w:ascii="Times New Roman" w:hAnsi="Times New Roman" w:cs="Times New Roman"/>
          <w:b/>
          <w:sz w:val="48"/>
        </w:rPr>
        <w:t xml:space="preserve">Review </w:t>
      </w:r>
      <w:r w:rsidR="00081B74" w:rsidRPr="00551C30">
        <w:rPr>
          <w:rFonts w:ascii="Times New Roman" w:hAnsi="Times New Roman" w:cs="Times New Roman"/>
          <w:b/>
          <w:sz w:val="48"/>
        </w:rPr>
        <w:t xml:space="preserve">of Executive </w:t>
      </w:r>
      <w:r w:rsidR="005B1BF1">
        <w:rPr>
          <w:rFonts w:ascii="Times New Roman" w:hAnsi="Times New Roman" w:cs="Times New Roman"/>
          <w:b/>
          <w:sz w:val="48"/>
        </w:rPr>
        <w:t xml:space="preserve">Officer </w:t>
      </w:r>
      <w:r w:rsidR="00081B74" w:rsidRPr="00551C30">
        <w:rPr>
          <w:rFonts w:ascii="Times New Roman" w:hAnsi="Times New Roman" w:cs="Times New Roman"/>
          <w:b/>
          <w:sz w:val="48"/>
        </w:rPr>
        <w:t>Compensation</w:t>
      </w:r>
    </w:p>
    <w:p w:rsidR="00627022" w:rsidRPr="00551C30" w:rsidRDefault="00627022">
      <w:pPr>
        <w:rPr>
          <w:rFonts w:ascii="Times New Roman" w:hAnsi="Times New Roman" w:cs="Times New Roman"/>
          <w:b/>
          <w:sz w:val="32"/>
        </w:rPr>
      </w:pPr>
    </w:p>
    <w:p w:rsidR="00627022" w:rsidRPr="00551C30" w:rsidRDefault="00627022">
      <w:pPr>
        <w:rPr>
          <w:rFonts w:ascii="Times New Roman" w:hAnsi="Times New Roman" w:cs="Times New Roman"/>
          <w:b/>
          <w:sz w:val="32"/>
        </w:rPr>
      </w:pPr>
    </w:p>
    <w:p w:rsidR="00627022" w:rsidRPr="00551C30" w:rsidRDefault="00627022">
      <w:pPr>
        <w:rPr>
          <w:rFonts w:ascii="Times New Roman" w:hAnsi="Times New Roman" w:cs="Times New Roman"/>
          <w:b/>
          <w:sz w:val="32"/>
        </w:rPr>
      </w:pPr>
    </w:p>
    <w:p w:rsidR="00627022" w:rsidRPr="00551C30" w:rsidRDefault="00627022">
      <w:pPr>
        <w:rPr>
          <w:rFonts w:ascii="Times New Roman" w:hAnsi="Times New Roman" w:cs="Times New Roman"/>
          <w:b/>
          <w:sz w:val="32"/>
        </w:rPr>
      </w:pPr>
    </w:p>
    <w:p w:rsidR="00627022" w:rsidRPr="00551C30" w:rsidRDefault="00627022">
      <w:pPr>
        <w:rPr>
          <w:rFonts w:ascii="Times New Roman" w:hAnsi="Times New Roman" w:cs="Times New Roman"/>
        </w:rPr>
      </w:pPr>
    </w:p>
    <w:p w:rsidR="00627022" w:rsidRPr="00551C30" w:rsidRDefault="00627022">
      <w:pPr>
        <w:rPr>
          <w:rFonts w:ascii="Times New Roman" w:hAnsi="Times New Roman" w:cs="Times New Roman"/>
        </w:rPr>
      </w:pPr>
    </w:p>
    <w:p w:rsidR="00627022" w:rsidRPr="00551C30" w:rsidRDefault="00627022">
      <w:pPr>
        <w:rPr>
          <w:rFonts w:ascii="Times New Roman" w:hAnsi="Times New Roman" w:cs="Times New Roman"/>
        </w:rPr>
      </w:pPr>
    </w:p>
    <w:p w:rsidR="00627022" w:rsidRPr="00551C30" w:rsidRDefault="00627022">
      <w:pPr>
        <w:rPr>
          <w:rFonts w:ascii="Times New Roman" w:hAnsi="Times New Roman" w:cs="Times New Roman"/>
        </w:rPr>
      </w:pPr>
    </w:p>
    <w:p w:rsidR="00627022" w:rsidRPr="00551C30" w:rsidRDefault="00627022">
      <w:pPr>
        <w:rPr>
          <w:rFonts w:ascii="Times New Roman" w:hAnsi="Times New Roman" w:cs="Times New Roman"/>
        </w:rPr>
      </w:pPr>
    </w:p>
    <w:p w:rsidR="00627022" w:rsidRPr="00551C30" w:rsidRDefault="00627022">
      <w:pPr>
        <w:rPr>
          <w:rFonts w:ascii="Times New Roman" w:hAnsi="Times New Roman" w:cs="Times New Roman"/>
        </w:rPr>
      </w:pPr>
    </w:p>
    <w:p w:rsidR="00922172" w:rsidRPr="00551C30" w:rsidRDefault="00922172">
      <w:pPr>
        <w:rPr>
          <w:rFonts w:ascii="Times New Roman" w:hAnsi="Times New Roman" w:cs="Times New Roman"/>
        </w:rPr>
      </w:pPr>
    </w:p>
    <w:p w:rsidR="00922172" w:rsidRPr="00551C30" w:rsidRDefault="00081B74" w:rsidP="00922172">
      <w:pPr>
        <w:jc w:val="center"/>
        <w:rPr>
          <w:rFonts w:ascii="Times New Roman" w:hAnsi="Times New Roman" w:cs="Times New Roman"/>
          <w:b/>
          <w:sz w:val="48"/>
          <w:szCs w:val="48"/>
        </w:rPr>
      </w:pPr>
      <w:r w:rsidRPr="00551C30">
        <w:rPr>
          <w:rFonts w:ascii="Times New Roman" w:hAnsi="Times New Roman" w:cs="Times New Roman"/>
          <w:b/>
          <w:sz w:val="48"/>
          <w:szCs w:val="48"/>
        </w:rPr>
        <w:t>February</w:t>
      </w:r>
      <w:r w:rsidR="00894469">
        <w:rPr>
          <w:rFonts w:ascii="Times New Roman" w:hAnsi="Times New Roman" w:cs="Times New Roman"/>
          <w:b/>
          <w:sz w:val="48"/>
          <w:szCs w:val="48"/>
        </w:rPr>
        <w:t xml:space="preserve"> 2</w:t>
      </w:r>
      <w:r w:rsidR="002D63EE">
        <w:rPr>
          <w:rFonts w:ascii="Times New Roman" w:hAnsi="Times New Roman" w:cs="Times New Roman"/>
          <w:b/>
          <w:sz w:val="48"/>
          <w:szCs w:val="48"/>
        </w:rPr>
        <w:t>8</w:t>
      </w:r>
      <w:r w:rsidRPr="00551C30">
        <w:rPr>
          <w:rFonts w:ascii="Times New Roman" w:hAnsi="Times New Roman" w:cs="Times New Roman"/>
          <w:b/>
          <w:sz w:val="48"/>
          <w:szCs w:val="48"/>
        </w:rPr>
        <w:t>, 2012</w:t>
      </w:r>
    </w:p>
    <w:p w:rsidR="00922172" w:rsidRPr="00551C30" w:rsidRDefault="00922172">
      <w:pPr>
        <w:rPr>
          <w:rFonts w:ascii="Times New Roman" w:hAnsi="Times New Roman" w:cs="Times New Roman"/>
        </w:rPr>
      </w:pPr>
    </w:p>
    <w:p w:rsidR="00922172" w:rsidRPr="00551C30" w:rsidRDefault="00922172">
      <w:pPr>
        <w:rPr>
          <w:rFonts w:ascii="Times New Roman" w:hAnsi="Times New Roman" w:cs="Times New Roman"/>
        </w:rPr>
      </w:pPr>
    </w:p>
    <w:p w:rsidR="00922172" w:rsidRPr="00551C30" w:rsidRDefault="00922172">
      <w:pPr>
        <w:rPr>
          <w:rFonts w:ascii="Times New Roman" w:hAnsi="Times New Roman" w:cs="Times New Roman"/>
        </w:rPr>
      </w:pPr>
    </w:p>
    <w:p w:rsidR="00922172" w:rsidRPr="00551C30" w:rsidRDefault="00922172">
      <w:pPr>
        <w:rPr>
          <w:rFonts w:ascii="Times New Roman" w:hAnsi="Times New Roman" w:cs="Times New Roman"/>
        </w:rPr>
      </w:pPr>
    </w:p>
    <w:p w:rsidR="00922172" w:rsidRPr="00551C30" w:rsidRDefault="00922172">
      <w:pPr>
        <w:rPr>
          <w:rFonts w:ascii="Times New Roman" w:hAnsi="Times New Roman" w:cs="Times New Roman"/>
        </w:rPr>
      </w:pPr>
    </w:p>
    <w:p w:rsidR="00922172" w:rsidRPr="00551C30" w:rsidRDefault="00922172">
      <w:pPr>
        <w:rPr>
          <w:rFonts w:ascii="Times New Roman" w:hAnsi="Times New Roman" w:cs="Times New Roman"/>
        </w:rPr>
      </w:pPr>
    </w:p>
    <w:p w:rsidR="00922172" w:rsidRPr="00551C30" w:rsidRDefault="00922172">
      <w:pPr>
        <w:rPr>
          <w:rFonts w:ascii="Times New Roman" w:hAnsi="Times New Roman" w:cs="Times New Roman"/>
        </w:rPr>
      </w:pPr>
    </w:p>
    <w:p w:rsidR="00922172" w:rsidRPr="00551C30" w:rsidRDefault="00922172">
      <w:pPr>
        <w:rPr>
          <w:rFonts w:ascii="Times New Roman" w:hAnsi="Times New Roman" w:cs="Times New Roman"/>
        </w:rPr>
      </w:pPr>
    </w:p>
    <w:p w:rsidR="00922172" w:rsidRPr="00551C30" w:rsidRDefault="00922172">
      <w:pPr>
        <w:rPr>
          <w:rFonts w:ascii="Times New Roman" w:hAnsi="Times New Roman" w:cs="Times New Roman"/>
        </w:rPr>
      </w:pPr>
    </w:p>
    <w:p w:rsidR="00922172" w:rsidRPr="00551C30" w:rsidRDefault="00922172">
      <w:pPr>
        <w:rPr>
          <w:rFonts w:ascii="Times New Roman" w:hAnsi="Times New Roman" w:cs="Times New Roman"/>
        </w:rPr>
      </w:pPr>
    </w:p>
    <w:p w:rsidR="00922172" w:rsidRPr="00551C30" w:rsidRDefault="00922172">
      <w:pPr>
        <w:rPr>
          <w:rFonts w:ascii="Times New Roman" w:hAnsi="Times New Roman" w:cs="Times New Roman"/>
        </w:rPr>
      </w:pPr>
    </w:p>
    <w:p w:rsidR="00922172" w:rsidRPr="00551C30" w:rsidRDefault="00922172">
      <w:pPr>
        <w:rPr>
          <w:rFonts w:ascii="Times New Roman" w:hAnsi="Times New Roman" w:cs="Times New Roman"/>
        </w:rPr>
      </w:pPr>
    </w:p>
    <w:p w:rsidR="00922172" w:rsidRPr="00551C30" w:rsidRDefault="00922172">
      <w:pPr>
        <w:rPr>
          <w:rFonts w:ascii="Times New Roman" w:hAnsi="Times New Roman" w:cs="Times New Roman"/>
        </w:rPr>
      </w:pPr>
    </w:p>
    <w:p w:rsidR="00922172" w:rsidRPr="00551C30" w:rsidRDefault="00922172">
      <w:pPr>
        <w:rPr>
          <w:rFonts w:ascii="Times New Roman" w:hAnsi="Times New Roman" w:cs="Times New Roman"/>
        </w:rPr>
      </w:pPr>
    </w:p>
    <w:p w:rsidR="00627022" w:rsidRPr="00551C30" w:rsidRDefault="00627022">
      <w:pPr>
        <w:rPr>
          <w:rFonts w:ascii="Times New Roman" w:hAnsi="Times New Roman" w:cs="Times New Roman"/>
        </w:rPr>
      </w:pPr>
    </w:p>
    <w:p w:rsidR="00627022" w:rsidRPr="00551C30" w:rsidRDefault="00922172" w:rsidP="00627022">
      <w:pPr>
        <w:jc w:val="center"/>
        <w:rPr>
          <w:rFonts w:ascii="Times New Roman" w:hAnsi="Times New Roman" w:cs="Times New Roman"/>
          <w:b/>
          <w:sz w:val="28"/>
        </w:rPr>
      </w:pPr>
      <w:r w:rsidRPr="00551C30">
        <w:rPr>
          <w:rFonts w:ascii="Times New Roman" w:hAnsi="Times New Roman" w:cs="Times New Roman"/>
          <w:b/>
          <w:sz w:val="28"/>
        </w:rPr>
        <w:t xml:space="preserve">Provided </w:t>
      </w:r>
      <w:r w:rsidR="00081B74" w:rsidRPr="00551C30">
        <w:rPr>
          <w:rFonts w:ascii="Times New Roman" w:hAnsi="Times New Roman" w:cs="Times New Roman"/>
          <w:b/>
          <w:sz w:val="28"/>
        </w:rPr>
        <w:t xml:space="preserve">Pursuant to Order </w:t>
      </w:r>
      <w:r w:rsidR="008B6D66">
        <w:rPr>
          <w:rFonts w:ascii="Times New Roman" w:hAnsi="Times New Roman" w:cs="Times New Roman"/>
          <w:b/>
          <w:sz w:val="28"/>
        </w:rPr>
        <w:t xml:space="preserve">No. </w:t>
      </w:r>
      <w:r w:rsidR="00081B74" w:rsidRPr="00551C30">
        <w:rPr>
          <w:rFonts w:ascii="Times New Roman" w:hAnsi="Times New Roman" w:cs="Times New Roman"/>
          <w:b/>
          <w:sz w:val="28"/>
        </w:rPr>
        <w:t>06</w:t>
      </w:r>
      <w:r w:rsidR="00627022" w:rsidRPr="00551C30">
        <w:rPr>
          <w:rFonts w:ascii="Times New Roman" w:hAnsi="Times New Roman" w:cs="Times New Roman"/>
          <w:b/>
          <w:sz w:val="28"/>
        </w:rPr>
        <w:t xml:space="preserve"> </w:t>
      </w:r>
    </w:p>
    <w:p w:rsidR="00922172" w:rsidRDefault="00922172" w:rsidP="00627022">
      <w:pPr>
        <w:jc w:val="center"/>
        <w:rPr>
          <w:rFonts w:ascii="Times New Roman" w:hAnsi="Times New Roman" w:cs="Times New Roman"/>
          <w:b/>
          <w:sz w:val="28"/>
        </w:rPr>
      </w:pPr>
      <w:r w:rsidRPr="00551C30">
        <w:rPr>
          <w:rFonts w:ascii="Times New Roman" w:hAnsi="Times New Roman" w:cs="Times New Roman"/>
          <w:b/>
          <w:sz w:val="28"/>
        </w:rPr>
        <w:t xml:space="preserve">Dockets </w:t>
      </w:r>
      <w:r w:rsidR="00627022" w:rsidRPr="00551C30">
        <w:rPr>
          <w:rFonts w:ascii="Times New Roman" w:hAnsi="Times New Roman" w:cs="Times New Roman"/>
          <w:b/>
          <w:sz w:val="28"/>
        </w:rPr>
        <w:t>UE-</w:t>
      </w:r>
      <w:r w:rsidR="00081B74" w:rsidRPr="00551C30">
        <w:rPr>
          <w:rFonts w:ascii="Times New Roman" w:hAnsi="Times New Roman" w:cs="Times New Roman"/>
          <w:b/>
          <w:sz w:val="28"/>
        </w:rPr>
        <w:t>110876</w:t>
      </w:r>
      <w:r w:rsidR="00627022" w:rsidRPr="00551C30">
        <w:rPr>
          <w:rFonts w:ascii="Times New Roman" w:hAnsi="Times New Roman" w:cs="Times New Roman"/>
          <w:b/>
          <w:sz w:val="28"/>
        </w:rPr>
        <w:t xml:space="preserve"> &amp; UG-1</w:t>
      </w:r>
      <w:r w:rsidR="00081B74" w:rsidRPr="00551C30">
        <w:rPr>
          <w:rFonts w:ascii="Times New Roman" w:hAnsi="Times New Roman" w:cs="Times New Roman"/>
          <w:b/>
          <w:sz w:val="28"/>
        </w:rPr>
        <w:t>10877</w:t>
      </w:r>
      <w:r w:rsidRPr="00551C30">
        <w:rPr>
          <w:rFonts w:ascii="Times New Roman" w:hAnsi="Times New Roman" w:cs="Times New Roman"/>
          <w:b/>
          <w:sz w:val="28"/>
        </w:rPr>
        <w:t xml:space="preserve"> </w:t>
      </w:r>
    </w:p>
    <w:p w:rsidR="003F45B3" w:rsidRDefault="003F45B3" w:rsidP="00627022">
      <w:pPr>
        <w:jc w:val="center"/>
        <w:rPr>
          <w:rFonts w:ascii="Times New Roman" w:hAnsi="Times New Roman" w:cs="Times New Roman"/>
          <w:b/>
          <w:sz w:val="28"/>
        </w:rPr>
      </w:pPr>
    </w:p>
    <w:p w:rsidR="003F45B3" w:rsidRDefault="003F45B3" w:rsidP="00627022">
      <w:pPr>
        <w:jc w:val="center"/>
        <w:rPr>
          <w:rFonts w:ascii="Times New Roman" w:hAnsi="Times New Roman" w:cs="Times New Roman"/>
          <w:b/>
          <w:sz w:val="28"/>
        </w:rPr>
      </w:pPr>
    </w:p>
    <w:p w:rsidR="00627022" w:rsidRPr="00551C30" w:rsidRDefault="00627022">
      <w:pPr>
        <w:rPr>
          <w:rFonts w:ascii="Times New Roman" w:hAnsi="Times New Roman" w:cs="Times New Roman"/>
        </w:rPr>
      </w:pPr>
    </w:p>
    <w:p w:rsidR="00627022" w:rsidRPr="00551C30" w:rsidRDefault="00922172">
      <w:pPr>
        <w:rPr>
          <w:rFonts w:ascii="Times New Roman" w:hAnsi="Times New Roman" w:cs="Times New Roman"/>
        </w:rPr>
      </w:pPr>
      <w:r w:rsidRPr="00551C30">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2220595</wp:posOffset>
            </wp:positionH>
            <wp:positionV relativeFrom="paragraph">
              <wp:posOffset>128270</wp:posOffset>
            </wp:positionV>
            <wp:extent cx="1773555" cy="557530"/>
            <wp:effectExtent l="19050" t="0" r="0" b="0"/>
            <wp:wrapThrough wrapText="bothSides">
              <wp:wrapPolygon edited="0">
                <wp:start x="-232" y="0"/>
                <wp:lineTo x="-232" y="20665"/>
                <wp:lineTo x="21577" y="20665"/>
                <wp:lineTo x="21577" y="0"/>
                <wp:lineTo x="-232" y="0"/>
              </wp:wrapPolygon>
            </wp:wrapThrough>
            <wp:docPr id="1" name="Picture 0" descr="AU_V_P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_V_PPC.jpg"/>
                    <pic:cNvPicPr/>
                  </pic:nvPicPr>
                  <pic:blipFill>
                    <a:blip r:embed="rId8" cstate="print"/>
                    <a:stretch>
                      <a:fillRect/>
                    </a:stretch>
                  </pic:blipFill>
                  <pic:spPr>
                    <a:xfrm>
                      <a:off x="0" y="0"/>
                      <a:ext cx="1773555" cy="557530"/>
                    </a:xfrm>
                    <a:prstGeom prst="rect">
                      <a:avLst/>
                    </a:prstGeom>
                  </pic:spPr>
                </pic:pic>
              </a:graphicData>
            </a:graphic>
          </wp:anchor>
        </w:drawing>
      </w:r>
    </w:p>
    <w:p w:rsidR="00627022" w:rsidRPr="00551C30" w:rsidRDefault="00627022">
      <w:pPr>
        <w:rPr>
          <w:rFonts w:ascii="Times New Roman" w:hAnsi="Times New Roman" w:cs="Times New Roman"/>
        </w:rPr>
      </w:pPr>
    </w:p>
    <w:p w:rsidR="00081B74" w:rsidRPr="00551C30" w:rsidRDefault="00081B74" w:rsidP="00680A2F">
      <w:pPr>
        <w:jc w:val="center"/>
        <w:rPr>
          <w:rFonts w:ascii="Times New Roman" w:hAnsi="Times New Roman" w:cs="Times New Roman"/>
          <w:b/>
          <w:sz w:val="24"/>
          <w:szCs w:val="24"/>
          <w:u w:val="single"/>
        </w:rPr>
      </w:pPr>
    </w:p>
    <w:p w:rsidR="00081B74" w:rsidRPr="00551C30" w:rsidRDefault="00081B74" w:rsidP="00680A2F">
      <w:pPr>
        <w:jc w:val="center"/>
        <w:rPr>
          <w:rFonts w:ascii="Times New Roman" w:hAnsi="Times New Roman" w:cs="Times New Roman"/>
          <w:b/>
          <w:sz w:val="24"/>
          <w:szCs w:val="24"/>
          <w:u w:val="single"/>
        </w:rPr>
      </w:pPr>
    </w:p>
    <w:p w:rsidR="00A35F1D" w:rsidRDefault="00A35F1D" w:rsidP="00680A2F">
      <w:pPr>
        <w:jc w:val="center"/>
        <w:rPr>
          <w:rFonts w:ascii="Times New Roman" w:hAnsi="Times New Roman" w:cs="Times New Roman"/>
          <w:b/>
          <w:sz w:val="24"/>
          <w:szCs w:val="24"/>
          <w:u w:val="single"/>
        </w:rPr>
      </w:pPr>
    </w:p>
    <w:p w:rsidR="00A35F1D" w:rsidRDefault="00A35F1D" w:rsidP="00680A2F">
      <w:pPr>
        <w:jc w:val="center"/>
        <w:rPr>
          <w:rFonts w:ascii="Times New Roman" w:hAnsi="Times New Roman" w:cs="Times New Roman"/>
          <w:b/>
          <w:sz w:val="24"/>
          <w:szCs w:val="24"/>
          <w:u w:val="single"/>
        </w:rPr>
      </w:pPr>
    </w:p>
    <w:p w:rsidR="00A35F1D" w:rsidRDefault="00A35F1D" w:rsidP="00680A2F">
      <w:pPr>
        <w:jc w:val="center"/>
        <w:rPr>
          <w:rFonts w:ascii="Times New Roman" w:hAnsi="Times New Roman" w:cs="Times New Roman"/>
          <w:b/>
          <w:sz w:val="24"/>
          <w:szCs w:val="24"/>
          <w:u w:val="single"/>
        </w:rPr>
      </w:pPr>
    </w:p>
    <w:p w:rsidR="006C510C" w:rsidRPr="00551C30" w:rsidRDefault="006C510C" w:rsidP="00680A2F">
      <w:pPr>
        <w:jc w:val="center"/>
        <w:rPr>
          <w:rFonts w:ascii="Times New Roman" w:hAnsi="Times New Roman" w:cs="Times New Roman"/>
          <w:b/>
          <w:sz w:val="24"/>
          <w:szCs w:val="24"/>
          <w:u w:val="single"/>
        </w:rPr>
      </w:pPr>
      <w:r w:rsidRPr="00551C30">
        <w:rPr>
          <w:rFonts w:ascii="Times New Roman" w:hAnsi="Times New Roman" w:cs="Times New Roman"/>
          <w:b/>
          <w:sz w:val="24"/>
          <w:szCs w:val="24"/>
          <w:u w:val="single"/>
        </w:rPr>
        <w:t>Background</w:t>
      </w:r>
    </w:p>
    <w:p w:rsidR="006C510C" w:rsidRPr="00551C30" w:rsidRDefault="006C510C" w:rsidP="00182EEC">
      <w:pPr>
        <w:jc w:val="both"/>
        <w:rPr>
          <w:rFonts w:ascii="Times New Roman" w:hAnsi="Times New Roman" w:cs="Times New Roman"/>
          <w:sz w:val="24"/>
          <w:szCs w:val="24"/>
        </w:rPr>
      </w:pPr>
    </w:p>
    <w:p w:rsidR="009A07DB" w:rsidRPr="00551C30" w:rsidRDefault="00DC0093" w:rsidP="00D0622B">
      <w:pPr>
        <w:jc w:val="both"/>
        <w:rPr>
          <w:rFonts w:ascii="Times New Roman" w:hAnsi="Times New Roman" w:cs="Times New Roman"/>
          <w:sz w:val="24"/>
          <w:szCs w:val="24"/>
        </w:rPr>
      </w:pPr>
      <w:r w:rsidRPr="00551C30">
        <w:rPr>
          <w:rFonts w:ascii="Times New Roman" w:hAnsi="Times New Roman" w:cs="Times New Roman"/>
          <w:sz w:val="24"/>
          <w:szCs w:val="24"/>
        </w:rPr>
        <w:t>This report is being provided p</w:t>
      </w:r>
      <w:r w:rsidR="006C510C" w:rsidRPr="00551C30">
        <w:rPr>
          <w:rFonts w:ascii="Times New Roman" w:hAnsi="Times New Roman" w:cs="Times New Roman"/>
          <w:sz w:val="24"/>
          <w:szCs w:val="24"/>
        </w:rPr>
        <w:t xml:space="preserve">ursuant </w:t>
      </w:r>
      <w:r w:rsidR="009A07DB" w:rsidRPr="00551C30">
        <w:rPr>
          <w:rFonts w:ascii="Times New Roman" w:hAnsi="Times New Roman" w:cs="Times New Roman"/>
          <w:sz w:val="24"/>
          <w:szCs w:val="24"/>
        </w:rPr>
        <w:t>to</w:t>
      </w:r>
      <w:r w:rsidR="006C510C" w:rsidRPr="00551C30">
        <w:rPr>
          <w:rFonts w:ascii="Times New Roman" w:hAnsi="Times New Roman" w:cs="Times New Roman"/>
          <w:sz w:val="24"/>
          <w:szCs w:val="24"/>
        </w:rPr>
        <w:t xml:space="preserve"> </w:t>
      </w:r>
      <w:r w:rsidRPr="00551C30">
        <w:rPr>
          <w:rFonts w:ascii="Times New Roman" w:hAnsi="Times New Roman" w:cs="Times New Roman"/>
          <w:sz w:val="24"/>
          <w:szCs w:val="24"/>
        </w:rPr>
        <w:t>the Washington Utilities and Transpor</w:t>
      </w:r>
      <w:r w:rsidR="00081B74" w:rsidRPr="00551C30">
        <w:rPr>
          <w:rFonts w:ascii="Times New Roman" w:hAnsi="Times New Roman" w:cs="Times New Roman"/>
          <w:sz w:val="24"/>
          <w:szCs w:val="24"/>
        </w:rPr>
        <w:t xml:space="preserve">tation </w:t>
      </w:r>
      <w:r w:rsidR="00CC4496" w:rsidRPr="00551C30">
        <w:rPr>
          <w:rFonts w:ascii="Times New Roman" w:hAnsi="Times New Roman" w:cs="Times New Roman"/>
          <w:sz w:val="24"/>
          <w:szCs w:val="24"/>
        </w:rPr>
        <w:t>Commission Order</w:t>
      </w:r>
      <w:r w:rsidR="00081B74" w:rsidRPr="00551C30">
        <w:rPr>
          <w:rFonts w:ascii="Times New Roman" w:hAnsi="Times New Roman" w:cs="Times New Roman"/>
          <w:sz w:val="24"/>
          <w:szCs w:val="24"/>
        </w:rPr>
        <w:t xml:space="preserve"> No. 6</w:t>
      </w:r>
      <w:r w:rsidRPr="00551C30">
        <w:rPr>
          <w:rFonts w:ascii="Times New Roman" w:hAnsi="Times New Roman" w:cs="Times New Roman"/>
          <w:sz w:val="24"/>
          <w:szCs w:val="24"/>
        </w:rPr>
        <w:t xml:space="preserve"> in Dockets UE-</w:t>
      </w:r>
      <w:r w:rsidR="00081B74" w:rsidRPr="00551C30">
        <w:rPr>
          <w:rFonts w:ascii="Times New Roman" w:hAnsi="Times New Roman" w:cs="Times New Roman"/>
          <w:sz w:val="24"/>
          <w:szCs w:val="24"/>
        </w:rPr>
        <w:t>110876 &amp; UG-110877</w:t>
      </w:r>
      <w:r w:rsidR="009A07DB" w:rsidRPr="00551C30">
        <w:rPr>
          <w:rFonts w:ascii="Times New Roman" w:hAnsi="Times New Roman" w:cs="Times New Roman"/>
          <w:sz w:val="24"/>
          <w:szCs w:val="24"/>
        </w:rPr>
        <w:t xml:space="preserve">. </w:t>
      </w:r>
    </w:p>
    <w:p w:rsidR="009A07DB" w:rsidRPr="00551C30" w:rsidRDefault="009A07DB" w:rsidP="00D0622B">
      <w:pPr>
        <w:jc w:val="both"/>
        <w:rPr>
          <w:rFonts w:ascii="Times New Roman" w:hAnsi="Times New Roman" w:cs="Times New Roman"/>
          <w:sz w:val="24"/>
          <w:szCs w:val="24"/>
        </w:rPr>
      </w:pPr>
    </w:p>
    <w:p w:rsidR="00DC0093" w:rsidRPr="00551C30" w:rsidRDefault="0080108C" w:rsidP="00D0622B">
      <w:pPr>
        <w:jc w:val="both"/>
        <w:rPr>
          <w:rFonts w:ascii="Times New Roman" w:hAnsi="Times New Roman" w:cs="Times New Roman"/>
          <w:sz w:val="24"/>
          <w:szCs w:val="24"/>
        </w:rPr>
      </w:pPr>
      <w:r>
        <w:rPr>
          <w:rFonts w:ascii="Times New Roman" w:hAnsi="Times New Roman" w:cs="Times New Roman"/>
          <w:sz w:val="24"/>
          <w:szCs w:val="24"/>
        </w:rPr>
        <w:t xml:space="preserve">Avista is to provide the following information per </w:t>
      </w:r>
      <w:r w:rsidR="009A07DB" w:rsidRPr="00551C30">
        <w:rPr>
          <w:rFonts w:ascii="Times New Roman" w:hAnsi="Times New Roman" w:cs="Times New Roman"/>
          <w:sz w:val="24"/>
          <w:szCs w:val="24"/>
        </w:rPr>
        <w:t>Order No</w:t>
      </w:r>
      <w:r w:rsidR="00515A4D">
        <w:rPr>
          <w:rFonts w:ascii="Times New Roman" w:hAnsi="Times New Roman" w:cs="Times New Roman"/>
          <w:sz w:val="24"/>
          <w:szCs w:val="24"/>
        </w:rPr>
        <w:t>.</w:t>
      </w:r>
      <w:r w:rsidR="009A07DB" w:rsidRPr="00551C30">
        <w:rPr>
          <w:rFonts w:ascii="Times New Roman" w:hAnsi="Times New Roman" w:cs="Times New Roman"/>
          <w:sz w:val="24"/>
          <w:szCs w:val="24"/>
        </w:rPr>
        <w:t xml:space="preserve"> 6, Paragraph 42</w:t>
      </w:r>
      <w:r>
        <w:rPr>
          <w:rFonts w:ascii="Times New Roman" w:hAnsi="Times New Roman" w:cs="Times New Roman"/>
          <w:sz w:val="24"/>
          <w:szCs w:val="24"/>
        </w:rPr>
        <w:t>:</w:t>
      </w:r>
    </w:p>
    <w:p w:rsidR="00840A0B" w:rsidRPr="00551C30" w:rsidRDefault="00840A0B" w:rsidP="00D0622B">
      <w:pPr>
        <w:jc w:val="both"/>
        <w:rPr>
          <w:rFonts w:ascii="Times New Roman" w:hAnsi="Times New Roman" w:cs="Times New Roman"/>
          <w:sz w:val="24"/>
          <w:szCs w:val="24"/>
        </w:rPr>
      </w:pPr>
    </w:p>
    <w:p w:rsidR="000E17D9" w:rsidRPr="00551C30" w:rsidRDefault="000E17D9" w:rsidP="000E17D9">
      <w:pPr>
        <w:pStyle w:val="ListParagraph"/>
        <w:numPr>
          <w:ilvl w:val="0"/>
          <w:numId w:val="13"/>
        </w:numPr>
        <w:jc w:val="both"/>
        <w:rPr>
          <w:rFonts w:ascii="Times New Roman" w:hAnsi="Times New Roman" w:cs="Times New Roman"/>
          <w:sz w:val="24"/>
          <w:szCs w:val="24"/>
        </w:rPr>
      </w:pPr>
      <w:r w:rsidRPr="00551C30">
        <w:rPr>
          <w:rFonts w:ascii="Times New Roman" w:hAnsi="Times New Roman" w:cs="Times New Roman"/>
          <w:sz w:val="24"/>
          <w:szCs w:val="24"/>
        </w:rPr>
        <w:t xml:space="preserve">A description of current executive compensation, including but not limited to, base salary, non-equity incentive </w:t>
      </w:r>
      <w:r w:rsidR="00FE1D3E">
        <w:rPr>
          <w:rFonts w:ascii="Times New Roman" w:hAnsi="Times New Roman" w:cs="Times New Roman"/>
          <w:sz w:val="24"/>
          <w:szCs w:val="24"/>
        </w:rPr>
        <w:t>compensation</w:t>
      </w:r>
      <w:r w:rsidRPr="00551C30">
        <w:rPr>
          <w:rFonts w:ascii="Times New Roman" w:hAnsi="Times New Roman" w:cs="Times New Roman"/>
          <w:sz w:val="24"/>
          <w:szCs w:val="24"/>
        </w:rPr>
        <w:t xml:space="preserve">, and incentive </w:t>
      </w:r>
      <w:r w:rsidR="00FE1D3E">
        <w:rPr>
          <w:rFonts w:ascii="Times New Roman" w:hAnsi="Times New Roman" w:cs="Times New Roman"/>
          <w:sz w:val="24"/>
          <w:szCs w:val="24"/>
        </w:rPr>
        <w:t>compensation</w:t>
      </w:r>
      <w:r w:rsidRPr="00551C30">
        <w:rPr>
          <w:rFonts w:ascii="Times New Roman" w:hAnsi="Times New Roman" w:cs="Times New Roman"/>
          <w:sz w:val="24"/>
          <w:szCs w:val="24"/>
        </w:rPr>
        <w:t>. This description should state what elements and amounts are included in rates for the Company and what elements and amounts are not recovered through rates</w:t>
      </w:r>
      <w:r w:rsidR="007B7479" w:rsidRPr="00551C30">
        <w:rPr>
          <w:rFonts w:ascii="Times New Roman" w:hAnsi="Times New Roman" w:cs="Times New Roman"/>
          <w:sz w:val="24"/>
          <w:szCs w:val="24"/>
        </w:rPr>
        <w:t>.</w:t>
      </w:r>
    </w:p>
    <w:p w:rsidR="000E17D9" w:rsidRPr="00551C30" w:rsidRDefault="000E17D9" w:rsidP="000E17D9">
      <w:pPr>
        <w:pStyle w:val="ListParagraph"/>
        <w:jc w:val="both"/>
        <w:rPr>
          <w:rFonts w:ascii="Times New Roman" w:hAnsi="Times New Roman" w:cs="Times New Roman"/>
          <w:sz w:val="24"/>
          <w:szCs w:val="24"/>
        </w:rPr>
      </w:pPr>
    </w:p>
    <w:p w:rsidR="000E17D9" w:rsidRPr="00551C30" w:rsidRDefault="000E17D9" w:rsidP="000E17D9">
      <w:pPr>
        <w:pStyle w:val="ListParagraph"/>
        <w:numPr>
          <w:ilvl w:val="0"/>
          <w:numId w:val="13"/>
        </w:numPr>
        <w:jc w:val="both"/>
        <w:rPr>
          <w:rFonts w:ascii="Times New Roman" w:hAnsi="Times New Roman" w:cs="Times New Roman"/>
          <w:sz w:val="24"/>
          <w:szCs w:val="24"/>
        </w:rPr>
      </w:pPr>
      <w:r w:rsidRPr="00551C30">
        <w:rPr>
          <w:rFonts w:ascii="Times New Roman" w:hAnsi="Times New Roman" w:cs="Times New Roman"/>
          <w:sz w:val="24"/>
          <w:szCs w:val="24"/>
        </w:rPr>
        <w:t>A description of how levels of compensation are set. This description should include discussion of the basis for selecting ostensibly comparable utilities that were surveyed, state what those survey results showed, and explain how the results relate to Avista. Avista is also required to state whether executive compensation paid by any Pacific Northwest investor-owned (e.g., Puget Sound Energy, PacifiCorp, et cetera) or publicly-owned utilities (e.g., Seattle City Light, Tacoma Power, Public Utility District No. 1 of Snohomish County, and the Bonneville Power Administration) were considered and if not, explain why not</w:t>
      </w:r>
    </w:p>
    <w:p w:rsidR="000E17D9" w:rsidRPr="00551C30" w:rsidRDefault="000E17D9" w:rsidP="000E17D9">
      <w:pPr>
        <w:pStyle w:val="ListParagraph"/>
        <w:rPr>
          <w:rFonts w:ascii="Times New Roman" w:hAnsi="Times New Roman" w:cs="Times New Roman"/>
          <w:sz w:val="24"/>
          <w:szCs w:val="24"/>
        </w:rPr>
      </w:pPr>
    </w:p>
    <w:p w:rsidR="000E17D9" w:rsidRPr="00551C30" w:rsidRDefault="000E17D9" w:rsidP="000E17D9">
      <w:pPr>
        <w:pStyle w:val="ListParagraph"/>
        <w:numPr>
          <w:ilvl w:val="0"/>
          <w:numId w:val="13"/>
        </w:numPr>
        <w:jc w:val="both"/>
        <w:rPr>
          <w:rFonts w:ascii="Times New Roman" w:hAnsi="Times New Roman" w:cs="Times New Roman"/>
          <w:sz w:val="24"/>
          <w:szCs w:val="24"/>
        </w:rPr>
      </w:pPr>
      <w:r w:rsidRPr="00551C30">
        <w:rPr>
          <w:rFonts w:ascii="Times New Roman" w:hAnsi="Times New Roman" w:cs="Times New Roman"/>
          <w:sz w:val="24"/>
          <w:szCs w:val="24"/>
        </w:rPr>
        <w:t>A</w:t>
      </w:r>
      <w:r w:rsidR="007F6B0C">
        <w:rPr>
          <w:rFonts w:ascii="Times New Roman" w:hAnsi="Times New Roman" w:cs="Times New Roman"/>
          <w:sz w:val="24"/>
          <w:szCs w:val="24"/>
        </w:rPr>
        <w:t>n explanation</w:t>
      </w:r>
      <w:r w:rsidR="007B7479" w:rsidRPr="00551C30">
        <w:rPr>
          <w:rFonts w:ascii="Times New Roman" w:hAnsi="Times New Roman" w:cs="Times New Roman"/>
          <w:sz w:val="24"/>
          <w:szCs w:val="24"/>
        </w:rPr>
        <w:t xml:space="preserve"> of </w:t>
      </w:r>
      <w:r w:rsidRPr="00551C30">
        <w:rPr>
          <w:rFonts w:ascii="Times New Roman" w:hAnsi="Times New Roman" w:cs="Times New Roman"/>
          <w:sz w:val="24"/>
          <w:szCs w:val="24"/>
        </w:rPr>
        <w:t xml:space="preserve">why the existing levels of executive compensation are appropriate for recovery in utility rates. </w:t>
      </w:r>
    </w:p>
    <w:p w:rsidR="00840A0B" w:rsidRPr="00551C30" w:rsidRDefault="00840A0B" w:rsidP="00840A0B">
      <w:pPr>
        <w:ind w:left="720" w:right="576"/>
        <w:jc w:val="both"/>
        <w:rPr>
          <w:rFonts w:ascii="Times New Roman" w:hAnsi="Times New Roman" w:cs="Times New Roman"/>
          <w:sz w:val="24"/>
          <w:szCs w:val="24"/>
        </w:rPr>
      </w:pPr>
    </w:p>
    <w:p w:rsidR="00DC0093" w:rsidRPr="00551C30" w:rsidRDefault="00081B74" w:rsidP="00D0622B">
      <w:pPr>
        <w:jc w:val="both"/>
        <w:rPr>
          <w:rFonts w:ascii="Times New Roman" w:hAnsi="Times New Roman" w:cs="Times New Roman"/>
          <w:sz w:val="24"/>
          <w:szCs w:val="24"/>
        </w:rPr>
      </w:pPr>
      <w:r w:rsidRPr="00551C30">
        <w:rPr>
          <w:rFonts w:ascii="Times New Roman" w:hAnsi="Times New Roman" w:cs="Times New Roman"/>
          <w:sz w:val="24"/>
          <w:szCs w:val="24"/>
        </w:rPr>
        <w:tab/>
      </w:r>
    </w:p>
    <w:p w:rsidR="00041C7C" w:rsidRPr="00551C30" w:rsidRDefault="00041C7C">
      <w:pPr>
        <w:rPr>
          <w:rFonts w:ascii="Times New Roman" w:hAnsi="Times New Roman" w:cs="Times New Roman"/>
          <w:b/>
          <w:sz w:val="24"/>
          <w:szCs w:val="24"/>
          <w:u w:val="single"/>
        </w:rPr>
      </w:pPr>
      <w:r w:rsidRPr="00551C30">
        <w:rPr>
          <w:rFonts w:ascii="Times New Roman" w:hAnsi="Times New Roman" w:cs="Times New Roman"/>
          <w:b/>
          <w:sz w:val="24"/>
          <w:szCs w:val="24"/>
          <w:u w:val="single"/>
        </w:rPr>
        <w:br w:type="page"/>
      </w:r>
    </w:p>
    <w:p w:rsidR="00182EEC" w:rsidRPr="00551C30" w:rsidRDefault="00182EEC" w:rsidP="00D96258">
      <w:pPr>
        <w:jc w:val="center"/>
        <w:rPr>
          <w:rFonts w:ascii="Times New Roman" w:hAnsi="Times New Roman" w:cs="Times New Roman"/>
          <w:b/>
          <w:sz w:val="24"/>
          <w:szCs w:val="24"/>
          <w:u w:val="single"/>
        </w:rPr>
      </w:pPr>
      <w:r w:rsidRPr="00551C30">
        <w:rPr>
          <w:rFonts w:ascii="Times New Roman" w:hAnsi="Times New Roman" w:cs="Times New Roman"/>
          <w:b/>
          <w:sz w:val="24"/>
          <w:szCs w:val="24"/>
          <w:u w:val="single"/>
        </w:rPr>
        <w:lastRenderedPageBreak/>
        <w:t>Issue</w:t>
      </w:r>
      <w:r w:rsidR="006C510C" w:rsidRPr="00551C30">
        <w:rPr>
          <w:rFonts w:ascii="Times New Roman" w:hAnsi="Times New Roman" w:cs="Times New Roman"/>
          <w:b/>
          <w:sz w:val="24"/>
          <w:szCs w:val="24"/>
          <w:u w:val="single"/>
        </w:rPr>
        <w:t>s</w:t>
      </w:r>
      <w:r w:rsidRPr="00551C30">
        <w:rPr>
          <w:rFonts w:ascii="Times New Roman" w:hAnsi="Times New Roman" w:cs="Times New Roman"/>
          <w:b/>
          <w:sz w:val="24"/>
          <w:szCs w:val="24"/>
          <w:u w:val="single"/>
        </w:rPr>
        <w:t xml:space="preserve"> Addressed</w:t>
      </w:r>
    </w:p>
    <w:p w:rsidR="00182EEC" w:rsidRPr="00551C30" w:rsidRDefault="00182EEC" w:rsidP="00182EEC">
      <w:pPr>
        <w:jc w:val="both"/>
        <w:rPr>
          <w:rFonts w:ascii="Times New Roman" w:hAnsi="Times New Roman" w:cs="Times New Roman"/>
          <w:sz w:val="24"/>
          <w:szCs w:val="24"/>
        </w:rPr>
      </w:pPr>
    </w:p>
    <w:p w:rsidR="008F53A1" w:rsidRPr="00551C30" w:rsidRDefault="008F53A1" w:rsidP="00182EEC">
      <w:pPr>
        <w:jc w:val="both"/>
        <w:rPr>
          <w:rFonts w:ascii="Times New Roman" w:hAnsi="Times New Roman" w:cs="Times New Roman"/>
          <w:sz w:val="24"/>
          <w:szCs w:val="24"/>
        </w:rPr>
      </w:pPr>
    </w:p>
    <w:p w:rsidR="00CC34FF" w:rsidRPr="00594449" w:rsidRDefault="005816C5" w:rsidP="009B4079">
      <w:pPr>
        <w:pStyle w:val="ListParagraph"/>
        <w:numPr>
          <w:ilvl w:val="0"/>
          <w:numId w:val="3"/>
        </w:numPr>
        <w:jc w:val="both"/>
        <w:rPr>
          <w:rFonts w:ascii="Times New Roman" w:hAnsi="Times New Roman" w:cs="Times New Roman"/>
          <w:b/>
          <w:sz w:val="24"/>
          <w:szCs w:val="24"/>
        </w:rPr>
      </w:pPr>
      <w:r w:rsidRPr="005816C5">
        <w:rPr>
          <w:rFonts w:ascii="Times New Roman" w:hAnsi="Times New Roman" w:cs="Times New Roman"/>
          <w:b/>
          <w:sz w:val="24"/>
          <w:szCs w:val="24"/>
        </w:rPr>
        <w:t>Executive Officer Compensation Description</w:t>
      </w:r>
    </w:p>
    <w:p w:rsidR="009B4079" w:rsidRPr="00551C30" w:rsidRDefault="0080108C" w:rsidP="00CC34F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 description of </w:t>
      </w:r>
      <w:r w:rsidR="005B1BF1">
        <w:rPr>
          <w:rFonts w:ascii="Times New Roman" w:hAnsi="Times New Roman" w:cs="Times New Roman"/>
          <w:sz w:val="24"/>
          <w:szCs w:val="24"/>
        </w:rPr>
        <w:t>executive officer</w:t>
      </w:r>
      <w:r w:rsidR="00367785" w:rsidRPr="00551C30">
        <w:rPr>
          <w:rFonts w:ascii="Times New Roman" w:hAnsi="Times New Roman" w:cs="Times New Roman"/>
          <w:sz w:val="24"/>
          <w:szCs w:val="24"/>
        </w:rPr>
        <w:t xml:space="preserve"> compensation</w:t>
      </w:r>
      <w:r w:rsidR="00CD27FB">
        <w:rPr>
          <w:rFonts w:ascii="Times New Roman" w:hAnsi="Times New Roman" w:cs="Times New Roman"/>
          <w:sz w:val="24"/>
          <w:szCs w:val="24"/>
        </w:rPr>
        <w:t>,</w:t>
      </w:r>
      <w:r w:rsidR="007160AB" w:rsidRPr="00551C30">
        <w:rPr>
          <w:rFonts w:ascii="Times New Roman" w:hAnsi="Times New Roman" w:cs="Times New Roman"/>
          <w:sz w:val="24"/>
          <w:szCs w:val="24"/>
        </w:rPr>
        <w:t xml:space="preserve"> including w</w:t>
      </w:r>
      <w:r w:rsidR="00367785" w:rsidRPr="00551C30">
        <w:rPr>
          <w:rFonts w:ascii="Times New Roman" w:hAnsi="Times New Roman" w:cs="Times New Roman"/>
          <w:sz w:val="24"/>
          <w:szCs w:val="24"/>
        </w:rPr>
        <w:t xml:space="preserve">hat elements and amounts are included in </w:t>
      </w:r>
      <w:r>
        <w:rPr>
          <w:rFonts w:ascii="Times New Roman" w:hAnsi="Times New Roman" w:cs="Times New Roman"/>
          <w:sz w:val="24"/>
          <w:szCs w:val="24"/>
        </w:rPr>
        <w:t xml:space="preserve">customer </w:t>
      </w:r>
      <w:r w:rsidR="00367785" w:rsidRPr="00551C30">
        <w:rPr>
          <w:rFonts w:ascii="Times New Roman" w:hAnsi="Times New Roman" w:cs="Times New Roman"/>
          <w:sz w:val="24"/>
          <w:szCs w:val="24"/>
        </w:rPr>
        <w:t xml:space="preserve">rates </w:t>
      </w:r>
      <w:r w:rsidR="00CC34FF" w:rsidRPr="00551C30">
        <w:rPr>
          <w:rFonts w:ascii="Times New Roman" w:hAnsi="Times New Roman" w:cs="Times New Roman"/>
          <w:sz w:val="24"/>
          <w:szCs w:val="24"/>
        </w:rPr>
        <w:t xml:space="preserve">versus amounts which are </w:t>
      </w:r>
      <w:r>
        <w:rPr>
          <w:rFonts w:ascii="Times New Roman" w:hAnsi="Times New Roman" w:cs="Times New Roman"/>
          <w:sz w:val="24"/>
          <w:szCs w:val="24"/>
        </w:rPr>
        <w:t>excluded from customer</w:t>
      </w:r>
      <w:r w:rsidR="00367785" w:rsidRPr="00551C30">
        <w:rPr>
          <w:rFonts w:ascii="Times New Roman" w:hAnsi="Times New Roman" w:cs="Times New Roman"/>
          <w:sz w:val="24"/>
          <w:szCs w:val="24"/>
        </w:rPr>
        <w:t xml:space="preserve"> rates</w:t>
      </w:r>
      <w:r w:rsidR="007160AB" w:rsidRPr="00551C30">
        <w:rPr>
          <w:rFonts w:ascii="Times New Roman" w:hAnsi="Times New Roman" w:cs="Times New Roman"/>
          <w:sz w:val="24"/>
          <w:szCs w:val="24"/>
        </w:rPr>
        <w:t>.</w:t>
      </w:r>
    </w:p>
    <w:p w:rsidR="00840A0B" w:rsidRPr="00551C30" w:rsidRDefault="00840A0B" w:rsidP="00840A0B">
      <w:pPr>
        <w:pStyle w:val="ListParagraph"/>
        <w:jc w:val="both"/>
        <w:rPr>
          <w:rFonts w:ascii="Times New Roman" w:hAnsi="Times New Roman" w:cs="Times New Roman"/>
          <w:sz w:val="24"/>
          <w:szCs w:val="24"/>
        </w:rPr>
      </w:pPr>
    </w:p>
    <w:p w:rsidR="007A56EB" w:rsidRPr="00594449" w:rsidRDefault="005816C5" w:rsidP="006C510C">
      <w:pPr>
        <w:pStyle w:val="ListParagraph"/>
        <w:numPr>
          <w:ilvl w:val="0"/>
          <w:numId w:val="3"/>
        </w:numPr>
        <w:jc w:val="both"/>
        <w:rPr>
          <w:rFonts w:ascii="Times New Roman" w:hAnsi="Times New Roman" w:cs="Times New Roman"/>
          <w:b/>
          <w:sz w:val="24"/>
          <w:szCs w:val="24"/>
        </w:rPr>
      </w:pPr>
      <w:r w:rsidRPr="005816C5">
        <w:rPr>
          <w:rFonts w:ascii="Times New Roman" w:hAnsi="Times New Roman" w:cs="Times New Roman"/>
          <w:b/>
          <w:sz w:val="24"/>
          <w:szCs w:val="24"/>
        </w:rPr>
        <w:t>Setting of Executive Officer Compensation Levels</w:t>
      </w:r>
    </w:p>
    <w:p w:rsidR="00367785" w:rsidRPr="00551C30" w:rsidRDefault="00367785" w:rsidP="007A56EB">
      <w:pPr>
        <w:pStyle w:val="ListParagraph"/>
        <w:jc w:val="both"/>
        <w:rPr>
          <w:rFonts w:ascii="Times New Roman" w:hAnsi="Times New Roman" w:cs="Times New Roman"/>
          <w:sz w:val="24"/>
          <w:szCs w:val="24"/>
        </w:rPr>
      </w:pPr>
      <w:r w:rsidRPr="00551C30">
        <w:rPr>
          <w:rFonts w:ascii="Times New Roman" w:hAnsi="Times New Roman" w:cs="Times New Roman"/>
          <w:sz w:val="24"/>
          <w:szCs w:val="24"/>
        </w:rPr>
        <w:t>A description of how levels of compensation are set</w:t>
      </w:r>
      <w:r w:rsidR="00CD27FB">
        <w:rPr>
          <w:rFonts w:ascii="Times New Roman" w:hAnsi="Times New Roman" w:cs="Times New Roman"/>
          <w:sz w:val="24"/>
          <w:szCs w:val="24"/>
        </w:rPr>
        <w:t>,</w:t>
      </w:r>
      <w:r w:rsidR="007160AB" w:rsidRPr="00551C30">
        <w:rPr>
          <w:rFonts w:ascii="Times New Roman" w:hAnsi="Times New Roman" w:cs="Times New Roman"/>
          <w:sz w:val="24"/>
          <w:szCs w:val="24"/>
        </w:rPr>
        <w:t xml:space="preserve"> including the</w:t>
      </w:r>
      <w:r w:rsidRPr="00551C30">
        <w:rPr>
          <w:rFonts w:ascii="Times New Roman" w:hAnsi="Times New Roman" w:cs="Times New Roman"/>
          <w:sz w:val="24"/>
          <w:szCs w:val="24"/>
        </w:rPr>
        <w:t xml:space="preserve"> basis for selecting </w:t>
      </w:r>
      <w:r w:rsidR="007A56EB" w:rsidRPr="00551C30">
        <w:rPr>
          <w:rFonts w:ascii="Times New Roman" w:hAnsi="Times New Roman" w:cs="Times New Roman"/>
          <w:sz w:val="24"/>
          <w:szCs w:val="24"/>
        </w:rPr>
        <w:t>co</w:t>
      </w:r>
      <w:r w:rsidRPr="00551C30">
        <w:rPr>
          <w:rFonts w:ascii="Times New Roman" w:hAnsi="Times New Roman" w:cs="Times New Roman"/>
          <w:sz w:val="24"/>
          <w:szCs w:val="24"/>
        </w:rPr>
        <w:t xml:space="preserve">mparable utilities that were surveyed, what those survey results showed, and </w:t>
      </w:r>
      <w:r w:rsidR="007A56EB" w:rsidRPr="00551C30">
        <w:rPr>
          <w:rFonts w:ascii="Times New Roman" w:hAnsi="Times New Roman" w:cs="Times New Roman"/>
          <w:sz w:val="24"/>
          <w:szCs w:val="24"/>
        </w:rPr>
        <w:t>h</w:t>
      </w:r>
      <w:r w:rsidRPr="00551C30">
        <w:rPr>
          <w:rFonts w:ascii="Times New Roman" w:hAnsi="Times New Roman" w:cs="Times New Roman"/>
          <w:sz w:val="24"/>
          <w:szCs w:val="24"/>
        </w:rPr>
        <w:t xml:space="preserve">ow the results relate to Avista. </w:t>
      </w:r>
      <w:r w:rsidR="007A56EB" w:rsidRPr="00551C30">
        <w:rPr>
          <w:rFonts w:ascii="Times New Roman" w:hAnsi="Times New Roman" w:cs="Times New Roman"/>
          <w:sz w:val="24"/>
          <w:szCs w:val="24"/>
        </w:rPr>
        <w:t>Additional information is included</w:t>
      </w:r>
      <w:r w:rsidR="0080108C">
        <w:rPr>
          <w:rFonts w:ascii="Times New Roman" w:hAnsi="Times New Roman" w:cs="Times New Roman"/>
          <w:sz w:val="24"/>
          <w:szCs w:val="24"/>
        </w:rPr>
        <w:t>,</w:t>
      </w:r>
      <w:r w:rsidR="007A56EB" w:rsidRPr="00551C30">
        <w:rPr>
          <w:rFonts w:ascii="Times New Roman" w:hAnsi="Times New Roman" w:cs="Times New Roman"/>
          <w:sz w:val="24"/>
          <w:szCs w:val="24"/>
        </w:rPr>
        <w:t xml:space="preserve"> </w:t>
      </w:r>
      <w:r w:rsidR="0080108C">
        <w:rPr>
          <w:rFonts w:ascii="Times New Roman" w:hAnsi="Times New Roman" w:cs="Times New Roman"/>
          <w:sz w:val="24"/>
          <w:szCs w:val="24"/>
        </w:rPr>
        <w:t xml:space="preserve">as requested, </w:t>
      </w:r>
      <w:r w:rsidR="007A56EB" w:rsidRPr="00551C30">
        <w:rPr>
          <w:rFonts w:ascii="Times New Roman" w:hAnsi="Times New Roman" w:cs="Times New Roman"/>
          <w:sz w:val="24"/>
          <w:szCs w:val="24"/>
        </w:rPr>
        <w:t>on</w:t>
      </w:r>
      <w:r w:rsidRPr="00551C30">
        <w:rPr>
          <w:rFonts w:ascii="Times New Roman" w:hAnsi="Times New Roman" w:cs="Times New Roman"/>
          <w:sz w:val="24"/>
          <w:szCs w:val="24"/>
        </w:rPr>
        <w:t xml:space="preserve"> whether </w:t>
      </w:r>
      <w:r w:rsidR="005B1BF1">
        <w:rPr>
          <w:rFonts w:ascii="Times New Roman" w:hAnsi="Times New Roman" w:cs="Times New Roman"/>
          <w:sz w:val="24"/>
          <w:szCs w:val="24"/>
        </w:rPr>
        <w:t>executive officer</w:t>
      </w:r>
      <w:r w:rsidRPr="00551C30">
        <w:rPr>
          <w:rFonts w:ascii="Times New Roman" w:hAnsi="Times New Roman" w:cs="Times New Roman"/>
          <w:sz w:val="24"/>
          <w:szCs w:val="24"/>
        </w:rPr>
        <w:t xml:space="preserve"> compensation paid by any Pacific Northwest investor-owned or publicly-owned utilities </w:t>
      </w:r>
      <w:r w:rsidR="007160AB" w:rsidRPr="00551C30">
        <w:rPr>
          <w:rFonts w:ascii="Times New Roman" w:hAnsi="Times New Roman" w:cs="Times New Roman"/>
          <w:sz w:val="24"/>
          <w:szCs w:val="24"/>
        </w:rPr>
        <w:t>w</w:t>
      </w:r>
      <w:r w:rsidRPr="00551C30">
        <w:rPr>
          <w:rFonts w:ascii="Times New Roman" w:hAnsi="Times New Roman" w:cs="Times New Roman"/>
          <w:sz w:val="24"/>
          <w:szCs w:val="24"/>
        </w:rPr>
        <w:t xml:space="preserve">ere considered </w:t>
      </w:r>
      <w:r w:rsidR="007160AB" w:rsidRPr="00551C30">
        <w:rPr>
          <w:rFonts w:ascii="Times New Roman" w:hAnsi="Times New Roman" w:cs="Times New Roman"/>
          <w:sz w:val="24"/>
          <w:szCs w:val="24"/>
        </w:rPr>
        <w:t xml:space="preserve">comparable </w:t>
      </w:r>
      <w:r w:rsidRPr="00551C30">
        <w:rPr>
          <w:rFonts w:ascii="Times New Roman" w:hAnsi="Times New Roman" w:cs="Times New Roman"/>
          <w:sz w:val="24"/>
          <w:szCs w:val="24"/>
        </w:rPr>
        <w:t>and if not, why not</w:t>
      </w:r>
      <w:r w:rsidR="007A56EB" w:rsidRPr="00551C30">
        <w:rPr>
          <w:rFonts w:ascii="Times New Roman" w:hAnsi="Times New Roman" w:cs="Times New Roman"/>
          <w:sz w:val="24"/>
          <w:szCs w:val="24"/>
        </w:rPr>
        <w:t>.</w:t>
      </w:r>
    </w:p>
    <w:p w:rsidR="00C47F0A" w:rsidRPr="00551C30" w:rsidRDefault="00C47F0A" w:rsidP="00C47F0A">
      <w:pPr>
        <w:pStyle w:val="ListParagraph"/>
        <w:rPr>
          <w:rFonts w:ascii="Times New Roman" w:hAnsi="Times New Roman" w:cs="Times New Roman"/>
          <w:sz w:val="24"/>
          <w:szCs w:val="24"/>
        </w:rPr>
      </w:pPr>
    </w:p>
    <w:p w:rsidR="0080108C" w:rsidRPr="00594449" w:rsidRDefault="005816C5" w:rsidP="00FE112C">
      <w:pPr>
        <w:pStyle w:val="ListParagraph"/>
        <w:numPr>
          <w:ilvl w:val="0"/>
          <w:numId w:val="3"/>
        </w:numPr>
        <w:jc w:val="both"/>
        <w:rPr>
          <w:rFonts w:ascii="Times New Roman" w:hAnsi="Times New Roman" w:cs="Times New Roman"/>
          <w:b/>
          <w:sz w:val="24"/>
          <w:szCs w:val="24"/>
        </w:rPr>
      </w:pPr>
      <w:r w:rsidRPr="005816C5">
        <w:rPr>
          <w:rFonts w:ascii="Times New Roman" w:hAnsi="Times New Roman" w:cs="Times New Roman"/>
          <w:b/>
          <w:sz w:val="24"/>
          <w:szCs w:val="24"/>
        </w:rPr>
        <w:t>Appropriate Level of  Executive Officer Compensation in Rates</w:t>
      </w:r>
    </w:p>
    <w:p w:rsidR="00FE112C" w:rsidRPr="00551C30" w:rsidRDefault="0080108C" w:rsidP="0080108C">
      <w:pPr>
        <w:pStyle w:val="ListParagraph"/>
        <w:jc w:val="both"/>
        <w:rPr>
          <w:rFonts w:ascii="Times New Roman" w:hAnsi="Times New Roman" w:cs="Times New Roman"/>
          <w:sz w:val="24"/>
          <w:szCs w:val="24"/>
        </w:rPr>
      </w:pPr>
      <w:r>
        <w:rPr>
          <w:rFonts w:ascii="Times New Roman" w:hAnsi="Times New Roman" w:cs="Times New Roman"/>
          <w:sz w:val="24"/>
          <w:szCs w:val="24"/>
        </w:rPr>
        <w:t>A</w:t>
      </w:r>
      <w:r w:rsidR="004616A8">
        <w:rPr>
          <w:rFonts w:ascii="Times New Roman" w:hAnsi="Times New Roman" w:cs="Times New Roman"/>
          <w:sz w:val="24"/>
          <w:szCs w:val="24"/>
        </w:rPr>
        <w:t>n</w:t>
      </w:r>
      <w:r>
        <w:rPr>
          <w:rFonts w:ascii="Times New Roman" w:hAnsi="Times New Roman" w:cs="Times New Roman"/>
          <w:sz w:val="24"/>
          <w:szCs w:val="24"/>
        </w:rPr>
        <w:t xml:space="preserve"> </w:t>
      </w:r>
      <w:r w:rsidR="004616A8">
        <w:rPr>
          <w:rFonts w:ascii="Times New Roman" w:hAnsi="Times New Roman" w:cs="Times New Roman"/>
          <w:sz w:val="24"/>
          <w:szCs w:val="24"/>
        </w:rPr>
        <w:t>explanation</w:t>
      </w:r>
      <w:r>
        <w:rPr>
          <w:rFonts w:ascii="Times New Roman" w:hAnsi="Times New Roman" w:cs="Times New Roman"/>
          <w:sz w:val="24"/>
          <w:szCs w:val="24"/>
        </w:rPr>
        <w:t xml:space="preserve"> of why </w:t>
      </w:r>
      <w:r w:rsidR="00B92E70">
        <w:rPr>
          <w:rFonts w:ascii="Times New Roman" w:hAnsi="Times New Roman" w:cs="Times New Roman"/>
          <w:sz w:val="24"/>
          <w:szCs w:val="24"/>
        </w:rPr>
        <w:t xml:space="preserve">the existing </w:t>
      </w:r>
      <w:r>
        <w:rPr>
          <w:rFonts w:ascii="Times New Roman" w:hAnsi="Times New Roman" w:cs="Times New Roman"/>
          <w:sz w:val="24"/>
          <w:szCs w:val="24"/>
        </w:rPr>
        <w:t xml:space="preserve">levels of </w:t>
      </w:r>
      <w:r w:rsidR="005B1BF1">
        <w:rPr>
          <w:rFonts w:ascii="Times New Roman" w:hAnsi="Times New Roman" w:cs="Times New Roman"/>
          <w:sz w:val="24"/>
          <w:szCs w:val="24"/>
        </w:rPr>
        <w:t>executive officer</w:t>
      </w:r>
      <w:r>
        <w:rPr>
          <w:rFonts w:ascii="Times New Roman" w:hAnsi="Times New Roman" w:cs="Times New Roman"/>
          <w:sz w:val="24"/>
          <w:szCs w:val="24"/>
        </w:rPr>
        <w:t xml:space="preserve"> compensation </w:t>
      </w:r>
      <w:r w:rsidR="00B92E70">
        <w:rPr>
          <w:rFonts w:ascii="Times New Roman" w:hAnsi="Times New Roman" w:cs="Times New Roman"/>
          <w:sz w:val="24"/>
          <w:szCs w:val="24"/>
        </w:rPr>
        <w:t>is appropriate for recovery in rates.</w:t>
      </w:r>
      <w:r w:rsidR="00367785" w:rsidRPr="00551C30">
        <w:rPr>
          <w:rFonts w:ascii="Times New Roman" w:hAnsi="Times New Roman" w:cs="Times New Roman"/>
          <w:sz w:val="24"/>
          <w:szCs w:val="24"/>
        </w:rPr>
        <w:t xml:space="preserve"> </w:t>
      </w:r>
    </w:p>
    <w:p w:rsidR="001C5C4F" w:rsidRPr="00551C30" w:rsidRDefault="001C5C4F" w:rsidP="001C5C4F">
      <w:pPr>
        <w:jc w:val="both"/>
        <w:rPr>
          <w:rFonts w:ascii="Times New Roman" w:hAnsi="Times New Roman" w:cs="Times New Roman"/>
          <w:sz w:val="24"/>
          <w:szCs w:val="24"/>
        </w:rPr>
      </w:pPr>
    </w:p>
    <w:p w:rsidR="001C5C4F" w:rsidRPr="00551C30" w:rsidRDefault="001C5C4F" w:rsidP="001C5C4F">
      <w:pPr>
        <w:jc w:val="both"/>
        <w:rPr>
          <w:rFonts w:ascii="Times New Roman" w:hAnsi="Times New Roman" w:cs="Times New Roman"/>
          <w:sz w:val="24"/>
          <w:szCs w:val="24"/>
        </w:rPr>
      </w:pPr>
    </w:p>
    <w:p w:rsidR="001C5C4F" w:rsidRPr="00551C30" w:rsidRDefault="001C5C4F" w:rsidP="001C5C4F">
      <w:pPr>
        <w:jc w:val="both"/>
        <w:rPr>
          <w:rFonts w:ascii="Times New Roman" w:hAnsi="Times New Roman" w:cs="Times New Roman"/>
          <w:sz w:val="24"/>
          <w:szCs w:val="24"/>
        </w:rPr>
      </w:pPr>
    </w:p>
    <w:p w:rsidR="001C5C4F" w:rsidRPr="00551C30" w:rsidRDefault="001C5C4F" w:rsidP="001C5C4F">
      <w:pPr>
        <w:rPr>
          <w:rFonts w:ascii="Times New Roman" w:hAnsi="Times New Roman" w:cs="Times New Roman"/>
          <w:b/>
          <w:sz w:val="24"/>
          <w:szCs w:val="24"/>
          <w:u w:val="single"/>
        </w:rPr>
      </w:pPr>
      <w:r w:rsidRPr="00551C30">
        <w:rPr>
          <w:rFonts w:ascii="Times New Roman" w:hAnsi="Times New Roman" w:cs="Times New Roman"/>
          <w:b/>
          <w:sz w:val="24"/>
          <w:szCs w:val="24"/>
          <w:u w:val="single"/>
        </w:rPr>
        <w:t>Attachments:</w:t>
      </w:r>
    </w:p>
    <w:p w:rsidR="001C5C4F" w:rsidRPr="00551C30" w:rsidRDefault="001C5C4F" w:rsidP="001C5C4F">
      <w:pPr>
        <w:rPr>
          <w:rFonts w:ascii="Times New Roman" w:hAnsi="Times New Roman" w:cs="Times New Roman"/>
          <w:b/>
          <w:sz w:val="24"/>
          <w:szCs w:val="24"/>
          <w:u w:val="single"/>
        </w:rPr>
      </w:pPr>
    </w:p>
    <w:p w:rsidR="00C5212B" w:rsidRDefault="00B04FC8" w:rsidP="00C5212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Avista Corporation Notice of 2012 Annual Meeting and Proxy Statement</w:t>
      </w:r>
    </w:p>
    <w:p w:rsidR="00904D0D" w:rsidRPr="00551C30" w:rsidRDefault="00904D0D" w:rsidP="00904D0D">
      <w:pPr>
        <w:pStyle w:val="ListParagraph"/>
        <w:numPr>
          <w:ilvl w:val="0"/>
          <w:numId w:val="19"/>
        </w:numPr>
        <w:rPr>
          <w:rFonts w:ascii="Times New Roman" w:hAnsi="Times New Roman" w:cs="Times New Roman"/>
          <w:sz w:val="24"/>
          <w:szCs w:val="24"/>
        </w:rPr>
      </w:pPr>
      <w:r w:rsidRPr="00551C30">
        <w:rPr>
          <w:rFonts w:ascii="Times New Roman" w:hAnsi="Times New Roman" w:cs="Times New Roman"/>
          <w:sz w:val="24"/>
          <w:szCs w:val="24"/>
        </w:rPr>
        <w:t xml:space="preserve">2011 </w:t>
      </w:r>
      <w:r>
        <w:rPr>
          <w:rFonts w:ascii="Times New Roman" w:hAnsi="Times New Roman" w:cs="Times New Roman"/>
          <w:sz w:val="24"/>
          <w:szCs w:val="24"/>
        </w:rPr>
        <w:t xml:space="preserve">Executive Officer Short Term </w:t>
      </w:r>
      <w:r w:rsidRPr="00551C30">
        <w:rPr>
          <w:rFonts w:ascii="Times New Roman" w:hAnsi="Times New Roman" w:cs="Times New Roman"/>
          <w:sz w:val="24"/>
          <w:szCs w:val="24"/>
        </w:rPr>
        <w:t>Incentive Plan</w:t>
      </w:r>
      <w:r w:rsidR="007D70BC">
        <w:rPr>
          <w:rFonts w:ascii="Times New Roman" w:hAnsi="Times New Roman" w:cs="Times New Roman"/>
          <w:sz w:val="24"/>
          <w:szCs w:val="24"/>
        </w:rPr>
        <w:t xml:space="preserve"> for 2011</w:t>
      </w:r>
    </w:p>
    <w:p w:rsidR="004D1645" w:rsidRDefault="00B04FC8" w:rsidP="00904D0D">
      <w:pPr>
        <w:pStyle w:val="ListParagraph"/>
        <w:numPr>
          <w:ilvl w:val="0"/>
          <w:numId w:val="19"/>
        </w:numPr>
        <w:rPr>
          <w:rFonts w:ascii="Times New Roman" w:hAnsi="Times New Roman" w:cs="Times New Roman"/>
          <w:sz w:val="24"/>
          <w:szCs w:val="24"/>
        </w:rPr>
      </w:pPr>
      <w:r w:rsidRPr="004D1645">
        <w:rPr>
          <w:rFonts w:ascii="Times New Roman" w:hAnsi="Times New Roman" w:cs="Times New Roman"/>
          <w:sz w:val="24"/>
          <w:szCs w:val="24"/>
        </w:rPr>
        <w:t xml:space="preserve">Confidential - </w:t>
      </w:r>
      <w:r w:rsidR="00904D0D" w:rsidRPr="004D1645">
        <w:rPr>
          <w:rFonts w:ascii="Times New Roman" w:hAnsi="Times New Roman" w:cs="Times New Roman"/>
          <w:sz w:val="24"/>
          <w:szCs w:val="24"/>
        </w:rPr>
        <w:t xml:space="preserve">Total </w:t>
      </w:r>
      <w:r w:rsidR="004D1645" w:rsidRPr="004D1645">
        <w:rPr>
          <w:rFonts w:ascii="Times New Roman" w:hAnsi="Times New Roman" w:cs="Times New Roman"/>
          <w:sz w:val="24"/>
          <w:szCs w:val="24"/>
        </w:rPr>
        <w:t xml:space="preserve">Utility </w:t>
      </w:r>
      <w:r w:rsidR="00904D0D" w:rsidRPr="004D1645">
        <w:rPr>
          <w:rFonts w:ascii="Times New Roman" w:hAnsi="Times New Roman" w:cs="Times New Roman"/>
          <w:sz w:val="24"/>
          <w:szCs w:val="24"/>
        </w:rPr>
        <w:t xml:space="preserve">Executive Officer </w:t>
      </w:r>
      <w:r w:rsidR="004D1645" w:rsidRPr="004D1645">
        <w:rPr>
          <w:rFonts w:ascii="Times New Roman" w:hAnsi="Times New Roman" w:cs="Times New Roman"/>
          <w:sz w:val="24"/>
          <w:szCs w:val="24"/>
        </w:rPr>
        <w:t xml:space="preserve">Base Salary and Incentive Amounts </w:t>
      </w:r>
      <w:r w:rsidR="009B0BA6">
        <w:rPr>
          <w:rFonts w:ascii="Times New Roman" w:hAnsi="Times New Roman" w:cs="Times New Roman"/>
          <w:sz w:val="24"/>
          <w:szCs w:val="24"/>
        </w:rPr>
        <w:t>in Rates</w:t>
      </w:r>
    </w:p>
    <w:p w:rsidR="00904D0D" w:rsidRPr="004D1645" w:rsidRDefault="00904D0D" w:rsidP="00904D0D">
      <w:pPr>
        <w:pStyle w:val="ListParagraph"/>
        <w:numPr>
          <w:ilvl w:val="0"/>
          <w:numId w:val="19"/>
        </w:numPr>
        <w:rPr>
          <w:rFonts w:ascii="Times New Roman" w:hAnsi="Times New Roman" w:cs="Times New Roman"/>
          <w:sz w:val="24"/>
          <w:szCs w:val="24"/>
        </w:rPr>
      </w:pPr>
      <w:r w:rsidRPr="004D1645">
        <w:rPr>
          <w:rFonts w:ascii="Times New Roman" w:hAnsi="Times New Roman" w:cs="Times New Roman"/>
          <w:sz w:val="24"/>
          <w:szCs w:val="24"/>
        </w:rPr>
        <w:t>Avista Corporation Executive Officer Long Term Incentive Plan</w:t>
      </w:r>
    </w:p>
    <w:p w:rsidR="00904D0D" w:rsidRPr="00924645" w:rsidRDefault="00904D0D" w:rsidP="00904D0D">
      <w:pPr>
        <w:pStyle w:val="ListParagraph"/>
        <w:numPr>
          <w:ilvl w:val="0"/>
          <w:numId w:val="19"/>
        </w:numPr>
        <w:rPr>
          <w:rFonts w:ascii="Times New Roman" w:hAnsi="Times New Roman" w:cs="Times New Roman"/>
          <w:sz w:val="24"/>
          <w:szCs w:val="24"/>
        </w:rPr>
      </w:pPr>
      <w:r w:rsidRPr="00924645">
        <w:rPr>
          <w:rFonts w:ascii="Times New Roman" w:hAnsi="Times New Roman" w:cs="Times New Roman"/>
          <w:sz w:val="24"/>
          <w:szCs w:val="24"/>
        </w:rPr>
        <w:t xml:space="preserve">2011 Employee Benefit </w:t>
      </w:r>
      <w:r w:rsidR="00B33217">
        <w:rPr>
          <w:rFonts w:ascii="Times New Roman" w:hAnsi="Times New Roman" w:cs="Times New Roman"/>
          <w:sz w:val="24"/>
          <w:szCs w:val="24"/>
        </w:rPr>
        <w:t>Summary</w:t>
      </w:r>
    </w:p>
    <w:p w:rsidR="00904D0D" w:rsidRPr="00551C30" w:rsidRDefault="00B04FC8" w:rsidP="00904D0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Confidential - </w:t>
      </w:r>
      <w:r w:rsidR="00904D0D" w:rsidRPr="00551C30">
        <w:rPr>
          <w:rFonts w:ascii="Times New Roman" w:hAnsi="Times New Roman" w:cs="Times New Roman"/>
          <w:sz w:val="24"/>
          <w:szCs w:val="24"/>
        </w:rPr>
        <w:t xml:space="preserve">Total </w:t>
      </w:r>
      <w:r w:rsidR="00904D0D">
        <w:rPr>
          <w:rFonts w:ascii="Times New Roman" w:hAnsi="Times New Roman" w:cs="Times New Roman"/>
          <w:sz w:val="24"/>
          <w:szCs w:val="24"/>
        </w:rPr>
        <w:t>Executive Officer</w:t>
      </w:r>
      <w:r w:rsidR="00904D0D" w:rsidRPr="00551C30">
        <w:rPr>
          <w:rFonts w:ascii="Times New Roman" w:hAnsi="Times New Roman" w:cs="Times New Roman"/>
          <w:sz w:val="24"/>
          <w:szCs w:val="24"/>
        </w:rPr>
        <w:t xml:space="preserve"> Base Pay Summary</w:t>
      </w:r>
      <w:r>
        <w:rPr>
          <w:rFonts w:ascii="Times New Roman" w:hAnsi="Times New Roman" w:cs="Times New Roman"/>
          <w:sz w:val="24"/>
          <w:szCs w:val="24"/>
        </w:rPr>
        <w:t xml:space="preserve"> </w:t>
      </w:r>
    </w:p>
    <w:p w:rsidR="00904D0D" w:rsidRPr="00551C30" w:rsidRDefault="00B04FC8" w:rsidP="00C5212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Confidential - </w:t>
      </w:r>
      <w:r w:rsidR="00904D0D" w:rsidRPr="00924645">
        <w:rPr>
          <w:rFonts w:ascii="Times New Roman" w:hAnsi="Times New Roman" w:cs="Times New Roman"/>
          <w:sz w:val="24"/>
          <w:szCs w:val="24"/>
        </w:rPr>
        <w:t>Towers Watson Total Direct Compensation Review</w:t>
      </w:r>
      <w:r>
        <w:rPr>
          <w:rFonts w:ascii="Times New Roman" w:hAnsi="Times New Roman" w:cs="Times New Roman"/>
          <w:sz w:val="24"/>
          <w:szCs w:val="24"/>
        </w:rPr>
        <w:t xml:space="preserve"> </w:t>
      </w:r>
    </w:p>
    <w:p w:rsidR="00924645" w:rsidRDefault="00924645" w:rsidP="00904D0D">
      <w:pPr>
        <w:pStyle w:val="ListParagraph"/>
        <w:rPr>
          <w:rFonts w:ascii="Times New Roman" w:hAnsi="Times New Roman" w:cs="Times New Roman"/>
          <w:sz w:val="24"/>
          <w:szCs w:val="24"/>
        </w:rPr>
      </w:pPr>
    </w:p>
    <w:p w:rsidR="00FE112C" w:rsidRPr="00551C30" w:rsidRDefault="00FE112C">
      <w:pPr>
        <w:rPr>
          <w:rFonts w:ascii="Times New Roman" w:hAnsi="Times New Roman" w:cs="Times New Roman"/>
          <w:b/>
          <w:sz w:val="24"/>
          <w:szCs w:val="24"/>
          <w:u w:val="single"/>
        </w:rPr>
      </w:pPr>
      <w:r w:rsidRPr="00551C30">
        <w:rPr>
          <w:rFonts w:ascii="Times New Roman" w:hAnsi="Times New Roman" w:cs="Times New Roman"/>
          <w:b/>
          <w:sz w:val="24"/>
          <w:szCs w:val="24"/>
          <w:u w:val="single"/>
        </w:rPr>
        <w:br w:type="page"/>
      </w:r>
    </w:p>
    <w:p w:rsidR="00726E8C" w:rsidRPr="00E95BD7" w:rsidRDefault="00840A0B" w:rsidP="00840A0B">
      <w:pPr>
        <w:pStyle w:val="ListParagraph"/>
        <w:numPr>
          <w:ilvl w:val="0"/>
          <w:numId w:val="10"/>
        </w:numPr>
        <w:jc w:val="center"/>
        <w:rPr>
          <w:rFonts w:ascii="Times New Roman" w:hAnsi="Times New Roman" w:cs="Times New Roman"/>
          <w:b/>
          <w:sz w:val="24"/>
          <w:szCs w:val="24"/>
          <w:u w:val="single"/>
        </w:rPr>
      </w:pPr>
      <w:r w:rsidRPr="00E95BD7">
        <w:rPr>
          <w:rFonts w:ascii="Times New Roman" w:hAnsi="Times New Roman" w:cs="Times New Roman"/>
          <w:b/>
          <w:sz w:val="24"/>
          <w:szCs w:val="24"/>
          <w:u w:val="single"/>
        </w:rPr>
        <w:lastRenderedPageBreak/>
        <w:t xml:space="preserve">Executive </w:t>
      </w:r>
      <w:r w:rsidR="005B1BF1" w:rsidRPr="00E95BD7">
        <w:rPr>
          <w:rFonts w:ascii="Times New Roman" w:hAnsi="Times New Roman" w:cs="Times New Roman"/>
          <w:b/>
          <w:sz w:val="24"/>
          <w:szCs w:val="24"/>
          <w:u w:val="single"/>
        </w:rPr>
        <w:t xml:space="preserve">Officer </w:t>
      </w:r>
      <w:r w:rsidRPr="00E95BD7">
        <w:rPr>
          <w:rFonts w:ascii="Times New Roman" w:hAnsi="Times New Roman" w:cs="Times New Roman"/>
          <w:b/>
          <w:sz w:val="24"/>
          <w:szCs w:val="24"/>
          <w:u w:val="single"/>
        </w:rPr>
        <w:t>Compensation</w:t>
      </w:r>
      <w:r w:rsidR="002338A6" w:rsidRPr="00E95BD7">
        <w:rPr>
          <w:rFonts w:ascii="Times New Roman" w:hAnsi="Times New Roman" w:cs="Times New Roman"/>
          <w:b/>
          <w:sz w:val="24"/>
          <w:szCs w:val="24"/>
          <w:u w:val="single"/>
        </w:rPr>
        <w:t xml:space="preserve"> Description</w:t>
      </w:r>
    </w:p>
    <w:p w:rsidR="007B7B6C" w:rsidRPr="00E95BD7" w:rsidRDefault="007B7B6C" w:rsidP="00840A0B">
      <w:pPr>
        <w:jc w:val="center"/>
        <w:rPr>
          <w:rFonts w:ascii="Times New Roman" w:hAnsi="Times New Roman" w:cs="Times New Roman"/>
          <w:b/>
          <w:sz w:val="24"/>
          <w:szCs w:val="24"/>
          <w:u w:val="single"/>
        </w:rPr>
      </w:pPr>
    </w:p>
    <w:p w:rsidR="00185435" w:rsidRPr="00E95BD7" w:rsidRDefault="00BA15A2" w:rsidP="00BA15A2">
      <w:pPr>
        <w:jc w:val="both"/>
        <w:rPr>
          <w:rFonts w:ascii="Times New Roman" w:hAnsi="Times New Roman" w:cs="Times New Roman"/>
          <w:sz w:val="24"/>
          <w:szCs w:val="24"/>
        </w:rPr>
      </w:pPr>
      <w:r w:rsidRPr="00E95BD7">
        <w:rPr>
          <w:rFonts w:ascii="Times New Roman" w:hAnsi="Times New Roman" w:cs="Times New Roman"/>
          <w:sz w:val="24"/>
          <w:szCs w:val="24"/>
        </w:rPr>
        <w:t xml:space="preserve">Executive </w:t>
      </w:r>
      <w:r w:rsidR="005B1BF1" w:rsidRPr="00E95BD7">
        <w:rPr>
          <w:rFonts w:ascii="Times New Roman" w:hAnsi="Times New Roman" w:cs="Times New Roman"/>
          <w:sz w:val="24"/>
          <w:szCs w:val="24"/>
        </w:rPr>
        <w:t xml:space="preserve">officer </w:t>
      </w:r>
      <w:r w:rsidR="0080108C" w:rsidRPr="00E95BD7">
        <w:rPr>
          <w:rFonts w:ascii="Times New Roman" w:hAnsi="Times New Roman" w:cs="Times New Roman"/>
          <w:sz w:val="24"/>
          <w:szCs w:val="24"/>
        </w:rPr>
        <w:t>c</w:t>
      </w:r>
      <w:r w:rsidRPr="00E95BD7">
        <w:rPr>
          <w:rFonts w:ascii="Times New Roman" w:hAnsi="Times New Roman" w:cs="Times New Roman"/>
          <w:sz w:val="24"/>
          <w:szCs w:val="24"/>
        </w:rPr>
        <w:t xml:space="preserve">ompensation is comprised </w:t>
      </w:r>
      <w:r w:rsidR="0080108C" w:rsidRPr="00E95BD7">
        <w:rPr>
          <w:rFonts w:ascii="Times New Roman" w:hAnsi="Times New Roman" w:cs="Times New Roman"/>
          <w:sz w:val="24"/>
          <w:szCs w:val="24"/>
        </w:rPr>
        <w:t>o</w:t>
      </w:r>
      <w:r w:rsidRPr="00E95BD7">
        <w:rPr>
          <w:rFonts w:ascii="Times New Roman" w:hAnsi="Times New Roman" w:cs="Times New Roman"/>
          <w:sz w:val="24"/>
          <w:szCs w:val="24"/>
        </w:rPr>
        <w:t>f</w:t>
      </w:r>
      <w:r w:rsidR="00BB3848" w:rsidRPr="00E95BD7">
        <w:rPr>
          <w:rFonts w:ascii="Times New Roman" w:hAnsi="Times New Roman" w:cs="Times New Roman"/>
          <w:sz w:val="24"/>
          <w:szCs w:val="24"/>
        </w:rPr>
        <w:t xml:space="preserve"> the following</w:t>
      </w:r>
      <w:r w:rsidR="0080108C" w:rsidRPr="00E95BD7">
        <w:rPr>
          <w:rFonts w:ascii="Times New Roman" w:hAnsi="Times New Roman" w:cs="Times New Roman"/>
          <w:sz w:val="24"/>
          <w:szCs w:val="24"/>
        </w:rPr>
        <w:t xml:space="preserve"> </w:t>
      </w:r>
      <w:r w:rsidR="00E3327E" w:rsidRPr="00E95BD7">
        <w:rPr>
          <w:rFonts w:ascii="Times New Roman" w:hAnsi="Times New Roman" w:cs="Times New Roman"/>
          <w:sz w:val="24"/>
          <w:szCs w:val="24"/>
        </w:rPr>
        <w:t>components</w:t>
      </w:r>
      <w:r w:rsidR="00BB3848" w:rsidRPr="00E95BD7">
        <w:rPr>
          <w:rFonts w:ascii="Times New Roman" w:hAnsi="Times New Roman" w:cs="Times New Roman"/>
          <w:sz w:val="24"/>
          <w:szCs w:val="24"/>
        </w:rPr>
        <w:t>:</w:t>
      </w:r>
    </w:p>
    <w:p w:rsidR="00BB3848" w:rsidRPr="00E95BD7" w:rsidRDefault="00BB3848" w:rsidP="00BB3848">
      <w:pPr>
        <w:pStyle w:val="ListParagraph"/>
        <w:numPr>
          <w:ilvl w:val="0"/>
          <w:numId w:val="20"/>
        </w:numPr>
        <w:jc w:val="both"/>
        <w:rPr>
          <w:rFonts w:ascii="Times New Roman" w:hAnsi="Times New Roman" w:cs="Times New Roman"/>
          <w:sz w:val="24"/>
          <w:szCs w:val="24"/>
        </w:rPr>
      </w:pPr>
      <w:r w:rsidRPr="00E95BD7">
        <w:rPr>
          <w:rFonts w:ascii="Times New Roman" w:hAnsi="Times New Roman" w:cs="Times New Roman"/>
          <w:sz w:val="24"/>
          <w:szCs w:val="24"/>
        </w:rPr>
        <w:t>Base Salary</w:t>
      </w:r>
    </w:p>
    <w:p w:rsidR="00BB3848" w:rsidRPr="00E95BD7" w:rsidRDefault="00BB3848" w:rsidP="00BB3848">
      <w:pPr>
        <w:pStyle w:val="ListParagraph"/>
        <w:numPr>
          <w:ilvl w:val="0"/>
          <w:numId w:val="20"/>
        </w:numPr>
        <w:jc w:val="both"/>
        <w:rPr>
          <w:rFonts w:ascii="Times New Roman" w:hAnsi="Times New Roman" w:cs="Times New Roman"/>
          <w:sz w:val="24"/>
          <w:szCs w:val="24"/>
        </w:rPr>
      </w:pPr>
      <w:r w:rsidRPr="00E95BD7">
        <w:rPr>
          <w:rFonts w:ascii="Times New Roman" w:hAnsi="Times New Roman" w:cs="Times New Roman"/>
          <w:sz w:val="24"/>
          <w:szCs w:val="24"/>
        </w:rPr>
        <w:t>S</w:t>
      </w:r>
      <w:r w:rsidR="004A6205">
        <w:rPr>
          <w:rFonts w:ascii="Times New Roman" w:hAnsi="Times New Roman" w:cs="Times New Roman"/>
          <w:sz w:val="24"/>
          <w:szCs w:val="24"/>
        </w:rPr>
        <w:t>hort Term Incentive Plan (STIP)</w:t>
      </w:r>
    </w:p>
    <w:p w:rsidR="00BB3848" w:rsidRPr="00E95BD7" w:rsidRDefault="00BB3848" w:rsidP="00BB3848">
      <w:pPr>
        <w:pStyle w:val="ListParagraph"/>
        <w:numPr>
          <w:ilvl w:val="0"/>
          <w:numId w:val="20"/>
        </w:numPr>
        <w:jc w:val="both"/>
        <w:rPr>
          <w:rFonts w:ascii="Times New Roman" w:hAnsi="Times New Roman" w:cs="Times New Roman"/>
          <w:sz w:val="24"/>
          <w:szCs w:val="24"/>
        </w:rPr>
      </w:pPr>
      <w:r w:rsidRPr="00E95BD7">
        <w:rPr>
          <w:rFonts w:ascii="Times New Roman" w:hAnsi="Times New Roman" w:cs="Times New Roman"/>
          <w:sz w:val="24"/>
          <w:szCs w:val="24"/>
        </w:rPr>
        <w:t xml:space="preserve">Long Term Incentive </w:t>
      </w:r>
      <w:r w:rsidR="004A6205">
        <w:rPr>
          <w:rFonts w:ascii="Times New Roman" w:hAnsi="Times New Roman" w:cs="Times New Roman"/>
          <w:sz w:val="24"/>
          <w:szCs w:val="24"/>
        </w:rPr>
        <w:t>Plan (LTIP)</w:t>
      </w:r>
    </w:p>
    <w:p w:rsidR="00E3327E" w:rsidRPr="00E95BD7" w:rsidRDefault="00E3327E" w:rsidP="00BB3848">
      <w:pPr>
        <w:pStyle w:val="ListParagraph"/>
        <w:numPr>
          <w:ilvl w:val="0"/>
          <w:numId w:val="20"/>
        </w:numPr>
        <w:jc w:val="both"/>
        <w:rPr>
          <w:rFonts w:ascii="Times New Roman" w:hAnsi="Times New Roman" w:cs="Times New Roman"/>
          <w:sz w:val="24"/>
          <w:szCs w:val="24"/>
        </w:rPr>
      </w:pPr>
      <w:r w:rsidRPr="00E95BD7">
        <w:rPr>
          <w:rFonts w:ascii="Times New Roman" w:hAnsi="Times New Roman" w:cs="Times New Roman"/>
          <w:sz w:val="24"/>
          <w:szCs w:val="24"/>
        </w:rPr>
        <w:t>Benefits Package</w:t>
      </w:r>
    </w:p>
    <w:p w:rsidR="00115555" w:rsidRDefault="00115555" w:rsidP="007B7B6C">
      <w:pPr>
        <w:jc w:val="both"/>
        <w:rPr>
          <w:rFonts w:ascii="Times New Roman" w:hAnsi="Times New Roman" w:cs="Times New Roman"/>
          <w:sz w:val="24"/>
          <w:szCs w:val="24"/>
        </w:rPr>
      </w:pPr>
    </w:p>
    <w:p w:rsidR="00173DF8" w:rsidRDefault="007B7B6C" w:rsidP="00173DF8">
      <w:pPr>
        <w:jc w:val="both"/>
        <w:rPr>
          <w:rFonts w:ascii="Times New Roman" w:hAnsi="Times New Roman" w:cs="Times New Roman"/>
          <w:sz w:val="24"/>
          <w:szCs w:val="24"/>
        </w:rPr>
      </w:pPr>
      <w:r w:rsidRPr="00E95BD7">
        <w:rPr>
          <w:rFonts w:ascii="Times New Roman" w:hAnsi="Times New Roman" w:cs="Times New Roman"/>
          <w:sz w:val="24"/>
          <w:szCs w:val="24"/>
        </w:rPr>
        <w:t xml:space="preserve">A summary </w:t>
      </w:r>
      <w:r w:rsidR="004A6205">
        <w:rPr>
          <w:rFonts w:ascii="Times New Roman" w:hAnsi="Times New Roman" w:cs="Times New Roman"/>
          <w:sz w:val="24"/>
          <w:szCs w:val="24"/>
        </w:rPr>
        <w:t>of total executive compensation is provided in Illustration 1 below.</w:t>
      </w:r>
      <w:r w:rsidR="007600CB">
        <w:rPr>
          <w:rStyle w:val="FootnoteReference"/>
          <w:rFonts w:ascii="Times New Roman" w:hAnsi="Times New Roman" w:cs="Times New Roman"/>
          <w:sz w:val="24"/>
          <w:szCs w:val="24"/>
        </w:rPr>
        <w:footnoteReference w:id="1"/>
      </w:r>
      <w:r w:rsidR="004A6205">
        <w:rPr>
          <w:rFonts w:ascii="Times New Roman" w:hAnsi="Times New Roman" w:cs="Times New Roman"/>
          <w:sz w:val="24"/>
          <w:szCs w:val="24"/>
        </w:rPr>
        <w:t xml:space="preserve">  The </w:t>
      </w:r>
      <w:r w:rsidR="00B749A2">
        <w:rPr>
          <w:rFonts w:ascii="Times New Roman" w:hAnsi="Times New Roman" w:cs="Times New Roman"/>
          <w:sz w:val="24"/>
          <w:szCs w:val="24"/>
        </w:rPr>
        <w:t xml:space="preserve">compensation </w:t>
      </w:r>
      <w:r w:rsidR="004A6205">
        <w:rPr>
          <w:rFonts w:ascii="Times New Roman" w:hAnsi="Times New Roman" w:cs="Times New Roman"/>
          <w:sz w:val="24"/>
          <w:szCs w:val="24"/>
        </w:rPr>
        <w:t xml:space="preserve">components </w:t>
      </w:r>
      <w:r w:rsidR="00B749A2">
        <w:rPr>
          <w:rFonts w:ascii="Times New Roman" w:hAnsi="Times New Roman" w:cs="Times New Roman"/>
          <w:sz w:val="24"/>
          <w:szCs w:val="24"/>
        </w:rPr>
        <w:t xml:space="preserve">for 2011 </w:t>
      </w:r>
      <w:r w:rsidR="004A6205">
        <w:rPr>
          <w:rFonts w:ascii="Times New Roman" w:hAnsi="Times New Roman" w:cs="Times New Roman"/>
          <w:sz w:val="24"/>
          <w:szCs w:val="24"/>
        </w:rPr>
        <w:t>for each of the top five officers</w:t>
      </w:r>
      <w:r w:rsidR="00B749A2">
        <w:rPr>
          <w:rFonts w:ascii="Times New Roman" w:hAnsi="Times New Roman" w:cs="Times New Roman"/>
          <w:sz w:val="24"/>
          <w:szCs w:val="24"/>
        </w:rPr>
        <w:t>,</w:t>
      </w:r>
      <w:r w:rsidR="004A6205">
        <w:rPr>
          <w:rFonts w:ascii="Times New Roman" w:hAnsi="Times New Roman" w:cs="Times New Roman"/>
          <w:sz w:val="24"/>
          <w:szCs w:val="24"/>
        </w:rPr>
        <w:t xml:space="preserve"> reported in the proxy report to shareholders</w:t>
      </w:r>
      <w:r w:rsidR="00B749A2">
        <w:rPr>
          <w:rFonts w:ascii="Times New Roman" w:hAnsi="Times New Roman" w:cs="Times New Roman"/>
          <w:sz w:val="24"/>
          <w:szCs w:val="24"/>
        </w:rPr>
        <w:t>,</w:t>
      </w:r>
      <w:r w:rsidR="004A6205">
        <w:rPr>
          <w:rFonts w:ascii="Times New Roman" w:hAnsi="Times New Roman" w:cs="Times New Roman"/>
          <w:sz w:val="24"/>
          <w:szCs w:val="24"/>
        </w:rPr>
        <w:t xml:space="preserve"> are shown separately in the table, and the</w:t>
      </w:r>
      <w:r w:rsidR="00D12C5C">
        <w:rPr>
          <w:rFonts w:ascii="Times New Roman" w:hAnsi="Times New Roman" w:cs="Times New Roman"/>
          <w:sz w:val="24"/>
          <w:szCs w:val="24"/>
        </w:rPr>
        <w:t xml:space="preserve"> total salary and incentive pay</w:t>
      </w:r>
      <w:r w:rsidR="004A6205">
        <w:rPr>
          <w:rFonts w:ascii="Times New Roman" w:hAnsi="Times New Roman" w:cs="Times New Roman"/>
          <w:sz w:val="24"/>
          <w:szCs w:val="24"/>
        </w:rPr>
        <w:t xml:space="preserve"> for the r</w:t>
      </w:r>
      <w:r w:rsidR="0020228B">
        <w:rPr>
          <w:rFonts w:ascii="Times New Roman" w:hAnsi="Times New Roman" w:cs="Times New Roman"/>
          <w:sz w:val="24"/>
          <w:szCs w:val="24"/>
        </w:rPr>
        <w:t>emaining officers are shown on L</w:t>
      </w:r>
      <w:r w:rsidR="004A6205">
        <w:rPr>
          <w:rFonts w:ascii="Times New Roman" w:hAnsi="Times New Roman" w:cs="Times New Roman"/>
          <w:sz w:val="24"/>
          <w:szCs w:val="24"/>
        </w:rPr>
        <w:t xml:space="preserve">ine </w:t>
      </w:r>
      <w:r w:rsidR="00115555">
        <w:rPr>
          <w:rFonts w:ascii="Times New Roman" w:hAnsi="Times New Roman" w:cs="Times New Roman"/>
          <w:sz w:val="24"/>
          <w:szCs w:val="24"/>
        </w:rPr>
        <w:t>8</w:t>
      </w:r>
      <w:r w:rsidR="004A6205">
        <w:rPr>
          <w:rFonts w:ascii="Times New Roman" w:hAnsi="Times New Roman" w:cs="Times New Roman"/>
          <w:sz w:val="24"/>
          <w:szCs w:val="24"/>
        </w:rPr>
        <w:t xml:space="preserve"> of the table</w:t>
      </w:r>
      <w:r w:rsidR="00B749A2">
        <w:rPr>
          <w:rFonts w:ascii="Times New Roman" w:hAnsi="Times New Roman" w:cs="Times New Roman"/>
          <w:sz w:val="24"/>
          <w:szCs w:val="24"/>
        </w:rPr>
        <w:t xml:space="preserve">.  </w:t>
      </w:r>
      <w:r w:rsidR="009B0BA6">
        <w:rPr>
          <w:rFonts w:ascii="Times New Roman" w:hAnsi="Times New Roman" w:cs="Times New Roman"/>
          <w:sz w:val="24"/>
          <w:szCs w:val="24"/>
        </w:rPr>
        <w:t>The t</w:t>
      </w:r>
      <w:r w:rsidR="00B749A2">
        <w:rPr>
          <w:rFonts w:ascii="Times New Roman" w:hAnsi="Times New Roman" w:cs="Times New Roman"/>
          <w:sz w:val="24"/>
          <w:szCs w:val="24"/>
        </w:rPr>
        <w:t>otal</w:t>
      </w:r>
      <w:r w:rsidR="009B0BA6">
        <w:rPr>
          <w:rFonts w:ascii="Times New Roman" w:hAnsi="Times New Roman" w:cs="Times New Roman"/>
          <w:sz w:val="24"/>
          <w:szCs w:val="24"/>
        </w:rPr>
        <w:t xml:space="preserve"> salary and incentives</w:t>
      </w:r>
      <w:r w:rsidR="00B749A2">
        <w:rPr>
          <w:rFonts w:ascii="Times New Roman" w:hAnsi="Times New Roman" w:cs="Times New Roman"/>
          <w:sz w:val="24"/>
          <w:szCs w:val="24"/>
        </w:rPr>
        <w:t xml:space="preserve"> for all </w:t>
      </w:r>
      <w:r w:rsidR="0020228B">
        <w:rPr>
          <w:rFonts w:ascii="Times New Roman" w:hAnsi="Times New Roman" w:cs="Times New Roman"/>
          <w:sz w:val="24"/>
          <w:szCs w:val="24"/>
        </w:rPr>
        <w:t>officers is shown on L</w:t>
      </w:r>
      <w:r w:rsidR="00B749A2">
        <w:rPr>
          <w:rFonts w:ascii="Times New Roman" w:hAnsi="Times New Roman" w:cs="Times New Roman"/>
          <w:sz w:val="24"/>
          <w:szCs w:val="24"/>
        </w:rPr>
        <w:t xml:space="preserve">ine </w:t>
      </w:r>
      <w:r w:rsidR="00A20725">
        <w:rPr>
          <w:rFonts w:ascii="Times New Roman" w:hAnsi="Times New Roman" w:cs="Times New Roman"/>
          <w:sz w:val="24"/>
          <w:szCs w:val="24"/>
        </w:rPr>
        <w:t>9</w:t>
      </w:r>
      <w:r w:rsidR="00B749A2">
        <w:rPr>
          <w:rFonts w:ascii="Times New Roman" w:hAnsi="Times New Roman" w:cs="Times New Roman"/>
          <w:sz w:val="24"/>
          <w:szCs w:val="24"/>
        </w:rPr>
        <w:t>.</w:t>
      </w:r>
      <w:r w:rsidR="00252001">
        <w:rPr>
          <w:rFonts w:ascii="Times New Roman" w:hAnsi="Times New Roman" w:cs="Times New Roman"/>
          <w:sz w:val="24"/>
          <w:szCs w:val="24"/>
        </w:rPr>
        <w:t xml:space="preserve">  The amount of the total compensation that is currently includ</w:t>
      </w:r>
      <w:r w:rsidR="0020228B">
        <w:rPr>
          <w:rFonts w:ascii="Times New Roman" w:hAnsi="Times New Roman" w:cs="Times New Roman"/>
          <w:sz w:val="24"/>
          <w:szCs w:val="24"/>
        </w:rPr>
        <w:t>ed in retail rates is shown on L</w:t>
      </w:r>
      <w:r w:rsidR="00B937A8">
        <w:rPr>
          <w:rFonts w:ascii="Times New Roman" w:hAnsi="Times New Roman" w:cs="Times New Roman"/>
          <w:sz w:val="24"/>
          <w:szCs w:val="24"/>
        </w:rPr>
        <w:t>i</w:t>
      </w:r>
      <w:r w:rsidR="00B749A2">
        <w:rPr>
          <w:rFonts w:ascii="Times New Roman" w:hAnsi="Times New Roman" w:cs="Times New Roman"/>
          <w:sz w:val="24"/>
          <w:szCs w:val="24"/>
        </w:rPr>
        <w:t xml:space="preserve">nes </w:t>
      </w:r>
      <w:r w:rsidR="00BC282B">
        <w:rPr>
          <w:rFonts w:ascii="Times New Roman" w:hAnsi="Times New Roman" w:cs="Times New Roman"/>
          <w:sz w:val="24"/>
          <w:szCs w:val="24"/>
        </w:rPr>
        <w:t>10</w:t>
      </w:r>
      <w:r w:rsidR="00B749A2">
        <w:rPr>
          <w:rFonts w:ascii="Times New Roman" w:hAnsi="Times New Roman" w:cs="Times New Roman"/>
          <w:sz w:val="24"/>
          <w:szCs w:val="24"/>
        </w:rPr>
        <w:t xml:space="preserve"> through </w:t>
      </w:r>
      <w:r w:rsidR="00BC282B">
        <w:rPr>
          <w:rFonts w:ascii="Times New Roman" w:hAnsi="Times New Roman" w:cs="Times New Roman"/>
          <w:sz w:val="24"/>
          <w:szCs w:val="24"/>
        </w:rPr>
        <w:t>12</w:t>
      </w:r>
      <w:r w:rsidR="00252001">
        <w:rPr>
          <w:rFonts w:ascii="Times New Roman" w:hAnsi="Times New Roman" w:cs="Times New Roman"/>
          <w:sz w:val="24"/>
          <w:szCs w:val="24"/>
        </w:rPr>
        <w:t>.</w:t>
      </w:r>
      <w:r w:rsidR="00F41491">
        <w:rPr>
          <w:rFonts w:ascii="Times New Roman" w:hAnsi="Times New Roman" w:cs="Times New Roman"/>
          <w:sz w:val="24"/>
          <w:szCs w:val="24"/>
        </w:rPr>
        <w:t xml:space="preserve"> </w:t>
      </w:r>
    </w:p>
    <w:tbl>
      <w:tblPr>
        <w:tblW w:w="10170" w:type="dxa"/>
        <w:tblInd w:w="93" w:type="dxa"/>
        <w:tblLook w:val="04A0"/>
      </w:tblPr>
      <w:tblGrid>
        <w:gridCol w:w="396"/>
        <w:gridCol w:w="2784"/>
        <w:gridCol w:w="396"/>
        <w:gridCol w:w="424"/>
        <w:gridCol w:w="396"/>
        <w:gridCol w:w="315"/>
        <w:gridCol w:w="396"/>
        <w:gridCol w:w="364"/>
        <w:gridCol w:w="396"/>
        <w:gridCol w:w="544"/>
        <w:gridCol w:w="534"/>
        <w:gridCol w:w="587"/>
        <w:gridCol w:w="396"/>
        <w:gridCol w:w="361"/>
        <w:gridCol w:w="431"/>
        <w:gridCol w:w="1054"/>
        <w:gridCol w:w="396"/>
      </w:tblGrid>
      <w:tr w:rsidR="00173DF8" w:rsidRPr="00173DF8" w:rsidTr="002D2E63">
        <w:trPr>
          <w:gridAfter w:val="1"/>
          <w:wAfter w:w="396" w:type="dxa"/>
          <w:trHeight w:val="315"/>
        </w:trPr>
        <w:tc>
          <w:tcPr>
            <w:tcW w:w="3180" w:type="dxa"/>
            <w:gridSpan w:val="2"/>
            <w:tcBorders>
              <w:top w:val="nil"/>
              <w:left w:val="nil"/>
              <w:bottom w:val="nil"/>
              <w:right w:val="nil"/>
            </w:tcBorders>
            <w:shd w:val="clear" w:color="auto" w:fill="auto"/>
            <w:noWrap/>
            <w:vAlign w:val="bottom"/>
            <w:hideMark/>
          </w:tcPr>
          <w:p w:rsidR="00A5062F" w:rsidRPr="00173DF8" w:rsidRDefault="00173DF8" w:rsidP="00BF6DD0">
            <w:pPr>
              <w:rPr>
                <w:rFonts w:ascii="Times New Roman" w:eastAsia="Times New Roman" w:hAnsi="Times New Roman" w:cs="Times New Roman"/>
                <w:b/>
                <w:bCs/>
                <w:color w:val="000000"/>
              </w:rPr>
            </w:pPr>
            <w:r w:rsidRPr="00A5062F">
              <w:rPr>
                <w:rFonts w:ascii="Times New Roman" w:eastAsia="Times New Roman" w:hAnsi="Times New Roman" w:cs="Times New Roman"/>
                <w:b/>
                <w:bCs/>
                <w:color w:val="000000"/>
                <w:u w:val="single"/>
              </w:rPr>
              <w:t>Illustration 1</w:t>
            </w:r>
            <w:r w:rsidR="00720A6A" w:rsidRPr="00A5062F">
              <w:rPr>
                <w:rFonts w:ascii="Times New Roman" w:eastAsia="Times New Roman" w:hAnsi="Times New Roman" w:cs="Times New Roman"/>
                <w:b/>
                <w:bCs/>
                <w:color w:val="000000"/>
                <w:u w:val="single"/>
              </w:rPr>
              <w:t xml:space="preserve"> (in thousands)</w:t>
            </w:r>
          </w:p>
        </w:tc>
        <w:tc>
          <w:tcPr>
            <w:tcW w:w="820" w:type="dxa"/>
            <w:gridSpan w:val="2"/>
            <w:tcBorders>
              <w:top w:val="nil"/>
              <w:left w:val="nil"/>
              <w:bottom w:val="nil"/>
              <w:right w:val="nil"/>
            </w:tcBorders>
            <w:shd w:val="clear" w:color="auto" w:fill="auto"/>
            <w:noWrap/>
            <w:vAlign w:val="bottom"/>
            <w:hideMark/>
          </w:tcPr>
          <w:p w:rsidR="00173DF8" w:rsidRPr="00173DF8" w:rsidRDefault="00173DF8" w:rsidP="00173DF8">
            <w:pPr>
              <w:rPr>
                <w:rFonts w:ascii="Calibri" w:eastAsia="Times New Roman" w:hAnsi="Calibri" w:cs="Times New Roman"/>
                <w:color w:val="000000"/>
              </w:rPr>
            </w:pPr>
          </w:p>
        </w:tc>
        <w:tc>
          <w:tcPr>
            <w:tcW w:w="711" w:type="dxa"/>
            <w:gridSpan w:val="2"/>
            <w:tcBorders>
              <w:top w:val="nil"/>
              <w:left w:val="nil"/>
              <w:bottom w:val="nil"/>
              <w:right w:val="nil"/>
            </w:tcBorders>
            <w:shd w:val="clear" w:color="auto" w:fill="auto"/>
            <w:noWrap/>
            <w:vAlign w:val="bottom"/>
            <w:hideMark/>
          </w:tcPr>
          <w:p w:rsidR="00173DF8" w:rsidRPr="00173DF8" w:rsidRDefault="00173DF8" w:rsidP="00173DF8">
            <w:pPr>
              <w:rPr>
                <w:rFonts w:ascii="Calibri" w:eastAsia="Times New Roman" w:hAnsi="Calibri" w:cs="Times New Roman"/>
                <w:color w:val="000000"/>
              </w:rPr>
            </w:pPr>
          </w:p>
        </w:tc>
        <w:tc>
          <w:tcPr>
            <w:tcW w:w="760" w:type="dxa"/>
            <w:gridSpan w:val="2"/>
            <w:tcBorders>
              <w:top w:val="nil"/>
              <w:left w:val="nil"/>
              <w:bottom w:val="nil"/>
              <w:right w:val="nil"/>
            </w:tcBorders>
            <w:shd w:val="clear" w:color="auto" w:fill="auto"/>
            <w:noWrap/>
            <w:vAlign w:val="bottom"/>
            <w:hideMark/>
          </w:tcPr>
          <w:p w:rsidR="00173DF8" w:rsidRPr="00173DF8" w:rsidRDefault="00173DF8" w:rsidP="00173DF8">
            <w:pPr>
              <w:rPr>
                <w:rFonts w:ascii="Calibri" w:eastAsia="Times New Roman" w:hAnsi="Calibri" w:cs="Times New Roman"/>
                <w:color w:val="000000"/>
              </w:rPr>
            </w:pPr>
          </w:p>
        </w:tc>
        <w:tc>
          <w:tcPr>
            <w:tcW w:w="940" w:type="dxa"/>
            <w:gridSpan w:val="2"/>
            <w:tcBorders>
              <w:top w:val="nil"/>
              <w:left w:val="nil"/>
              <w:bottom w:val="nil"/>
              <w:right w:val="nil"/>
            </w:tcBorders>
            <w:shd w:val="clear" w:color="auto" w:fill="auto"/>
            <w:noWrap/>
            <w:vAlign w:val="bottom"/>
            <w:hideMark/>
          </w:tcPr>
          <w:p w:rsidR="00173DF8" w:rsidRPr="00173DF8" w:rsidRDefault="00173DF8" w:rsidP="00173DF8">
            <w:pPr>
              <w:rPr>
                <w:rFonts w:ascii="Calibri" w:eastAsia="Times New Roman" w:hAnsi="Calibri" w:cs="Times New Roman"/>
                <w:color w:val="000000"/>
              </w:rPr>
            </w:pPr>
          </w:p>
        </w:tc>
        <w:tc>
          <w:tcPr>
            <w:tcW w:w="1121" w:type="dxa"/>
            <w:gridSpan w:val="2"/>
            <w:tcBorders>
              <w:top w:val="nil"/>
              <w:left w:val="nil"/>
              <w:bottom w:val="nil"/>
              <w:right w:val="nil"/>
            </w:tcBorders>
            <w:shd w:val="clear" w:color="auto" w:fill="auto"/>
            <w:noWrap/>
            <w:vAlign w:val="bottom"/>
            <w:hideMark/>
          </w:tcPr>
          <w:p w:rsidR="00173DF8" w:rsidRPr="00173DF8" w:rsidRDefault="00173DF8" w:rsidP="00173DF8">
            <w:pPr>
              <w:rPr>
                <w:rFonts w:ascii="Calibri" w:eastAsia="Times New Roman" w:hAnsi="Calibri" w:cs="Times New Roman"/>
                <w:color w:val="000000"/>
              </w:rPr>
            </w:pPr>
          </w:p>
        </w:tc>
        <w:tc>
          <w:tcPr>
            <w:tcW w:w="757" w:type="dxa"/>
            <w:gridSpan w:val="2"/>
            <w:tcBorders>
              <w:top w:val="nil"/>
              <w:left w:val="nil"/>
              <w:bottom w:val="nil"/>
              <w:right w:val="nil"/>
            </w:tcBorders>
            <w:shd w:val="clear" w:color="auto" w:fill="auto"/>
            <w:noWrap/>
            <w:vAlign w:val="bottom"/>
            <w:hideMark/>
          </w:tcPr>
          <w:p w:rsidR="00173DF8" w:rsidRPr="00173DF8" w:rsidRDefault="00173DF8" w:rsidP="00173DF8">
            <w:pPr>
              <w:rPr>
                <w:rFonts w:ascii="Calibri" w:eastAsia="Times New Roman" w:hAnsi="Calibri" w:cs="Times New Roman"/>
                <w:color w:val="000000"/>
              </w:rPr>
            </w:pPr>
          </w:p>
        </w:tc>
        <w:tc>
          <w:tcPr>
            <w:tcW w:w="1485" w:type="dxa"/>
            <w:gridSpan w:val="2"/>
            <w:tcBorders>
              <w:top w:val="nil"/>
              <w:left w:val="nil"/>
              <w:bottom w:val="nil"/>
              <w:right w:val="nil"/>
            </w:tcBorders>
            <w:shd w:val="clear" w:color="auto" w:fill="auto"/>
            <w:noWrap/>
            <w:vAlign w:val="bottom"/>
            <w:hideMark/>
          </w:tcPr>
          <w:p w:rsidR="00173DF8" w:rsidRPr="00173DF8" w:rsidRDefault="00173DF8" w:rsidP="00173DF8">
            <w:pPr>
              <w:rPr>
                <w:rFonts w:ascii="Calibri" w:eastAsia="Times New Roman" w:hAnsi="Calibri" w:cs="Times New Roman"/>
                <w:color w:val="000000"/>
              </w:rPr>
            </w:pPr>
          </w:p>
        </w:tc>
      </w:tr>
      <w:tr w:rsidR="00173DF8" w:rsidRPr="00173DF8" w:rsidTr="002D2E63">
        <w:trPr>
          <w:trHeight w:val="315"/>
        </w:trPr>
        <w:tc>
          <w:tcPr>
            <w:tcW w:w="396" w:type="dxa"/>
            <w:tcBorders>
              <w:top w:val="single" w:sz="8" w:space="0" w:color="auto"/>
              <w:left w:val="single" w:sz="8" w:space="0" w:color="auto"/>
              <w:bottom w:val="single" w:sz="8" w:space="0" w:color="auto"/>
              <w:right w:val="single" w:sz="8" w:space="0" w:color="auto"/>
            </w:tcBorders>
            <w:shd w:val="clear" w:color="auto" w:fill="auto"/>
          </w:tcPr>
          <w:p w:rsidR="00173DF8" w:rsidRPr="00173DF8" w:rsidRDefault="00173DF8" w:rsidP="00173DF8">
            <w:pPr>
              <w:jc w:val="center"/>
              <w:rPr>
                <w:rFonts w:ascii="Times New Roman" w:eastAsia="Times New Roman" w:hAnsi="Times New Roman" w:cs="Times New Roman"/>
                <w:b/>
                <w:bCs/>
                <w:color w:val="000000"/>
                <w:sz w:val="20"/>
                <w:szCs w:val="20"/>
              </w:rPr>
            </w:pPr>
          </w:p>
        </w:tc>
        <w:tc>
          <w:tcPr>
            <w:tcW w:w="31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A</w:t>
            </w:r>
          </w:p>
        </w:tc>
        <w:tc>
          <w:tcPr>
            <w:tcW w:w="820" w:type="dxa"/>
            <w:gridSpan w:val="2"/>
            <w:tcBorders>
              <w:top w:val="single" w:sz="8" w:space="0" w:color="auto"/>
              <w:left w:val="nil"/>
              <w:bottom w:val="single" w:sz="8" w:space="0" w:color="auto"/>
              <w:right w:val="single" w:sz="4" w:space="0" w:color="1F497D"/>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 xml:space="preserve">B </w:t>
            </w:r>
          </w:p>
        </w:tc>
        <w:tc>
          <w:tcPr>
            <w:tcW w:w="711" w:type="dxa"/>
            <w:gridSpan w:val="2"/>
            <w:tcBorders>
              <w:top w:val="single" w:sz="8" w:space="0" w:color="auto"/>
              <w:left w:val="nil"/>
              <w:bottom w:val="single" w:sz="8" w:space="0" w:color="auto"/>
              <w:right w:val="single" w:sz="4" w:space="0" w:color="1F497D"/>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C</w:t>
            </w:r>
          </w:p>
        </w:tc>
        <w:tc>
          <w:tcPr>
            <w:tcW w:w="760" w:type="dxa"/>
            <w:gridSpan w:val="2"/>
            <w:tcBorders>
              <w:top w:val="single" w:sz="8" w:space="0" w:color="auto"/>
              <w:left w:val="nil"/>
              <w:bottom w:val="single" w:sz="8" w:space="0" w:color="auto"/>
              <w:right w:val="single" w:sz="4" w:space="0" w:color="1F497D"/>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D</w:t>
            </w:r>
          </w:p>
        </w:tc>
        <w:tc>
          <w:tcPr>
            <w:tcW w:w="10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E</w:t>
            </w:r>
          </w:p>
        </w:tc>
        <w:tc>
          <w:tcPr>
            <w:tcW w:w="983" w:type="dxa"/>
            <w:gridSpan w:val="2"/>
            <w:tcBorders>
              <w:top w:val="single" w:sz="8" w:space="0" w:color="auto"/>
              <w:left w:val="single" w:sz="4" w:space="0" w:color="1F497D"/>
              <w:bottom w:val="single" w:sz="8" w:space="0" w:color="auto"/>
              <w:right w:val="single" w:sz="4" w:space="0" w:color="1F497D"/>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F</w:t>
            </w:r>
          </w:p>
        </w:tc>
        <w:tc>
          <w:tcPr>
            <w:tcW w:w="792" w:type="dxa"/>
            <w:gridSpan w:val="2"/>
            <w:tcBorders>
              <w:top w:val="single" w:sz="8" w:space="0" w:color="auto"/>
              <w:left w:val="nil"/>
              <w:bottom w:val="single" w:sz="8" w:space="0" w:color="auto"/>
              <w:right w:val="nil"/>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G</w:t>
            </w:r>
          </w:p>
        </w:tc>
        <w:tc>
          <w:tcPr>
            <w:tcW w:w="145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H</w:t>
            </w:r>
          </w:p>
        </w:tc>
      </w:tr>
      <w:tr w:rsidR="00173DF8" w:rsidRPr="00173DF8" w:rsidTr="002D2E63">
        <w:trPr>
          <w:trHeight w:val="610"/>
        </w:trPr>
        <w:tc>
          <w:tcPr>
            <w:tcW w:w="396" w:type="dxa"/>
            <w:tcBorders>
              <w:top w:val="nil"/>
              <w:left w:val="single" w:sz="8" w:space="0" w:color="auto"/>
              <w:bottom w:val="single" w:sz="8" w:space="0" w:color="auto"/>
              <w:right w:val="single" w:sz="8" w:space="0" w:color="auto"/>
            </w:tcBorders>
            <w:shd w:val="clear" w:color="auto" w:fill="auto"/>
            <w:vAlign w:val="center"/>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1</w:t>
            </w:r>
          </w:p>
        </w:tc>
        <w:tc>
          <w:tcPr>
            <w:tcW w:w="3180" w:type="dxa"/>
            <w:gridSpan w:val="2"/>
            <w:tcBorders>
              <w:top w:val="nil"/>
              <w:left w:val="single" w:sz="8" w:space="0" w:color="auto"/>
              <w:bottom w:val="single" w:sz="8" w:space="0" w:color="auto"/>
              <w:right w:val="single" w:sz="8" w:space="0" w:color="auto"/>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Officer</w:t>
            </w:r>
          </w:p>
        </w:tc>
        <w:tc>
          <w:tcPr>
            <w:tcW w:w="820" w:type="dxa"/>
            <w:gridSpan w:val="2"/>
            <w:tcBorders>
              <w:top w:val="nil"/>
              <w:left w:val="nil"/>
              <w:bottom w:val="single" w:sz="8" w:space="0" w:color="auto"/>
              <w:right w:val="single" w:sz="4" w:space="0" w:color="1F497D"/>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Base Pay</w:t>
            </w:r>
          </w:p>
        </w:tc>
        <w:tc>
          <w:tcPr>
            <w:tcW w:w="711" w:type="dxa"/>
            <w:gridSpan w:val="2"/>
            <w:tcBorders>
              <w:top w:val="nil"/>
              <w:left w:val="nil"/>
              <w:bottom w:val="single" w:sz="8" w:space="0" w:color="auto"/>
              <w:right w:val="single" w:sz="4" w:space="0" w:color="1F497D"/>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STIP</w:t>
            </w:r>
          </w:p>
        </w:tc>
        <w:tc>
          <w:tcPr>
            <w:tcW w:w="760" w:type="dxa"/>
            <w:gridSpan w:val="2"/>
            <w:tcBorders>
              <w:top w:val="nil"/>
              <w:left w:val="nil"/>
              <w:bottom w:val="single" w:sz="8" w:space="0" w:color="auto"/>
              <w:right w:val="single" w:sz="4" w:space="0" w:color="1F497D"/>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LTIP</w:t>
            </w:r>
          </w:p>
        </w:tc>
        <w:tc>
          <w:tcPr>
            <w:tcW w:w="1078" w:type="dxa"/>
            <w:gridSpan w:val="2"/>
            <w:tcBorders>
              <w:top w:val="nil"/>
              <w:left w:val="single" w:sz="8" w:space="0" w:color="auto"/>
              <w:bottom w:val="single" w:sz="8" w:space="0" w:color="auto"/>
              <w:right w:val="single" w:sz="8" w:space="0" w:color="auto"/>
            </w:tcBorders>
            <w:shd w:val="clear" w:color="auto" w:fill="auto"/>
            <w:vAlign w:val="center"/>
            <w:hideMark/>
          </w:tcPr>
          <w:p w:rsidR="00173DF8" w:rsidRPr="00173DF8" w:rsidRDefault="002D2E63" w:rsidP="00173DF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Base Pa</w:t>
            </w:r>
            <w:r w:rsidR="00173DF8" w:rsidRPr="00173DF8">
              <w:rPr>
                <w:rFonts w:ascii="Times New Roman" w:eastAsia="Times New Roman" w:hAnsi="Times New Roman" w:cs="Times New Roman"/>
                <w:b/>
                <w:bCs/>
                <w:color w:val="000000"/>
                <w:sz w:val="20"/>
                <w:szCs w:val="20"/>
              </w:rPr>
              <w:t>y, STIP &amp; LTIP</w:t>
            </w:r>
          </w:p>
        </w:tc>
        <w:tc>
          <w:tcPr>
            <w:tcW w:w="983" w:type="dxa"/>
            <w:gridSpan w:val="2"/>
            <w:tcBorders>
              <w:top w:val="nil"/>
              <w:left w:val="single" w:sz="4" w:space="0" w:color="1F497D"/>
              <w:bottom w:val="single" w:sz="8" w:space="0" w:color="auto"/>
              <w:right w:val="single" w:sz="4" w:space="0" w:color="1F497D"/>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Pension/ Deferred Comp</w:t>
            </w:r>
            <w:r w:rsidR="00B32FFF">
              <w:rPr>
                <w:rStyle w:val="FootnoteReference"/>
                <w:rFonts w:ascii="Times New Roman" w:eastAsia="Times New Roman" w:hAnsi="Times New Roman" w:cs="Times New Roman"/>
                <w:b/>
                <w:bCs/>
                <w:color w:val="000000"/>
                <w:sz w:val="20"/>
                <w:szCs w:val="20"/>
              </w:rPr>
              <w:footnoteReference w:id="2"/>
            </w:r>
          </w:p>
        </w:tc>
        <w:tc>
          <w:tcPr>
            <w:tcW w:w="792" w:type="dxa"/>
            <w:gridSpan w:val="2"/>
            <w:tcBorders>
              <w:top w:val="nil"/>
              <w:left w:val="nil"/>
              <w:bottom w:val="single" w:sz="8" w:space="0" w:color="auto"/>
              <w:right w:val="nil"/>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Other</w:t>
            </w:r>
            <w:r w:rsidR="00BF6DD0">
              <w:rPr>
                <w:rStyle w:val="FootnoteReference"/>
                <w:rFonts w:ascii="Times New Roman" w:eastAsia="Times New Roman" w:hAnsi="Times New Roman" w:cs="Times New Roman"/>
                <w:b/>
                <w:bCs/>
                <w:color w:val="000000"/>
                <w:sz w:val="20"/>
                <w:szCs w:val="20"/>
              </w:rPr>
              <w:footnoteReference w:id="3"/>
            </w:r>
          </w:p>
        </w:tc>
        <w:tc>
          <w:tcPr>
            <w:tcW w:w="1450" w:type="dxa"/>
            <w:gridSpan w:val="2"/>
            <w:tcBorders>
              <w:top w:val="nil"/>
              <w:left w:val="single" w:sz="8" w:space="0" w:color="auto"/>
              <w:bottom w:val="single" w:sz="8" w:space="0" w:color="auto"/>
              <w:right w:val="single" w:sz="8" w:space="0" w:color="auto"/>
            </w:tcBorders>
            <w:shd w:val="clear" w:color="auto" w:fill="auto"/>
            <w:vAlign w:val="center"/>
            <w:hideMark/>
          </w:tcPr>
          <w:p w:rsidR="00173DF8" w:rsidRPr="00173DF8" w:rsidRDefault="00173DF8" w:rsidP="00173DF8">
            <w:pPr>
              <w:jc w:val="center"/>
              <w:rPr>
                <w:rFonts w:ascii="Times New Roman" w:eastAsia="Times New Roman" w:hAnsi="Times New Roman" w:cs="Times New Roman"/>
                <w:b/>
                <w:bCs/>
                <w:color w:val="000000"/>
                <w:sz w:val="20"/>
                <w:szCs w:val="20"/>
              </w:rPr>
            </w:pPr>
            <w:r w:rsidRPr="00173DF8">
              <w:rPr>
                <w:rFonts w:ascii="Times New Roman" w:eastAsia="Times New Roman" w:hAnsi="Times New Roman" w:cs="Times New Roman"/>
                <w:b/>
                <w:bCs/>
                <w:color w:val="000000"/>
                <w:sz w:val="20"/>
                <w:szCs w:val="20"/>
              </w:rPr>
              <w:t>Total Compensation</w:t>
            </w:r>
          </w:p>
        </w:tc>
      </w:tr>
      <w:tr w:rsidR="00173DF8" w:rsidRPr="00173DF8" w:rsidTr="002D2E63">
        <w:trPr>
          <w:trHeight w:val="429"/>
        </w:trPr>
        <w:tc>
          <w:tcPr>
            <w:tcW w:w="396" w:type="dxa"/>
            <w:tcBorders>
              <w:top w:val="single" w:sz="8" w:space="0" w:color="auto"/>
              <w:left w:val="single" w:sz="8" w:space="0" w:color="auto"/>
              <w:bottom w:val="single" w:sz="4" w:space="0" w:color="auto"/>
              <w:right w:val="single" w:sz="8" w:space="0" w:color="auto"/>
            </w:tcBorders>
            <w:shd w:val="clear" w:color="auto" w:fill="auto"/>
            <w:vAlign w:val="center"/>
          </w:tcPr>
          <w:p w:rsidR="00173DF8" w:rsidRPr="00173DF8" w:rsidRDefault="00173DF8" w:rsidP="00173DF8">
            <w:pPr>
              <w:jc w:val="center"/>
              <w:rPr>
                <w:rFonts w:ascii="Times New Roman" w:eastAsia="Times New Roman" w:hAnsi="Times New Roman" w:cs="Times New Roman"/>
                <w:b/>
                <w:color w:val="000000"/>
                <w:sz w:val="18"/>
                <w:szCs w:val="18"/>
              </w:rPr>
            </w:pPr>
            <w:r w:rsidRPr="00173DF8">
              <w:rPr>
                <w:rFonts w:ascii="Times New Roman" w:eastAsia="Times New Roman" w:hAnsi="Times New Roman" w:cs="Times New Roman"/>
                <w:b/>
                <w:color w:val="000000"/>
                <w:sz w:val="18"/>
                <w:szCs w:val="18"/>
              </w:rPr>
              <w:t>2</w:t>
            </w:r>
          </w:p>
        </w:tc>
        <w:tc>
          <w:tcPr>
            <w:tcW w:w="3180" w:type="dxa"/>
            <w:gridSpan w:val="2"/>
            <w:tcBorders>
              <w:top w:val="nil"/>
              <w:left w:val="single" w:sz="8" w:space="0" w:color="auto"/>
              <w:bottom w:val="single" w:sz="4" w:space="0" w:color="auto"/>
              <w:right w:val="single" w:sz="8" w:space="0" w:color="auto"/>
            </w:tcBorders>
            <w:shd w:val="clear" w:color="auto" w:fill="auto"/>
            <w:vAlign w:val="center"/>
            <w:hideMark/>
          </w:tcPr>
          <w:p w:rsidR="00173DF8" w:rsidRPr="00173DF8" w:rsidRDefault="00173DF8" w:rsidP="00173DF8">
            <w:pPr>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Chairman of the Board, President and CEO</w:t>
            </w:r>
          </w:p>
        </w:tc>
        <w:tc>
          <w:tcPr>
            <w:tcW w:w="820" w:type="dxa"/>
            <w:gridSpan w:val="2"/>
            <w:tcBorders>
              <w:top w:val="nil"/>
              <w:left w:val="nil"/>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$662 </w:t>
            </w:r>
          </w:p>
        </w:tc>
        <w:tc>
          <w:tcPr>
            <w:tcW w:w="711" w:type="dxa"/>
            <w:gridSpan w:val="2"/>
            <w:tcBorders>
              <w:top w:val="nil"/>
              <w:left w:val="nil"/>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$537 </w:t>
            </w:r>
          </w:p>
        </w:tc>
        <w:tc>
          <w:tcPr>
            <w:tcW w:w="760" w:type="dxa"/>
            <w:gridSpan w:val="2"/>
            <w:tcBorders>
              <w:top w:val="nil"/>
              <w:left w:val="nil"/>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sz w:val="18"/>
                <w:szCs w:val="18"/>
              </w:rPr>
            </w:pPr>
            <w:r w:rsidRPr="00173DF8">
              <w:rPr>
                <w:rFonts w:ascii="Times New Roman" w:eastAsia="Times New Roman" w:hAnsi="Times New Roman" w:cs="Times New Roman"/>
                <w:sz w:val="18"/>
                <w:szCs w:val="18"/>
              </w:rPr>
              <w:t xml:space="preserve">$1,356 </w:t>
            </w:r>
          </w:p>
        </w:tc>
        <w:tc>
          <w:tcPr>
            <w:tcW w:w="1078" w:type="dxa"/>
            <w:gridSpan w:val="2"/>
            <w:tcBorders>
              <w:top w:val="nil"/>
              <w:left w:val="single" w:sz="8" w:space="0" w:color="auto"/>
              <w:bottom w:val="single" w:sz="4" w:space="0" w:color="auto"/>
              <w:right w:val="single" w:sz="8" w:space="0" w:color="auto"/>
            </w:tcBorders>
            <w:shd w:val="clear" w:color="auto" w:fill="auto"/>
            <w:noWrap/>
            <w:vAlign w:val="bottom"/>
            <w:hideMark/>
          </w:tcPr>
          <w:p w:rsidR="00173DF8" w:rsidRPr="00173DF8" w:rsidRDefault="00173DF8" w:rsidP="003C1F9D">
            <w:pPr>
              <w:jc w:val="right"/>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$2,55</w:t>
            </w:r>
            <w:r w:rsidR="003C1F9D">
              <w:rPr>
                <w:rFonts w:ascii="Times New Roman" w:eastAsia="Times New Roman" w:hAnsi="Times New Roman" w:cs="Times New Roman"/>
                <w:b/>
                <w:bCs/>
                <w:color w:val="000000"/>
                <w:sz w:val="18"/>
                <w:szCs w:val="18"/>
              </w:rPr>
              <w:t>5</w:t>
            </w:r>
            <w:r w:rsidRPr="00173DF8">
              <w:rPr>
                <w:rFonts w:ascii="Times New Roman" w:eastAsia="Times New Roman" w:hAnsi="Times New Roman" w:cs="Times New Roman"/>
                <w:b/>
                <w:bCs/>
                <w:color w:val="000000"/>
                <w:sz w:val="18"/>
                <w:szCs w:val="18"/>
              </w:rPr>
              <w:t xml:space="preserve"> </w:t>
            </w:r>
          </w:p>
        </w:tc>
        <w:tc>
          <w:tcPr>
            <w:tcW w:w="983" w:type="dxa"/>
            <w:gridSpan w:val="2"/>
            <w:tcBorders>
              <w:top w:val="nil"/>
              <w:left w:val="single" w:sz="4" w:space="0" w:color="1F497D"/>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sz w:val="18"/>
                <w:szCs w:val="18"/>
              </w:rPr>
            </w:pPr>
            <w:r w:rsidRPr="00173DF8">
              <w:rPr>
                <w:rFonts w:ascii="Times New Roman" w:eastAsia="Times New Roman" w:hAnsi="Times New Roman" w:cs="Times New Roman"/>
                <w:sz w:val="18"/>
                <w:szCs w:val="18"/>
              </w:rPr>
              <w:t xml:space="preserve">$890 </w:t>
            </w:r>
          </w:p>
        </w:tc>
        <w:tc>
          <w:tcPr>
            <w:tcW w:w="792" w:type="dxa"/>
            <w:gridSpan w:val="2"/>
            <w:tcBorders>
              <w:top w:val="nil"/>
              <w:left w:val="nil"/>
              <w:bottom w:val="single" w:sz="4" w:space="0" w:color="auto"/>
              <w:right w:val="nil"/>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$49 </w:t>
            </w:r>
          </w:p>
        </w:tc>
        <w:tc>
          <w:tcPr>
            <w:tcW w:w="1450" w:type="dxa"/>
            <w:gridSpan w:val="2"/>
            <w:tcBorders>
              <w:top w:val="nil"/>
              <w:left w:val="single" w:sz="8" w:space="0" w:color="auto"/>
              <w:bottom w:val="single" w:sz="4" w:space="0" w:color="auto"/>
              <w:right w:val="single" w:sz="8" w:space="0" w:color="auto"/>
            </w:tcBorders>
            <w:shd w:val="clear" w:color="auto" w:fill="auto"/>
            <w:noWrap/>
            <w:vAlign w:val="bottom"/>
            <w:hideMark/>
          </w:tcPr>
          <w:p w:rsidR="00173DF8" w:rsidRPr="00173DF8" w:rsidRDefault="00173DF8" w:rsidP="000A4C6C">
            <w:pPr>
              <w:jc w:val="right"/>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$3,49</w:t>
            </w:r>
            <w:r w:rsidR="000A4C6C">
              <w:rPr>
                <w:rFonts w:ascii="Times New Roman" w:eastAsia="Times New Roman" w:hAnsi="Times New Roman" w:cs="Times New Roman"/>
                <w:b/>
                <w:bCs/>
                <w:color w:val="000000"/>
                <w:sz w:val="18"/>
                <w:szCs w:val="18"/>
              </w:rPr>
              <w:t>4</w:t>
            </w:r>
            <w:r w:rsidRPr="00173DF8">
              <w:rPr>
                <w:rFonts w:ascii="Times New Roman" w:eastAsia="Times New Roman" w:hAnsi="Times New Roman" w:cs="Times New Roman"/>
                <w:b/>
                <w:bCs/>
                <w:color w:val="000000"/>
                <w:sz w:val="18"/>
                <w:szCs w:val="18"/>
              </w:rPr>
              <w:t xml:space="preserve"> </w:t>
            </w:r>
          </w:p>
        </w:tc>
      </w:tr>
      <w:tr w:rsidR="00173DF8" w:rsidRPr="00173DF8" w:rsidTr="002D2E63">
        <w:trPr>
          <w:trHeight w:val="429"/>
        </w:trPr>
        <w:tc>
          <w:tcPr>
            <w:tcW w:w="396" w:type="dxa"/>
            <w:tcBorders>
              <w:top w:val="nil"/>
              <w:left w:val="single" w:sz="8" w:space="0" w:color="auto"/>
              <w:bottom w:val="single" w:sz="4" w:space="0" w:color="auto"/>
              <w:right w:val="single" w:sz="8" w:space="0" w:color="auto"/>
            </w:tcBorders>
            <w:shd w:val="clear" w:color="auto" w:fill="auto"/>
            <w:vAlign w:val="center"/>
          </w:tcPr>
          <w:p w:rsidR="00173DF8" w:rsidRPr="00173DF8" w:rsidRDefault="00173DF8" w:rsidP="00173DF8">
            <w:pPr>
              <w:jc w:val="center"/>
              <w:rPr>
                <w:rFonts w:ascii="Times New Roman" w:eastAsia="Times New Roman" w:hAnsi="Times New Roman" w:cs="Times New Roman"/>
                <w:b/>
                <w:color w:val="000000"/>
                <w:sz w:val="18"/>
                <w:szCs w:val="18"/>
              </w:rPr>
            </w:pPr>
            <w:r w:rsidRPr="00173DF8">
              <w:rPr>
                <w:rFonts w:ascii="Times New Roman" w:eastAsia="Times New Roman" w:hAnsi="Times New Roman" w:cs="Times New Roman"/>
                <w:b/>
                <w:color w:val="000000"/>
                <w:sz w:val="18"/>
                <w:szCs w:val="18"/>
              </w:rPr>
              <w:t>3</w:t>
            </w:r>
          </w:p>
        </w:tc>
        <w:tc>
          <w:tcPr>
            <w:tcW w:w="3180" w:type="dxa"/>
            <w:gridSpan w:val="2"/>
            <w:tcBorders>
              <w:top w:val="nil"/>
              <w:left w:val="single" w:sz="8" w:space="0" w:color="auto"/>
              <w:bottom w:val="single" w:sz="4" w:space="0" w:color="auto"/>
              <w:right w:val="single" w:sz="8" w:space="0" w:color="auto"/>
            </w:tcBorders>
            <w:shd w:val="clear" w:color="auto" w:fill="auto"/>
            <w:vAlign w:val="center"/>
            <w:hideMark/>
          </w:tcPr>
          <w:p w:rsidR="00173DF8" w:rsidRPr="00173DF8" w:rsidRDefault="00173DF8" w:rsidP="00173DF8">
            <w:pPr>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Sr. Vice President &amp; CFO</w:t>
            </w:r>
          </w:p>
        </w:tc>
        <w:tc>
          <w:tcPr>
            <w:tcW w:w="820" w:type="dxa"/>
            <w:gridSpan w:val="2"/>
            <w:tcBorders>
              <w:top w:val="nil"/>
              <w:left w:val="nil"/>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$341 </w:t>
            </w:r>
          </w:p>
        </w:tc>
        <w:tc>
          <w:tcPr>
            <w:tcW w:w="711" w:type="dxa"/>
            <w:gridSpan w:val="2"/>
            <w:tcBorders>
              <w:top w:val="nil"/>
              <w:left w:val="nil"/>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$185 </w:t>
            </w:r>
          </w:p>
        </w:tc>
        <w:tc>
          <w:tcPr>
            <w:tcW w:w="760" w:type="dxa"/>
            <w:gridSpan w:val="2"/>
            <w:tcBorders>
              <w:top w:val="nil"/>
              <w:left w:val="nil"/>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sz w:val="18"/>
                <w:szCs w:val="18"/>
              </w:rPr>
            </w:pPr>
            <w:r w:rsidRPr="00173DF8">
              <w:rPr>
                <w:rFonts w:ascii="Times New Roman" w:eastAsia="Times New Roman" w:hAnsi="Times New Roman" w:cs="Times New Roman"/>
                <w:sz w:val="18"/>
                <w:szCs w:val="18"/>
              </w:rPr>
              <w:t xml:space="preserve">$331 </w:t>
            </w:r>
          </w:p>
        </w:tc>
        <w:tc>
          <w:tcPr>
            <w:tcW w:w="1078" w:type="dxa"/>
            <w:gridSpan w:val="2"/>
            <w:tcBorders>
              <w:top w:val="nil"/>
              <w:left w:val="single" w:sz="8" w:space="0" w:color="auto"/>
              <w:bottom w:val="single" w:sz="4" w:space="0" w:color="auto"/>
              <w:right w:val="single" w:sz="8" w:space="0" w:color="auto"/>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 xml:space="preserve">$857 </w:t>
            </w:r>
          </w:p>
        </w:tc>
        <w:tc>
          <w:tcPr>
            <w:tcW w:w="983" w:type="dxa"/>
            <w:gridSpan w:val="2"/>
            <w:tcBorders>
              <w:top w:val="nil"/>
              <w:left w:val="single" w:sz="4" w:space="0" w:color="1F497D"/>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sz w:val="18"/>
                <w:szCs w:val="18"/>
              </w:rPr>
            </w:pPr>
            <w:r w:rsidRPr="00173DF8">
              <w:rPr>
                <w:rFonts w:ascii="Times New Roman" w:eastAsia="Times New Roman" w:hAnsi="Times New Roman" w:cs="Times New Roman"/>
                <w:sz w:val="18"/>
                <w:szCs w:val="18"/>
              </w:rPr>
              <w:t xml:space="preserve">$77 </w:t>
            </w:r>
          </w:p>
        </w:tc>
        <w:tc>
          <w:tcPr>
            <w:tcW w:w="792" w:type="dxa"/>
            <w:gridSpan w:val="2"/>
            <w:tcBorders>
              <w:top w:val="nil"/>
              <w:left w:val="nil"/>
              <w:bottom w:val="single" w:sz="4" w:space="0" w:color="auto"/>
              <w:right w:val="nil"/>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$11 </w:t>
            </w:r>
          </w:p>
        </w:tc>
        <w:tc>
          <w:tcPr>
            <w:tcW w:w="1450" w:type="dxa"/>
            <w:gridSpan w:val="2"/>
            <w:tcBorders>
              <w:top w:val="nil"/>
              <w:left w:val="single" w:sz="8" w:space="0" w:color="auto"/>
              <w:bottom w:val="single" w:sz="4" w:space="0" w:color="auto"/>
              <w:right w:val="single" w:sz="8" w:space="0" w:color="auto"/>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 xml:space="preserve">$945 </w:t>
            </w:r>
          </w:p>
        </w:tc>
      </w:tr>
      <w:tr w:rsidR="00173DF8" w:rsidRPr="00173DF8" w:rsidTr="002D2E63">
        <w:trPr>
          <w:trHeight w:val="429"/>
        </w:trPr>
        <w:tc>
          <w:tcPr>
            <w:tcW w:w="396" w:type="dxa"/>
            <w:tcBorders>
              <w:top w:val="nil"/>
              <w:left w:val="single" w:sz="8" w:space="0" w:color="auto"/>
              <w:bottom w:val="single" w:sz="4" w:space="0" w:color="auto"/>
              <w:right w:val="single" w:sz="8" w:space="0" w:color="auto"/>
            </w:tcBorders>
            <w:shd w:val="clear" w:color="auto" w:fill="auto"/>
            <w:vAlign w:val="center"/>
          </w:tcPr>
          <w:p w:rsidR="00173DF8" w:rsidRPr="00173DF8" w:rsidRDefault="00173DF8" w:rsidP="00173DF8">
            <w:pPr>
              <w:jc w:val="center"/>
              <w:rPr>
                <w:rFonts w:ascii="Times New Roman" w:eastAsia="Times New Roman" w:hAnsi="Times New Roman" w:cs="Times New Roman"/>
                <w:b/>
                <w:color w:val="000000"/>
                <w:sz w:val="18"/>
                <w:szCs w:val="18"/>
              </w:rPr>
            </w:pPr>
            <w:r w:rsidRPr="00173DF8">
              <w:rPr>
                <w:rFonts w:ascii="Times New Roman" w:eastAsia="Times New Roman" w:hAnsi="Times New Roman" w:cs="Times New Roman"/>
                <w:b/>
                <w:color w:val="000000"/>
                <w:sz w:val="18"/>
                <w:szCs w:val="18"/>
              </w:rPr>
              <w:t>4</w:t>
            </w:r>
          </w:p>
        </w:tc>
        <w:tc>
          <w:tcPr>
            <w:tcW w:w="3180" w:type="dxa"/>
            <w:gridSpan w:val="2"/>
            <w:tcBorders>
              <w:top w:val="nil"/>
              <w:left w:val="single" w:sz="8" w:space="0" w:color="auto"/>
              <w:bottom w:val="single" w:sz="4" w:space="0" w:color="auto"/>
              <w:right w:val="single" w:sz="8" w:space="0" w:color="auto"/>
            </w:tcBorders>
            <w:shd w:val="clear" w:color="auto" w:fill="auto"/>
            <w:vAlign w:val="center"/>
            <w:hideMark/>
          </w:tcPr>
          <w:p w:rsidR="00173DF8" w:rsidRPr="00173DF8" w:rsidRDefault="00173DF8" w:rsidP="00173DF8">
            <w:pPr>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Sr. Vice President and Environmental Compliance Officer, Utility President</w:t>
            </w:r>
          </w:p>
        </w:tc>
        <w:tc>
          <w:tcPr>
            <w:tcW w:w="820" w:type="dxa"/>
            <w:gridSpan w:val="2"/>
            <w:tcBorders>
              <w:top w:val="nil"/>
              <w:left w:val="nil"/>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$304 </w:t>
            </w:r>
          </w:p>
        </w:tc>
        <w:tc>
          <w:tcPr>
            <w:tcW w:w="711" w:type="dxa"/>
            <w:gridSpan w:val="2"/>
            <w:tcBorders>
              <w:top w:val="nil"/>
              <w:left w:val="nil"/>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$164 </w:t>
            </w:r>
          </w:p>
        </w:tc>
        <w:tc>
          <w:tcPr>
            <w:tcW w:w="760" w:type="dxa"/>
            <w:gridSpan w:val="2"/>
            <w:tcBorders>
              <w:top w:val="nil"/>
              <w:left w:val="nil"/>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sz w:val="18"/>
                <w:szCs w:val="18"/>
              </w:rPr>
            </w:pPr>
            <w:r w:rsidRPr="00173DF8">
              <w:rPr>
                <w:rFonts w:ascii="Times New Roman" w:eastAsia="Times New Roman" w:hAnsi="Times New Roman" w:cs="Times New Roman"/>
                <w:sz w:val="18"/>
                <w:szCs w:val="18"/>
              </w:rPr>
              <w:t xml:space="preserve">$331 </w:t>
            </w:r>
          </w:p>
        </w:tc>
        <w:tc>
          <w:tcPr>
            <w:tcW w:w="1078" w:type="dxa"/>
            <w:gridSpan w:val="2"/>
            <w:tcBorders>
              <w:top w:val="nil"/>
              <w:left w:val="single" w:sz="8" w:space="0" w:color="auto"/>
              <w:bottom w:val="single" w:sz="4" w:space="0" w:color="auto"/>
              <w:right w:val="single" w:sz="8" w:space="0" w:color="auto"/>
            </w:tcBorders>
            <w:shd w:val="clear" w:color="auto" w:fill="auto"/>
            <w:noWrap/>
            <w:vAlign w:val="bottom"/>
            <w:hideMark/>
          </w:tcPr>
          <w:p w:rsidR="00173DF8" w:rsidRPr="00173DF8" w:rsidRDefault="00173DF8" w:rsidP="003C1F9D">
            <w:pPr>
              <w:jc w:val="right"/>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w:t>
            </w:r>
            <w:r w:rsidR="003C1F9D">
              <w:rPr>
                <w:rFonts w:ascii="Times New Roman" w:eastAsia="Times New Roman" w:hAnsi="Times New Roman" w:cs="Times New Roman"/>
                <w:b/>
                <w:bCs/>
                <w:color w:val="000000"/>
                <w:sz w:val="18"/>
                <w:szCs w:val="18"/>
              </w:rPr>
              <w:t>799</w:t>
            </w:r>
            <w:r w:rsidRPr="00173DF8">
              <w:rPr>
                <w:rFonts w:ascii="Times New Roman" w:eastAsia="Times New Roman" w:hAnsi="Times New Roman" w:cs="Times New Roman"/>
                <w:b/>
                <w:bCs/>
                <w:color w:val="000000"/>
                <w:sz w:val="18"/>
                <w:szCs w:val="18"/>
              </w:rPr>
              <w:t xml:space="preserve"> </w:t>
            </w:r>
          </w:p>
        </w:tc>
        <w:tc>
          <w:tcPr>
            <w:tcW w:w="983" w:type="dxa"/>
            <w:gridSpan w:val="2"/>
            <w:tcBorders>
              <w:top w:val="nil"/>
              <w:left w:val="single" w:sz="4" w:space="0" w:color="1F497D"/>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sz w:val="18"/>
                <w:szCs w:val="18"/>
              </w:rPr>
            </w:pPr>
            <w:r w:rsidRPr="00173DF8">
              <w:rPr>
                <w:rFonts w:ascii="Times New Roman" w:eastAsia="Times New Roman" w:hAnsi="Times New Roman" w:cs="Times New Roman"/>
                <w:sz w:val="18"/>
                <w:szCs w:val="18"/>
              </w:rPr>
              <w:t xml:space="preserve">$301 </w:t>
            </w:r>
          </w:p>
        </w:tc>
        <w:tc>
          <w:tcPr>
            <w:tcW w:w="792" w:type="dxa"/>
            <w:gridSpan w:val="2"/>
            <w:tcBorders>
              <w:top w:val="nil"/>
              <w:left w:val="nil"/>
              <w:bottom w:val="single" w:sz="4" w:space="0" w:color="auto"/>
              <w:right w:val="nil"/>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$13 </w:t>
            </w:r>
          </w:p>
        </w:tc>
        <w:tc>
          <w:tcPr>
            <w:tcW w:w="1450" w:type="dxa"/>
            <w:gridSpan w:val="2"/>
            <w:tcBorders>
              <w:top w:val="nil"/>
              <w:left w:val="single" w:sz="8" w:space="0" w:color="auto"/>
              <w:bottom w:val="single" w:sz="4" w:space="0" w:color="auto"/>
              <w:right w:val="single" w:sz="8" w:space="0" w:color="auto"/>
            </w:tcBorders>
            <w:shd w:val="clear" w:color="auto" w:fill="auto"/>
            <w:noWrap/>
            <w:vAlign w:val="bottom"/>
            <w:hideMark/>
          </w:tcPr>
          <w:p w:rsidR="00173DF8" w:rsidRPr="00173DF8" w:rsidRDefault="000A4C6C" w:rsidP="00173DF8">
            <w:pPr>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$1,113</w:t>
            </w:r>
            <w:r w:rsidR="00173DF8" w:rsidRPr="00173DF8">
              <w:rPr>
                <w:rFonts w:ascii="Times New Roman" w:eastAsia="Times New Roman" w:hAnsi="Times New Roman" w:cs="Times New Roman"/>
                <w:b/>
                <w:bCs/>
                <w:color w:val="000000"/>
                <w:sz w:val="18"/>
                <w:szCs w:val="18"/>
              </w:rPr>
              <w:t xml:space="preserve"> </w:t>
            </w:r>
          </w:p>
        </w:tc>
      </w:tr>
      <w:tr w:rsidR="00173DF8" w:rsidRPr="00173DF8" w:rsidTr="002D2E63">
        <w:trPr>
          <w:trHeight w:val="429"/>
        </w:trPr>
        <w:tc>
          <w:tcPr>
            <w:tcW w:w="396" w:type="dxa"/>
            <w:tcBorders>
              <w:top w:val="nil"/>
              <w:left w:val="single" w:sz="8" w:space="0" w:color="auto"/>
              <w:bottom w:val="single" w:sz="4" w:space="0" w:color="auto"/>
              <w:right w:val="single" w:sz="8" w:space="0" w:color="auto"/>
            </w:tcBorders>
            <w:shd w:val="clear" w:color="auto" w:fill="auto"/>
            <w:vAlign w:val="center"/>
          </w:tcPr>
          <w:p w:rsidR="00173DF8" w:rsidRPr="00173DF8" w:rsidRDefault="00173DF8" w:rsidP="00173DF8">
            <w:pPr>
              <w:jc w:val="center"/>
              <w:rPr>
                <w:rFonts w:ascii="Times New Roman" w:eastAsia="Times New Roman" w:hAnsi="Times New Roman" w:cs="Times New Roman"/>
                <w:b/>
                <w:color w:val="000000"/>
                <w:sz w:val="18"/>
                <w:szCs w:val="18"/>
              </w:rPr>
            </w:pPr>
            <w:r w:rsidRPr="00173DF8">
              <w:rPr>
                <w:rFonts w:ascii="Times New Roman" w:eastAsia="Times New Roman" w:hAnsi="Times New Roman" w:cs="Times New Roman"/>
                <w:b/>
                <w:color w:val="000000"/>
                <w:sz w:val="18"/>
                <w:szCs w:val="18"/>
              </w:rPr>
              <w:t>5</w:t>
            </w:r>
          </w:p>
        </w:tc>
        <w:tc>
          <w:tcPr>
            <w:tcW w:w="3180" w:type="dxa"/>
            <w:gridSpan w:val="2"/>
            <w:tcBorders>
              <w:top w:val="nil"/>
              <w:left w:val="single" w:sz="8" w:space="0" w:color="auto"/>
              <w:bottom w:val="single" w:sz="4" w:space="0" w:color="auto"/>
              <w:right w:val="single" w:sz="8" w:space="0" w:color="auto"/>
            </w:tcBorders>
            <w:shd w:val="clear" w:color="auto" w:fill="auto"/>
            <w:vAlign w:val="center"/>
            <w:hideMark/>
          </w:tcPr>
          <w:p w:rsidR="00173DF8" w:rsidRPr="00173DF8" w:rsidRDefault="00173DF8" w:rsidP="00173DF8">
            <w:pPr>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Sr. Vice President, General Counsel &amp; Chief Compliance Officer</w:t>
            </w:r>
          </w:p>
        </w:tc>
        <w:tc>
          <w:tcPr>
            <w:tcW w:w="820" w:type="dxa"/>
            <w:gridSpan w:val="2"/>
            <w:tcBorders>
              <w:top w:val="nil"/>
              <w:left w:val="nil"/>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$289 </w:t>
            </w:r>
          </w:p>
        </w:tc>
        <w:tc>
          <w:tcPr>
            <w:tcW w:w="711" w:type="dxa"/>
            <w:gridSpan w:val="2"/>
            <w:tcBorders>
              <w:top w:val="nil"/>
              <w:left w:val="nil"/>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$156 </w:t>
            </w:r>
          </w:p>
        </w:tc>
        <w:tc>
          <w:tcPr>
            <w:tcW w:w="760" w:type="dxa"/>
            <w:gridSpan w:val="2"/>
            <w:tcBorders>
              <w:top w:val="nil"/>
              <w:left w:val="nil"/>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sz w:val="18"/>
                <w:szCs w:val="18"/>
              </w:rPr>
            </w:pPr>
            <w:r w:rsidRPr="00173DF8">
              <w:rPr>
                <w:rFonts w:ascii="Times New Roman" w:eastAsia="Times New Roman" w:hAnsi="Times New Roman" w:cs="Times New Roman"/>
                <w:sz w:val="18"/>
                <w:szCs w:val="18"/>
              </w:rPr>
              <w:t xml:space="preserve">$331 </w:t>
            </w:r>
          </w:p>
        </w:tc>
        <w:tc>
          <w:tcPr>
            <w:tcW w:w="1078" w:type="dxa"/>
            <w:gridSpan w:val="2"/>
            <w:tcBorders>
              <w:top w:val="nil"/>
              <w:left w:val="single" w:sz="8" w:space="0" w:color="auto"/>
              <w:bottom w:val="single" w:sz="4" w:space="0" w:color="auto"/>
              <w:right w:val="single" w:sz="8" w:space="0" w:color="auto"/>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 xml:space="preserve">$776 </w:t>
            </w:r>
          </w:p>
        </w:tc>
        <w:tc>
          <w:tcPr>
            <w:tcW w:w="983" w:type="dxa"/>
            <w:gridSpan w:val="2"/>
            <w:tcBorders>
              <w:top w:val="nil"/>
              <w:left w:val="single" w:sz="4" w:space="0" w:color="1F497D"/>
              <w:bottom w:val="single" w:sz="4" w:space="0" w:color="auto"/>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sz w:val="18"/>
                <w:szCs w:val="18"/>
              </w:rPr>
            </w:pPr>
            <w:r w:rsidRPr="00173DF8">
              <w:rPr>
                <w:rFonts w:ascii="Times New Roman" w:eastAsia="Times New Roman" w:hAnsi="Times New Roman" w:cs="Times New Roman"/>
                <w:sz w:val="18"/>
                <w:szCs w:val="18"/>
              </w:rPr>
              <w:t xml:space="preserve">$124 </w:t>
            </w:r>
          </w:p>
        </w:tc>
        <w:tc>
          <w:tcPr>
            <w:tcW w:w="792" w:type="dxa"/>
            <w:gridSpan w:val="2"/>
            <w:tcBorders>
              <w:top w:val="nil"/>
              <w:left w:val="nil"/>
              <w:bottom w:val="single" w:sz="4" w:space="0" w:color="auto"/>
              <w:right w:val="nil"/>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$11 </w:t>
            </w:r>
          </w:p>
        </w:tc>
        <w:tc>
          <w:tcPr>
            <w:tcW w:w="1450" w:type="dxa"/>
            <w:gridSpan w:val="2"/>
            <w:tcBorders>
              <w:top w:val="nil"/>
              <w:left w:val="single" w:sz="8" w:space="0" w:color="auto"/>
              <w:bottom w:val="single" w:sz="4" w:space="0" w:color="auto"/>
              <w:right w:val="single" w:sz="8" w:space="0" w:color="auto"/>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 xml:space="preserve">$911 </w:t>
            </w:r>
          </w:p>
        </w:tc>
      </w:tr>
      <w:tr w:rsidR="00173DF8" w:rsidRPr="00173DF8" w:rsidTr="002D2E63">
        <w:trPr>
          <w:trHeight w:val="429"/>
        </w:trPr>
        <w:tc>
          <w:tcPr>
            <w:tcW w:w="396" w:type="dxa"/>
            <w:tcBorders>
              <w:top w:val="nil"/>
              <w:left w:val="single" w:sz="8" w:space="0" w:color="auto"/>
              <w:bottom w:val="nil"/>
              <w:right w:val="single" w:sz="8" w:space="0" w:color="auto"/>
            </w:tcBorders>
            <w:shd w:val="clear" w:color="auto" w:fill="auto"/>
            <w:vAlign w:val="center"/>
          </w:tcPr>
          <w:p w:rsidR="00173DF8" w:rsidRPr="00173DF8" w:rsidRDefault="00173DF8" w:rsidP="00173DF8">
            <w:pPr>
              <w:jc w:val="center"/>
              <w:rPr>
                <w:rFonts w:ascii="Times New Roman" w:eastAsia="Times New Roman" w:hAnsi="Times New Roman" w:cs="Times New Roman"/>
                <w:b/>
                <w:color w:val="000000"/>
                <w:sz w:val="18"/>
                <w:szCs w:val="18"/>
              </w:rPr>
            </w:pPr>
            <w:r w:rsidRPr="00173DF8">
              <w:rPr>
                <w:rFonts w:ascii="Times New Roman" w:eastAsia="Times New Roman" w:hAnsi="Times New Roman" w:cs="Times New Roman"/>
                <w:b/>
                <w:color w:val="000000"/>
                <w:sz w:val="18"/>
                <w:szCs w:val="18"/>
              </w:rPr>
              <w:t>6</w:t>
            </w:r>
          </w:p>
        </w:tc>
        <w:tc>
          <w:tcPr>
            <w:tcW w:w="3180" w:type="dxa"/>
            <w:gridSpan w:val="2"/>
            <w:tcBorders>
              <w:top w:val="nil"/>
              <w:left w:val="single" w:sz="8" w:space="0" w:color="auto"/>
              <w:bottom w:val="nil"/>
              <w:right w:val="single" w:sz="8" w:space="0" w:color="auto"/>
            </w:tcBorders>
            <w:shd w:val="clear" w:color="auto" w:fill="auto"/>
            <w:vAlign w:val="center"/>
            <w:hideMark/>
          </w:tcPr>
          <w:p w:rsidR="00173DF8" w:rsidRPr="00173DF8" w:rsidRDefault="00173DF8" w:rsidP="00173DF8">
            <w:pPr>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Sr. Vice President and Corporate Secretary</w:t>
            </w:r>
          </w:p>
        </w:tc>
        <w:tc>
          <w:tcPr>
            <w:tcW w:w="820" w:type="dxa"/>
            <w:gridSpan w:val="2"/>
            <w:tcBorders>
              <w:top w:val="nil"/>
              <w:left w:val="nil"/>
              <w:bottom w:val="nil"/>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$254 </w:t>
            </w:r>
          </w:p>
        </w:tc>
        <w:tc>
          <w:tcPr>
            <w:tcW w:w="711" w:type="dxa"/>
            <w:gridSpan w:val="2"/>
            <w:tcBorders>
              <w:top w:val="nil"/>
              <w:left w:val="nil"/>
              <w:bottom w:val="nil"/>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$137 </w:t>
            </w:r>
          </w:p>
        </w:tc>
        <w:tc>
          <w:tcPr>
            <w:tcW w:w="760" w:type="dxa"/>
            <w:gridSpan w:val="2"/>
            <w:tcBorders>
              <w:top w:val="nil"/>
              <w:left w:val="nil"/>
              <w:bottom w:val="nil"/>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sz w:val="18"/>
                <w:szCs w:val="18"/>
              </w:rPr>
            </w:pPr>
            <w:r w:rsidRPr="00173DF8">
              <w:rPr>
                <w:rFonts w:ascii="Times New Roman" w:eastAsia="Times New Roman" w:hAnsi="Times New Roman" w:cs="Times New Roman"/>
                <w:sz w:val="18"/>
                <w:szCs w:val="18"/>
              </w:rPr>
              <w:t xml:space="preserve">$373 </w:t>
            </w:r>
          </w:p>
        </w:tc>
        <w:tc>
          <w:tcPr>
            <w:tcW w:w="1078" w:type="dxa"/>
            <w:gridSpan w:val="2"/>
            <w:tcBorders>
              <w:top w:val="nil"/>
              <w:left w:val="single" w:sz="8" w:space="0" w:color="auto"/>
              <w:bottom w:val="nil"/>
              <w:right w:val="single" w:sz="8" w:space="0" w:color="auto"/>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 xml:space="preserve">$764 </w:t>
            </w:r>
          </w:p>
        </w:tc>
        <w:tc>
          <w:tcPr>
            <w:tcW w:w="983" w:type="dxa"/>
            <w:gridSpan w:val="2"/>
            <w:tcBorders>
              <w:top w:val="nil"/>
              <w:left w:val="single" w:sz="4" w:space="0" w:color="1F497D"/>
              <w:bottom w:val="single" w:sz="4" w:space="0" w:color="1F497D"/>
              <w:right w:val="single" w:sz="4" w:space="0" w:color="1F497D"/>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sz w:val="18"/>
                <w:szCs w:val="18"/>
              </w:rPr>
            </w:pPr>
            <w:r w:rsidRPr="00173DF8">
              <w:rPr>
                <w:rFonts w:ascii="Times New Roman" w:eastAsia="Times New Roman" w:hAnsi="Times New Roman" w:cs="Times New Roman"/>
                <w:sz w:val="18"/>
                <w:szCs w:val="18"/>
              </w:rPr>
              <w:t xml:space="preserve">$187 </w:t>
            </w:r>
          </w:p>
        </w:tc>
        <w:tc>
          <w:tcPr>
            <w:tcW w:w="792" w:type="dxa"/>
            <w:gridSpan w:val="2"/>
            <w:tcBorders>
              <w:top w:val="nil"/>
              <w:left w:val="nil"/>
              <w:bottom w:val="single" w:sz="4" w:space="0" w:color="1F497D"/>
              <w:right w:val="nil"/>
            </w:tcBorders>
            <w:shd w:val="clear" w:color="auto" w:fill="auto"/>
            <w:noWrap/>
            <w:vAlign w:val="bottom"/>
            <w:hideMark/>
          </w:tcPr>
          <w:p w:rsidR="00173DF8" w:rsidRPr="00173DF8" w:rsidRDefault="00173DF8" w:rsidP="00173DF8">
            <w:pPr>
              <w:jc w:val="right"/>
              <w:rPr>
                <w:rFonts w:ascii="Times New Roman" w:eastAsia="Times New Roman" w:hAnsi="Times New Roman" w:cs="Times New Roman"/>
                <w:color w:val="000000"/>
                <w:sz w:val="18"/>
                <w:szCs w:val="18"/>
              </w:rPr>
            </w:pPr>
            <w:r w:rsidRPr="00173DF8">
              <w:rPr>
                <w:rFonts w:ascii="Times New Roman" w:eastAsia="Times New Roman" w:hAnsi="Times New Roman" w:cs="Times New Roman"/>
                <w:color w:val="000000"/>
                <w:sz w:val="18"/>
                <w:szCs w:val="18"/>
              </w:rPr>
              <w:t xml:space="preserve">$11 </w:t>
            </w:r>
          </w:p>
        </w:tc>
        <w:tc>
          <w:tcPr>
            <w:tcW w:w="1450" w:type="dxa"/>
            <w:gridSpan w:val="2"/>
            <w:tcBorders>
              <w:top w:val="nil"/>
              <w:left w:val="single" w:sz="8" w:space="0" w:color="auto"/>
              <w:bottom w:val="single" w:sz="4" w:space="0" w:color="1F497D"/>
              <w:right w:val="single" w:sz="8" w:space="0" w:color="auto"/>
            </w:tcBorders>
            <w:shd w:val="clear" w:color="auto" w:fill="auto"/>
            <w:noWrap/>
            <w:vAlign w:val="bottom"/>
            <w:hideMark/>
          </w:tcPr>
          <w:p w:rsidR="00173DF8" w:rsidRPr="00173DF8" w:rsidRDefault="00173DF8" w:rsidP="000A4C6C">
            <w:pPr>
              <w:jc w:val="right"/>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$96</w:t>
            </w:r>
            <w:r w:rsidR="000A4C6C">
              <w:rPr>
                <w:rFonts w:ascii="Times New Roman" w:eastAsia="Times New Roman" w:hAnsi="Times New Roman" w:cs="Times New Roman"/>
                <w:b/>
                <w:bCs/>
                <w:color w:val="000000"/>
                <w:sz w:val="18"/>
                <w:szCs w:val="18"/>
              </w:rPr>
              <w:t>2</w:t>
            </w:r>
            <w:r w:rsidRPr="00173DF8">
              <w:rPr>
                <w:rFonts w:ascii="Times New Roman" w:eastAsia="Times New Roman" w:hAnsi="Times New Roman" w:cs="Times New Roman"/>
                <w:b/>
                <w:bCs/>
                <w:color w:val="000000"/>
                <w:sz w:val="18"/>
                <w:szCs w:val="18"/>
              </w:rPr>
              <w:t xml:space="preserve"> </w:t>
            </w:r>
          </w:p>
        </w:tc>
      </w:tr>
      <w:tr w:rsidR="00173DF8" w:rsidRPr="00173DF8" w:rsidTr="002D2E63">
        <w:trPr>
          <w:trHeight w:val="305"/>
        </w:trPr>
        <w:tc>
          <w:tcPr>
            <w:tcW w:w="396" w:type="dxa"/>
            <w:tcBorders>
              <w:top w:val="single" w:sz="4" w:space="0" w:color="1F497D"/>
              <w:left w:val="single" w:sz="8" w:space="0" w:color="auto"/>
              <w:bottom w:val="single" w:sz="24" w:space="0" w:color="auto"/>
              <w:right w:val="single" w:sz="8" w:space="0" w:color="auto"/>
            </w:tcBorders>
            <w:shd w:val="clear" w:color="auto" w:fill="auto"/>
            <w:vAlign w:val="center"/>
          </w:tcPr>
          <w:p w:rsidR="00173DF8" w:rsidRPr="00173DF8" w:rsidRDefault="00173DF8" w:rsidP="00173DF8">
            <w:pPr>
              <w:jc w:val="center"/>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7</w:t>
            </w:r>
          </w:p>
        </w:tc>
        <w:tc>
          <w:tcPr>
            <w:tcW w:w="3180" w:type="dxa"/>
            <w:gridSpan w:val="2"/>
            <w:tcBorders>
              <w:top w:val="single" w:sz="4" w:space="0" w:color="1F497D"/>
              <w:left w:val="single" w:sz="8" w:space="0" w:color="auto"/>
              <w:bottom w:val="single" w:sz="24" w:space="0" w:color="auto"/>
              <w:right w:val="single" w:sz="8" w:space="0" w:color="auto"/>
            </w:tcBorders>
            <w:shd w:val="clear" w:color="auto" w:fill="auto"/>
            <w:noWrap/>
            <w:vAlign w:val="bottom"/>
            <w:hideMark/>
          </w:tcPr>
          <w:p w:rsidR="00173DF8" w:rsidRPr="00DE05F7" w:rsidRDefault="00173DF8" w:rsidP="00173DF8">
            <w:pPr>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Executive Officer Compensation</w:t>
            </w:r>
          </w:p>
        </w:tc>
        <w:tc>
          <w:tcPr>
            <w:tcW w:w="820" w:type="dxa"/>
            <w:gridSpan w:val="2"/>
            <w:tcBorders>
              <w:top w:val="single" w:sz="4" w:space="0" w:color="1F497D"/>
              <w:left w:val="nil"/>
              <w:bottom w:val="single" w:sz="24" w:space="0" w:color="auto"/>
              <w:right w:val="single" w:sz="4" w:space="0" w:color="1F497D"/>
            </w:tcBorders>
            <w:shd w:val="clear" w:color="auto" w:fill="auto"/>
            <w:noWrap/>
            <w:vAlign w:val="bottom"/>
            <w:hideMark/>
          </w:tcPr>
          <w:p w:rsidR="00173DF8" w:rsidRPr="00DE05F7" w:rsidRDefault="00173DF8" w:rsidP="00173DF8">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 xml:space="preserve">$1,850 </w:t>
            </w:r>
          </w:p>
        </w:tc>
        <w:tc>
          <w:tcPr>
            <w:tcW w:w="711" w:type="dxa"/>
            <w:gridSpan w:val="2"/>
            <w:tcBorders>
              <w:top w:val="single" w:sz="4" w:space="0" w:color="1F497D"/>
              <w:left w:val="nil"/>
              <w:bottom w:val="single" w:sz="24" w:space="0" w:color="auto"/>
              <w:right w:val="single" w:sz="4" w:space="0" w:color="1F497D"/>
            </w:tcBorders>
            <w:shd w:val="clear" w:color="auto" w:fill="auto"/>
            <w:noWrap/>
            <w:vAlign w:val="bottom"/>
            <w:hideMark/>
          </w:tcPr>
          <w:p w:rsidR="00173DF8" w:rsidRPr="00DE05F7" w:rsidRDefault="00173DF8" w:rsidP="003C1F9D">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$1,1</w:t>
            </w:r>
            <w:r w:rsidR="003C1F9D">
              <w:rPr>
                <w:rFonts w:ascii="Times New Roman" w:eastAsia="Times New Roman" w:hAnsi="Times New Roman" w:cs="Times New Roman"/>
                <w:b/>
                <w:bCs/>
                <w:color w:val="000000"/>
                <w:sz w:val="18"/>
                <w:szCs w:val="18"/>
              </w:rPr>
              <w:t>79</w:t>
            </w:r>
            <w:r w:rsidRPr="00DE05F7">
              <w:rPr>
                <w:rFonts w:ascii="Times New Roman" w:eastAsia="Times New Roman" w:hAnsi="Times New Roman" w:cs="Times New Roman"/>
                <w:b/>
                <w:bCs/>
                <w:color w:val="000000"/>
                <w:sz w:val="18"/>
                <w:szCs w:val="18"/>
              </w:rPr>
              <w:t xml:space="preserve"> </w:t>
            </w:r>
          </w:p>
        </w:tc>
        <w:tc>
          <w:tcPr>
            <w:tcW w:w="760" w:type="dxa"/>
            <w:gridSpan w:val="2"/>
            <w:tcBorders>
              <w:top w:val="single" w:sz="4" w:space="0" w:color="1F497D"/>
              <w:left w:val="nil"/>
              <w:bottom w:val="single" w:sz="24" w:space="0" w:color="auto"/>
              <w:right w:val="single" w:sz="4" w:space="0" w:color="1F497D"/>
            </w:tcBorders>
            <w:shd w:val="clear" w:color="auto" w:fill="auto"/>
            <w:noWrap/>
            <w:vAlign w:val="bottom"/>
            <w:hideMark/>
          </w:tcPr>
          <w:p w:rsidR="00173DF8" w:rsidRPr="00DE05F7" w:rsidRDefault="00173DF8" w:rsidP="003C1F9D">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$2,72</w:t>
            </w:r>
            <w:r w:rsidR="003C1F9D">
              <w:rPr>
                <w:rFonts w:ascii="Times New Roman" w:eastAsia="Times New Roman" w:hAnsi="Times New Roman" w:cs="Times New Roman"/>
                <w:b/>
                <w:bCs/>
                <w:color w:val="000000"/>
                <w:sz w:val="18"/>
                <w:szCs w:val="18"/>
              </w:rPr>
              <w:t>2</w:t>
            </w:r>
            <w:r w:rsidRPr="00DE05F7">
              <w:rPr>
                <w:rFonts w:ascii="Times New Roman" w:eastAsia="Times New Roman" w:hAnsi="Times New Roman" w:cs="Times New Roman"/>
                <w:b/>
                <w:bCs/>
                <w:color w:val="000000"/>
                <w:sz w:val="18"/>
                <w:szCs w:val="18"/>
              </w:rPr>
              <w:t xml:space="preserve"> </w:t>
            </w:r>
          </w:p>
        </w:tc>
        <w:tc>
          <w:tcPr>
            <w:tcW w:w="1078" w:type="dxa"/>
            <w:gridSpan w:val="2"/>
            <w:tcBorders>
              <w:top w:val="single" w:sz="4" w:space="0" w:color="1F497D"/>
              <w:left w:val="single" w:sz="8" w:space="0" w:color="auto"/>
              <w:bottom w:val="single" w:sz="24" w:space="0" w:color="auto"/>
              <w:right w:val="single" w:sz="8" w:space="0" w:color="auto"/>
            </w:tcBorders>
            <w:shd w:val="clear" w:color="auto" w:fill="auto"/>
            <w:noWrap/>
            <w:vAlign w:val="bottom"/>
            <w:hideMark/>
          </w:tcPr>
          <w:p w:rsidR="00173DF8" w:rsidRPr="00DE05F7" w:rsidRDefault="00173DF8" w:rsidP="003C1F9D">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$5,75</w:t>
            </w:r>
            <w:r w:rsidR="003C1F9D">
              <w:rPr>
                <w:rFonts w:ascii="Times New Roman" w:eastAsia="Times New Roman" w:hAnsi="Times New Roman" w:cs="Times New Roman"/>
                <w:b/>
                <w:bCs/>
                <w:color w:val="000000"/>
                <w:sz w:val="18"/>
                <w:szCs w:val="18"/>
              </w:rPr>
              <w:t>1</w:t>
            </w:r>
            <w:r w:rsidRPr="00DE05F7">
              <w:rPr>
                <w:rFonts w:ascii="Times New Roman" w:eastAsia="Times New Roman" w:hAnsi="Times New Roman" w:cs="Times New Roman"/>
                <w:b/>
                <w:bCs/>
                <w:color w:val="000000"/>
                <w:sz w:val="18"/>
                <w:szCs w:val="18"/>
              </w:rPr>
              <w:t xml:space="preserve"> </w:t>
            </w:r>
          </w:p>
        </w:tc>
        <w:tc>
          <w:tcPr>
            <w:tcW w:w="983" w:type="dxa"/>
            <w:gridSpan w:val="2"/>
            <w:tcBorders>
              <w:top w:val="single" w:sz="4" w:space="0" w:color="1F497D"/>
              <w:left w:val="nil"/>
              <w:bottom w:val="single" w:sz="24" w:space="0" w:color="auto"/>
              <w:right w:val="single" w:sz="4" w:space="0" w:color="1F497D"/>
            </w:tcBorders>
            <w:shd w:val="clear" w:color="auto" w:fill="auto"/>
            <w:noWrap/>
            <w:vAlign w:val="bottom"/>
            <w:hideMark/>
          </w:tcPr>
          <w:p w:rsidR="00173DF8" w:rsidRPr="00DE05F7" w:rsidRDefault="00173DF8" w:rsidP="00173DF8">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 xml:space="preserve">$1,579 </w:t>
            </w:r>
          </w:p>
        </w:tc>
        <w:tc>
          <w:tcPr>
            <w:tcW w:w="792" w:type="dxa"/>
            <w:gridSpan w:val="2"/>
            <w:tcBorders>
              <w:top w:val="single" w:sz="4" w:space="0" w:color="1F497D"/>
              <w:left w:val="nil"/>
              <w:bottom w:val="single" w:sz="24" w:space="0" w:color="auto"/>
              <w:right w:val="nil"/>
            </w:tcBorders>
            <w:shd w:val="clear" w:color="auto" w:fill="auto"/>
            <w:noWrap/>
            <w:vAlign w:val="bottom"/>
            <w:hideMark/>
          </w:tcPr>
          <w:p w:rsidR="00173DF8" w:rsidRPr="00DE05F7" w:rsidRDefault="00173DF8" w:rsidP="000A4C6C">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$9</w:t>
            </w:r>
            <w:r w:rsidR="000A4C6C">
              <w:rPr>
                <w:rFonts w:ascii="Times New Roman" w:eastAsia="Times New Roman" w:hAnsi="Times New Roman" w:cs="Times New Roman"/>
                <w:b/>
                <w:bCs/>
                <w:color w:val="000000"/>
                <w:sz w:val="18"/>
                <w:szCs w:val="18"/>
              </w:rPr>
              <w:t>5</w:t>
            </w:r>
            <w:r w:rsidRPr="00DE05F7">
              <w:rPr>
                <w:rFonts w:ascii="Times New Roman" w:eastAsia="Times New Roman" w:hAnsi="Times New Roman" w:cs="Times New Roman"/>
                <w:b/>
                <w:bCs/>
                <w:color w:val="000000"/>
                <w:sz w:val="18"/>
                <w:szCs w:val="18"/>
              </w:rPr>
              <w:t xml:space="preserve"> </w:t>
            </w:r>
          </w:p>
        </w:tc>
        <w:tc>
          <w:tcPr>
            <w:tcW w:w="1450" w:type="dxa"/>
            <w:gridSpan w:val="2"/>
            <w:tcBorders>
              <w:top w:val="single" w:sz="4" w:space="0" w:color="1F497D"/>
              <w:left w:val="single" w:sz="8" w:space="0" w:color="auto"/>
              <w:bottom w:val="single" w:sz="24" w:space="0" w:color="auto"/>
              <w:right w:val="single" w:sz="8" w:space="0" w:color="auto"/>
            </w:tcBorders>
            <w:shd w:val="clear" w:color="auto" w:fill="auto"/>
            <w:noWrap/>
            <w:vAlign w:val="bottom"/>
            <w:hideMark/>
          </w:tcPr>
          <w:p w:rsidR="00173DF8" w:rsidRPr="00DE05F7" w:rsidRDefault="00173DF8" w:rsidP="000A4C6C">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$7,42</w:t>
            </w:r>
            <w:r w:rsidR="000A4C6C">
              <w:rPr>
                <w:rFonts w:ascii="Times New Roman" w:eastAsia="Times New Roman" w:hAnsi="Times New Roman" w:cs="Times New Roman"/>
                <w:b/>
                <w:bCs/>
                <w:color w:val="000000"/>
                <w:sz w:val="18"/>
                <w:szCs w:val="18"/>
              </w:rPr>
              <w:t>5</w:t>
            </w:r>
            <w:r w:rsidRPr="00DE05F7">
              <w:rPr>
                <w:rFonts w:ascii="Times New Roman" w:eastAsia="Times New Roman" w:hAnsi="Times New Roman" w:cs="Times New Roman"/>
                <w:b/>
                <w:bCs/>
                <w:color w:val="000000"/>
                <w:sz w:val="18"/>
                <w:szCs w:val="18"/>
              </w:rPr>
              <w:t xml:space="preserve"> </w:t>
            </w:r>
          </w:p>
        </w:tc>
      </w:tr>
      <w:tr w:rsidR="00DE05F7" w:rsidRPr="00173DF8" w:rsidTr="002D2E63">
        <w:trPr>
          <w:trHeight w:val="429"/>
        </w:trPr>
        <w:tc>
          <w:tcPr>
            <w:tcW w:w="396" w:type="dxa"/>
            <w:tcBorders>
              <w:top w:val="single" w:sz="24" w:space="0" w:color="auto"/>
              <w:left w:val="single" w:sz="8" w:space="0" w:color="auto"/>
              <w:bottom w:val="single" w:sz="8" w:space="0" w:color="auto"/>
              <w:right w:val="single" w:sz="8" w:space="0" w:color="auto"/>
            </w:tcBorders>
            <w:shd w:val="clear" w:color="auto" w:fill="auto"/>
            <w:vAlign w:val="center"/>
          </w:tcPr>
          <w:p w:rsidR="00DE05F7" w:rsidRPr="00173DF8" w:rsidRDefault="00DE05F7" w:rsidP="00173DF8">
            <w:pPr>
              <w:jc w:val="center"/>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8</w:t>
            </w:r>
          </w:p>
        </w:tc>
        <w:tc>
          <w:tcPr>
            <w:tcW w:w="3180" w:type="dxa"/>
            <w:gridSpan w:val="2"/>
            <w:tcBorders>
              <w:top w:val="single" w:sz="24" w:space="0" w:color="auto"/>
              <w:left w:val="single" w:sz="8" w:space="0" w:color="auto"/>
              <w:bottom w:val="single" w:sz="8" w:space="0" w:color="auto"/>
              <w:right w:val="single" w:sz="8" w:space="0" w:color="auto"/>
            </w:tcBorders>
            <w:shd w:val="clear" w:color="auto" w:fill="auto"/>
            <w:noWrap/>
            <w:vAlign w:val="bottom"/>
            <w:hideMark/>
          </w:tcPr>
          <w:p w:rsidR="00DE05F7" w:rsidRPr="00DE05F7" w:rsidRDefault="00DE05F7" w:rsidP="00173DF8">
            <w:pPr>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Other Officers</w:t>
            </w:r>
          </w:p>
        </w:tc>
        <w:tc>
          <w:tcPr>
            <w:tcW w:w="820" w:type="dxa"/>
            <w:gridSpan w:val="2"/>
            <w:tcBorders>
              <w:top w:val="single" w:sz="24" w:space="0" w:color="auto"/>
              <w:left w:val="nil"/>
              <w:bottom w:val="single" w:sz="8" w:space="0" w:color="auto"/>
              <w:right w:val="single" w:sz="4" w:space="0" w:color="1F497D"/>
            </w:tcBorders>
            <w:shd w:val="clear" w:color="auto" w:fill="auto"/>
            <w:noWrap/>
            <w:vAlign w:val="bottom"/>
            <w:hideMark/>
          </w:tcPr>
          <w:p w:rsidR="00DE05F7" w:rsidRPr="00DE05F7" w:rsidRDefault="00DE05F7" w:rsidP="00173DF8">
            <w:pPr>
              <w:jc w:val="right"/>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 xml:space="preserve">$1,823 </w:t>
            </w:r>
          </w:p>
        </w:tc>
        <w:tc>
          <w:tcPr>
            <w:tcW w:w="711" w:type="dxa"/>
            <w:gridSpan w:val="2"/>
            <w:tcBorders>
              <w:top w:val="single" w:sz="24" w:space="0" w:color="auto"/>
              <w:left w:val="nil"/>
              <w:bottom w:val="single" w:sz="8" w:space="0" w:color="auto"/>
              <w:right w:val="single" w:sz="4" w:space="0" w:color="1F497D"/>
            </w:tcBorders>
            <w:shd w:val="clear" w:color="auto" w:fill="auto"/>
            <w:noWrap/>
            <w:vAlign w:val="bottom"/>
            <w:hideMark/>
          </w:tcPr>
          <w:p w:rsidR="00DE05F7" w:rsidRPr="00DE05F7" w:rsidRDefault="00DE05F7" w:rsidP="00173DF8">
            <w:pPr>
              <w:jc w:val="right"/>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 xml:space="preserve">$657 </w:t>
            </w:r>
          </w:p>
        </w:tc>
        <w:tc>
          <w:tcPr>
            <w:tcW w:w="760" w:type="dxa"/>
            <w:gridSpan w:val="2"/>
            <w:tcBorders>
              <w:top w:val="single" w:sz="24" w:space="0" w:color="auto"/>
              <w:left w:val="nil"/>
              <w:bottom w:val="single" w:sz="8" w:space="0" w:color="auto"/>
              <w:right w:val="single" w:sz="4" w:space="0" w:color="1F497D"/>
            </w:tcBorders>
            <w:shd w:val="clear" w:color="auto" w:fill="auto"/>
            <w:noWrap/>
            <w:vAlign w:val="bottom"/>
            <w:hideMark/>
          </w:tcPr>
          <w:p w:rsidR="00DE05F7" w:rsidRPr="00DE05F7" w:rsidRDefault="00DE05F7" w:rsidP="00173DF8">
            <w:pPr>
              <w:jc w:val="right"/>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 xml:space="preserve">$1,273 </w:t>
            </w:r>
          </w:p>
        </w:tc>
        <w:tc>
          <w:tcPr>
            <w:tcW w:w="1078" w:type="dxa"/>
            <w:gridSpan w:val="2"/>
            <w:tcBorders>
              <w:top w:val="single" w:sz="24" w:space="0" w:color="auto"/>
              <w:left w:val="single" w:sz="8" w:space="0" w:color="auto"/>
              <w:bottom w:val="single" w:sz="8" w:space="0" w:color="auto"/>
              <w:right w:val="single" w:sz="8" w:space="0" w:color="auto"/>
            </w:tcBorders>
            <w:shd w:val="clear" w:color="auto" w:fill="auto"/>
            <w:noWrap/>
            <w:vAlign w:val="bottom"/>
            <w:hideMark/>
          </w:tcPr>
          <w:p w:rsidR="00DE05F7" w:rsidRPr="00DE05F7" w:rsidRDefault="00DE05F7" w:rsidP="00173DF8">
            <w:pPr>
              <w:jc w:val="right"/>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 xml:space="preserve">$3,753 </w:t>
            </w:r>
          </w:p>
        </w:tc>
        <w:tc>
          <w:tcPr>
            <w:tcW w:w="983" w:type="dxa"/>
            <w:gridSpan w:val="2"/>
            <w:tcBorders>
              <w:top w:val="single" w:sz="24" w:space="0" w:color="auto"/>
              <w:left w:val="single" w:sz="8" w:space="0" w:color="auto"/>
            </w:tcBorders>
            <w:shd w:val="clear" w:color="auto" w:fill="auto"/>
            <w:noWrap/>
            <w:vAlign w:val="bottom"/>
            <w:hideMark/>
          </w:tcPr>
          <w:p w:rsidR="00DE05F7" w:rsidRPr="00173DF8" w:rsidRDefault="00DE05F7" w:rsidP="00173DF8">
            <w:pPr>
              <w:rPr>
                <w:rFonts w:ascii="Times New Roman" w:eastAsia="Times New Roman" w:hAnsi="Times New Roman" w:cs="Times New Roman"/>
                <w:b/>
                <w:bCs/>
                <w:color w:val="000000"/>
                <w:sz w:val="18"/>
                <w:szCs w:val="18"/>
              </w:rPr>
            </w:pPr>
          </w:p>
        </w:tc>
        <w:tc>
          <w:tcPr>
            <w:tcW w:w="792" w:type="dxa"/>
            <w:gridSpan w:val="2"/>
            <w:tcBorders>
              <w:top w:val="single" w:sz="24" w:space="0" w:color="auto"/>
            </w:tcBorders>
            <w:shd w:val="clear" w:color="auto" w:fill="auto"/>
            <w:noWrap/>
            <w:vAlign w:val="bottom"/>
            <w:hideMark/>
          </w:tcPr>
          <w:p w:rsidR="00DE05F7" w:rsidRPr="00173DF8" w:rsidRDefault="00DE05F7" w:rsidP="00173DF8">
            <w:pPr>
              <w:rPr>
                <w:rFonts w:ascii="Times New Roman" w:eastAsia="Times New Roman" w:hAnsi="Times New Roman" w:cs="Times New Roman"/>
                <w:b/>
                <w:bCs/>
                <w:color w:val="000000"/>
                <w:sz w:val="18"/>
                <w:szCs w:val="18"/>
              </w:rPr>
            </w:pPr>
          </w:p>
        </w:tc>
        <w:tc>
          <w:tcPr>
            <w:tcW w:w="1450" w:type="dxa"/>
            <w:gridSpan w:val="2"/>
            <w:tcBorders>
              <w:top w:val="single" w:sz="24" w:space="0" w:color="auto"/>
            </w:tcBorders>
            <w:shd w:val="clear" w:color="auto" w:fill="auto"/>
            <w:noWrap/>
            <w:vAlign w:val="bottom"/>
            <w:hideMark/>
          </w:tcPr>
          <w:p w:rsidR="00DE05F7" w:rsidRPr="00173DF8" w:rsidRDefault="00DE05F7" w:rsidP="00173DF8">
            <w:pPr>
              <w:jc w:val="right"/>
              <w:rPr>
                <w:rFonts w:ascii="Times New Roman" w:eastAsia="Times New Roman" w:hAnsi="Times New Roman" w:cs="Times New Roman"/>
                <w:b/>
                <w:bCs/>
                <w:color w:val="000000"/>
                <w:sz w:val="18"/>
                <w:szCs w:val="18"/>
              </w:rPr>
            </w:pPr>
          </w:p>
        </w:tc>
      </w:tr>
      <w:tr w:rsidR="00DE05F7" w:rsidRPr="00173DF8" w:rsidTr="002D2E63">
        <w:trPr>
          <w:trHeight w:val="429"/>
        </w:trPr>
        <w:tc>
          <w:tcPr>
            <w:tcW w:w="396" w:type="dxa"/>
            <w:tcBorders>
              <w:top w:val="single" w:sz="8" w:space="0" w:color="auto"/>
              <w:left w:val="single" w:sz="8" w:space="0" w:color="auto"/>
              <w:bottom w:val="single" w:sz="8" w:space="0" w:color="auto"/>
              <w:right w:val="single" w:sz="8" w:space="0" w:color="auto"/>
            </w:tcBorders>
            <w:shd w:val="clear" w:color="auto" w:fill="auto"/>
            <w:vAlign w:val="center"/>
          </w:tcPr>
          <w:p w:rsidR="00DE05F7" w:rsidRPr="00173DF8" w:rsidRDefault="00DE05F7" w:rsidP="00173DF8">
            <w:pPr>
              <w:jc w:val="center"/>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9</w:t>
            </w:r>
          </w:p>
        </w:tc>
        <w:tc>
          <w:tcPr>
            <w:tcW w:w="31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05F7" w:rsidRPr="00DE05F7" w:rsidRDefault="00DE05F7" w:rsidP="00DE05F7">
            <w:pPr>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Total 2011 Officer</w:t>
            </w:r>
            <w:r>
              <w:rPr>
                <w:rFonts w:ascii="Times New Roman" w:eastAsia="Times New Roman" w:hAnsi="Times New Roman" w:cs="Times New Roman"/>
                <w:b/>
                <w:bCs/>
                <w:color w:val="000000"/>
                <w:sz w:val="18"/>
                <w:szCs w:val="18"/>
              </w:rPr>
              <w:t xml:space="preserve"> Salary &amp; Incentives</w:t>
            </w:r>
          </w:p>
        </w:tc>
        <w:tc>
          <w:tcPr>
            <w:tcW w:w="820" w:type="dxa"/>
            <w:gridSpan w:val="2"/>
            <w:tcBorders>
              <w:top w:val="single" w:sz="8" w:space="0" w:color="auto"/>
              <w:left w:val="nil"/>
              <w:bottom w:val="single" w:sz="8" w:space="0" w:color="auto"/>
              <w:right w:val="single" w:sz="4" w:space="0" w:color="1F497D"/>
            </w:tcBorders>
            <w:shd w:val="clear" w:color="auto" w:fill="auto"/>
            <w:noWrap/>
            <w:vAlign w:val="bottom"/>
            <w:hideMark/>
          </w:tcPr>
          <w:p w:rsidR="00DE05F7" w:rsidRPr="00DE05F7" w:rsidRDefault="00DE05F7" w:rsidP="00173DF8">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 xml:space="preserve">$3,673 </w:t>
            </w:r>
          </w:p>
        </w:tc>
        <w:tc>
          <w:tcPr>
            <w:tcW w:w="711" w:type="dxa"/>
            <w:gridSpan w:val="2"/>
            <w:tcBorders>
              <w:top w:val="single" w:sz="8" w:space="0" w:color="auto"/>
              <w:left w:val="nil"/>
              <w:bottom w:val="single" w:sz="8" w:space="0" w:color="auto"/>
              <w:right w:val="single" w:sz="4" w:space="0" w:color="1F497D"/>
            </w:tcBorders>
            <w:shd w:val="clear" w:color="auto" w:fill="auto"/>
            <w:noWrap/>
            <w:vAlign w:val="bottom"/>
            <w:hideMark/>
          </w:tcPr>
          <w:p w:rsidR="00DE05F7" w:rsidRPr="00DE05F7" w:rsidRDefault="00DE05F7" w:rsidP="00173DF8">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$1,83</w:t>
            </w:r>
            <w:r w:rsidR="000A4C6C">
              <w:rPr>
                <w:rFonts w:ascii="Times New Roman" w:eastAsia="Times New Roman" w:hAnsi="Times New Roman" w:cs="Times New Roman"/>
                <w:b/>
                <w:bCs/>
                <w:color w:val="000000"/>
                <w:sz w:val="18"/>
                <w:szCs w:val="18"/>
              </w:rPr>
              <w:t>6</w:t>
            </w:r>
          </w:p>
        </w:tc>
        <w:tc>
          <w:tcPr>
            <w:tcW w:w="760" w:type="dxa"/>
            <w:gridSpan w:val="2"/>
            <w:tcBorders>
              <w:top w:val="single" w:sz="8" w:space="0" w:color="auto"/>
              <w:left w:val="nil"/>
              <w:bottom w:val="single" w:sz="8" w:space="0" w:color="auto"/>
              <w:right w:val="single" w:sz="4" w:space="0" w:color="1F497D"/>
            </w:tcBorders>
            <w:shd w:val="clear" w:color="auto" w:fill="auto"/>
            <w:noWrap/>
            <w:vAlign w:val="bottom"/>
            <w:hideMark/>
          </w:tcPr>
          <w:p w:rsidR="00DE05F7" w:rsidRPr="00DE05F7" w:rsidRDefault="00DE05F7" w:rsidP="000A4C6C">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$3,99</w:t>
            </w:r>
            <w:r w:rsidR="000A4C6C">
              <w:rPr>
                <w:rFonts w:ascii="Times New Roman" w:eastAsia="Times New Roman" w:hAnsi="Times New Roman" w:cs="Times New Roman"/>
                <w:b/>
                <w:bCs/>
                <w:color w:val="000000"/>
                <w:sz w:val="18"/>
                <w:szCs w:val="18"/>
              </w:rPr>
              <w:t>5</w:t>
            </w:r>
            <w:r w:rsidRPr="00DE05F7">
              <w:rPr>
                <w:rFonts w:ascii="Times New Roman" w:eastAsia="Times New Roman" w:hAnsi="Times New Roman" w:cs="Times New Roman"/>
                <w:b/>
                <w:bCs/>
                <w:color w:val="000000"/>
                <w:sz w:val="18"/>
                <w:szCs w:val="18"/>
              </w:rPr>
              <w:t xml:space="preserve"> </w:t>
            </w:r>
          </w:p>
        </w:tc>
        <w:tc>
          <w:tcPr>
            <w:tcW w:w="107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05F7" w:rsidRPr="00DE05F7" w:rsidRDefault="00DE05F7" w:rsidP="000A4C6C">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$9,50</w:t>
            </w:r>
            <w:r w:rsidR="000A4C6C">
              <w:rPr>
                <w:rFonts w:ascii="Times New Roman" w:eastAsia="Times New Roman" w:hAnsi="Times New Roman" w:cs="Times New Roman"/>
                <w:b/>
                <w:bCs/>
                <w:color w:val="000000"/>
                <w:sz w:val="18"/>
                <w:szCs w:val="18"/>
              </w:rPr>
              <w:t>4</w:t>
            </w:r>
            <w:r w:rsidRPr="00DE05F7">
              <w:rPr>
                <w:rFonts w:ascii="Times New Roman" w:eastAsia="Times New Roman" w:hAnsi="Times New Roman" w:cs="Times New Roman"/>
                <w:b/>
                <w:bCs/>
                <w:color w:val="000000"/>
                <w:sz w:val="18"/>
                <w:szCs w:val="18"/>
              </w:rPr>
              <w:t xml:space="preserve"> </w:t>
            </w:r>
          </w:p>
        </w:tc>
        <w:tc>
          <w:tcPr>
            <w:tcW w:w="983" w:type="dxa"/>
            <w:gridSpan w:val="2"/>
            <w:tcBorders>
              <w:left w:val="single" w:sz="8" w:space="0" w:color="auto"/>
            </w:tcBorders>
            <w:shd w:val="clear" w:color="auto" w:fill="auto"/>
            <w:noWrap/>
            <w:vAlign w:val="bottom"/>
            <w:hideMark/>
          </w:tcPr>
          <w:p w:rsidR="00DE05F7" w:rsidRPr="00173DF8" w:rsidRDefault="00DE05F7" w:rsidP="00173DF8">
            <w:pPr>
              <w:rPr>
                <w:rFonts w:ascii="Times New Roman" w:eastAsia="Times New Roman" w:hAnsi="Times New Roman" w:cs="Times New Roman"/>
                <w:b/>
                <w:bCs/>
                <w:color w:val="000000"/>
                <w:sz w:val="18"/>
                <w:szCs w:val="18"/>
              </w:rPr>
            </w:pPr>
          </w:p>
        </w:tc>
        <w:tc>
          <w:tcPr>
            <w:tcW w:w="792" w:type="dxa"/>
            <w:gridSpan w:val="2"/>
            <w:shd w:val="clear" w:color="auto" w:fill="auto"/>
            <w:noWrap/>
            <w:vAlign w:val="bottom"/>
            <w:hideMark/>
          </w:tcPr>
          <w:p w:rsidR="00DE05F7" w:rsidRPr="00173DF8" w:rsidRDefault="00DE05F7" w:rsidP="00173DF8">
            <w:pPr>
              <w:rPr>
                <w:rFonts w:ascii="Times New Roman" w:eastAsia="Times New Roman" w:hAnsi="Times New Roman" w:cs="Times New Roman"/>
                <w:b/>
                <w:bCs/>
                <w:color w:val="000000"/>
                <w:sz w:val="18"/>
                <w:szCs w:val="18"/>
              </w:rPr>
            </w:pPr>
          </w:p>
        </w:tc>
        <w:tc>
          <w:tcPr>
            <w:tcW w:w="1450" w:type="dxa"/>
            <w:gridSpan w:val="2"/>
            <w:shd w:val="clear" w:color="auto" w:fill="auto"/>
            <w:noWrap/>
            <w:vAlign w:val="bottom"/>
            <w:hideMark/>
          </w:tcPr>
          <w:p w:rsidR="00DE05F7" w:rsidRPr="00173DF8" w:rsidRDefault="00DE05F7" w:rsidP="00173DF8">
            <w:pPr>
              <w:jc w:val="right"/>
              <w:rPr>
                <w:rFonts w:ascii="Times New Roman" w:eastAsia="Times New Roman" w:hAnsi="Times New Roman" w:cs="Times New Roman"/>
                <w:b/>
                <w:bCs/>
                <w:color w:val="000000"/>
                <w:sz w:val="18"/>
                <w:szCs w:val="18"/>
              </w:rPr>
            </w:pPr>
          </w:p>
        </w:tc>
      </w:tr>
      <w:tr w:rsidR="00DE05F7" w:rsidRPr="00173DF8" w:rsidTr="002D2E63">
        <w:trPr>
          <w:trHeight w:val="429"/>
        </w:trPr>
        <w:tc>
          <w:tcPr>
            <w:tcW w:w="396" w:type="dxa"/>
            <w:tcBorders>
              <w:top w:val="single" w:sz="8" w:space="0" w:color="auto"/>
              <w:left w:val="single" w:sz="8" w:space="0" w:color="auto"/>
              <w:bottom w:val="single" w:sz="18" w:space="0" w:color="auto"/>
              <w:right w:val="single" w:sz="8" w:space="0" w:color="auto"/>
            </w:tcBorders>
            <w:shd w:val="clear" w:color="auto" w:fill="auto"/>
            <w:vAlign w:val="center"/>
          </w:tcPr>
          <w:p w:rsidR="00DE05F7" w:rsidRPr="00173DF8" w:rsidRDefault="00DE05F7" w:rsidP="00173DF8">
            <w:pPr>
              <w:jc w:val="center"/>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10</w:t>
            </w:r>
          </w:p>
        </w:tc>
        <w:tc>
          <w:tcPr>
            <w:tcW w:w="3180" w:type="dxa"/>
            <w:gridSpan w:val="2"/>
            <w:tcBorders>
              <w:top w:val="single" w:sz="8" w:space="0" w:color="auto"/>
              <w:left w:val="single" w:sz="8" w:space="0" w:color="auto"/>
              <w:bottom w:val="single" w:sz="18" w:space="0" w:color="auto"/>
              <w:right w:val="single" w:sz="8" w:space="0" w:color="auto"/>
            </w:tcBorders>
            <w:shd w:val="clear" w:color="auto" w:fill="auto"/>
            <w:noWrap/>
            <w:vAlign w:val="bottom"/>
            <w:hideMark/>
          </w:tcPr>
          <w:p w:rsidR="00DE05F7" w:rsidRPr="00DE05F7" w:rsidRDefault="006D19C0" w:rsidP="00173DF8">
            <w:pP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Salary and Incentives in</w:t>
            </w:r>
            <w:r w:rsidR="00DE05F7" w:rsidRPr="00DE05F7">
              <w:rPr>
                <w:rFonts w:ascii="Times New Roman" w:eastAsia="Times New Roman" w:hAnsi="Times New Roman" w:cs="Times New Roman"/>
                <w:b/>
                <w:bCs/>
                <w:color w:val="000000"/>
                <w:sz w:val="18"/>
                <w:szCs w:val="18"/>
              </w:rPr>
              <w:t xml:space="preserve"> Rates (System)  1/1/2012</w:t>
            </w:r>
          </w:p>
        </w:tc>
        <w:tc>
          <w:tcPr>
            <w:tcW w:w="820" w:type="dxa"/>
            <w:gridSpan w:val="2"/>
            <w:tcBorders>
              <w:top w:val="single" w:sz="8" w:space="0" w:color="auto"/>
              <w:left w:val="nil"/>
              <w:bottom w:val="single" w:sz="18" w:space="0" w:color="auto"/>
              <w:right w:val="nil"/>
            </w:tcBorders>
            <w:shd w:val="clear" w:color="auto" w:fill="auto"/>
            <w:noWrap/>
            <w:vAlign w:val="bottom"/>
            <w:hideMark/>
          </w:tcPr>
          <w:p w:rsidR="00DE05F7" w:rsidRPr="00DE05F7" w:rsidRDefault="00AE7B83" w:rsidP="00173DF8">
            <w:pPr>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$3,357</w:t>
            </w:r>
            <w:r w:rsidR="00DE05F7" w:rsidRPr="00DE05F7">
              <w:rPr>
                <w:rFonts w:ascii="Times New Roman" w:eastAsia="Times New Roman" w:hAnsi="Times New Roman" w:cs="Times New Roman"/>
                <w:b/>
                <w:bCs/>
                <w:color w:val="000000"/>
                <w:sz w:val="18"/>
                <w:szCs w:val="18"/>
              </w:rPr>
              <w:t xml:space="preserve"> </w:t>
            </w:r>
          </w:p>
        </w:tc>
        <w:tc>
          <w:tcPr>
            <w:tcW w:w="711" w:type="dxa"/>
            <w:gridSpan w:val="2"/>
            <w:tcBorders>
              <w:top w:val="single" w:sz="8" w:space="0" w:color="auto"/>
              <w:left w:val="single" w:sz="4" w:space="0" w:color="auto"/>
              <w:bottom w:val="single" w:sz="18" w:space="0" w:color="auto"/>
              <w:right w:val="single" w:sz="4" w:space="0" w:color="auto"/>
            </w:tcBorders>
            <w:shd w:val="clear" w:color="auto" w:fill="auto"/>
            <w:noWrap/>
            <w:vAlign w:val="bottom"/>
            <w:hideMark/>
          </w:tcPr>
          <w:p w:rsidR="00DE05F7" w:rsidRPr="00DE05F7" w:rsidRDefault="00DE05F7" w:rsidP="00CE2D41">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$5</w:t>
            </w:r>
            <w:r w:rsidR="00CE2D41">
              <w:rPr>
                <w:rFonts w:ascii="Times New Roman" w:eastAsia="Times New Roman" w:hAnsi="Times New Roman" w:cs="Times New Roman"/>
                <w:b/>
                <w:bCs/>
                <w:color w:val="000000"/>
                <w:sz w:val="18"/>
                <w:szCs w:val="18"/>
              </w:rPr>
              <w:t>88</w:t>
            </w:r>
            <w:r w:rsidRPr="00DE05F7">
              <w:rPr>
                <w:rFonts w:ascii="Times New Roman" w:eastAsia="Times New Roman" w:hAnsi="Times New Roman" w:cs="Times New Roman"/>
                <w:b/>
                <w:bCs/>
                <w:color w:val="000000"/>
                <w:sz w:val="18"/>
                <w:szCs w:val="18"/>
              </w:rPr>
              <w:t xml:space="preserve"> </w:t>
            </w:r>
          </w:p>
        </w:tc>
        <w:tc>
          <w:tcPr>
            <w:tcW w:w="760" w:type="dxa"/>
            <w:gridSpan w:val="2"/>
            <w:tcBorders>
              <w:top w:val="single" w:sz="8" w:space="0" w:color="auto"/>
              <w:left w:val="nil"/>
              <w:bottom w:val="single" w:sz="18" w:space="0" w:color="auto"/>
              <w:right w:val="single" w:sz="8" w:space="0" w:color="auto"/>
            </w:tcBorders>
            <w:shd w:val="clear" w:color="auto" w:fill="auto"/>
            <w:noWrap/>
            <w:vAlign w:val="bottom"/>
            <w:hideMark/>
          </w:tcPr>
          <w:p w:rsidR="00DE05F7" w:rsidRPr="00DE05F7" w:rsidRDefault="00DE05F7" w:rsidP="00173DF8">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 xml:space="preserve">$0 </w:t>
            </w:r>
          </w:p>
        </w:tc>
        <w:tc>
          <w:tcPr>
            <w:tcW w:w="1078" w:type="dxa"/>
            <w:gridSpan w:val="2"/>
            <w:tcBorders>
              <w:top w:val="single" w:sz="8" w:space="0" w:color="auto"/>
              <w:left w:val="nil"/>
              <w:bottom w:val="single" w:sz="18" w:space="0" w:color="auto"/>
              <w:right w:val="single" w:sz="8" w:space="0" w:color="auto"/>
            </w:tcBorders>
            <w:shd w:val="clear" w:color="auto" w:fill="auto"/>
            <w:noWrap/>
            <w:vAlign w:val="bottom"/>
            <w:hideMark/>
          </w:tcPr>
          <w:p w:rsidR="00DE05F7" w:rsidRPr="00DE05F7" w:rsidRDefault="00DE05F7" w:rsidP="00AE7B83">
            <w:pPr>
              <w:jc w:val="right"/>
              <w:rPr>
                <w:rFonts w:ascii="Times New Roman" w:eastAsia="Times New Roman" w:hAnsi="Times New Roman" w:cs="Times New Roman"/>
                <w:b/>
                <w:bCs/>
                <w:color w:val="000000"/>
                <w:sz w:val="18"/>
                <w:szCs w:val="18"/>
              </w:rPr>
            </w:pPr>
            <w:r w:rsidRPr="00DE05F7">
              <w:rPr>
                <w:rFonts w:ascii="Times New Roman" w:eastAsia="Times New Roman" w:hAnsi="Times New Roman" w:cs="Times New Roman"/>
                <w:b/>
                <w:bCs/>
                <w:color w:val="000000"/>
                <w:sz w:val="18"/>
                <w:szCs w:val="18"/>
              </w:rPr>
              <w:t>$3,9</w:t>
            </w:r>
            <w:r w:rsidR="00AE7B83">
              <w:rPr>
                <w:rFonts w:ascii="Times New Roman" w:eastAsia="Times New Roman" w:hAnsi="Times New Roman" w:cs="Times New Roman"/>
                <w:b/>
                <w:bCs/>
                <w:color w:val="000000"/>
                <w:sz w:val="18"/>
                <w:szCs w:val="18"/>
              </w:rPr>
              <w:t>45</w:t>
            </w:r>
          </w:p>
        </w:tc>
        <w:tc>
          <w:tcPr>
            <w:tcW w:w="983" w:type="dxa"/>
            <w:gridSpan w:val="2"/>
            <w:tcBorders>
              <w:left w:val="single" w:sz="8" w:space="0" w:color="auto"/>
            </w:tcBorders>
            <w:shd w:val="clear" w:color="auto" w:fill="auto"/>
            <w:noWrap/>
            <w:vAlign w:val="bottom"/>
            <w:hideMark/>
          </w:tcPr>
          <w:p w:rsidR="00DE05F7" w:rsidRPr="00173DF8" w:rsidRDefault="00DE05F7" w:rsidP="00173DF8">
            <w:pPr>
              <w:jc w:val="right"/>
              <w:rPr>
                <w:rFonts w:ascii="Times New Roman" w:eastAsia="Times New Roman" w:hAnsi="Times New Roman" w:cs="Times New Roman"/>
                <w:b/>
                <w:bCs/>
                <w:color w:val="000000"/>
                <w:sz w:val="18"/>
                <w:szCs w:val="18"/>
              </w:rPr>
            </w:pPr>
          </w:p>
        </w:tc>
        <w:tc>
          <w:tcPr>
            <w:tcW w:w="792" w:type="dxa"/>
            <w:gridSpan w:val="2"/>
            <w:shd w:val="clear" w:color="auto" w:fill="auto"/>
            <w:noWrap/>
            <w:vAlign w:val="bottom"/>
            <w:hideMark/>
          </w:tcPr>
          <w:p w:rsidR="00DE05F7" w:rsidRPr="00173DF8" w:rsidRDefault="00DE05F7" w:rsidP="00173DF8">
            <w:pPr>
              <w:jc w:val="right"/>
              <w:rPr>
                <w:rFonts w:ascii="Times New Roman" w:eastAsia="Times New Roman" w:hAnsi="Times New Roman" w:cs="Times New Roman"/>
                <w:b/>
                <w:bCs/>
                <w:color w:val="000000"/>
                <w:sz w:val="18"/>
                <w:szCs w:val="18"/>
              </w:rPr>
            </w:pPr>
          </w:p>
        </w:tc>
        <w:tc>
          <w:tcPr>
            <w:tcW w:w="1450" w:type="dxa"/>
            <w:gridSpan w:val="2"/>
            <w:shd w:val="clear" w:color="auto" w:fill="auto"/>
            <w:noWrap/>
            <w:vAlign w:val="bottom"/>
            <w:hideMark/>
          </w:tcPr>
          <w:p w:rsidR="00DE05F7" w:rsidRPr="00173DF8" w:rsidRDefault="00DE05F7" w:rsidP="00173DF8">
            <w:pPr>
              <w:jc w:val="right"/>
              <w:rPr>
                <w:rFonts w:ascii="Times New Roman" w:eastAsia="Times New Roman" w:hAnsi="Times New Roman" w:cs="Times New Roman"/>
                <w:b/>
                <w:bCs/>
                <w:color w:val="000000"/>
                <w:sz w:val="18"/>
                <w:szCs w:val="18"/>
              </w:rPr>
            </w:pPr>
          </w:p>
        </w:tc>
      </w:tr>
      <w:tr w:rsidR="00DE05F7" w:rsidRPr="00173DF8" w:rsidTr="002D2E63">
        <w:trPr>
          <w:trHeight w:val="429"/>
        </w:trPr>
        <w:tc>
          <w:tcPr>
            <w:tcW w:w="396" w:type="dxa"/>
            <w:tcBorders>
              <w:top w:val="single" w:sz="18" w:space="0" w:color="auto"/>
              <w:left w:val="single" w:sz="8" w:space="0" w:color="auto"/>
              <w:bottom w:val="single" w:sz="8" w:space="0" w:color="auto"/>
              <w:right w:val="single" w:sz="8" w:space="0" w:color="auto"/>
            </w:tcBorders>
            <w:shd w:val="clear" w:color="auto" w:fill="auto"/>
            <w:vAlign w:val="center"/>
          </w:tcPr>
          <w:p w:rsidR="00DE05F7" w:rsidRPr="00173DF8" w:rsidRDefault="00DE05F7" w:rsidP="00173DF8">
            <w:pPr>
              <w:jc w:val="center"/>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11</w:t>
            </w:r>
          </w:p>
        </w:tc>
        <w:tc>
          <w:tcPr>
            <w:tcW w:w="3180" w:type="dxa"/>
            <w:gridSpan w:val="2"/>
            <w:tcBorders>
              <w:top w:val="single" w:sz="18" w:space="0" w:color="auto"/>
              <w:left w:val="single" w:sz="8" w:space="0" w:color="auto"/>
              <w:bottom w:val="single" w:sz="8" w:space="0" w:color="auto"/>
              <w:right w:val="single" w:sz="8" w:space="0" w:color="auto"/>
            </w:tcBorders>
            <w:shd w:val="clear" w:color="auto" w:fill="auto"/>
            <w:noWrap/>
            <w:vAlign w:val="bottom"/>
            <w:hideMark/>
          </w:tcPr>
          <w:p w:rsidR="00DE05F7" w:rsidRPr="00DE05F7" w:rsidRDefault="00DE05F7" w:rsidP="00173DF8">
            <w:pPr>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WA Electric Portion</w:t>
            </w:r>
          </w:p>
        </w:tc>
        <w:tc>
          <w:tcPr>
            <w:tcW w:w="820" w:type="dxa"/>
            <w:gridSpan w:val="2"/>
            <w:tcBorders>
              <w:top w:val="single" w:sz="18" w:space="0" w:color="auto"/>
              <w:left w:val="nil"/>
              <w:bottom w:val="single" w:sz="8" w:space="0" w:color="auto"/>
              <w:right w:val="nil"/>
            </w:tcBorders>
            <w:shd w:val="clear" w:color="auto" w:fill="auto"/>
            <w:noWrap/>
            <w:vAlign w:val="bottom"/>
            <w:hideMark/>
          </w:tcPr>
          <w:p w:rsidR="00DE05F7" w:rsidRPr="00DE05F7" w:rsidRDefault="00DE05F7" w:rsidP="00C62542">
            <w:pPr>
              <w:jc w:val="right"/>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$1,6</w:t>
            </w:r>
            <w:r w:rsidR="00C62542">
              <w:rPr>
                <w:rFonts w:ascii="Times New Roman" w:eastAsia="Times New Roman" w:hAnsi="Times New Roman" w:cs="Times New Roman"/>
                <w:bCs/>
                <w:color w:val="000000"/>
                <w:sz w:val="18"/>
                <w:szCs w:val="18"/>
              </w:rPr>
              <w:t>0</w:t>
            </w:r>
            <w:r w:rsidRPr="00DE05F7">
              <w:rPr>
                <w:rFonts w:ascii="Times New Roman" w:eastAsia="Times New Roman" w:hAnsi="Times New Roman" w:cs="Times New Roman"/>
                <w:bCs/>
                <w:color w:val="000000"/>
                <w:sz w:val="18"/>
                <w:szCs w:val="18"/>
              </w:rPr>
              <w:t xml:space="preserve">1 </w:t>
            </w:r>
          </w:p>
        </w:tc>
        <w:tc>
          <w:tcPr>
            <w:tcW w:w="711" w:type="dxa"/>
            <w:gridSpan w:val="2"/>
            <w:tcBorders>
              <w:top w:val="single" w:sz="18" w:space="0" w:color="auto"/>
              <w:left w:val="single" w:sz="4" w:space="0" w:color="auto"/>
              <w:bottom w:val="single" w:sz="8" w:space="0" w:color="auto"/>
              <w:right w:val="single" w:sz="4" w:space="0" w:color="auto"/>
            </w:tcBorders>
            <w:shd w:val="clear" w:color="auto" w:fill="auto"/>
            <w:noWrap/>
            <w:vAlign w:val="bottom"/>
            <w:hideMark/>
          </w:tcPr>
          <w:p w:rsidR="00DE05F7" w:rsidRPr="00DE05F7" w:rsidRDefault="00DE05F7" w:rsidP="000A4C6C">
            <w:pPr>
              <w:jc w:val="right"/>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$27</w:t>
            </w:r>
            <w:r w:rsidR="000A4C6C">
              <w:rPr>
                <w:rFonts w:ascii="Times New Roman" w:eastAsia="Times New Roman" w:hAnsi="Times New Roman" w:cs="Times New Roman"/>
                <w:bCs/>
                <w:color w:val="000000"/>
                <w:sz w:val="18"/>
                <w:szCs w:val="18"/>
              </w:rPr>
              <w:t>6</w:t>
            </w:r>
            <w:r w:rsidRPr="00DE05F7">
              <w:rPr>
                <w:rFonts w:ascii="Times New Roman" w:eastAsia="Times New Roman" w:hAnsi="Times New Roman" w:cs="Times New Roman"/>
                <w:bCs/>
                <w:color w:val="000000"/>
                <w:sz w:val="18"/>
                <w:szCs w:val="18"/>
              </w:rPr>
              <w:t xml:space="preserve"> </w:t>
            </w:r>
          </w:p>
        </w:tc>
        <w:tc>
          <w:tcPr>
            <w:tcW w:w="760" w:type="dxa"/>
            <w:gridSpan w:val="2"/>
            <w:tcBorders>
              <w:top w:val="single" w:sz="18" w:space="0" w:color="auto"/>
              <w:left w:val="nil"/>
              <w:bottom w:val="single" w:sz="8" w:space="0" w:color="auto"/>
              <w:right w:val="single" w:sz="8" w:space="0" w:color="auto"/>
            </w:tcBorders>
            <w:shd w:val="clear" w:color="auto" w:fill="auto"/>
            <w:noWrap/>
            <w:vAlign w:val="bottom"/>
            <w:hideMark/>
          </w:tcPr>
          <w:p w:rsidR="00DE05F7" w:rsidRPr="00DE05F7" w:rsidRDefault="00DE05F7" w:rsidP="00173DF8">
            <w:pPr>
              <w:jc w:val="right"/>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 xml:space="preserve">$0 </w:t>
            </w:r>
          </w:p>
        </w:tc>
        <w:tc>
          <w:tcPr>
            <w:tcW w:w="1078" w:type="dxa"/>
            <w:gridSpan w:val="2"/>
            <w:tcBorders>
              <w:top w:val="single" w:sz="18" w:space="0" w:color="auto"/>
              <w:left w:val="nil"/>
              <w:bottom w:val="single" w:sz="8" w:space="0" w:color="auto"/>
              <w:right w:val="single" w:sz="8" w:space="0" w:color="auto"/>
            </w:tcBorders>
            <w:shd w:val="clear" w:color="auto" w:fill="auto"/>
            <w:noWrap/>
            <w:vAlign w:val="bottom"/>
            <w:hideMark/>
          </w:tcPr>
          <w:p w:rsidR="00DE05F7" w:rsidRPr="00DE05F7" w:rsidRDefault="00DE05F7" w:rsidP="00B91636">
            <w:pPr>
              <w:jc w:val="right"/>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$1,8</w:t>
            </w:r>
            <w:r w:rsidR="00B91636">
              <w:rPr>
                <w:rFonts w:ascii="Times New Roman" w:eastAsia="Times New Roman" w:hAnsi="Times New Roman" w:cs="Times New Roman"/>
                <w:bCs/>
                <w:color w:val="000000"/>
                <w:sz w:val="18"/>
                <w:szCs w:val="18"/>
              </w:rPr>
              <w:t>77</w:t>
            </w:r>
            <w:r w:rsidRPr="00DE05F7">
              <w:rPr>
                <w:rFonts w:ascii="Times New Roman" w:eastAsia="Times New Roman" w:hAnsi="Times New Roman" w:cs="Times New Roman"/>
                <w:bCs/>
                <w:color w:val="000000"/>
                <w:sz w:val="18"/>
                <w:szCs w:val="18"/>
              </w:rPr>
              <w:t xml:space="preserve"> </w:t>
            </w:r>
          </w:p>
        </w:tc>
        <w:tc>
          <w:tcPr>
            <w:tcW w:w="983" w:type="dxa"/>
            <w:gridSpan w:val="2"/>
            <w:tcBorders>
              <w:top w:val="nil"/>
              <w:left w:val="single" w:sz="8" w:space="0" w:color="auto"/>
            </w:tcBorders>
            <w:shd w:val="clear" w:color="auto" w:fill="auto"/>
            <w:noWrap/>
            <w:vAlign w:val="bottom"/>
            <w:hideMark/>
          </w:tcPr>
          <w:p w:rsidR="00DE05F7" w:rsidRPr="00173DF8" w:rsidRDefault="00DE05F7" w:rsidP="00173DF8">
            <w:pPr>
              <w:jc w:val="right"/>
              <w:rPr>
                <w:rFonts w:ascii="Times New Roman" w:eastAsia="Times New Roman" w:hAnsi="Times New Roman" w:cs="Times New Roman"/>
                <w:b/>
                <w:bCs/>
                <w:color w:val="000000"/>
                <w:sz w:val="18"/>
                <w:szCs w:val="18"/>
              </w:rPr>
            </w:pPr>
          </w:p>
        </w:tc>
        <w:tc>
          <w:tcPr>
            <w:tcW w:w="792" w:type="dxa"/>
            <w:gridSpan w:val="2"/>
            <w:tcBorders>
              <w:top w:val="nil"/>
            </w:tcBorders>
            <w:shd w:val="clear" w:color="auto" w:fill="auto"/>
            <w:noWrap/>
            <w:vAlign w:val="bottom"/>
            <w:hideMark/>
          </w:tcPr>
          <w:p w:rsidR="00DE05F7" w:rsidRPr="00173DF8" w:rsidRDefault="00DE05F7" w:rsidP="00173DF8">
            <w:pPr>
              <w:jc w:val="right"/>
              <w:rPr>
                <w:rFonts w:ascii="Times New Roman" w:eastAsia="Times New Roman" w:hAnsi="Times New Roman" w:cs="Times New Roman"/>
                <w:b/>
                <w:bCs/>
                <w:color w:val="000000"/>
                <w:sz w:val="18"/>
                <w:szCs w:val="18"/>
              </w:rPr>
            </w:pPr>
          </w:p>
        </w:tc>
        <w:tc>
          <w:tcPr>
            <w:tcW w:w="1450" w:type="dxa"/>
            <w:gridSpan w:val="2"/>
            <w:tcBorders>
              <w:top w:val="nil"/>
            </w:tcBorders>
            <w:shd w:val="clear" w:color="auto" w:fill="auto"/>
            <w:noWrap/>
            <w:vAlign w:val="bottom"/>
            <w:hideMark/>
          </w:tcPr>
          <w:p w:rsidR="00DE05F7" w:rsidRPr="00173DF8" w:rsidRDefault="00DE05F7" w:rsidP="00173DF8">
            <w:pPr>
              <w:jc w:val="right"/>
              <w:rPr>
                <w:rFonts w:ascii="Times New Roman" w:eastAsia="Times New Roman" w:hAnsi="Times New Roman" w:cs="Times New Roman"/>
                <w:b/>
                <w:bCs/>
                <w:color w:val="000000"/>
                <w:sz w:val="18"/>
                <w:szCs w:val="18"/>
              </w:rPr>
            </w:pPr>
          </w:p>
        </w:tc>
      </w:tr>
      <w:tr w:rsidR="00DE05F7" w:rsidRPr="00173DF8" w:rsidTr="002D2E63">
        <w:trPr>
          <w:trHeight w:val="429"/>
        </w:trPr>
        <w:tc>
          <w:tcPr>
            <w:tcW w:w="396" w:type="dxa"/>
            <w:tcBorders>
              <w:top w:val="nil"/>
              <w:left w:val="single" w:sz="8" w:space="0" w:color="auto"/>
              <w:bottom w:val="single" w:sz="8" w:space="0" w:color="auto"/>
              <w:right w:val="single" w:sz="8" w:space="0" w:color="auto"/>
            </w:tcBorders>
            <w:shd w:val="clear" w:color="auto" w:fill="auto"/>
            <w:vAlign w:val="center"/>
          </w:tcPr>
          <w:p w:rsidR="00DE05F7" w:rsidRPr="00173DF8" w:rsidRDefault="00DE05F7" w:rsidP="00173DF8">
            <w:pPr>
              <w:jc w:val="center"/>
              <w:rPr>
                <w:rFonts w:ascii="Times New Roman" w:eastAsia="Times New Roman" w:hAnsi="Times New Roman" w:cs="Times New Roman"/>
                <w:b/>
                <w:bCs/>
                <w:color w:val="000000"/>
                <w:sz w:val="18"/>
                <w:szCs w:val="18"/>
              </w:rPr>
            </w:pPr>
            <w:r w:rsidRPr="00173DF8">
              <w:rPr>
                <w:rFonts w:ascii="Times New Roman" w:eastAsia="Times New Roman" w:hAnsi="Times New Roman" w:cs="Times New Roman"/>
                <w:b/>
                <w:bCs/>
                <w:color w:val="000000"/>
                <w:sz w:val="18"/>
                <w:szCs w:val="18"/>
              </w:rPr>
              <w:t>12</w:t>
            </w:r>
          </w:p>
        </w:tc>
        <w:tc>
          <w:tcPr>
            <w:tcW w:w="3180" w:type="dxa"/>
            <w:gridSpan w:val="2"/>
            <w:tcBorders>
              <w:top w:val="nil"/>
              <w:left w:val="single" w:sz="8" w:space="0" w:color="auto"/>
              <w:bottom w:val="single" w:sz="8" w:space="0" w:color="auto"/>
              <w:right w:val="single" w:sz="8" w:space="0" w:color="auto"/>
            </w:tcBorders>
            <w:shd w:val="clear" w:color="auto" w:fill="auto"/>
            <w:noWrap/>
            <w:vAlign w:val="bottom"/>
            <w:hideMark/>
          </w:tcPr>
          <w:p w:rsidR="00DE05F7" w:rsidRPr="00DE05F7" w:rsidRDefault="00DE05F7" w:rsidP="00173DF8">
            <w:pPr>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WA Gas Portion</w:t>
            </w:r>
          </w:p>
        </w:tc>
        <w:tc>
          <w:tcPr>
            <w:tcW w:w="820" w:type="dxa"/>
            <w:gridSpan w:val="2"/>
            <w:tcBorders>
              <w:top w:val="nil"/>
              <w:left w:val="nil"/>
              <w:bottom w:val="single" w:sz="8" w:space="0" w:color="auto"/>
              <w:right w:val="nil"/>
            </w:tcBorders>
            <w:shd w:val="clear" w:color="auto" w:fill="auto"/>
            <w:noWrap/>
            <w:vAlign w:val="bottom"/>
            <w:hideMark/>
          </w:tcPr>
          <w:p w:rsidR="00DE05F7" w:rsidRPr="00DE05F7" w:rsidRDefault="00DE05F7" w:rsidP="00173DF8">
            <w:pPr>
              <w:jc w:val="right"/>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 xml:space="preserve">$452 </w:t>
            </w:r>
          </w:p>
        </w:tc>
        <w:tc>
          <w:tcPr>
            <w:tcW w:w="711" w:type="dxa"/>
            <w:gridSpan w:val="2"/>
            <w:tcBorders>
              <w:top w:val="nil"/>
              <w:left w:val="single" w:sz="4" w:space="0" w:color="auto"/>
              <w:bottom w:val="single" w:sz="8" w:space="0" w:color="auto"/>
              <w:right w:val="single" w:sz="4" w:space="0" w:color="auto"/>
            </w:tcBorders>
            <w:shd w:val="clear" w:color="auto" w:fill="auto"/>
            <w:noWrap/>
            <w:vAlign w:val="bottom"/>
            <w:hideMark/>
          </w:tcPr>
          <w:p w:rsidR="00DE05F7" w:rsidRPr="00DE05F7" w:rsidRDefault="00DE05F7" w:rsidP="000A4C6C">
            <w:pPr>
              <w:jc w:val="right"/>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$7</w:t>
            </w:r>
            <w:r w:rsidR="000A4C6C">
              <w:rPr>
                <w:rFonts w:ascii="Times New Roman" w:eastAsia="Times New Roman" w:hAnsi="Times New Roman" w:cs="Times New Roman"/>
                <w:bCs/>
                <w:color w:val="000000"/>
                <w:sz w:val="18"/>
                <w:szCs w:val="18"/>
              </w:rPr>
              <w:t>7</w:t>
            </w:r>
            <w:r w:rsidRPr="00DE05F7">
              <w:rPr>
                <w:rFonts w:ascii="Times New Roman" w:eastAsia="Times New Roman" w:hAnsi="Times New Roman" w:cs="Times New Roman"/>
                <w:bCs/>
                <w:color w:val="000000"/>
                <w:sz w:val="18"/>
                <w:szCs w:val="18"/>
              </w:rPr>
              <w:t xml:space="preserve"> </w:t>
            </w:r>
          </w:p>
        </w:tc>
        <w:tc>
          <w:tcPr>
            <w:tcW w:w="760" w:type="dxa"/>
            <w:gridSpan w:val="2"/>
            <w:tcBorders>
              <w:top w:val="nil"/>
              <w:left w:val="nil"/>
              <w:bottom w:val="single" w:sz="8" w:space="0" w:color="auto"/>
              <w:right w:val="single" w:sz="8" w:space="0" w:color="auto"/>
            </w:tcBorders>
            <w:shd w:val="clear" w:color="auto" w:fill="auto"/>
            <w:noWrap/>
            <w:vAlign w:val="bottom"/>
            <w:hideMark/>
          </w:tcPr>
          <w:p w:rsidR="00DE05F7" w:rsidRPr="00DE05F7" w:rsidRDefault="00DE05F7" w:rsidP="00173DF8">
            <w:pPr>
              <w:jc w:val="right"/>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 xml:space="preserve">$0 </w:t>
            </w:r>
          </w:p>
        </w:tc>
        <w:tc>
          <w:tcPr>
            <w:tcW w:w="1078" w:type="dxa"/>
            <w:gridSpan w:val="2"/>
            <w:tcBorders>
              <w:top w:val="single" w:sz="8" w:space="0" w:color="auto"/>
              <w:left w:val="nil"/>
              <w:bottom w:val="single" w:sz="8" w:space="0" w:color="auto"/>
              <w:right w:val="single" w:sz="8" w:space="0" w:color="auto"/>
            </w:tcBorders>
            <w:shd w:val="clear" w:color="auto" w:fill="auto"/>
            <w:noWrap/>
            <w:vAlign w:val="bottom"/>
            <w:hideMark/>
          </w:tcPr>
          <w:p w:rsidR="00DE05F7" w:rsidRPr="00DE05F7" w:rsidRDefault="00DE05F7" w:rsidP="00B91636">
            <w:pPr>
              <w:jc w:val="right"/>
              <w:rPr>
                <w:rFonts w:ascii="Times New Roman" w:eastAsia="Times New Roman" w:hAnsi="Times New Roman" w:cs="Times New Roman"/>
                <w:bCs/>
                <w:color w:val="000000"/>
                <w:sz w:val="18"/>
                <w:szCs w:val="18"/>
              </w:rPr>
            </w:pPr>
            <w:r w:rsidRPr="00DE05F7">
              <w:rPr>
                <w:rFonts w:ascii="Times New Roman" w:eastAsia="Times New Roman" w:hAnsi="Times New Roman" w:cs="Times New Roman"/>
                <w:bCs/>
                <w:color w:val="000000"/>
                <w:sz w:val="18"/>
                <w:szCs w:val="18"/>
              </w:rPr>
              <w:t>$5</w:t>
            </w:r>
            <w:r w:rsidR="00B91636">
              <w:rPr>
                <w:rFonts w:ascii="Times New Roman" w:eastAsia="Times New Roman" w:hAnsi="Times New Roman" w:cs="Times New Roman"/>
                <w:bCs/>
                <w:color w:val="000000"/>
                <w:sz w:val="18"/>
                <w:szCs w:val="18"/>
              </w:rPr>
              <w:t>29</w:t>
            </w:r>
            <w:r w:rsidRPr="00DE05F7">
              <w:rPr>
                <w:rFonts w:ascii="Times New Roman" w:eastAsia="Times New Roman" w:hAnsi="Times New Roman" w:cs="Times New Roman"/>
                <w:bCs/>
                <w:color w:val="000000"/>
                <w:sz w:val="18"/>
                <w:szCs w:val="18"/>
              </w:rPr>
              <w:t xml:space="preserve"> </w:t>
            </w:r>
          </w:p>
        </w:tc>
        <w:tc>
          <w:tcPr>
            <w:tcW w:w="983" w:type="dxa"/>
            <w:gridSpan w:val="2"/>
            <w:tcBorders>
              <w:top w:val="nil"/>
              <w:left w:val="single" w:sz="8" w:space="0" w:color="auto"/>
            </w:tcBorders>
            <w:shd w:val="clear" w:color="auto" w:fill="auto"/>
            <w:noWrap/>
            <w:vAlign w:val="bottom"/>
            <w:hideMark/>
          </w:tcPr>
          <w:p w:rsidR="00DE05F7" w:rsidRPr="00173DF8" w:rsidRDefault="00DE05F7" w:rsidP="00173DF8">
            <w:pPr>
              <w:jc w:val="right"/>
              <w:rPr>
                <w:rFonts w:ascii="Times New Roman" w:eastAsia="Times New Roman" w:hAnsi="Times New Roman" w:cs="Times New Roman"/>
                <w:b/>
                <w:bCs/>
                <w:color w:val="000000"/>
                <w:sz w:val="18"/>
                <w:szCs w:val="18"/>
              </w:rPr>
            </w:pPr>
          </w:p>
        </w:tc>
        <w:tc>
          <w:tcPr>
            <w:tcW w:w="792" w:type="dxa"/>
            <w:gridSpan w:val="2"/>
            <w:tcBorders>
              <w:top w:val="nil"/>
            </w:tcBorders>
            <w:shd w:val="clear" w:color="auto" w:fill="auto"/>
            <w:noWrap/>
            <w:vAlign w:val="bottom"/>
            <w:hideMark/>
          </w:tcPr>
          <w:p w:rsidR="00DE05F7" w:rsidRPr="00173DF8" w:rsidRDefault="00DE05F7" w:rsidP="00173DF8">
            <w:pPr>
              <w:jc w:val="right"/>
              <w:rPr>
                <w:rFonts w:ascii="Times New Roman" w:eastAsia="Times New Roman" w:hAnsi="Times New Roman" w:cs="Times New Roman"/>
                <w:b/>
                <w:bCs/>
                <w:color w:val="000000"/>
                <w:sz w:val="18"/>
                <w:szCs w:val="18"/>
              </w:rPr>
            </w:pPr>
          </w:p>
        </w:tc>
        <w:tc>
          <w:tcPr>
            <w:tcW w:w="1450" w:type="dxa"/>
            <w:gridSpan w:val="2"/>
            <w:tcBorders>
              <w:top w:val="nil"/>
            </w:tcBorders>
            <w:shd w:val="clear" w:color="auto" w:fill="auto"/>
            <w:noWrap/>
            <w:vAlign w:val="bottom"/>
            <w:hideMark/>
          </w:tcPr>
          <w:p w:rsidR="00DE05F7" w:rsidRPr="00173DF8" w:rsidRDefault="00DE05F7" w:rsidP="00173DF8">
            <w:pPr>
              <w:jc w:val="right"/>
              <w:rPr>
                <w:rFonts w:ascii="Times New Roman" w:eastAsia="Times New Roman" w:hAnsi="Times New Roman" w:cs="Times New Roman"/>
                <w:b/>
                <w:bCs/>
                <w:color w:val="000000"/>
                <w:sz w:val="18"/>
                <w:szCs w:val="18"/>
              </w:rPr>
            </w:pPr>
          </w:p>
        </w:tc>
      </w:tr>
    </w:tbl>
    <w:p w:rsidR="00173DF8" w:rsidRDefault="00173DF8" w:rsidP="00173DF8">
      <w:pPr>
        <w:jc w:val="both"/>
        <w:rPr>
          <w:rFonts w:ascii="Times New Roman" w:hAnsi="Times New Roman" w:cs="Times New Roman"/>
          <w:sz w:val="24"/>
          <w:szCs w:val="24"/>
        </w:rPr>
      </w:pPr>
    </w:p>
    <w:p w:rsidR="00A5062F" w:rsidRDefault="00A5062F">
      <w:pPr>
        <w:rPr>
          <w:rFonts w:ascii="Times New Roman" w:hAnsi="Times New Roman" w:cs="Times New Roman"/>
          <w:sz w:val="24"/>
          <w:szCs w:val="24"/>
        </w:rPr>
      </w:pPr>
    </w:p>
    <w:p w:rsidR="00B749A2" w:rsidRDefault="009C33A7" w:rsidP="007B7B6C">
      <w:pPr>
        <w:jc w:val="both"/>
        <w:rPr>
          <w:rFonts w:ascii="Times New Roman" w:hAnsi="Times New Roman" w:cs="Times New Roman"/>
          <w:sz w:val="24"/>
          <w:szCs w:val="24"/>
        </w:rPr>
      </w:pPr>
      <w:r>
        <w:rPr>
          <w:rFonts w:ascii="Times New Roman" w:hAnsi="Times New Roman" w:cs="Times New Roman"/>
          <w:sz w:val="24"/>
          <w:szCs w:val="24"/>
        </w:rPr>
        <w:t>The table sh</w:t>
      </w:r>
      <w:r w:rsidR="00A049D2">
        <w:rPr>
          <w:rFonts w:ascii="Times New Roman" w:hAnsi="Times New Roman" w:cs="Times New Roman"/>
          <w:sz w:val="24"/>
          <w:szCs w:val="24"/>
        </w:rPr>
        <w:t>ows that of the total officer salaries a</w:t>
      </w:r>
      <w:r w:rsidR="0036328D">
        <w:rPr>
          <w:rFonts w:ascii="Times New Roman" w:hAnsi="Times New Roman" w:cs="Times New Roman"/>
          <w:sz w:val="24"/>
          <w:szCs w:val="24"/>
        </w:rPr>
        <w:t xml:space="preserve">nd incentives shown on Line </w:t>
      </w:r>
      <w:r w:rsidR="0062491A">
        <w:rPr>
          <w:rFonts w:ascii="Times New Roman" w:hAnsi="Times New Roman" w:cs="Times New Roman"/>
          <w:sz w:val="24"/>
          <w:szCs w:val="24"/>
        </w:rPr>
        <w:t>9</w:t>
      </w:r>
      <w:r w:rsidR="00A049D2">
        <w:rPr>
          <w:rFonts w:ascii="Times New Roman" w:hAnsi="Times New Roman" w:cs="Times New Roman"/>
          <w:sz w:val="24"/>
          <w:szCs w:val="24"/>
        </w:rPr>
        <w:t xml:space="preserve">, </w:t>
      </w:r>
      <w:r w:rsidR="006479B6">
        <w:rPr>
          <w:rFonts w:ascii="Times New Roman" w:hAnsi="Times New Roman" w:cs="Times New Roman"/>
          <w:sz w:val="24"/>
          <w:szCs w:val="24"/>
        </w:rPr>
        <w:t xml:space="preserve">Column E </w:t>
      </w:r>
      <w:r w:rsidR="00A049D2">
        <w:rPr>
          <w:rFonts w:ascii="Times New Roman" w:hAnsi="Times New Roman" w:cs="Times New Roman"/>
          <w:sz w:val="24"/>
          <w:szCs w:val="24"/>
        </w:rPr>
        <w:t xml:space="preserve">approximately </w:t>
      </w:r>
      <w:r w:rsidR="00AE501D">
        <w:rPr>
          <w:rFonts w:ascii="Times New Roman" w:hAnsi="Times New Roman" w:cs="Times New Roman"/>
          <w:sz w:val="24"/>
          <w:szCs w:val="24"/>
        </w:rPr>
        <w:t>42</w:t>
      </w:r>
      <w:r w:rsidR="000F77D9">
        <w:rPr>
          <w:rFonts w:ascii="Times New Roman" w:hAnsi="Times New Roman" w:cs="Times New Roman"/>
          <w:sz w:val="24"/>
          <w:szCs w:val="24"/>
        </w:rPr>
        <w:t xml:space="preserve">% of that amount is included in retail rates for customers in Washington, Idaho and Oregon. Approximately </w:t>
      </w:r>
      <w:r w:rsidR="00AE501D">
        <w:rPr>
          <w:rFonts w:ascii="Times New Roman" w:hAnsi="Times New Roman" w:cs="Times New Roman"/>
          <w:sz w:val="24"/>
          <w:szCs w:val="24"/>
        </w:rPr>
        <w:t>25</w:t>
      </w:r>
      <w:r w:rsidR="00A049D2">
        <w:rPr>
          <w:rFonts w:ascii="Times New Roman" w:hAnsi="Times New Roman" w:cs="Times New Roman"/>
          <w:sz w:val="24"/>
          <w:szCs w:val="24"/>
        </w:rPr>
        <w:t xml:space="preserve">% of </w:t>
      </w:r>
      <w:r w:rsidR="000F77D9">
        <w:rPr>
          <w:rFonts w:ascii="Times New Roman" w:hAnsi="Times New Roman" w:cs="Times New Roman"/>
          <w:sz w:val="24"/>
          <w:szCs w:val="24"/>
        </w:rPr>
        <w:t>Line 9, Column E</w:t>
      </w:r>
      <w:r w:rsidR="00A049D2" w:rsidRPr="007600CB">
        <w:rPr>
          <w:rFonts w:ascii="Times New Roman" w:hAnsi="Times New Roman" w:cs="Times New Roman"/>
          <w:sz w:val="24"/>
          <w:szCs w:val="24"/>
        </w:rPr>
        <w:t xml:space="preserve"> </w:t>
      </w:r>
      <w:r w:rsidR="0007029C" w:rsidRPr="007600CB">
        <w:rPr>
          <w:rFonts w:ascii="Times New Roman" w:hAnsi="Times New Roman" w:cs="Times New Roman"/>
          <w:sz w:val="24"/>
          <w:szCs w:val="24"/>
        </w:rPr>
        <w:t xml:space="preserve">amount </w:t>
      </w:r>
      <w:r w:rsidR="00A049D2" w:rsidRPr="007600CB">
        <w:rPr>
          <w:rFonts w:ascii="Times New Roman" w:hAnsi="Times New Roman" w:cs="Times New Roman"/>
          <w:sz w:val="24"/>
          <w:szCs w:val="24"/>
        </w:rPr>
        <w:t>is included in</w:t>
      </w:r>
      <w:r w:rsidR="00A049D2">
        <w:rPr>
          <w:rFonts w:ascii="Times New Roman" w:hAnsi="Times New Roman" w:cs="Times New Roman"/>
          <w:sz w:val="24"/>
          <w:szCs w:val="24"/>
        </w:rPr>
        <w:t xml:space="preserve"> </w:t>
      </w:r>
      <w:r w:rsidR="00D12C5C">
        <w:rPr>
          <w:rFonts w:ascii="Times New Roman" w:hAnsi="Times New Roman" w:cs="Times New Roman"/>
          <w:sz w:val="24"/>
          <w:szCs w:val="24"/>
        </w:rPr>
        <w:t xml:space="preserve">Washington </w:t>
      </w:r>
      <w:r w:rsidR="00A049D2">
        <w:rPr>
          <w:rFonts w:ascii="Times New Roman" w:hAnsi="Times New Roman" w:cs="Times New Roman"/>
          <w:sz w:val="24"/>
          <w:szCs w:val="24"/>
        </w:rPr>
        <w:t>retail rates.</w:t>
      </w:r>
      <w:r w:rsidR="00D12C5C">
        <w:rPr>
          <w:rStyle w:val="FootnoteReference"/>
          <w:rFonts w:ascii="Times New Roman" w:hAnsi="Times New Roman" w:cs="Times New Roman"/>
          <w:sz w:val="24"/>
          <w:szCs w:val="24"/>
        </w:rPr>
        <w:footnoteReference w:id="4"/>
      </w:r>
      <w:r w:rsidR="00BC3C13">
        <w:rPr>
          <w:rFonts w:ascii="Times New Roman" w:hAnsi="Times New Roman" w:cs="Times New Roman"/>
          <w:sz w:val="24"/>
          <w:szCs w:val="24"/>
        </w:rPr>
        <w:t xml:space="preserve"> </w:t>
      </w:r>
      <w:r w:rsidR="00A049D2">
        <w:rPr>
          <w:rFonts w:ascii="Times New Roman" w:hAnsi="Times New Roman" w:cs="Times New Roman"/>
          <w:sz w:val="24"/>
          <w:szCs w:val="24"/>
        </w:rPr>
        <w:t xml:space="preserve">The remaining salaries and incentives are not charged to customers through retail rates.  </w:t>
      </w:r>
      <w:r w:rsidR="00FF3FC8">
        <w:rPr>
          <w:rFonts w:ascii="Times New Roman" w:hAnsi="Times New Roman" w:cs="Times New Roman"/>
          <w:sz w:val="24"/>
          <w:szCs w:val="24"/>
        </w:rPr>
        <w:t>T</w:t>
      </w:r>
      <w:r w:rsidR="00A049D2">
        <w:rPr>
          <w:rFonts w:ascii="Times New Roman" w:hAnsi="Times New Roman" w:cs="Times New Roman"/>
          <w:sz w:val="24"/>
          <w:szCs w:val="24"/>
        </w:rPr>
        <w:t xml:space="preserve">he majority of base salary is included </w:t>
      </w:r>
      <w:r w:rsidR="00296EC4">
        <w:rPr>
          <w:rFonts w:ascii="Times New Roman" w:hAnsi="Times New Roman" w:cs="Times New Roman"/>
          <w:sz w:val="24"/>
          <w:szCs w:val="24"/>
        </w:rPr>
        <w:t>in retail rates, and the remainder is allocated to non-utility (subsidiary) operations.</w:t>
      </w:r>
      <w:r w:rsidR="003F2DA1">
        <w:rPr>
          <w:rFonts w:ascii="Times New Roman" w:hAnsi="Times New Roman" w:cs="Times New Roman"/>
          <w:sz w:val="24"/>
          <w:szCs w:val="24"/>
        </w:rPr>
        <w:t xml:space="preserve">  A portion of the STIP is included in</w:t>
      </w:r>
      <w:r w:rsidR="009B0BA6">
        <w:rPr>
          <w:rFonts w:ascii="Times New Roman" w:hAnsi="Times New Roman" w:cs="Times New Roman"/>
          <w:sz w:val="24"/>
          <w:szCs w:val="24"/>
        </w:rPr>
        <w:t xml:space="preserve"> retail</w:t>
      </w:r>
      <w:r w:rsidR="003F2DA1">
        <w:rPr>
          <w:rFonts w:ascii="Times New Roman" w:hAnsi="Times New Roman" w:cs="Times New Roman"/>
          <w:sz w:val="24"/>
          <w:szCs w:val="24"/>
        </w:rPr>
        <w:t xml:space="preserve"> rates, and the majority is paid by shareholders.  None of the LTIP</w:t>
      </w:r>
      <w:r w:rsidR="006D19C0">
        <w:rPr>
          <w:rFonts w:ascii="Times New Roman" w:hAnsi="Times New Roman" w:cs="Times New Roman"/>
          <w:sz w:val="24"/>
          <w:szCs w:val="24"/>
        </w:rPr>
        <w:t xml:space="preserve"> is</w:t>
      </w:r>
      <w:r w:rsidR="003F2DA1">
        <w:rPr>
          <w:rFonts w:ascii="Times New Roman" w:hAnsi="Times New Roman" w:cs="Times New Roman"/>
          <w:sz w:val="24"/>
          <w:szCs w:val="24"/>
        </w:rPr>
        <w:t xml:space="preserve"> include</w:t>
      </w:r>
      <w:r w:rsidR="00D12C5C">
        <w:rPr>
          <w:rFonts w:ascii="Times New Roman" w:hAnsi="Times New Roman" w:cs="Times New Roman"/>
          <w:sz w:val="24"/>
          <w:szCs w:val="24"/>
        </w:rPr>
        <w:t>d</w:t>
      </w:r>
      <w:r w:rsidR="003F2DA1">
        <w:rPr>
          <w:rFonts w:ascii="Times New Roman" w:hAnsi="Times New Roman" w:cs="Times New Roman"/>
          <w:sz w:val="24"/>
          <w:szCs w:val="24"/>
        </w:rPr>
        <w:t xml:space="preserve"> in rates</w:t>
      </w:r>
      <w:r w:rsidR="00BC3C13">
        <w:rPr>
          <w:rFonts w:ascii="Times New Roman" w:hAnsi="Times New Roman" w:cs="Times New Roman"/>
          <w:sz w:val="24"/>
          <w:szCs w:val="24"/>
        </w:rPr>
        <w:t>;</w:t>
      </w:r>
      <w:r w:rsidR="006D19C0">
        <w:rPr>
          <w:rFonts w:ascii="Times New Roman" w:hAnsi="Times New Roman" w:cs="Times New Roman"/>
          <w:sz w:val="24"/>
          <w:szCs w:val="24"/>
        </w:rPr>
        <w:t xml:space="preserve"> 100% is paid by shareholders.  Additional details are provided in Confidential Attachment C.</w:t>
      </w:r>
    </w:p>
    <w:p w:rsidR="009C33A7" w:rsidRDefault="009C33A7" w:rsidP="007B7B6C">
      <w:pPr>
        <w:jc w:val="both"/>
        <w:rPr>
          <w:rFonts w:ascii="Times New Roman" w:hAnsi="Times New Roman" w:cs="Times New Roman"/>
          <w:sz w:val="24"/>
          <w:szCs w:val="24"/>
        </w:rPr>
      </w:pPr>
    </w:p>
    <w:p w:rsidR="007B7B6C" w:rsidRPr="00E95BD7" w:rsidRDefault="003F2DA1" w:rsidP="003D1B86">
      <w:pPr>
        <w:jc w:val="both"/>
        <w:rPr>
          <w:rFonts w:ascii="Times New Roman" w:hAnsi="Times New Roman" w:cs="Times New Roman"/>
          <w:sz w:val="24"/>
          <w:szCs w:val="24"/>
        </w:rPr>
      </w:pPr>
      <w:r>
        <w:rPr>
          <w:rFonts w:ascii="Times New Roman" w:hAnsi="Times New Roman" w:cs="Times New Roman"/>
          <w:sz w:val="24"/>
          <w:szCs w:val="24"/>
        </w:rPr>
        <w:t>A description of each of the compensation</w:t>
      </w:r>
      <w:r w:rsidR="007B7B6C" w:rsidRPr="00E95BD7">
        <w:rPr>
          <w:rFonts w:ascii="Times New Roman" w:hAnsi="Times New Roman" w:cs="Times New Roman"/>
          <w:sz w:val="24"/>
          <w:szCs w:val="24"/>
        </w:rPr>
        <w:t xml:space="preserve"> components is p</w:t>
      </w:r>
      <w:r w:rsidR="003D1B86">
        <w:rPr>
          <w:rFonts w:ascii="Times New Roman" w:hAnsi="Times New Roman" w:cs="Times New Roman"/>
          <w:sz w:val="24"/>
          <w:szCs w:val="24"/>
        </w:rPr>
        <w:t>rovided below.  In addition, pages 27-34 of the Avista</w:t>
      </w:r>
      <w:r w:rsidR="00B04FC8" w:rsidRPr="00B04FC8">
        <w:rPr>
          <w:rFonts w:ascii="Times New Roman" w:hAnsi="Times New Roman" w:cs="Times New Roman"/>
          <w:sz w:val="24"/>
          <w:szCs w:val="24"/>
        </w:rPr>
        <w:t xml:space="preserve"> Notice of 2012 Annual Meeting and Proxy Statement</w:t>
      </w:r>
      <w:r w:rsidR="00B04FC8">
        <w:rPr>
          <w:rFonts w:ascii="Times New Roman" w:hAnsi="Times New Roman" w:cs="Times New Roman"/>
          <w:sz w:val="24"/>
          <w:szCs w:val="24"/>
        </w:rPr>
        <w:t xml:space="preserve"> </w:t>
      </w:r>
      <w:r w:rsidR="007B7B6C" w:rsidRPr="00E95BD7">
        <w:rPr>
          <w:rFonts w:ascii="Times New Roman" w:hAnsi="Times New Roman" w:cs="Times New Roman"/>
          <w:sz w:val="24"/>
          <w:szCs w:val="24"/>
        </w:rPr>
        <w:t>filed with the SE</w:t>
      </w:r>
      <w:r w:rsidR="003D1B86">
        <w:rPr>
          <w:rFonts w:ascii="Times New Roman" w:hAnsi="Times New Roman" w:cs="Times New Roman"/>
          <w:sz w:val="24"/>
          <w:szCs w:val="24"/>
        </w:rPr>
        <w:t>C February 29, 2012 (Attachment A), provides a detailed explanation</w:t>
      </w:r>
      <w:r w:rsidR="007B7B6C" w:rsidRPr="00E95BD7">
        <w:rPr>
          <w:rFonts w:ascii="Times New Roman" w:hAnsi="Times New Roman" w:cs="Times New Roman"/>
          <w:sz w:val="24"/>
          <w:szCs w:val="24"/>
        </w:rPr>
        <w:t xml:space="preserve"> of Avista’s executive officer compensation.</w:t>
      </w:r>
    </w:p>
    <w:p w:rsidR="00296692" w:rsidRPr="00E95BD7" w:rsidRDefault="00296692" w:rsidP="00BA15A2">
      <w:pPr>
        <w:jc w:val="both"/>
        <w:rPr>
          <w:rFonts w:ascii="Times New Roman" w:hAnsi="Times New Roman" w:cs="Times New Roman"/>
          <w:sz w:val="24"/>
          <w:szCs w:val="24"/>
        </w:rPr>
      </w:pPr>
    </w:p>
    <w:p w:rsidR="004A74FC" w:rsidRPr="00E95BD7" w:rsidRDefault="004A74FC" w:rsidP="00DC3C7A">
      <w:pPr>
        <w:jc w:val="both"/>
        <w:rPr>
          <w:rFonts w:ascii="Times New Roman" w:hAnsi="Times New Roman" w:cs="Times New Roman"/>
          <w:b/>
          <w:sz w:val="24"/>
          <w:szCs w:val="24"/>
          <w:u w:val="single"/>
        </w:rPr>
      </w:pPr>
      <w:r w:rsidRPr="00E95BD7">
        <w:rPr>
          <w:rFonts w:ascii="Times New Roman" w:hAnsi="Times New Roman" w:cs="Times New Roman"/>
          <w:b/>
          <w:sz w:val="24"/>
          <w:szCs w:val="24"/>
          <w:u w:val="single"/>
        </w:rPr>
        <w:t>Base Salar</w:t>
      </w:r>
      <w:r w:rsidR="00BB5C2D" w:rsidRPr="00E95BD7">
        <w:rPr>
          <w:rFonts w:ascii="Times New Roman" w:hAnsi="Times New Roman" w:cs="Times New Roman"/>
          <w:b/>
          <w:sz w:val="24"/>
          <w:szCs w:val="24"/>
          <w:u w:val="single"/>
        </w:rPr>
        <w:t>y</w:t>
      </w:r>
    </w:p>
    <w:p w:rsidR="003F3C7F" w:rsidRDefault="004E2D1F" w:rsidP="00B42C3A">
      <w:pPr>
        <w:jc w:val="both"/>
        <w:rPr>
          <w:rFonts w:ascii="Times New Roman" w:hAnsi="Times New Roman" w:cs="Times New Roman"/>
          <w:sz w:val="24"/>
          <w:szCs w:val="24"/>
        </w:rPr>
      </w:pPr>
      <w:r w:rsidRPr="00E95BD7">
        <w:rPr>
          <w:rFonts w:ascii="Times New Roman" w:hAnsi="Times New Roman" w:cs="Times New Roman"/>
          <w:sz w:val="24"/>
          <w:szCs w:val="24"/>
        </w:rPr>
        <w:t>Annual base salaries are provided for services rendered during the year.</w:t>
      </w:r>
      <w:r w:rsidR="00941BAA" w:rsidRPr="00E95BD7">
        <w:rPr>
          <w:rFonts w:ascii="Times New Roman" w:hAnsi="Times New Roman" w:cs="Times New Roman"/>
          <w:sz w:val="24"/>
          <w:szCs w:val="24"/>
        </w:rPr>
        <w:t xml:space="preserve"> </w:t>
      </w:r>
      <w:r w:rsidRPr="00E95BD7">
        <w:rPr>
          <w:rFonts w:ascii="Times New Roman" w:hAnsi="Times New Roman" w:cs="Times New Roman"/>
          <w:sz w:val="24"/>
          <w:szCs w:val="24"/>
        </w:rPr>
        <w:t xml:space="preserve"> </w:t>
      </w:r>
      <w:r w:rsidR="00B42C3A" w:rsidRPr="00E95BD7">
        <w:rPr>
          <w:rFonts w:ascii="Times New Roman" w:hAnsi="Times New Roman" w:cs="Times New Roman"/>
          <w:sz w:val="24"/>
          <w:szCs w:val="24"/>
        </w:rPr>
        <w:t>As an executive</w:t>
      </w:r>
      <w:r w:rsidR="00DF5E7B">
        <w:rPr>
          <w:rFonts w:ascii="Times New Roman" w:hAnsi="Times New Roman" w:cs="Times New Roman"/>
          <w:sz w:val="24"/>
          <w:szCs w:val="24"/>
        </w:rPr>
        <w:t>’</w:t>
      </w:r>
      <w:r w:rsidR="00B42C3A" w:rsidRPr="00E95BD7">
        <w:rPr>
          <w:rFonts w:ascii="Times New Roman" w:hAnsi="Times New Roman" w:cs="Times New Roman"/>
          <w:sz w:val="24"/>
          <w:szCs w:val="24"/>
        </w:rPr>
        <w:t>s level of responsibility within the Company increases, so does the percentage of total compensatio</w:t>
      </w:r>
      <w:r w:rsidR="00DF5E7B">
        <w:rPr>
          <w:rFonts w:ascii="Times New Roman" w:hAnsi="Times New Roman" w:cs="Times New Roman"/>
          <w:sz w:val="24"/>
          <w:szCs w:val="24"/>
        </w:rPr>
        <w:t xml:space="preserve">n that is linked to performance.  </w:t>
      </w:r>
      <w:r w:rsidR="00C67A72">
        <w:rPr>
          <w:rFonts w:ascii="Times New Roman" w:hAnsi="Times New Roman" w:cs="Times New Roman"/>
          <w:sz w:val="24"/>
          <w:szCs w:val="24"/>
        </w:rPr>
        <w:t xml:space="preserve">For example, Illustration 2 below shows that 25% of the total salary and incentives of the CEO is provided in Base Salary, with the remainder of the compensation at risk through incentive compensation.  </w:t>
      </w:r>
      <w:r w:rsidR="00982495">
        <w:rPr>
          <w:rFonts w:ascii="Times New Roman" w:hAnsi="Times New Roman" w:cs="Times New Roman"/>
          <w:sz w:val="24"/>
          <w:szCs w:val="24"/>
        </w:rPr>
        <w:t>By comparison, officers</w:t>
      </w:r>
      <w:r w:rsidR="00704F1D">
        <w:rPr>
          <w:rFonts w:ascii="Times New Roman" w:hAnsi="Times New Roman" w:cs="Times New Roman"/>
          <w:sz w:val="24"/>
          <w:szCs w:val="24"/>
        </w:rPr>
        <w:t xml:space="preserve"> other than the Top 5, receive 48%</w:t>
      </w:r>
      <w:r w:rsidR="00982495">
        <w:rPr>
          <w:rFonts w:ascii="Times New Roman" w:hAnsi="Times New Roman" w:cs="Times New Roman"/>
          <w:sz w:val="24"/>
          <w:szCs w:val="24"/>
        </w:rPr>
        <w:t xml:space="preserve"> of their total salaries and incentives through Base Salary.  What this means is customers are paying for a lower proportion of total compensation for the Top 5 officers.</w:t>
      </w:r>
      <w:r w:rsidR="00A36BF4">
        <w:rPr>
          <w:rFonts w:ascii="Times New Roman" w:hAnsi="Times New Roman" w:cs="Times New Roman"/>
          <w:sz w:val="24"/>
          <w:szCs w:val="24"/>
        </w:rPr>
        <w:t xml:space="preserve">  </w:t>
      </w:r>
    </w:p>
    <w:p w:rsidR="00A36BF4" w:rsidRDefault="00A36BF4" w:rsidP="00B42C3A">
      <w:pPr>
        <w:jc w:val="both"/>
        <w:rPr>
          <w:rFonts w:ascii="Times New Roman" w:hAnsi="Times New Roman" w:cs="Times New Roman"/>
          <w:sz w:val="24"/>
          <w:szCs w:val="24"/>
        </w:rPr>
      </w:pPr>
    </w:p>
    <w:p w:rsidR="00DF5E7B" w:rsidRPr="00A5062F" w:rsidRDefault="00DF5E7B" w:rsidP="00B42C3A">
      <w:pPr>
        <w:jc w:val="both"/>
        <w:rPr>
          <w:rFonts w:ascii="Times New Roman" w:hAnsi="Times New Roman" w:cs="Times New Roman"/>
          <w:b/>
          <w:sz w:val="24"/>
          <w:szCs w:val="24"/>
          <w:u w:val="single"/>
        </w:rPr>
      </w:pPr>
      <w:r w:rsidRPr="00A5062F">
        <w:rPr>
          <w:rFonts w:ascii="Times New Roman" w:hAnsi="Times New Roman" w:cs="Times New Roman"/>
          <w:b/>
          <w:sz w:val="24"/>
          <w:szCs w:val="24"/>
          <w:u w:val="single"/>
        </w:rPr>
        <w:t>Illustration 2</w:t>
      </w:r>
    </w:p>
    <w:tbl>
      <w:tblPr>
        <w:tblW w:w="5000" w:type="pct"/>
        <w:jc w:val="center"/>
        <w:tblLayout w:type="fixed"/>
        <w:tblCellMar>
          <w:left w:w="0" w:type="dxa"/>
          <w:right w:w="0" w:type="dxa"/>
        </w:tblCellMar>
        <w:tblLook w:val="04A0"/>
      </w:tblPr>
      <w:tblGrid>
        <w:gridCol w:w="6925"/>
        <w:gridCol w:w="984"/>
        <w:gridCol w:w="1062"/>
        <w:gridCol w:w="965"/>
      </w:tblGrid>
      <w:tr w:rsidR="00924645" w:rsidRPr="00E95BD7" w:rsidTr="00616076">
        <w:trPr>
          <w:tblHeader/>
          <w:jc w:val="center"/>
        </w:trPr>
        <w:tc>
          <w:tcPr>
            <w:tcW w:w="6925" w:type="dxa"/>
            <w:noWrap/>
            <w:vAlign w:val="bottom"/>
            <w:hideMark/>
          </w:tcPr>
          <w:p w:rsidR="00924645" w:rsidRPr="008B6D66" w:rsidRDefault="00924645" w:rsidP="00616076">
            <w:pPr>
              <w:pStyle w:val="NormalWeb"/>
              <w:widowControl w:val="0"/>
              <w:spacing w:before="0" w:beforeAutospacing="0" w:after="0" w:afterAutospacing="0"/>
              <w:jc w:val="both"/>
              <w:rPr>
                <w:color w:val="000000"/>
                <w:sz w:val="16"/>
                <w:szCs w:val="16"/>
              </w:rPr>
            </w:pPr>
            <w:r w:rsidRPr="008B6D66">
              <w:rPr>
                <w:b/>
                <w:bCs/>
                <w:color w:val="000000"/>
                <w:sz w:val="16"/>
                <w:szCs w:val="16"/>
              </w:rPr>
              <w:t>Name</w:t>
            </w:r>
          </w:p>
          <w:p w:rsidR="00924645" w:rsidRPr="008B6D66" w:rsidRDefault="00924645" w:rsidP="00616076">
            <w:pPr>
              <w:pStyle w:val="rrdsinglerule"/>
              <w:widowControl w:val="0"/>
              <w:spacing w:before="0" w:line="240" w:lineRule="auto"/>
              <w:jc w:val="both"/>
              <w:rPr>
                <w:color w:val="000000"/>
                <w:sz w:val="16"/>
                <w:szCs w:val="16"/>
              </w:rPr>
            </w:pPr>
            <w:r w:rsidRPr="008B6D66">
              <w:rPr>
                <w:color w:val="000000"/>
                <w:sz w:val="16"/>
                <w:szCs w:val="16"/>
              </w:rPr>
              <w:t> </w:t>
            </w:r>
          </w:p>
        </w:tc>
        <w:tc>
          <w:tcPr>
            <w:tcW w:w="984" w:type="dxa"/>
            <w:noWrap/>
            <w:tcMar>
              <w:top w:w="0" w:type="dxa"/>
              <w:left w:w="144" w:type="dxa"/>
              <w:bottom w:w="0" w:type="dxa"/>
              <w:right w:w="0" w:type="dxa"/>
            </w:tcMar>
            <w:vAlign w:val="bottom"/>
            <w:hideMark/>
          </w:tcPr>
          <w:p w:rsidR="00924645" w:rsidRPr="00D77586" w:rsidRDefault="00924645" w:rsidP="00D77586">
            <w:pPr>
              <w:widowControl w:val="0"/>
              <w:jc w:val="center"/>
              <w:rPr>
                <w:rFonts w:ascii="Times New Roman" w:hAnsi="Times New Roman" w:cs="Times New Roman"/>
                <w:color w:val="000000"/>
                <w:sz w:val="16"/>
                <w:szCs w:val="16"/>
              </w:rPr>
            </w:pPr>
            <w:r w:rsidRPr="00D77586">
              <w:rPr>
                <w:rFonts w:ascii="Times New Roman" w:hAnsi="Times New Roman" w:cs="Times New Roman"/>
                <w:b/>
                <w:bCs/>
                <w:color w:val="000000"/>
                <w:sz w:val="16"/>
                <w:szCs w:val="16"/>
              </w:rPr>
              <w:t>Base Salary</w:t>
            </w:r>
          </w:p>
          <w:p w:rsidR="00924645" w:rsidRPr="00D77586" w:rsidRDefault="00924645" w:rsidP="00D77586">
            <w:pPr>
              <w:pStyle w:val="rrdsinglerule"/>
              <w:widowControl w:val="0"/>
              <w:spacing w:before="0" w:line="240" w:lineRule="auto"/>
              <w:rPr>
                <w:color w:val="000000"/>
                <w:sz w:val="16"/>
                <w:szCs w:val="16"/>
              </w:rPr>
            </w:pPr>
          </w:p>
        </w:tc>
        <w:tc>
          <w:tcPr>
            <w:tcW w:w="1062" w:type="dxa"/>
            <w:noWrap/>
            <w:tcMar>
              <w:top w:w="0" w:type="dxa"/>
              <w:left w:w="144" w:type="dxa"/>
              <w:bottom w:w="0" w:type="dxa"/>
              <w:right w:w="0" w:type="dxa"/>
            </w:tcMar>
            <w:vAlign w:val="bottom"/>
            <w:hideMark/>
          </w:tcPr>
          <w:p w:rsidR="00924645" w:rsidRPr="00D77586" w:rsidRDefault="00924645" w:rsidP="00D77586">
            <w:pPr>
              <w:widowControl w:val="0"/>
              <w:jc w:val="center"/>
              <w:rPr>
                <w:rFonts w:ascii="Times New Roman" w:hAnsi="Times New Roman" w:cs="Times New Roman"/>
                <w:color w:val="000000"/>
                <w:sz w:val="16"/>
                <w:szCs w:val="16"/>
              </w:rPr>
            </w:pPr>
            <w:r w:rsidRPr="00D77586">
              <w:rPr>
                <w:rFonts w:ascii="Times New Roman" w:hAnsi="Times New Roman" w:cs="Times New Roman"/>
                <w:b/>
                <w:bCs/>
                <w:color w:val="000000"/>
                <w:sz w:val="16"/>
                <w:szCs w:val="16"/>
              </w:rPr>
              <w:t>Annual Cash</w:t>
            </w:r>
            <w:r w:rsidRPr="00D77586">
              <w:rPr>
                <w:rFonts w:ascii="Times New Roman" w:hAnsi="Times New Roman" w:cs="Times New Roman"/>
                <w:b/>
                <w:bCs/>
                <w:color w:val="000000"/>
                <w:sz w:val="16"/>
                <w:szCs w:val="16"/>
              </w:rPr>
              <w:br/>
              <w:t>Incentive</w:t>
            </w:r>
          </w:p>
          <w:p w:rsidR="00924645" w:rsidRPr="00D77586" w:rsidRDefault="00924645" w:rsidP="00D77586">
            <w:pPr>
              <w:pStyle w:val="rrdsinglerule"/>
              <w:widowControl w:val="0"/>
              <w:spacing w:before="0" w:line="240" w:lineRule="auto"/>
              <w:rPr>
                <w:color w:val="000000"/>
                <w:sz w:val="16"/>
                <w:szCs w:val="16"/>
              </w:rPr>
            </w:pPr>
          </w:p>
        </w:tc>
        <w:tc>
          <w:tcPr>
            <w:tcW w:w="965" w:type="dxa"/>
            <w:noWrap/>
            <w:tcMar>
              <w:top w:w="0" w:type="dxa"/>
              <w:left w:w="144" w:type="dxa"/>
              <w:bottom w:w="0" w:type="dxa"/>
              <w:right w:w="0" w:type="dxa"/>
            </w:tcMar>
            <w:vAlign w:val="bottom"/>
            <w:hideMark/>
          </w:tcPr>
          <w:p w:rsidR="00924645" w:rsidRPr="00D77586" w:rsidRDefault="00924645" w:rsidP="00D77586">
            <w:pPr>
              <w:widowControl w:val="0"/>
              <w:jc w:val="center"/>
              <w:rPr>
                <w:rFonts w:ascii="Times New Roman" w:hAnsi="Times New Roman" w:cs="Times New Roman"/>
                <w:color w:val="000000"/>
                <w:sz w:val="16"/>
                <w:szCs w:val="16"/>
              </w:rPr>
            </w:pPr>
            <w:r w:rsidRPr="00D77586">
              <w:rPr>
                <w:rFonts w:ascii="Times New Roman" w:hAnsi="Times New Roman" w:cs="Times New Roman"/>
                <w:b/>
                <w:bCs/>
                <w:color w:val="000000"/>
                <w:sz w:val="16"/>
                <w:szCs w:val="16"/>
              </w:rPr>
              <w:t>Long-Term</w:t>
            </w:r>
            <w:r w:rsidRPr="00D77586">
              <w:rPr>
                <w:rFonts w:ascii="Times New Roman" w:hAnsi="Times New Roman" w:cs="Times New Roman"/>
                <w:b/>
                <w:bCs/>
                <w:color w:val="000000"/>
                <w:sz w:val="16"/>
                <w:szCs w:val="16"/>
              </w:rPr>
              <w:br/>
              <w:t>Equity</w:t>
            </w:r>
            <w:r w:rsidRPr="00D77586">
              <w:rPr>
                <w:rFonts w:ascii="Times New Roman" w:hAnsi="Times New Roman" w:cs="Times New Roman"/>
                <w:b/>
                <w:bCs/>
                <w:color w:val="000000"/>
                <w:sz w:val="16"/>
                <w:szCs w:val="16"/>
              </w:rPr>
              <w:br/>
              <w:t>Award</w:t>
            </w:r>
          </w:p>
          <w:p w:rsidR="00924645" w:rsidRPr="00D77586" w:rsidRDefault="00924645" w:rsidP="00D77586">
            <w:pPr>
              <w:pStyle w:val="rrdsinglerule"/>
              <w:widowControl w:val="0"/>
              <w:spacing w:before="0" w:line="240" w:lineRule="auto"/>
              <w:rPr>
                <w:color w:val="000000"/>
                <w:sz w:val="16"/>
                <w:szCs w:val="16"/>
              </w:rPr>
            </w:pPr>
          </w:p>
        </w:tc>
      </w:tr>
      <w:tr w:rsidR="00924645" w:rsidRPr="00E95BD7" w:rsidTr="00616076">
        <w:trPr>
          <w:jc w:val="center"/>
        </w:trPr>
        <w:tc>
          <w:tcPr>
            <w:tcW w:w="6925" w:type="dxa"/>
            <w:hideMark/>
          </w:tcPr>
          <w:p w:rsidR="00924645" w:rsidRPr="00E95BD7" w:rsidRDefault="00924645" w:rsidP="00616076">
            <w:pPr>
              <w:pStyle w:val="NormalWeb"/>
              <w:widowControl w:val="0"/>
              <w:tabs>
                <w:tab w:val="right" w:leader="dot" w:pos="7740"/>
              </w:tabs>
              <w:spacing w:before="0" w:beforeAutospacing="0" w:after="0" w:afterAutospacing="0"/>
              <w:ind w:left="240" w:hanging="240"/>
              <w:jc w:val="both"/>
              <w:rPr>
                <w:color w:val="000000"/>
              </w:rPr>
            </w:pPr>
            <w:r w:rsidRPr="00E95BD7">
              <w:rPr>
                <w:color w:val="000000"/>
              </w:rPr>
              <w:t>CEO</w:t>
            </w:r>
            <w:r w:rsidRPr="00E95BD7">
              <w:rPr>
                <w:color w:val="000000"/>
              </w:rPr>
              <w:tab/>
            </w:r>
          </w:p>
        </w:tc>
        <w:tc>
          <w:tcPr>
            <w:tcW w:w="984" w:type="dxa"/>
            <w:noWrap/>
            <w:tcMar>
              <w:top w:w="0" w:type="dxa"/>
              <w:left w:w="144" w:type="dxa"/>
              <w:bottom w:w="0" w:type="dxa"/>
              <w:right w:w="0" w:type="dxa"/>
            </w:tcMar>
            <w:vAlign w:val="bottom"/>
            <w:hideMark/>
          </w:tcPr>
          <w:p w:rsidR="00924645" w:rsidRPr="00D77586" w:rsidRDefault="00924645" w:rsidP="00D77586">
            <w:pPr>
              <w:widowControl w:val="0"/>
              <w:jc w:val="center"/>
              <w:rPr>
                <w:rFonts w:ascii="Times New Roman" w:hAnsi="Times New Roman" w:cs="Times New Roman"/>
                <w:color w:val="000000"/>
                <w:sz w:val="24"/>
                <w:szCs w:val="24"/>
              </w:rPr>
            </w:pPr>
            <w:r w:rsidRPr="00D77586">
              <w:rPr>
                <w:rFonts w:ascii="Times New Roman" w:hAnsi="Times New Roman" w:cs="Times New Roman"/>
                <w:color w:val="000000"/>
                <w:sz w:val="24"/>
                <w:szCs w:val="24"/>
              </w:rPr>
              <w:t>25%</w:t>
            </w:r>
          </w:p>
        </w:tc>
        <w:tc>
          <w:tcPr>
            <w:tcW w:w="1062" w:type="dxa"/>
            <w:noWrap/>
            <w:tcMar>
              <w:top w:w="0" w:type="dxa"/>
              <w:left w:w="144" w:type="dxa"/>
              <w:bottom w:w="0" w:type="dxa"/>
              <w:right w:w="0" w:type="dxa"/>
            </w:tcMar>
            <w:vAlign w:val="bottom"/>
            <w:hideMark/>
          </w:tcPr>
          <w:p w:rsidR="00924645" w:rsidRPr="00D77586" w:rsidRDefault="00924645" w:rsidP="00D77586">
            <w:pPr>
              <w:widowControl w:val="0"/>
              <w:jc w:val="center"/>
              <w:rPr>
                <w:rFonts w:ascii="Times New Roman" w:hAnsi="Times New Roman" w:cs="Times New Roman"/>
                <w:color w:val="000000"/>
                <w:sz w:val="24"/>
                <w:szCs w:val="24"/>
              </w:rPr>
            </w:pPr>
            <w:r w:rsidRPr="00D77586">
              <w:rPr>
                <w:rFonts w:ascii="Times New Roman" w:hAnsi="Times New Roman" w:cs="Times New Roman"/>
                <w:color w:val="000000"/>
                <w:sz w:val="24"/>
                <w:szCs w:val="24"/>
              </w:rPr>
              <w:t>23%</w:t>
            </w:r>
          </w:p>
        </w:tc>
        <w:tc>
          <w:tcPr>
            <w:tcW w:w="965" w:type="dxa"/>
            <w:noWrap/>
            <w:tcMar>
              <w:top w:w="0" w:type="dxa"/>
              <w:left w:w="144" w:type="dxa"/>
              <w:bottom w:w="0" w:type="dxa"/>
              <w:right w:w="0" w:type="dxa"/>
            </w:tcMar>
            <w:vAlign w:val="bottom"/>
            <w:hideMark/>
          </w:tcPr>
          <w:p w:rsidR="00924645" w:rsidRPr="00D77586" w:rsidRDefault="00924645" w:rsidP="00D77586">
            <w:pPr>
              <w:widowControl w:val="0"/>
              <w:jc w:val="center"/>
              <w:rPr>
                <w:rFonts w:ascii="Times New Roman" w:hAnsi="Times New Roman" w:cs="Times New Roman"/>
                <w:color w:val="000000"/>
                <w:sz w:val="24"/>
                <w:szCs w:val="24"/>
              </w:rPr>
            </w:pPr>
            <w:r w:rsidRPr="00D77586">
              <w:rPr>
                <w:rFonts w:ascii="Times New Roman" w:hAnsi="Times New Roman" w:cs="Times New Roman"/>
                <w:color w:val="000000"/>
                <w:sz w:val="24"/>
                <w:szCs w:val="24"/>
              </w:rPr>
              <w:t>52%</w:t>
            </w:r>
          </w:p>
        </w:tc>
      </w:tr>
      <w:tr w:rsidR="00924645" w:rsidRPr="00E95BD7" w:rsidTr="00616076">
        <w:trPr>
          <w:jc w:val="center"/>
        </w:trPr>
        <w:tc>
          <w:tcPr>
            <w:tcW w:w="6925" w:type="dxa"/>
            <w:hideMark/>
          </w:tcPr>
          <w:p w:rsidR="00924645" w:rsidRPr="00E95BD7" w:rsidRDefault="00924645" w:rsidP="00616076">
            <w:pPr>
              <w:pStyle w:val="NormalWeb"/>
              <w:widowControl w:val="0"/>
              <w:tabs>
                <w:tab w:val="right" w:leader="dot" w:pos="7740"/>
              </w:tabs>
              <w:spacing w:before="0" w:beforeAutospacing="0" w:after="0" w:afterAutospacing="0"/>
              <w:ind w:left="240" w:hanging="240"/>
              <w:jc w:val="both"/>
              <w:rPr>
                <w:color w:val="000000"/>
              </w:rPr>
            </w:pPr>
            <w:r>
              <w:rPr>
                <w:color w:val="000000"/>
              </w:rPr>
              <w:t>Top 5 Executive Officers</w:t>
            </w:r>
            <w:r w:rsidR="00515A4D">
              <w:rPr>
                <w:color w:val="000000"/>
              </w:rPr>
              <w:t xml:space="preserve"> (excluding CEO)</w:t>
            </w:r>
            <w:r w:rsidRPr="00E95BD7">
              <w:rPr>
                <w:color w:val="000000"/>
              </w:rPr>
              <w:tab/>
            </w:r>
          </w:p>
        </w:tc>
        <w:tc>
          <w:tcPr>
            <w:tcW w:w="984" w:type="dxa"/>
            <w:noWrap/>
            <w:tcMar>
              <w:top w:w="0" w:type="dxa"/>
              <w:left w:w="144" w:type="dxa"/>
              <w:bottom w:w="0" w:type="dxa"/>
              <w:right w:w="0" w:type="dxa"/>
            </w:tcMar>
            <w:vAlign w:val="bottom"/>
            <w:hideMark/>
          </w:tcPr>
          <w:p w:rsidR="00924645" w:rsidRPr="00D77586" w:rsidRDefault="00924645" w:rsidP="00D77586">
            <w:pPr>
              <w:widowControl w:val="0"/>
              <w:jc w:val="center"/>
              <w:rPr>
                <w:rFonts w:ascii="Times New Roman" w:hAnsi="Times New Roman" w:cs="Times New Roman"/>
                <w:color w:val="000000"/>
                <w:sz w:val="24"/>
                <w:szCs w:val="24"/>
              </w:rPr>
            </w:pPr>
            <w:r w:rsidRPr="00D77586">
              <w:rPr>
                <w:rFonts w:ascii="Times New Roman" w:hAnsi="Times New Roman" w:cs="Times New Roman"/>
                <w:color w:val="000000"/>
                <w:sz w:val="24"/>
                <w:szCs w:val="24"/>
              </w:rPr>
              <w:t>36%</w:t>
            </w:r>
          </w:p>
        </w:tc>
        <w:tc>
          <w:tcPr>
            <w:tcW w:w="1062" w:type="dxa"/>
            <w:noWrap/>
            <w:tcMar>
              <w:top w:w="0" w:type="dxa"/>
              <w:left w:w="144" w:type="dxa"/>
              <w:bottom w:w="0" w:type="dxa"/>
              <w:right w:w="0" w:type="dxa"/>
            </w:tcMar>
            <w:vAlign w:val="bottom"/>
            <w:hideMark/>
          </w:tcPr>
          <w:p w:rsidR="00924645" w:rsidRPr="00D77586" w:rsidRDefault="00924645" w:rsidP="00D77586">
            <w:pPr>
              <w:widowControl w:val="0"/>
              <w:jc w:val="center"/>
              <w:rPr>
                <w:rFonts w:ascii="Times New Roman" w:hAnsi="Times New Roman" w:cs="Times New Roman"/>
                <w:color w:val="000000"/>
                <w:sz w:val="24"/>
                <w:szCs w:val="24"/>
              </w:rPr>
            </w:pPr>
            <w:r w:rsidRPr="00D77586">
              <w:rPr>
                <w:rFonts w:ascii="Times New Roman" w:hAnsi="Times New Roman" w:cs="Times New Roman"/>
                <w:color w:val="000000"/>
                <w:sz w:val="24"/>
                <w:szCs w:val="24"/>
              </w:rPr>
              <w:t>22%</w:t>
            </w:r>
          </w:p>
        </w:tc>
        <w:tc>
          <w:tcPr>
            <w:tcW w:w="965" w:type="dxa"/>
            <w:noWrap/>
            <w:tcMar>
              <w:top w:w="0" w:type="dxa"/>
              <w:left w:w="144" w:type="dxa"/>
              <w:bottom w:w="0" w:type="dxa"/>
              <w:right w:w="0" w:type="dxa"/>
            </w:tcMar>
            <w:vAlign w:val="bottom"/>
            <w:hideMark/>
          </w:tcPr>
          <w:p w:rsidR="00924645" w:rsidRPr="00D77586" w:rsidRDefault="00924645" w:rsidP="00D77586">
            <w:pPr>
              <w:widowControl w:val="0"/>
              <w:jc w:val="center"/>
              <w:rPr>
                <w:rFonts w:ascii="Times New Roman" w:hAnsi="Times New Roman" w:cs="Times New Roman"/>
                <w:color w:val="000000"/>
                <w:sz w:val="24"/>
                <w:szCs w:val="24"/>
              </w:rPr>
            </w:pPr>
            <w:r w:rsidRPr="00D77586">
              <w:rPr>
                <w:rFonts w:ascii="Times New Roman" w:hAnsi="Times New Roman" w:cs="Times New Roman"/>
                <w:color w:val="000000"/>
                <w:sz w:val="24"/>
                <w:szCs w:val="24"/>
              </w:rPr>
              <w:t>42%</w:t>
            </w:r>
          </w:p>
        </w:tc>
      </w:tr>
      <w:tr w:rsidR="00924645" w:rsidRPr="00E95BD7" w:rsidTr="00616076">
        <w:trPr>
          <w:jc w:val="center"/>
        </w:trPr>
        <w:tc>
          <w:tcPr>
            <w:tcW w:w="6925" w:type="dxa"/>
            <w:hideMark/>
          </w:tcPr>
          <w:p w:rsidR="00924645" w:rsidRPr="00E95BD7" w:rsidRDefault="00924645" w:rsidP="00616076">
            <w:pPr>
              <w:pStyle w:val="NormalWeb"/>
              <w:widowControl w:val="0"/>
              <w:tabs>
                <w:tab w:val="right" w:leader="dot" w:pos="7740"/>
              </w:tabs>
              <w:spacing w:before="0" w:beforeAutospacing="0" w:after="0" w:afterAutospacing="0"/>
              <w:ind w:left="240" w:hanging="240"/>
              <w:jc w:val="both"/>
              <w:rPr>
                <w:color w:val="000000"/>
              </w:rPr>
            </w:pPr>
            <w:r w:rsidRPr="00E95BD7">
              <w:rPr>
                <w:color w:val="000000"/>
              </w:rPr>
              <w:t>All Other Officers</w:t>
            </w:r>
            <w:r w:rsidRPr="00E95BD7">
              <w:rPr>
                <w:color w:val="000000"/>
              </w:rPr>
              <w:tab/>
            </w:r>
          </w:p>
        </w:tc>
        <w:tc>
          <w:tcPr>
            <w:tcW w:w="984" w:type="dxa"/>
            <w:noWrap/>
            <w:tcMar>
              <w:top w:w="0" w:type="dxa"/>
              <w:left w:w="144" w:type="dxa"/>
              <w:bottom w:w="0" w:type="dxa"/>
              <w:right w:w="0" w:type="dxa"/>
            </w:tcMar>
            <w:vAlign w:val="bottom"/>
            <w:hideMark/>
          </w:tcPr>
          <w:p w:rsidR="00924645" w:rsidRPr="00D77586" w:rsidRDefault="00924645" w:rsidP="00D77586">
            <w:pPr>
              <w:widowControl w:val="0"/>
              <w:jc w:val="center"/>
              <w:rPr>
                <w:rFonts w:ascii="Times New Roman" w:hAnsi="Times New Roman" w:cs="Times New Roman"/>
                <w:color w:val="000000"/>
                <w:sz w:val="24"/>
                <w:szCs w:val="24"/>
              </w:rPr>
            </w:pPr>
            <w:r w:rsidRPr="00D77586">
              <w:rPr>
                <w:rFonts w:ascii="Times New Roman" w:hAnsi="Times New Roman" w:cs="Times New Roman"/>
                <w:color w:val="000000"/>
                <w:sz w:val="24"/>
                <w:szCs w:val="24"/>
              </w:rPr>
              <w:t>48%</w:t>
            </w:r>
          </w:p>
        </w:tc>
        <w:tc>
          <w:tcPr>
            <w:tcW w:w="1062" w:type="dxa"/>
            <w:noWrap/>
            <w:tcMar>
              <w:top w:w="0" w:type="dxa"/>
              <w:left w:w="144" w:type="dxa"/>
              <w:bottom w:w="0" w:type="dxa"/>
              <w:right w:w="0" w:type="dxa"/>
            </w:tcMar>
            <w:vAlign w:val="bottom"/>
            <w:hideMark/>
          </w:tcPr>
          <w:p w:rsidR="00924645" w:rsidRPr="00D77586" w:rsidRDefault="00924645" w:rsidP="00D77586">
            <w:pPr>
              <w:widowControl w:val="0"/>
              <w:jc w:val="center"/>
              <w:rPr>
                <w:rFonts w:ascii="Times New Roman" w:hAnsi="Times New Roman" w:cs="Times New Roman"/>
                <w:color w:val="000000"/>
                <w:sz w:val="24"/>
                <w:szCs w:val="24"/>
              </w:rPr>
            </w:pPr>
            <w:r w:rsidRPr="00D77586">
              <w:rPr>
                <w:rFonts w:ascii="Times New Roman" w:hAnsi="Times New Roman" w:cs="Times New Roman"/>
                <w:color w:val="000000"/>
                <w:sz w:val="24"/>
                <w:szCs w:val="24"/>
              </w:rPr>
              <w:t>19%</w:t>
            </w:r>
          </w:p>
        </w:tc>
        <w:tc>
          <w:tcPr>
            <w:tcW w:w="965" w:type="dxa"/>
            <w:noWrap/>
            <w:tcMar>
              <w:top w:w="0" w:type="dxa"/>
              <w:left w:w="144" w:type="dxa"/>
              <w:bottom w:w="0" w:type="dxa"/>
              <w:right w:w="0" w:type="dxa"/>
            </w:tcMar>
            <w:vAlign w:val="bottom"/>
            <w:hideMark/>
          </w:tcPr>
          <w:p w:rsidR="00924645" w:rsidRPr="00D77586" w:rsidRDefault="00924645" w:rsidP="00D77586">
            <w:pPr>
              <w:widowControl w:val="0"/>
              <w:jc w:val="center"/>
              <w:rPr>
                <w:rFonts w:ascii="Times New Roman" w:hAnsi="Times New Roman" w:cs="Times New Roman"/>
                <w:color w:val="000000"/>
                <w:sz w:val="24"/>
                <w:szCs w:val="24"/>
              </w:rPr>
            </w:pPr>
            <w:r w:rsidRPr="00D77586">
              <w:rPr>
                <w:rFonts w:ascii="Times New Roman" w:hAnsi="Times New Roman" w:cs="Times New Roman"/>
                <w:color w:val="000000"/>
                <w:sz w:val="24"/>
                <w:szCs w:val="24"/>
              </w:rPr>
              <w:t>33%</w:t>
            </w:r>
          </w:p>
        </w:tc>
      </w:tr>
    </w:tbl>
    <w:p w:rsidR="007F6B0C" w:rsidRDefault="007F6B0C" w:rsidP="007F6B0C">
      <w:pPr>
        <w:spacing w:line="120" w:lineRule="auto"/>
        <w:rPr>
          <w:rFonts w:ascii="Times New Roman" w:hAnsi="Times New Roman" w:cs="Times New Roman"/>
          <w:sz w:val="20"/>
          <w:szCs w:val="20"/>
        </w:rPr>
      </w:pPr>
    </w:p>
    <w:p w:rsidR="00B42C3A" w:rsidRPr="007F6B0C" w:rsidRDefault="007F6B0C" w:rsidP="007F6B0C">
      <w:pPr>
        <w:rPr>
          <w:rFonts w:ascii="Times New Roman" w:hAnsi="Times New Roman" w:cs="Times New Roman"/>
          <w:sz w:val="20"/>
          <w:szCs w:val="20"/>
        </w:rPr>
      </w:pPr>
      <w:r>
        <w:rPr>
          <w:rFonts w:ascii="Times New Roman" w:hAnsi="Times New Roman" w:cs="Times New Roman"/>
          <w:sz w:val="20"/>
          <w:szCs w:val="20"/>
        </w:rPr>
        <w:t>Source: 2012 Proxy Statement, Page 30</w:t>
      </w:r>
      <w:r w:rsidR="00D77586">
        <w:rPr>
          <w:rFonts w:ascii="Times New Roman" w:hAnsi="Times New Roman" w:cs="Times New Roman"/>
          <w:sz w:val="20"/>
          <w:szCs w:val="20"/>
        </w:rPr>
        <w:t xml:space="preserve"> (Attachment A)</w:t>
      </w:r>
    </w:p>
    <w:p w:rsidR="008A2B66" w:rsidRDefault="008A2B66" w:rsidP="001C6C6F">
      <w:pPr>
        <w:jc w:val="both"/>
        <w:rPr>
          <w:rFonts w:ascii="Times New Roman" w:hAnsi="Times New Roman" w:cs="Times New Roman"/>
          <w:sz w:val="24"/>
          <w:szCs w:val="24"/>
        </w:rPr>
      </w:pPr>
    </w:p>
    <w:p w:rsidR="00C255F6" w:rsidRPr="00E95BD7" w:rsidRDefault="004E2D1F" w:rsidP="001C6C6F">
      <w:pPr>
        <w:jc w:val="both"/>
        <w:rPr>
          <w:rFonts w:ascii="Times New Roman" w:hAnsi="Times New Roman" w:cs="Times New Roman"/>
          <w:sz w:val="24"/>
          <w:szCs w:val="24"/>
        </w:rPr>
      </w:pPr>
      <w:r w:rsidRPr="00E95BD7">
        <w:rPr>
          <w:rFonts w:ascii="Times New Roman" w:hAnsi="Times New Roman" w:cs="Times New Roman"/>
          <w:sz w:val="24"/>
          <w:szCs w:val="24"/>
        </w:rPr>
        <w:t xml:space="preserve">Base salary ranges for executive officers are determined according to position and responsibility by using market data provided by </w:t>
      </w:r>
      <w:r w:rsidR="00BB4463" w:rsidRPr="00E95BD7">
        <w:rPr>
          <w:rFonts w:ascii="Times New Roman" w:hAnsi="Times New Roman" w:cs="Times New Roman"/>
          <w:sz w:val="24"/>
          <w:szCs w:val="24"/>
        </w:rPr>
        <w:t xml:space="preserve">the Company’s independent executive compensation consultant, </w:t>
      </w:r>
      <w:r w:rsidRPr="00E95BD7">
        <w:rPr>
          <w:rFonts w:ascii="Times New Roman" w:hAnsi="Times New Roman" w:cs="Times New Roman"/>
          <w:sz w:val="24"/>
          <w:szCs w:val="24"/>
        </w:rPr>
        <w:t>Towers Watson</w:t>
      </w:r>
      <w:r w:rsidR="0036328D">
        <w:rPr>
          <w:rStyle w:val="FootnoteReference"/>
          <w:rFonts w:ascii="Times New Roman" w:hAnsi="Times New Roman" w:cs="Times New Roman"/>
          <w:sz w:val="24"/>
          <w:szCs w:val="24"/>
        </w:rPr>
        <w:footnoteReference w:id="5"/>
      </w:r>
      <w:r w:rsidRPr="00E95BD7">
        <w:rPr>
          <w:rFonts w:ascii="Times New Roman" w:hAnsi="Times New Roman" w:cs="Times New Roman"/>
          <w:sz w:val="24"/>
          <w:szCs w:val="24"/>
        </w:rPr>
        <w:t xml:space="preserve">. </w:t>
      </w:r>
      <w:r w:rsidR="00B902E7" w:rsidRPr="00E95BD7">
        <w:rPr>
          <w:rFonts w:ascii="Times New Roman" w:hAnsi="Times New Roman" w:cs="Times New Roman"/>
          <w:sz w:val="24"/>
          <w:szCs w:val="24"/>
        </w:rPr>
        <w:t>See Section 2</w:t>
      </w:r>
      <w:r w:rsidR="00E3327E" w:rsidRPr="00E95BD7">
        <w:rPr>
          <w:rFonts w:ascii="Times New Roman" w:hAnsi="Times New Roman" w:cs="Times New Roman"/>
          <w:sz w:val="24"/>
          <w:szCs w:val="24"/>
        </w:rPr>
        <w:t>,</w:t>
      </w:r>
      <w:r w:rsidR="00B902E7" w:rsidRPr="00E95BD7">
        <w:rPr>
          <w:rFonts w:ascii="Times New Roman" w:hAnsi="Times New Roman" w:cs="Times New Roman"/>
          <w:sz w:val="24"/>
          <w:szCs w:val="24"/>
        </w:rPr>
        <w:t xml:space="preserve"> </w:t>
      </w:r>
      <w:r w:rsidR="00E3327E" w:rsidRPr="00E95BD7">
        <w:rPr>
          <w:rFonts w:ascii="Times New Roman" w:hAnsi="Times New Roman" w:cs="Times New Roman"/>
          <w:sz w:val="24"/>
          <w:szCs w:val="24"/>
        </w:rPr>
        <w:t>“</w:t>
      </w:r>
      <w:r w:rsidR="00B902E7" w:rsidRPr="00E95BD7">
        <w:rPr>
          <w:rFonts w:ascii="Times New Roman" w:hAnsi="Times New Roman" w:cs="Times New Roman"/>
          <w:sz w:val="24"/>
          <w:szCs w:val="24"/>
          <w:u w:val="single"/>
        </w:rPr>
        <w:t xml:space="preserve">Setting of Executive </w:t>
      </w:r>
      <w:r w:rsidR="005B1BF1" w:rsidRPr="00E95BD7">
        <w:rPr>
          <w:rFonts w:ascii="Times New Roman" w:hAnsi="Times New Roman" w:cs="Times New Roman"/>
          <w:sz w:val="24"/>
          <w:szCs w:val="24"/>
          <w:u w:val="single"/>
        </w:rPr>
        <w:t xml:space="preserve">Officer </w:t>
      </w:r>
      <w:r w:rsidR="00B902E7" w:rsidRPr="00E95BD7">
        <w:rPr>
          <w:rFonts w:ascii="Times New Roman" w:hAnsi="Times New Roman" w:cs="Times New Roman"/>
          <w:sz w:val="24"/>
          <w:szCs w:val="24"/>
          <w:u w:val="single"/>
        </w:rPr>
        <w:t>Compensation</w:t>
      </w:r>
      <w:r w:rsidR="00E3327E" w:rsidRPr="00E95BD7">
        <w:rPr>
          <w:rFonts w:ascii="Times New Roman" w:hAnsi="Times New Roman" w:cs="Times New Roman"/>
          <w:sz w:val="24"/>
          <w:szCs w:val="24"/>
          <w:u w:val="single"/>
        </w:rPr>
        <w:t xml:space="preserve"> Levels”</w:t>
      </w:r>
      <w:r w:rsidR="00B902E7" w:rsidRPr="00E95BD7">
        <w:rPr>
          <w:rFonts w:ascii="Times New Roman" w:hAnsi="Times New Roman" w:cs="Times New Roman"/>
          <w:sz w:val="24"/>
          <w:szCs w:val="24"/>
        </w:rPr>
        <w:t xml:space="preserve"> for additional information on how levels of executive </w:t>
      </w:r>
      <w:r w:rsidR="005B1BF1" w:rsidRPr="00E95BD7">
        <w:rPr>
          <w:rFonts w:ascii="Times New Roman" w:hAnsi="Times New Roman" w:cs="Times New Roman"/>
          <w:sz w:val="24"/>
          <w:szCs w:val="24"/>
        </w:rPr>
        <w:t xml:space="preserve">officer </w:t>
      </w:r>
      <w:r w:rsidR="00B902E7" w:rsidRPr="00E95BD7">
        <w:rPr>
          <w:rFonts w:ascii="Times New Roman" w:hAnsi="Times New Roman" w:cs="Times New Roman"/>
          <w:sz w:val="24"/>
          <w:szCs w:val="24"/>
        </w:rPr>
        <w:t xml:space="preserve">compensation </w:t>
      </w:r>
      <w:r w:rsidR="00E3327E" w:rsidRPr="00E95BD7">
        <w:rPr>
          <w:rFonts w:ascii="Times New Roman" w:hAnsi="Times New Roman" w:cs="Times New Roman"/>
          <w:sz w:val="24"/>
          <w:szCs w:val="24"/>
        </w:rPr>
        <w:t xml:space="preserve">are </w:t>
      </w:r>
      <w:r w:rsidR="00B902E7" w:rsidRPr="00E95BD7">
        <w:rPr>
          <w:rFonts w:ascii="Times New Roman" w:hAnsi="Times New Roman" w:cs="Times New Roman"/>
          <w:sz w:val="24"/>
          <w:szCs w:val="24"/>
        </w:rPr>
        <w:t xml:space="preserve">set. </w:t>
      </w:r>
    </w:p>
    <w:p w:rsidR="001C6C6F" w:rsidRPr="00E95BD7" w:rsidRDefault="001C6C6F" w:rsidP="001C6C6F">
      <w:pPr>
        <w:jc w:val="both"/>
        <w:rPr>
          <w:rFonts w:ascii="Times New Roman" w:hAnsi="Times New Roman" w:cs="Times New Roman"/>
          <w:b/>
          <w:sz w:val="24"/>
          <w:szCs w:val="24"/>
          <w:u w:val="single"/>
        </w:rPr>
      </w:pPr>
    </w:p>
    <w:p w:rsidR="007E4642" w:rsidRPr="00E95BD7" w:rsidRDefault="003E6999" w:rsidP="00182EEC">
      <w:pPr>
        <w:jc w:val="both"/>
        <w:rPr>
          <w:rFonts w:ascii="Times New Roman" w:hAnsi="Times New Roman" w:cs="Times New Roman"/>
          <w:b/>
          <w:sz w:val="24"/>
          <w:szCs w:val="24"/>
          <w:u w:val="single"/>
        </w:rPr>
      </w:pPr>
      <w:r w:rsidRPr="00E95BD7">
        <w:rPr>
          <w:rFonts w:ascii="Times New Roman" w:hAnsi="Times New Roman" w:cs="Times New Roman"/>
          <w:b/>
          <w:sz w:val="24"/>
          <w:szCs w:val="24"/>
          <w:u w:val="single"/>
        </w:rPr>
        <w:t xml:space="preserve">Executive </w:t>
      </w:r>
      <w:r w:rsidR="001845C5">
        <w:rPr>
          <w:rFonts w:ascii="Times New Roman" w:hAnsi="Times New Roman" w:cs="Times New Roman"/>
          <w:b/>
          <w:sz w:val="24"/>
          <w:szCs w:val="24"/>
          <w:u w:val="single"/>
        </w:rPr>
        <w:t xml:space="preserve">Officer </w:t>
      </w:r>
      <w:r w:rsidRPr="00E95BD7">
        <w:rPr>
          <w:rFonts w:ascii="Times New Roman" w:hAnsi="Times New Roman" w:cs="Times New Roman"/>
          <w:b/>
          <w:sz w:val="24"/>
          <w:szCs w:val="24"/>
          <w:u w:val="single"/>
        </w:rPr>
        <w:t>Short Term Incentive Plan</w:t>
      </w:r>
      <w:r w:rsidR="00BD48BA" w:rsidRPr="00E95BD7">
        <w:rPr>
          <w:rFonts w:ascii="Times New Roman" w:hAnsi="Times New Roman" w:cs="Times New Roman"/>
          <w:b/>
          <w:sz w:val="24"/>
          <w:szCs w:val="24"/>
          <w:u w:val="single"/>
        </w:rPr>
        <w:t xml:space="preserve"> (STIP)</w:t>
      </w:r>
      <w:r w:rsidR="00336533" w:rsidRPr="00E95BD7">
        <w:rPr>
          <w:noProof/>
        </w:rPr>
        <w:t xml:space="preserve"> </w:t>
      </w:r>
    </w:p>
    <w:p w:rsidR="00BE4B5E" w:rsidRDefault="006C488B" w:rsidP="00182EEC">
      <w:pPr>
        <w:jc w:val="both"/>
        <w:rPr>
          <w:rFonts w:ascii="Times New Roman" w:hAnsi="Times New Roman" w:cs="Times New Roman"/>
          <w:sz w:val="24"/>
          <w:szCs w:val="24"/>
        </w:rPr>
      </w:pPr>
      <w:r w:rsidRPr="00E95BD7">
        <w:rPr>
          <w:rFonts w:ascii="Times New Roman" w:hAnsi="Times New Roman" w:cs="Times New Roman"/>
          <w:sz w:val="24"/>
          <w:szCs w:val="24"/>
        </w:rPr>
        <w:lastRenderedPageBreak/>
        <w:t xml:space="preserve">The 2011 Executive </w:t>
      </w:r>
      <w:r w:rsidR="005B1BF1" w:rsidRPr="00E95BD7">
        <w:rPr>
          <w:rFonts w:ascii="Times New Roman" w:hAnsi="Times New Roman" w:cs="Times New Roman"/>
          <w:sz w:val="24"/>
          <w:szCs w:val="24"/>
        </w:rPr>
        <w:t xml:space="preserve">Officer </w:t>
      </w:r>
      <w:r w:rsidRPr="00E95BD7">
        <w:rPr>
          <w:rFonts w:ascii="Times New Roman" w:hAnsi="Times New Roman" w:cs="Times New Roman"/>
          <w:sz w:val="24"/>
          <w:szCs w:val="24"/>
        </w:rPr>
        <w:t>S</w:t>
      </w:r>
      <w:r w:rsidR="00B659D6" w:rsidRPr="00E95BD7">
        <w:rPr>
          <w:rFonts w:ascii="Times New Roman" w:hAnsi="Times New Roman" w:cs="Times New Roman"/>
          <w:sz w:val="24"/>
          <w:szCs w:val="24"/>
        </w:rPr>
        <w:t>h</w:t>
      </w:r>
      <w:r w:rsidRPr="00E95BD7">
        <w:rPr>
          <w:rFonts w:ascii="Times New Roman" w:hAnsi="Times New Roman" w:cs="Times New Roman"/>
          <w:sz w:val="24"/>
          <w:szCs w:val="24"/>
        </w:rPr>
        <w:t>ort Term Incentive Plan</w:t>
      </w:r>
      <w:r w:rsidR="00877951" w:rsidRPr="00E95BD7">
        <w:rPr>
          <w:rFonts w:ascii="Times New Roman" w:hAnsi="Times New Roman" w:cs="Times New Roman"/>
          <w:sz w:val="24"/>
          <w:szCs w:val="24"/>
        </w:rPr>
        <w:t xml:space="preserve"> (STIP)</w:t>
      </w:r>
      <w:r w:rsidRPr="00E95BD7">
        <w:rPr>
          <w:rFonts w:ascii="Times New Roman" w:hAnsi="Times New Roman" w:cs="Times New Roman"/>
          <w:sz w:val="24"/>
          <w:szCs w:val="24"/>
        </w:rPr>
        <w:t xml:space="preserve"> was designed to align the interests of senior management with</w:t>
      </w:r>
      <w:r w:rsidR="00C10C37" w:rsidRPr="00E95BD7">
        <w:rPr>
          <w:rFonts w:ascii="Times New Roman" w:hAnsi="Times New Roman" w:cs="Times New Roman"/>
          <w:sz w:val="24"/>
          <w:szCs w:val="24"/>
        </w:rPr>
        <w:t xml:space="preserve"> both</w:t>
      </w:r>
      <w:r w:rsidRPr="00E95BD7">
        <w:rPr>
          <w:rFonts w:ascii="Times New Roman" w:hAnsi="Times New Roman" w:cs="Times New Roman"/>
          <w:sz w:val="24"/>
          <w:szCs w:val="24"/>
        </w:rPr>
        <w:t xml:space="preserve"> shareholder and customer interests</w:t>
      </w:r>
      <w:r w:rsidR="00C10C37" w:rsidRPr="00E95BD7">
        <w:rPr>
          <w:rFonts w:ascii="Times New Roman" w:hAnsi="Times New Roman" w:cs="Times New Roman"/>
          <w:sz w:val="24"/>
          <w:szCs w:val="24"/>
        </w:rPr>
        <w:t>.</w:t>
      </w:r>
      <w:r w:rsidRPr="00E95BD7">
        <w:rPr>
          <w:rFonts w:ascii="Times New Roman" w:hAnsi="Times New Roman" w:cs="Times New Roman"/>
          <w:sz w:val="24"/>
          <w:szCs w:val="24"/>
        </w:rPr>
        <w:t xml:space="preserve"> </w:t>
      </w:r>
      <w:r w:rsidR="00C10C37" w:rsidRPr="00E95BD7">
        <w:rPr>
          <w:rFonts w:ascii="Times New Roman" w:hAnsi="Times New Roman" w:cs="Times New Roman"/>
          <w:sz w:val="24"/>
          <w:szCs w:val="24"/>
        </w:rPr>
        <w:t>T</w:t>
      </w:r>
      <w:r w:rsidR="00840A0B" w:rsidRPr="00E95BD7">
        <w:rPr>
          <w:rFonts w:ascii="Times New Roman" w:hAnsi="Times New Roman" w:cs="Times New Roman"/>
          <w:sz w:val="24"/>
          <w:szCs w:val="24"/>
        </w:rPr>
        <w:t>he</w:t>
      </w:r>
      <w:r w:rsidR="00877951" w:rsidRPr="00E95BD7">
        <w:rPr>
          <w:rFonts w:ascii="Times New Roman" w:hAnsi="Times New Roman" w:cs="Times New Roman"/>
          <w:sz w:val="24"/>
          <w:szCs w:val="24"/>
        </w:rPr>
        <w:t xml:space="preserve"> STIP </w:t>
      </w:r>
      <w:r w:rsidR="00840A0B" w:rsidRPr="00E95BD7">
        <w:rPr>
          <w:rFonts w:ascii="Times New Roman" w:hAnsi="Times New Roman" w:cs="Times New Roman"/>
          <w:sz w:val="24"/>
          <w:szCs w:val="24"/>
        </w:rPr>
        <w:t xml:space="preserve">has </w:t>
      </w:r>
      <w:r w:rsidR="004E3524" w:rsidRPr="00E95BD7">
        <w:rPr>
          <w:rFonts w:ascii="Times New Roman" w:hAnsi="Times New Roman" w:cs="Times New Roman"/>
          <w:sz w:val="24"/>
          <w:szCs w:val="24"/>
        </w:rPr>
        <w:t>five</w:t>
      </w:r>
      <w:r w:rsidR="00840A0B" w:rsidRPr="00E95BD7">
        <w:rPr>
          <w:rFonts w:ascii="Times New Roman" w:hAnsi="Times New Roman" w:cs="Times New Roman"/>
          <w:sz w:val="24"/>
          <w:szCs w:val="24"/>
        </w:rPr>
        <w:t xml:space="preserve"> operational components</w:t>
      </w:r>
      <w:r w:rsidR="00032667">
        <w:rPr>
          <w:rFonts w:ascii="Times New Roman" w:hAnsi="Times New Roman" w:cs="Times New Roman"/>
          <w:sz w:val="24"/>
          <w:szCs w:val="24"/>
        </w:rPr>
        <w:t>,</w:t>
      </w:r>
      <w:r w:rsidR="00840A0B" w:rsidRPr="00E95BD7">
        <w:rPr>
          <w:rFonts w:ascii="Times New Roman" w:hAnsi="Times New Roman" w:cs="Times New Roman"/>
          <w:sz w:val="24"/>
          <w:szCs w:val="24"/>
        </w:rPr>
        <w:t xml:space="preserve"> plus two earnings</w:t>
      </w:r>
      <w:r w:rsidR="00F2726A" w:rsidRPr="00E95BD7">
        <w:rPr>
          <w:rFonts w:ascii="Times New Roman" w:hAnsi="Times New Roman" w:cs="Times New Roman"/>
          <w:sz w:val="24"/>
          <w:szCs w:val="24"/>
        </w:rPr>
        <w:t>-per-share</w:t>
      </w:r>
      <w:r w:rsidR="00840A0B" w:rsidRPr="00E95BD7">
        <w:rPr>
          <w:rFonts w:ascii="Times New Roman" w:hAnsi="Times New Roman" w:cs="Times New Roman"/>
          <w:sz w:val="24"/>
          <w:szCs w:val="24"/>
        </w:rPr>
        <w:t xml:space="preserve"> </w:t>
      </w:r>
      <w:r w:rsidR="0038068D" w:rsidRPr="00E95BD7">
        <w:rPr>
          <w:rFonts w:ascii="Times New Roman" w:hAnsi="Times New Roman" w:cs="Times New Roman"/>
          <w:sz w:val="24"/>
          <w:szCs w:val="24"/>
        </w:rPr>
        <w:t xml:space="preserve">(EPS) </w:t>
      </w:r>
      <w:r w:rsidR="00840A0B" w:rsidRPr="00E95BD7">
        <w:rPr>
          <w:rFonts w:ascii="Times New Roman" w:hAnsi="Times New Roman" w:cs="Times New Roman"/>
          <w:sz w:val="24"/>
          <w:szCs w:val="24"/>
        </w:rPr>
        <w:t>components</w:t>
      </w:r>
      <w:r w:rsidR="00BE4B5E">
        <w:rPr>
          <w:rFonts w:ascii="Times New Roman" w:hAnsi="Times New Roman" w:cs="Times New Roman"/>
          <w:sz w:val="24"/>
          <w:szCs w:val="24"/>
        </w:rPr>
        <w:t xml:space="preserve">, as shown in Illustration 3.  </w:t>
      </w:r>
    </w:p>
    <w:p w:rsidR="00BE4B5E" w:rsidRDefault="00BE4B5E" w:rsidP="00182EEC">
      <w:pPr>
        <w:jc w:val="both"/>
        <w:rPr>
          <w:rFonts w:ascii="Times New Roman" w:hAnsi="Times New Roman" w:cs="Times New Roman"/>
          <w:sz w:val="24"/>
          <w:szCs w:val="24"/>
        </w:rPr>
      </w:pPr>
    </w:p>
    <w:p w:rsidR="00BE4B5E" w:rsidRPr="00A5062F" w:rsidRDefault="009C1C2A" w:rsidP="00182EEC">
      <w:pPr>
        <w:jc w:val="both"/>
        <w:rPr>
          <w:rFonts w:ascii="Times New Roman" w:hAnsi="Times New Roman" w:cs="Times New Roman"/>
          <w:b/>
          <w:sz w:val="24"/>
          <w:szCs w:val="24"/>
          <w:u w:val="single"/>
        </w:rPr>
      </w:pPr>
      <w:r w:rsidRPr="00A5062F">
        <w:rPr>
          <w:rFonts w:ascii="Times New Roman" w:hAnsi="Times New Roman" w:cs="Times New Roman"/>
          <w:b/>
          <w:sz w:val="24"/>
          <w:szCs w:val="24"/>
          <w:u w:val="single"/>
        </w:rPr>
        <w:t>Illustration 3</w:t>
      </w:r>
    </w:p>
    <w:p w:rsidR="00BE4B5E" w:rsidRDefault="009C1C2A" w:rsidP="00182EEC">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1169035</wp:posOffset>
            </wp:positionH>
            <wp:positionV relativeFrom="paragraph">
              <wp:posOffset>124460</wp:posOffset>
            </wp:positionV>
            <wp:extent cx="4010025" cy="3489960"/>
            <wp:effectExtent l="19050" t="0" r="9525" b="0"/>
            <wp:wrapTight wrapText="bothSides">
              <wp:wrapPolygon edited="0">
                <wp:start x="-103" y="0"/>
                <wp:lineTo x="-103" y="21459"/>
                <wp:lineTo x="21651" y="21459"/>
                <wp:lineTo x="21651" y="0"/>
                <wp:lineTo x="-10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010025" cy="3489960"/>
                    </a:xfrm>
                    <a:prstGeom prst="rect">
                      <a:avLst/>
                    </a:prstGeom>
                    <a:noFill/>
                    <a:ln w="9525">
                      <a:noFill/>
                      <a:miter lim="800000"/>
                      <a:headEnd/>
                      <a:tailEnd/>
                    </a:ln>
                  </pic:spPr>
                </pic:pic>
              </a:graphicData>
            </a:graphic>
          </wp:anchor>
        </w:drawing>
      </w: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BE4B5E" w:rsidRDefault="00BE4B5E" w:rsidP="00182EEC">
      <w:pPr>
        <w:jc w:val="both"/>
        <w:rPr>
          <w:rFonts w:ascii="Times New Roman" w:hAnsi="Times New Roman" w:cs="Times New Roman"/>
          <w:sz w:val="24"/>
          <w:szCs w:val="24"/>
        </w:rPr>
      </w:pPr>
    </w:p>
    <w:p w:rsidR="009C1C2A" w:rsidRDefault="009C1C2A" w:rsidP="00182EEC">
      <w:pPr>
        <w:jc w:val="both"/>
        <w:rPr>
          <w:rFonts w:ascii="Times New Roman" w:hAnsi="Times New Roman" w:cs="Times New Roman"/>
          <w:sz w:val="24"/>
          <w:szCs w:val="24"/>
        </w:rPr>
      </w:pPr>
    </w:p>
    <w:p w:rsidR="009C1C2A" w:rsidRDefault="009C1C2A" w:rsidP="00182EEC">
      <w:pPr>
        <w:jc w:val="both"/>
        <w:rPr>
          <w:rFonts w:ascii="Times New Roman" w:hAnsi="Times New Roman" w:cs="Times New Roman"/>
          <w:sz w:val="24"/>
          <w:szCs w:val="24"/>
        </w:rPr>
      </w:pPr>
    </w:p>
    <w:p w:rsidR="009C1C2A" w:rsidRDefault="009C1C2A" w:rsidP="00182EEC">
      <w:pPr>
        <w:jc w:val="both"/>
        <w:rPr>
          <w:rFonts w:ascii="Times New Roman" w:hAnsi="Times New Roman" w:cs="Times New Roman"/>
          <w:sz w:val="24"/>
          <w:szCs w:val="24"/>
        </w:rPr>
      </w:pPr>
    </w:p>
    <w:p w:rsidR="009C1C2A" w:rsidRDefault="009C1C2A" w:rsidP="00182EEC">
      <w:pPr>
        <w:jc w:val="both"/>
        <w:rPr>
          <w:rFonts w:ascii="Times New Roman" w:hAnsi="Times New Roman" w:cs="Times New Roman"/>
          <w:sz w:val="24"/>
          <w:szCs w:val="24"/>
        </w:rPr>
      </w:pPr>
    </w:p>
    <w:p w:rsidR="000F59D3" w:rsidRPr="00E95BD7" w:rsidRDefault="00B01CD6" w:rsidP="00182EEC">
      <w:pPr>
        <w:jc w:val="both"/>
        <w:rPr>
          <w:rFonts w:ascii="Times New Roman" w:hAnsi="Times New Roman" w:cs="Times New Roman"/>
          <w:sz w:val="24"/>
          <w:szCs w:val="24"/>
        </w:rPr>
      </w:pPr>
      <w:r w:rsidRPr="00E95BD7">
        <w:rPr>
          <w:rFonts w:ascii="Times New Roman" w:hAnsi="Times New Roman" w:cs="Times New Roman"/>
          <w:sz w:val="24"/>
          <w:szCs w:val="24"/>
        </w:rPr>
        <w:t xml:space="preserve">The total amount associated with utility operational components is 40% and is broken down as follows: </w:t>
      </w:r>
      <w:r w:rsidR="004E3524" w:rsidRPr="00E95BD7">
        <w:rPr>
          <w:rFonts w:ascii="Times New Roman" w:hAnsi="Times New Roman" w:cs="Times New Roman"/>
          <w:sz w:val="24"/>
          <w:szCs w:val="24"/>
        </w:rPr>
        <w:t>2</w:t>
      </w:r>
      <w:r w:rsidR="00032667">
        <w:rPr>
          <w:rFonts w:ascii="Times New Roman" w:hAnsi="Times New Roman" w:cs="Times New Roman"/>
          <w:sz w:val="24"/>
          <w:szCs w:val="24"/>
        </w:rPr>
        <w:t>0% O&amp;M Cost P</w:t>
      </w:r>
      <w:r w:rsidR="000F59D3" w:rsidRPr="00E95BD7">
        <w:rPr>
          <w:rFonts w:ascii="Times New Roman" w:hAnsi="Times New Roman" w:cs="Times New Roman"/>
          <w:sz w:val="24"/>
          <w:szCs w:val="24"/>
        </w:rPr>
        <w:t xml:space="preserve">er Customer, </w:t>
      </w:r>
      <w:r w:rsidRPr="00E95BD7">
        <w:rPr>
          <w:rFonts w:ascii="Times New Roman" w:hAnsi="Times New Roman" w:cs="Times New Roman"/>
          <w:sz w:val="24"/>
          <w:szCs w:val="24"/>
        </w:rPr>
        <w:t>5</w:t>
      </w:r>
      <w:r w:rsidR="000F59D3" w:rsidRPr="00E95BD7">
        <w:rPr>
          <w:rFonts w:ascii="Times New Roman" w:hAnsi="Times New Roman" w:cs="Times New Roman"/>
          <w:sz w:val="24"/>
          <w:szCs w:val="24"/>
        </w:rPr>
        <w:t>% Customer Satisfaction</w:t>
      </w:r>
      <w:r w:rsidR="004E3524" w:rsidRPr="00E95BD7">
        <w:rPr>
          <w:rFonts w:ascii="Times New Roman" w:hAnsi="Times New Roman" w:cs="Times New Roman"/>
          <w:sz w:val="24"/>
          <w:szCs w:val="24"/>
        </w:rPr>
        <w:t>, 5% Reliability, 5% Response Time</w:t>
      </w:r>
      <w:r w:rsidR="000F59D3" w:rsidRPr="00E95BD7">
        <w:rPr>
          <w:rFonts w:ascii="Times New Roman" w:hAnsi="Times New Roman" w:cs="Times New Roman"/>
          <w:sz w:val="24"/>
          <w:szCs w:val="24"/>
        </w:rPr>
        <w:t xml:space="preserve"> and </w:t>
      </w:r>
      <w:r w:rsidR="004E3524" w:rsidRPr="00E95BD7">
        <w:rPr>
          <w:rFonts w:ascii="Times New Roman" w:hAnsi="Times New Roman" w:cs="Times New Roman"/>
          <w:sz w:val="24"/>
          <w:szCs w:val="24"/>
        </w:rPr>
        <w:t>5%</w:t>
      </w:r>
      <w:r w:rsidR="000F59D3" w:rsidRPr="00E95BD7">
        <w:rPr>
          <w:rFonts w:ascii="Times New Roman" w:hAnsi="Times New Roman" w:cs="Times New Roman"/>
          <w:sz w:val="24"/>
          <w:szCs w:val="24"/>
        </w:rPr>
        <w:t xml:space="preserve"> </w:t>
      </w:r>
      <w:r w:rsidR="004E3524" w:rsidRPr="00E95BD7">
        <w:rPr>
          <w:rFonts w:ascii="Times New Roman" w:hAnsi="Times New Roman" w:cs="Times New Roman"/>
          <w:sz w:val="24"/>
          <w:szCs w:val="24"/>
        </w:rPr>
        <w:t>Performance Excellence</w:t>
      </w:r>
      <w:r w:rsidR="000F59D3" w:rsidRPr="00E95BD7">
        <w:rPr>
          <w:rFonts w:ascii="Times New Roman" w:hAnsi="Times New Roman" w:cs="Times New Roman"/>
          <w:sz w:val="24"/>
          <w:szCs w:val="24"/>
        </w:rPr>
        <w:t>.</w:t>
      </w:r>
      <w:r w:rsidR="00616076">
        <w:rPr>
          <w:rFonts w:ascii="Times New Roman" w:hAnsi="Times New Roman" w:cs="Times New Roman"/>
          <w:sz w:val="24"/>
          <w:szCs w:val="24"/>
        </w:rPr>
        <w:t xml:space="preserve"> </w:t>
      </w:r>
      <w:r w:rsidR="000F59D3" w:rsidRPr="00E95BD7">
        <w:rPr>
          <w:rFonts w:ascii="Times New Roman" w:hAnsi="Times New Roman" w:cs="Times New Roman"/>
          <w:sz w:val="24"/>
          <w:szCs w:val="24"/>
        </w:rPr>
        <w:t>The</w:t>
      </w:r>
      <w:r w:rsidR="00616076">
        <w:rPr>
          <w:rFonts w:ascii="Times New Roman" w:hAnsi="Times New Roman" w:cs="Times New Roman"/>
          <w:sz w:val="24"/>
          <w:szCs w:val="24"/>
        </w:rPr>
        <w:t xml:space="preserve"> </w:t>
      </w:r>
      <w:r w:rsidR="000F59D3" w:rsidRPr="00E95BD7">
        <w:rPr>
          <w:rFonts w:ascii="Times New Roman" w:hAnsi="Times New Roman" w:cs="Times New Roman"/>
          <w:sz w:val="24"/>
          <w:szCs w:val="24"/>
        </w:rPr>
        <w:t>earning</w:t>
      </w:r>
      <w:r w:rsidR="00F51701" w:rsidRPr="00E95BD7">
        <w:rPr>
          <w:rFonts w:ascii="Times New Roman" w:hAnsi="Times New Roman" w:cs="Times New Roman"/>
          <w:sz w:val="24"/>
          <w:szCs w:val="24"/>
        </w:rPr>
        <w:t>s</w:t>
      </w:r>
      <w:r w:rsidR="00F2726A" w:rsidRPr="00E95BD7">
        <w:rPr>
          <w:rFonts w:ascii="Times New Roman" w:hAnsi="Times New Roman" w:cs="Times New Roman"/>
          <w:sz w:val="24"/>
          <w:szCs w:val="24"/>
        </w:rPr>
        <w:t>-per-share</w:t>
      </w:r>
      <w:r w:rsidR="000F59D3" w:rsidRPr="00E95BD7">
        <w:rPr>
          <w:rFonts w:ascii="Times New Roman" w:hAnsi="Times New Roman" w:cs="Times New Roman"/>
          <w:sz w:val="24"/>
          <w:szCs w:val="24"/>
        </w:rPr>
        <w:t xml:space="preserve"> components account for 60% of the total </w:t>
      </w:r>
      <w:r w:rsidR="00D37DA2">
        <w:rPr>
          <w:rFonts w:ascii="Times New Roman" w:hAnsi="Times New Roman" w:cs="Times New Roman"/>
          <w:sz w:val="24"/>
          <w:szCs w:val="24"/>
        </w:rPr>
        <w:t>opportunity</w:t>
      </w:r>
      <w:r w:rsidR="000F59D3" w:rsidRPr="00E95BD7">
        <w:rPr>
          <w:rFonts w:ascii="Times New Roman" w:hAnsi="Times New Roman" w:cs="Times New Roman"/>
          <w:sz w:val="24"/>
          <w:szCs w:val="24"/>
        </w:rPr>
        <w:t xml:space="preserve"> and are broken out into</w:t>
      </w:r>
      <w:r w:rsidR="00840A0B" w:rsidRPr="00E95BD7">
        <w:rPr>
          <w:rFonts w:ascii="Times New Roman" w:hAnsi="Times New Roman" w:cs="Times New Roman"/>
          <w:sz w:val="24"/>
          <w:szCs w:val="24"/>
        </w:rPr>
        <w:t xml:space="preserve"> </w:t>
      </w:r>
      <w:r w:rsidR="000F59D3" w:rsidRPr="00E95BD7">
        <w:rPr>
          <w:rFonts w:ascii="Times New Roman" w:hAnsi="Times New Roman" w:cs="Times New Roman"/>
          <w:sz w:val="24"/>
          <w:szCs w:val="24"/>
        </w:rPr>
        <w:t xml:space="preserve">50% </w:t>
      </w:r>
      <w:r w:rsidR="00032667">
        <w:rPr>
          <w:rFonts w:ascii="Times New Roman" w:hAnsi="Times New Roman" w:cs="Times New Roman"/>
          <w:sz w:val="24"/>
          <w:szCs w:val="24"/>
        </w:rPr>
        <w:t>u</w:t>
      </w:r>
      <w:r w:rsidR="00840A0B" w:rsidRPr="00E95BD7">
        <w:rPr>
          <w:rFonts w:ascii="Times New Roman" w:hAnsi="Times New Roman" w:cs="Times New Roman"/>
          <w:sz w:val="24"/>
          <w:szCs w:val="24"/>
        </w:rPr>
        <w:t xml:space="preserve">tility </w:t>
      </w:r>
      <w:r w:rsidR="00A619B2" w:rsidRPr="00E95BD7">
        <w:rPr>
          <w:rFonts w:ascii="Times New Roman" w:hAnsi="Times New Roman" w:cs="Times New Roman"/>
          <w:sz w:val="24"/>
          <w:szCs w:val="24"/>
        </w:rPr>
        <w:t>e</w:t>
      </w:r>
      <w:r w:rsidR="00840A0B" w:rsidRPr="00E95BD7">
        <w:rPr>
          <w:rFonts w:ascii="Times New Roman" w:hAnsi="Times New Roman" w:cs="Times New Roman"/>
          <w:sz w:val="24"/>
          <w:szCs w:val="24"/>
        </w:rPr>
        <w:t>arnings</w:t>
      </w:r>
      <w:r w:rsidR="00A619B2" w:rsidRPr="00E95BD7">
        <w:rPr>
          <w:rFonts w:ascii="Times New Roman" w:hAnsi="Times New Roman" w:cs="Times New Roman"/>
          <w:sz w:val="24"/>
          <w:szCs w:val="24"/>
        </w:rPr>
        <w:t>-</w:t>
      </w:r>
      <w:r w:rsidR="00840A0B" w:rsidRPr="00E95BD7">
        <w:rPr>
          <w:rFonts w:ascii="Times New Roman" w:hAnsi="Times New Roman" w:cs="Times New Roman"/>
          <w:sz w:val="24"/>
          <w:szCs w:val="24"/>
        </w:rPr>
        <w:t>per</w:t>
      </w:r>
      <w:r w:rsidR="00A619B2" w:rsidRPr="00E95BD7">
        <w:rPr>
          <w:rFonts w:ascii="Times New Roman" w:hAnsi="Times New Roman" w:cs="Times New Roman"/>
          <w:sz w:val="24"/>
          <w:szCs w:val="24"/>
        </w:rPr>
        <w:t>-</w:t>
      </w:r>
      <w:r w:rsidR="00CC4E5A" w:rsidRPr="00E95BD7">
        <w:rPr>
          <w:rFonts w:ascii="Times New Roman" w:hAnsi="Times New Roman" w:cs="Times New Roman"/>
          <w:sz w:val="24"/>
          <w:szCs w:val="24"/>
        </w:rPr>
        <w:t>s</w:t>
      </w:r>
      <w:r w:rsidR="00840A0B" w:rsidRPr="00E95BD7">
        <w:rPr>
          <w:rFonts w:ascii="Times New Roman" w:hAnsi="Times New Roman" w:cs="Times New Roman"/>
          <w:sz w:val="24"/>
          <w:szCs w:val="24"/>
        </w:rPr>
        <w:t xml:space="preserve">hare and </w:t>
      </w:r>
      <w:r w:rsidR="000F59D3" w:rsidRPr="00E95BD7">
        <w:rPr>
          <w:rFonts w:ascii="Times New Roman" w:hAnsi="Times New Roman" w:cs="Times New Roman"/>
          <w:sz w:val="24"/>
          <w:szCs w:val="24"/>
        </w:rPr>
        <w:t xml:space="preserve">10% </w:t>
      </w:r>
      <w:r w:rsidR="00032667">
        <w:rPr>
          <w:rFonts w:ascii="Times New Roman" w:hAnsi="Times New Roman" w:cs="Times New Roman"/>
          <w:sz w:val="24"/>
          <w:szCs w:val="24"/>
        </w:rPr>
        <w:t>non-u</w:t>
      </w:r>
      <w:r w:rsidR="00840A0B" w:rsidRPr="00E95BD7">
        <w:rPr>
          <w:rFonts w:ascii="Times New Roman" w:hAnsi="Times New Roman" w:cs="Times New Roman"/>
          <w:sz w:val="24"/>
          <w:szCs w:val="24"/>
        </w:rPr>
        <w:t xml:space="preserve">tility </w:t>
      </w:r>
      <w:r w:rsidR="00A619B2" w:rsidRPr="00E95BD7">
        <w:rPr>
          <w:rFonts w:ascii="Times New Roman" w:hAnsi="Times New Roman" w:cs="Times New Roman"/>
          <w:sz w:val="24"/>
          <w:szCs w:val="24"/>
        </w:rPr>
        <w:t>e</w:t>
      </w:r>
      <w:r w:rsidR="00840A0B" w:rsidRPr="00E95BD7">
        <w:rPr>
          <w:rFonts w:ascii="Times New Roman" w:hAnsi="Times New Roman" w:cs="Times New Roman"/>
          <w:sz w:val="24"/>
          <w:szCs w:val="24"/>
        </w:rPr>
        <w:t>arnings</w:t>
      </w:r>
      <w:r w:rsidR="00A619B2" w:rsidRPr="00E95BD7">
        <w:rPr>
          <w:rFonts w:ascii="Times New Roman" w:hAnsi="Times New Roman" w:cs="Times New Roman"/>
          <w:sz w:val="24"/>
          <w:szCs w:val="24"/>
        </w:rPr>
        <w:t>-</w:t>
      </w:r>
      <w:r w:rsidR="00840A0B" w:rsidRPr="00E95BD7">
        <w:rPr>
          <w:rFonts w:ascii="Times New Roman" w:hAnsi="Times New Roman" w:cs="Times New Roman"/>
          <w:sz w:val="24"/>
          <w:szCs w:val="24"/>
        </w:rPr>
        <w:t>per</w:t>
      </w:r>
      <w:r w:rsidR="00A619B2" w:rsidRPr="00E95BD7">
        <w:rPr>
          <w:rFonts w:ascii="Times New Roman" w:hAnsi="Times New Roman" w:cs="Times New Roman"/>
          <w:sz w:val="24"/>
          <w:szCs w:val="24"/>
        </w:rPr>
        <w:t>-</w:t>
      </w:r>
      <w:r w:rsidR="00840A0B" w:rsidRPr="00E95BD7">
        <w:rPr>
          <w:rFonts w:ascii="Times New Roman" w:hAnsi="Times New Roman" w:cs="Times New Roman"/>
          <w:sz w:val="24"/>
          <w:szCs w:val="24"/>
        </w:rPr>
        <w:t xml:space="preserve">share. </w:t>
      </w:r>
      <w:r w:rsidR="00C174D7">
        <w:rPr>
          <w:rFonts w:ascii="Times New Roman" w:hAnsi="Times New Roman" w:cs="Times New Roman"/>
          <w:sz w:val="24"/>
          <w:szCs w:val="24"/>
        </w:rPr>
        <w:t xml:space="preserve"> Only the operational components (40%) are proposed to be included in retail rates</w:t>
      </w:r>
      <w:r w:rsidR="00E8167B">
        <w:rPr>
          <w:rFonts w:ascii="Times New Roman" w:hAnsi="Times New Roman" w:cs="Times New Roman"/>
          <w:sz w:val="24"/>
          <w:szCs w:val="24"/>
        </w:rPr>
        <w:t xml:space="preserve">, because they reflect measures that are designed to drive cost-control, and delivery of safe, reliable service with a high level of customer satisfaction.  The utility and non-utility earnings components are excluded from rates.  </w:t>
      </w:r>
      <w:r w:rsidR="002D63EE">
        <w:rPr>
          <w:rFonts w:ascii="Times New Roman" w:hAnsi="Times New Roman" w:cs="Times New Roman"/>
          <w:sz w:val="24"/>
          <w:szCs w:val="24"/>
        </w:rPr>
        <w:t>For additional</w:t>
      </w:r>
      <w:r w:rsidR="00B04FC8">
        <w:rPr>
          <w:rFonts w:ascii="Times New Roman" w:hAnsi="Times New Roman" w:cs="Times New Roman"/>
          <w:sz w:val="24"/>
          <w:szCs w:val="24"/>
        </w:rPr>
        <w:t xml:space="preserve"> information on the STIP,</w:t>
      </w:r>
      <w:r w:rsidR="002D63EE">
        <w:rPr>
          <w:rFonts w:ascii="Times New Roman" w:hAnsi="Times New Roman" w:cs="Times New Roman"/>
          <w:sz w:val="24"/>
          <w:szCs w:val="24"/>
        </w:rPr>
        <w:t xml:space="preserve"> see </w:t>
      </w:r>
      <w:r w:rsidR="00B04FC8">
        <w:rPr>
          <w:rFonts w:ascii="Times New Roman" w:hAnsi="Times New Roman" w:cs="Times New Roman"/>
          <w:sz w:val="24"/>
          <w:szCs w:val="24"/>
        </w:rPr>
        <w:t>A</w:t>
      </w:r>
      <w:r w:rsidR="002D63EE">
        <w:rPr>
          <w:rFonts w:ascii="Times New Roman" w:hAnsi="Times New Roman" w:cs="Times New Roman"/>
          <w:sz w:val="24"/>
          <w:szCs w:val="24"/>
        </w:rPr>
        <w:t xml:space="preserve">ttachment </w:t>
      </w:r>
      <w:r w:rsidR="001C4FF1">
        <w:rPr>
          <w:rFonts w:ascii="Times New Roman" w:hAnsi="Times New Roman" w:cs="Times New Roman"/>
          <w:sz w:val="24"/>
          <w:szCs w:val="24"/>
        </w:rPr>
        <w:t>B</w:t>
      </w:r>
      <w:r w:rsidR="002D63EE">
        <w:rPr>
          <w:rFonts w:ascii="Times New Roman" w:hAnsi="Times New Roman" w:cs="Times New Roman"/>
          <w:sz w:val="24"/>
          <w:szCs w:val="24"/>
        </w:rPr>
        <w:t>.</w:t>
      </w:r>
    </w:p>
    <w:p w:rsidR="008F21E4" w:rsidRPr="00E95BD7" w:rsidRDefault="008F21E4" w:rsidP="00182EEC">
      <w:pPr>
        <w:jc w:val="both"/>
        <w:rPr>
          <w:rFonts w:ascii="Times New Roman" w:hAnsi="Times New Roman" w:cs="Times New Roman"/>
          <w:sz w:val="24"/>
          <w:szCs w:val="24"/>
        </w:rPr>
      </w:pPr>
    </w:p>
    <w:p w:rsidR="0038068D" w:rsidRPr="00E95BD7" w:rsidRDefault="005816C5" w:rsidP="00182EEC">
      <w:pPr>
        <w:jc w:val="both"/>
        <w:rPr>
          <w:rFonts w:ascii="Times New Roman" w:hAnsi="Times New Roman" w:cs="Times New Roman"/>
          <w:b/>
          <w:sz w:val="24"/>
          <w:szCs w:val="24"/>
          <w:u w:val="single"/>
        </w:rPr>
      </w:pPr>
      <w:r w:rsidRPr="005816C5">
        <w:rPr>
          <w:rFonts w:ascii="Times New Roman" w:hAnsi="Times New Roman" w:cs="Times New Roman"/>
          <w:b/>
          <w:sz w:val="24"/>
          <w:szCs w:val="24"/>
          <w:u w:val="single"/>
        </w:rPr>
        <w:t>Operations Components</w:t>
      </w:r>
    </w:p>
    <w:p w:rsidR="008F53A1" w:rsidRPr="00E95BD7" w:rsidRDefault="008F53A1" w:rsidP="00182EEC">
      <w:pPr>
        <w:jc w:val="both"/>
        <w:rPr>
          <w:rFonts w:ascii="Times New Roman" w:hAnsi="Times New Roman" w:cs="Times New Roman"/>
          <w:sz w:val="24"/>
          <w:szCs w:val="24"/>
        </w:rPr>
      </w:pPr>
      <w:r w:rsidRPr="00E95BD7">
        <w:rPr>
          <w:rFonts w:ascii="Times New Roman" w:hAnsi="Times New Roman" w:cs="Times New Roman"/>
          <w:sz w:val="24"/>
          <w:szCs w:val="24"/>
        </w:rPr>
        <w:t xml:space="preserve">The </w:t>
      </w:r>
      <w:r w:rsidR="00046152" w:rsidRPr="00E95BD7">
        <w:rPr>
          <w:rFonts w:ascii="Times New Roman" w:hAnsi="Times New Roman" w:cs="Times New Roman"/>
          <w:sz w:val="24"/>
          <w:szCs w:val="24"/>
        </w:rPr>
        <w:t>u</w:t>
      </w:r>
      <w:r w:rsidR="00B94364" w:rsidRPr="00E95BD7">
        <w:rPr>
          <w:rFonts w:ascii="Times New Roman" w:hAnsi="Times New Roman" w:cs="Times New Roman"/>
          <w:sz w:val="24"/>
          <w:szCs w:val="24"/>
        </w:rPr>
        <w:t xml:space="preserve">tility </w:t>
      </w:r>
      <w:r w:rsidR="00046152" w:rsidRPr="00E95BD7">
        <w:rPr>
          <w:rFonts w:ascii="Times New Roman" w:hAnsi="Times New Roman" w:cs="Times New Roman"/>
          <w:sz w:val="24"/>
          <w:szCs w:val="24"/>
        </w:rPr>
        <w:t>o</w:t>
      </w:r>
      <w:r w:rsidR="00B94364" w:rsidRPr="00E95BD7">
        <w:rPr>
          <w:rFonts w:ascii="Times New Roman" w:hAnsi="Times New Roman" w:cs="Times New Roman"/>
          <w:sz w:val="24"/>
          <w:szCs w:val="24"/>
        </w:rPr>
        <w:t xml:space="preserve">perational </w:t>
      </w:r>
      <w:r w:rsidR="00046152" w:rsidRPr="00E95BD7">
        <w:rPr>
          <w:rFonts w:ascii="Times New Roman" w:hAnsi="Times New Roman" w:cs="Times New Roman"/>
          <w:sz w:val="24"/>
          <w:szCs w:val="24"/>
        </w:rPr>
        <w:t>g</w:t>
      </w:r>
      <w:r w:rsidR="00B94364" w:rsidRPr="00E95BD7">
        <w:rPr>
          <w:rFonts w:ascii="Times New Roman" w:hAnsi="Times New Roman" w:cs="Times New Roman"/>
          <w:sz w:val="24"/>
          <w:szCs w:val="24"/>
        </w:rPr>
        <w:t xml:space="preserve">oal </w:t>
      </w:r>
      <w:r w:rsidR="00046152" w:rsidRPr="00E95BD7">
        <w:rPr>
          <w:rFonts w:ascii="Times New Roman" w:hAnsi="Times New Roman" w:cs="Times New Roman"/>
          <w:sz w:val="24"/>
          <w:szCs w:val="24"/>
        </w:rPr>
        <w:t>c</w:t>
      </w:r>
      <w:r w:rsidRPr="00E95BD7">
        <w:rPr>
          <w:rFonts w:ascii="Times New Roman" w:hAnsi="Times New Roman" w:cs="Times New Roman"/>
          <w:sz w:val="24"/>
          <w:szCs w:val="24"/>
        </w:rPr>
        <w:t xml:space="preserve">omponents in the </w:t>
      </w:r>
      <w:r w:rsidR="00046152" w:rsidRPr="00E95BD7">
        <w:rPr>
          <w:rFonts w:ascii="Times New Roman" w:hAnsi="Times New Roman" w:cs="Times New Roman"/>
          <w:sz w:val="24"/>
          <w:szCs w:val="24"/>
        </w:rPr>
        <w:t xml:space="preserve">2011 Executive Officer </w:t>
      </w:r>
      <w:r w:rsidRPr="00E95BD7">
        <w:rPr>
          <w:rFonts w:ascii="Times New Roman" w:hAnsi="Times New Roman" w:cs="Times New Roman"/>
          <w:sz w:val="24"/>
          <w:szCs w:val="24"/>
        </w:rPr>
        <w:t xml:space="preserve">Short Term </w:t>
      </w:r>
      <w:r w:rsidR="00046152" w:rsidRPr="00E95BD7">
        <w:rPr>
          <w:rFonts w:ascii="Times New Roman" w:hAnsi="Times New Roman" w:cs="Times New Roman"/>
          <w:sz w:val="24"/>
          <w:szCs w:val="24"/>
        </w:rPr>
        <w:t>Incentive</w:t>
      </w:r>
      <w:r w:rsidR="006A33DC" w:rsidRPr="00E95BD7">
        <w:rPr>
          <w:rFonts w:ascii="Times New Roman" w:hAnsi="Times New Roman" w:cs="Times New Roman"/>
          <w:sz w:val="24"/>
          <w:szCs w:val="24"/>
        </w:rPr>
        <w:t xml:space="preserve"> P</w:t>
      </w:r>
      <w:r w:rsidR="00046152" w:rsidRPr="00E95BD7">
        <w:rPr>
          <w:rFonts w:ascii="Times New Roman" w:hAnsi="Times New Roman" w:cs="Times New Roman"/>
          <w:sz w:val="24"/>
          <w:szCs w:val="24"/>
        </w:rPr>
        <w:t>l</w:t>
      </w:r>
      <w:r w:rsidR="006A33DC" w:rsidRPr="00E95BD7">
        <w:rPr>
          <w:rFonts w:ascii="Times New Roman" w:hAnsi="Times New Roman" w:cs="Times New Roman"/>
          <w:sz w:val="24"/>
          <w:szCs w:val="24"/>
        </w:rPr>
        <w:t>an</w:t>
      </w:r>
      <w:r w:rsidR="00046152" w:rsidRPr="00E95BD7">
        <w:rPr>
          <w:rFonts w:ascii="Times New Roman" w:hAnsi="Times New Roman" w:cs="Times New Roman"/>
          <w:sz w:val="24"/>
          <w:szCs w:val="24"/>
        </w:rPr>
        <w:t xml:space="preserve"> (Non-Equity)</w:t>
      </w:r>
      <w:r w:rsidR="006A33DC" w:rsidRPr="00E95BD7">
        <w:rPr>
          <w:rFonts w:ascii="Times New Roman" w:hAnsi="Times New Roman" w:cs="Times New Roman"/>
          <w:sz w:val="24"/>
          <w:szCs w:val="24"/>
        </w:rPr>
        <w:t xml:space="preserve"> </w:t>
      </w:r>
      <w:r w:rsidR="0078311B" w:rsidRPr="00E95BD7">
        <w:rPr>
          <w:rFonts w:ascii="Times New Roman" w:hAnsi="Times New Roman" w:cs="Times New Roman"/>
          <w:sz w:val="24"/>
          <w:szCs w:val="24"/>
        </w:rPr>
        <w:t xml:space="preserve">were </w:t>
      </w:r>
      <w:r w:rsidRPr="00E95BD7">
        <w:rPr>
          <w:rFonts w:ascii="Times New Roman" w:hAnsi="Times New Roman" w:cs="Times New Roman"/>
          <w:sz w:val="24"/>
          <w:szCs w:val="24"/>
        </w:rPr>
        <w:t>as follows:</w:t>
      </w:r>
    </w:p>
    <w:p w:rsidR="00122DD6" w:rsidRPr="00E95BD7" w:rsidRDefault="00122DD6" w:rsidP="00182EEC">
      <w:pPr>
        <w:jc w:val="both"/>
        <w:rPr>
          <w:rFonts w:ascii="Times New Roman" w:hAnsi="Times New Roman" w:cs="Times New Roman"/>
          <w:sz w:val="24"/>
          <w:szCs w:val="24"/>
        </w:rPr>
      </w:pPr>
    </w:p>
    <w:p w:rsidR="008F53A1" w:rsidRPr="00032667" w:rsidRDefault="008F53A1" w:rsidP="008F53A1">
      <w:pPr>
        <w:pStyle w:val="ListParagraph"/>
        <w:numPr>
          <w:ilvl w:val="0"/>
          <w:numId w:val="11"/>
        </w:numPr>
        <w:jc w:val="both"/>
        <w:rPr>
          <w:rFonts w:ascii="Times New Roman" w:hAnsi="Times New Roman" w:cs="Times New Roman"/>
          <w:sz w:val="24"/>
          <w:szCs w:val="24"/>
          <w:u w:val="single"/>
        </w:rPr>
      </w:pPr>
      <w:r w:rsidRPr="00032667">
        <w:rPr>
          <w:rFonts w:ascii="Times New Roman" w:hAnsi="Times New Roman" w:cs="Times New Roman"/>
          <w:sz w:val="24"/>
          <w:szCs w:val="24"/>
          <w:u w:val="single"/>
        </w:rPr>
        <w:t>O &amp; M Cost per Customer</w:t>
      </w:r>
      <w:r w:rsidR="005D2F04" w:rsidRPr="00032667">
        <w:rPr>
          <w:rFonts w:ascii="Times New Roman" w:hAnsi="Times New Roman" w:cs="Times New Roman"/>
          <w:sz w:val="24"/>
          <w:szCs w:val="24"/>
          <w:u w:val="single"/>
        </w:rPr>
        <w:t xml:space="preserve"> (</w:t>
      </w:r>
      <w:r w:rsidR="00E85324" w:rsidRPr="00032667">
        <w:rPr>
          <w:rFonts w:ascii="Times New Roman" w:hAnsi="Times New Roman" w:cs="Times New Roman"/>
          <w:sz w:val="24"/>
          <w:szCs w:val="24"/>
          <w:u w:val="single"/>
        </w:rPr>
        <w:t>2</w:t>
      </w:r>
      <w:r w:rsidR="005D2F04" w:rsidRPr="00032667">
        <w:rPr>
          <w:rFonts w:ascii="Times New Roman" w:hAnsi="Times New Roman" w:cs="Times New Roman"/>
          <w:sz w:val="24"/>
          <w:szCs w:val="24"/>
          <w:u w:val="single"/>
        </w:rPr>
        <w:t>0%</w:t>
      </w:r>
      <w:r w:rsidR="006A33DC" w:rsidRPr="00032667">
        <w:rPr>
          <w:rFonts w:ascii="Times New Roman" w:hAnsi="Times New Roman" w:cs="Times New Roman"/>
          <w:sz w:val="24"/>
          <w:szCs w:val="24"/>
          <w:u w:val="single"/>
        </w:rPr>
        <w:t xml:space="preserve"> of S</w:t>
      </w:r>
      <w:r w:rsidR="00CC4E5A" w:rsidRPr="00032667">
        <w:rPr>
          <w:rFonts w:ascii="Times New Roman" w:hAnsi="Times New Roman" w:cs="Times New Roman"/>
          <w:sz w:val="24"/>
          <w:szCs w:val="24"/>
          <w:u w:val="single"/>
        </w:rPr>
        <w:t>TIP</w:t>
      </w:r>
      <w:r w:rsidR="005D2F04" w:rsidRPr="00032667">
        <w:rPr>
          <w:rFonts w:ascii="Times New Roman" w:hAnsi="Times New Roman" w:cs="Times New Roman"/>
          <w:sz w:val="24"/>
          <w:szCs w:val="24"/>
          <w:u w:val="single"/>
        </w:rPr>
        <w:t>)</w:t>
      </w:r>
      <w:r w:rsidR="00032667">
        <w:rPr>
          <w:rFonts w:ascii="Times New Roman" w:hAnsi="Times New Roman" w:cs="Times New Roman"/>
          <w:sz w:val="24"/>
          <w:szCs w:val="24"/>
          <w:u w:val="single"/>
        </w:rPr>
        <w:t>:</w:t>
      </w:r>
    </w:p>
    <w:p w:rsidR="00BA15A2" w:rsidRPr="00E95BD7" w:rsidRDefault="0078311B" w:rsidP="00240E3B">
      <w:pPr>
        <w:pStyle w:val="ListParagraph"/>
        <w:jc w:val="both"/>
        <w:rPr>
          <w:rFonts w:ascii="Times New Roman" w:hAnsi="Times New Roman" w:cs="Times New Roman"/>
        </w:rPr>
      </w:pPr>
      <w:r w:rsidRPr="00E95BD7">
        <w:rPr>
          <w:rFonts w:ascii="Times New Roman" w:hAnsi="Times New Roman" w:cs="Times New Roman"/>
          <w:sz w:val="24"/>
          <w:szCs w:val="24"/>
        </w:rPr>
        <w:t xml:space="preserve">This measure provides an incentive to keep actual O&amp;M costs as low as possible.  </w:t>
      </w:r>
      <w:r w:rsidR="00240E3B" w:rsidRPr="00E95BD7">
        <w:rPr>
          <w:rFonts w:ascii="Times New Roman" w:hAnsi="Times New Roman" w:cs="Times New Roman"/>
          <w:sz w:val="24"/>
          <w:szCs w:val="24"/>
        </w:rPr>
        <w:t>The 201</w:t>
      </w:r>
      <w:r w:rsidR="00F25416" w:rsidRPr="00E95BD7">
        <w:rPr>
          <w:rFonts w:ascii="Times New Roman" w:hAnsi="Times New Roman" w:cs="Times New Roman"/>
          <w:sz w:val="24"/>
          <w:szCs w:val="24"/>
        </w:rPr>
        <w:t>1</w:t>
      </w:r>
      <w:r w:rsidR="00240E3B" w:rsidRPr="00E95BD7">
        <w:rPr>
          <w:rFonts w:ascii="Times New Roman" w:hAnsi="Times New Roman" w:cs="Times New Roman"/>
          <w:sz w:val="24"/>
          <w:szCs w:val="24"/>
        </w:rPr>
        <w:t xml:space="preserve"> </w:t>
      </w:r>
      <w:r w:rsidR="00C255F6" w:rsidRPr="00E95BD7">
        <w:rPr>
          <w:rFonts w:ascii="Times New Roman" w:hAnsi="Times New Roman" w:cs="Times New Roman"/>
          <w:sz w:val="24"/>
          <w:szCs w:val="24"/>
        </w:rPr>
        <w:t>STIP</w:t>
      </w:r>
      <w:r w:rsidR="00240E3B" w:rsidRPr="00E95BD7">
        <w:rPr>
          <w:rFonts w:ascii="Times New Roman" w:hAnsi="Times New Roman" w:cs="Times New Roman"/>
          <w:sz w:val="24"/>
          <w:szCs w:val="24"/>
        </w:rPr>
        <w:t xml:space="preserve"> placed emphasis on aggregate utility costs per customer to encourage company-wide teamwork and consistent results in order to keep costs reasonable. The O&amp;M Cost per Customer target is based on the projected number of customers, targeted O&amp;M expense and a </w:t>
      </w:r>
      <w:r w:rsidR="00240E3B" w:rsidRPr="00E95BD7">
        <w:rPr>
          <w:rFonts w:ascii="Times New Roman" w:hAnsi="Times New Roman" w:cs="Times New Roman"/>
          <w:sz w:val="24"/>
          <w:szCs w:val="24"/>
        </w:rPr>
        <w:lastRenderedPageBreak/>
        <w:t xml:space="preserve">savings mechanism between employees and the Company. </w:t>
      </w:r>
      <w:r w:rsidR="002932B1" w:rsidRPr="00E95BD7">
        <w:rPr>
          <w:rFonts w:ascii="Times New Roman" w:hAnsi="Times New Roman" w:cs="Times New Roman"/>
          <w:sz w:val="24"/>
          <w:szCs w:val="24"/>
        </w:rPr>
        <w:t xml:space="preserve">  </w:t>
      </w:r>
      <w:r w:rsidR="001D0A31" w:rsidRPr="00E95BD7">
        <w:rPr>
          <w:rFonts w:ascii="Times New Roman" w:hAnsi="Times New Roman" w:cs="Times New Roman"/>
          <w:sz w:val="24"/>
          <w:szCs w:val="24"/>
        </w:rPr>
        <w:t xml:space="preserve">There is no payment under this portion of the plan if the </w:t>
      </w:r>
      <w:r w:rsidR="001D0A31">
        <w:rPr>
          <w:rFonts w:ascii="Times New Roman" w:hAnsi="Times New Roman" w:cs="Times New Roman"/>
          <w:sz w:val="24"/>
          <w:szCs w:val="24"/>
        </w:rPr>
        <w:t xml:space="preserve">minimum performance level </w:t>
      </w:r>
      <w:r w:rsidR="001D0A31" w:rsidRPr="00E95BD7">
        <w:rPr>
          <w:rFonts w:ascii="Times New Roman" w:hAnsi="Times New Roman" w:cs="Times New Roman"/>
          <w:sz w:val="24"/>
          <w:szCs w:val="24"/>
        </w:rPr>
        <w:t>is not achieved</w:t>
      </w:r>
    </w:p>
    <w:p w:rsidR="00B94364" w:rsidRPr="00E95BD7" w:rsidRDefault="00B94364" w:rsidP="00240E3B">
      <w:pPr>
        <w:pStyle w:val="ListParagraph"/>
        <w:jc w:val="both"/>
        <w:rPr>
          <w:rFonts w:ascii="Times New Roman" w:hAnsi="Times New Roman" w:cs="Times New Roman"/>
        </w:rPr>
      </w:pPr>
    </w:p>
    <w:p w:rsidR="00240E3B" w:rsidRPr="00032667" w:rsidRDefault="00240E3B" w:rsidP="00240E3B">
      <w:pPr>
        <w:pStyle w:val="ListParagraph"/>
        <w:numPr>
          <w:ilvl w:val="0"/>
          <w:numId w:val="11"/>
        </w:numPr>
        <w:jc w:val="both"/>
        <w:rPr>
          <w:rFonts w:ascii="Times New Roman" w:hAnsi="Times New Roman" w:cs="Times New Roman"/>
          <w:sz w:val="24"/>
          <w:szCs w:val="24"/>
          <w:u w:val="single"/>
        </w:rPr>
      </w:pPr>
      <w:r w:rsidRPr="00032667">
        <w:rPr>
          <w:rFonts w:ascii="Times New Roman" w:hAnsi="Times New Roman" w:cs="Times New Roman"/>
          <w:sz w:val="24"/>
          <w:szCs w:val="24"/>
          <w:u w:val="single"/>
        </w:rPr>
        <w:t>Customer Satisfaction</w:t>
      </w:r>
      <w:r w:rsidR="005D2F04" w:rsidRPr="00032667">
        <w:rPr>
          <w:rFonts w:ascii="Times New Roman" w:hAnsi="Times New Roman" w:cs="Times New Roman"/>
          <w:sz w:val="24"/>
          <w:szCs w:val="24"/>
          <w:u w:val="single"/>
        </w:rPr>
        <w:t xml:space="preserve"> (</w:t>
      </w:r>
      <w:r w:rsidR="00E85324" w:rsidRPr="00032667">
        <w:rPr>
          <w:rFonts w:ascii="Times New Roman" w:hAnsi="Times New Roman" w:cs="Times New Roman"/>
          <w:sz w:val="24"/>
          <w:szCs w:val="24"/>
          <w:u w:val="single"/>
        </w:rPr>
        <w:t>5</w:t>
      </w:r>
      <w:r w:rsidR="005D2F04" w:rsidRPr="00032667">
        <w:rPr>
          <w:rFonts w:ascii="Times New Roman" w:hAnsi="Times New Roman" w:cs="Times New Roman"/>
          <w:sz w:val="24"/>
          <w:szCs w:val="24"/>
          <w:u w:val="single"/>
        </w:rPr>
        <w:t>%</w:t>
      </w:r>
      <w:r w:rsidR="006A33DC" w:rsidRPr="00032667">
        <w:rPr>
          <w:rFonts w:ascii="Times New Roman" w:hAnsi="Times New Roman" w:cs="Times New Roman"/>
          <w:sz w:val="24"/>
          <w:szCs w:val="24"/>
          <w:u w:val="single"/>
        </w:rPr>
        <w:t xml:space="preserve"> of S</w:t>
      </w:r>
      <w:r w:rsidR="00CC4E5A" w:rsidRPr="00032667">
        <w:rPr>
          <w:rFonts w:ascii="Times New Roman" w:hAnsi="Times New Roman" w:cs="Times New Roman"/>
          <w:sz w:val="24"/>
          <w:szCs w:val="24"/>
          <w:u w:val="single"/>
        </w:rPr>
        <w:t>TIP</w:t>
      </w:r>
      <w:r w:rsidR="005D2F04" w:rsidRPr="00032667">
        <w:rPr>
          <w:rFonts w:ascii="Times New Roman" w:hAnsi="Times New Roman" w:cs="Times New Roman"/>
          <w:sz w:val="24"/>
          <w:szCs w:val="24"/>
          <w:u w:val="single"/>
        </w:rPr>
        <w:t>)</w:t>
      </w:r>
      <w:r w:rsidR="00032667">
        <w:rPr>
          <w:rFonts w:ascii="Times New Roman" w:hAnsi="Times New Roman" w:cs="Times New Roman"/>
          <w:sz w:val="24"/>
          <w:szCs w:val="24"/>
          <w:u w:val="single"/>
        </w:rPr>
        <w:t>:</w:t>
      </w:r>
    </w:p>
    <w:p w:rsidR="00240E3B" w:rsidRPr="00E95BD7" w:rsidRDefault="00240E3B" w:rsidP="00240E3B">
      <w:pPr>
        <w:pStyle w:val="ListParagraph"/>
        <w:jc w:val="both"/>
        <w:rPr>
          <w:rFonts w:ascii="Times New Roman" w:hAnsi="Times New Roman" w:cs="Times New Roman"/>
          <w:sz w:val="24"/>
          <w:szCs w:val="24"/>
        </w:rPr>
      </w:pPr>
      <w:r w:rsidRPr="00E95BD7">
        <w:rPr>
          <w:rFonts w:ascii="Times New Roman" w:hAnsi="Times New Roman" w:cs="Times New Roman"/>
          <w:sz w:val="24"/>
          <w:szCs w:val="24"/>
        </w:rPr>
        <w:t xml:space="preserve">The customer satisfaction rating measures overall </w:t>
      </w:r>
      <w:r w:rsidR="00C255F6" w:rsidRPr="00E95BD7">
        <w:rPr>
          <w:rFonts w:ascii="Times New Roman" w:hAnsi="Times New Roman" w:cs="Times New Roman"/>
          <w:sz w:val="24"/>
          <w:szCs w:val="24"/>
        </w:rPr>
        <w:t xml:space="preserve">customer </w:t>
      </w:r>
      <w:r w:rsidRPr="00E95BD7">
        <w:rPr>
          <w:rFonts w:ascii="Times New Roman" w:hAnsi="Times New Roman" w:cs="Times New Roman"/>
          <w:sz w:val="24"/>
          <w:szCs w:val="24"/>
        </w:rPr>
        <w:t>satisfaction with the service they received during</w:t>
      </w:r>
      <w:r w:rsidR="00C255F6" w:rsidRPr="00E95BD7">
        <w:rPr>
          <w:rFonts w:ascii="Times New Roman" w:hAnsi="Times New Roman" w:cs="Times New Roman"/>
          <w:sz w:val="24"/>
          <w:szCs w:val="24"/>
        </w:rPr>
        <w:t xml:space="preserve"> </w:t>
      </w:r>
      <w:r w:rsidRPr="00E95BD7">
        <w:rPr>
          <w:rFonts w:ascii="Times New Roman" w:hAnsi="Times New Roman" w:cs="Times New Roman"/>
          <w:sz w:val="24"/>
          <w:szCs w:val="24"/>
        </w:rPr>
        <w:t xml:space="preserve">recent contact with the </w:t>
      </w:r>
      <w:r w:rsidR="00C255F6" w:rsidRPr="00E95BD7">
        <w:rPr>
          <w:rFonts w:ascii="Times New Roman" w:hAnsi="Times New Roman" w:cs="Times New Roman"/>
          <w:sz w:val="24"/>
          <w:szCs w:val="24"/>
        </w:rPr>
        <w:t>Company</w:t>
      </w:r>
      <w:r w:rsidRPr="00E95BD7">
        <w:rPr>
          <w:rFonts w:ascii="Times New Roman" w:hAnsi="Times New Roman" w:cs="Times New Roman"/>
          <w:sz w:val="24"/>
          <w:szCs w:val="24"/>
        </w:rPr>
        <w:t xml:space="preserve">. The rating is derived from a </w:t>
      </w:r>
      <w:r w:rsidR="003F45B3">
        <w:rPr>
          <w:rFonts w:ascii="Times New Roman" w:hAnsi="Times New Roman" w:cs="Times New Roman"/>
          <w:sz w:val="24"/>
          <w:szCs w:val="24"/>
        </w:rPr>
        <w:t>“</w:t>
      </w:r>
      <w:r w:rsidRPr="00E95BD7">
        <w:rPr>
          <w:rFonts w:ascii="Times New Roman" w:hAnsi="Times New Roman" w:cs="Times New Roman"/>
          <w:sz w:val="24"/>
          <w:szCs w:val="24"/>
        </w:rPr>
        <w:t>Voice of the Customer Survey</w:t>
      </w:r>
      <w:r w:rsidR="003F45B3">
        <w:rPr>
          <w:rFonts w:ascii="Times New Roman" w:hAnsi="Times New Roman" w:cs="Times New Roman"/>
          <w:sz w:val="24"/>
          <w:szCs w:val="24"/>
        </w:rPr>
        <w:t>”</w:t>
      </w:r>
      <w:r w:rsidRPr="00E95BD7">
        <w:rPr>
          <w:rFonts w:ascii="Times New Roman" w:hAnsi="Times New Roman" w:cs="Times New Roman"/>
          <w:sz w:val="24"/>
          <w:szCs w:val="24"/>
        </w:rPr>
        <w:t xml:space="preserve">, which is conducted each quarter by an independent agency. The measure is widely used in the industry for external reporting. The Company uses a combination of the “satisfied” and “very satisfied” ratings, rather than use the standard </w:t>
      </w:r>
      <w:r w:rsidR="00B659D6" w:rsidRPr="00E95BD7">
        <w:rPr>
          <w:rFonts w:ascii="Times New Roman" w:hAnsi="Times New Roman" w:cs="Times New Roman"/>
          <w:sz w:val="24"/>
          <w:szCs w:val="24"/>
        </w:rPr>
        <w:t>“</w:t>
      </w:r>
      <w:r w:rsidRPr="00E95BD7">
        <w:rPr>
          <w:rFonts w:ascii="Times New Roman" w:hAnsi="Times New Roman" w:cs="Times New Roman"/>
          <w:sz w:val="24"/>
          <w:szCs w:val="24"/>
        </w:rPr>
        <w:t>satisfied</w:t>
      </w:r>
      <w:r w:rsidR="00B659D6" w:rsidRPr="00E95BD7">
        <w:rPr>
          <w:rFonts w:ascii="Times New Roman" w:hAnsi="Times New Roman" w:cs="Times New Roman"/>
          <w:sz w:val="24"/>
          <w:szCs w:val="24"/>
        </w:rPr>
        <w:t>”</w:t>
      </w:r>
      <w:r w:rsidRPr="00E95BD7">
        <w:rPr>
          <w:rFonts w:ascii="Times New Roman" w:hAnsi="Times New Roman" w:cs="Times New Roman"/>
          <w:sz w:val="24"/>
          <w:szCs w:val="24"/>
        </w:rPr>
        <w:t xml:space="preserve"> rating, which is typically used in the industry. By combining these two measures it actually makes the target more difficult to achieve. This element of the plan is set as a </w:t>
      </w:r>
      <w:r w:rsidR="00032667">
        <w:rPr>
          <w:rFonts w:ascii="Times New Roman" w:hAnsi="Times New Roman" w:cs="Times New Roman"/>
          <w:sz w:val="24"/>
          <w:szCs w:val="24"/>
        </w:rPr>
        <w:t>“</w:t>
      </w:r>
      <w:r w:rsidRPr="00E95BD7">
        <w:rPr>
          <w:rFonts w:ascii="Times New Roman" w:hAnsi="Times New Roman" w:cs="Times New Roman"/>
          <w:sz w:val="24"/>
          <w:szCs w:val="24"/>
        </w:rPr>
        <w:t>meets</w:t>
      </w:r>
      <w:r w:rsidR="00032667">
        <w:rPr>
          <w:rFonts w:ascii="Times New Roman" w:hAnsi="Times New Roman" w:cs="Times New Roman"/>
          <w:sz w:val="24"/>
          <w:szCs w:val="24"/>
        </w:rPr>
        <w:t>”</w:t>
      </w:r>
      <w:r w:rsidRPr="00E95BD7">
        <w:rPr>
          <w:rFonts w:ascii="Times New Roman" w:hAnsi="Times New Roman" w:cs="Times New Roman"/>
          <w:sz w:val="24"/>
          <w:szCs w:val="24"/>
        </w:rPr>
        <w:t xml:space="preserve"> or not meets target. There is no payment under this portion of the plan if the target is not achieved. </w:t>
      </w:r>
    </w:p>
    <w:p w:rsidR="00D819F6" w:rsidRPr="00E95BD7" w:rsidRDefault="00D819F6" w:rsidP="00D819F6">
      <w:pPr>
        <w:pStyle w:val="ListParagraph"/>
        <w:jc w:val="both"/>
        <w:rPr>
          <w:rFonts w:ascii="Times New Roman" w:hAnsi="Times New Roman" w:cs="Times New Roman"/>
          <w:sz w:val="24"/>
          <w:szCs w:val="24"/>
        </w:rPr>
      </w:pPr>
    </w:p>
    <w:p w:rsidR="00240E3B" w:rsidRPr="00032667" w:rsidRDefault="00240E3B" w:rsidP="00240E3B">
      <w:pPr>
        <w:pStyle w:val="ListParagraph"/>
        <w:numPr>
          <w:ilvl w:val="0"/>
          <w:numId w:val="11"/>
        </w:numPr>
        <w:jc w:val="both"/>
        <w:rPr>
          <w:rFonts w:ascii="Times New Roman" w:hAnsi="Times New Roman" w:cs="Times New Roman"/>
          <w:sz w:val="24"/>
          <w:szCs w:val="24"/>
          <w:u w:val="single"/>
        </w:rPr>
      </w:pPr>
      <w:r w:rsidRPr="00032667">
        <w:rPr>
          <w:rFonts w:ascii="Times New Roman" w:hAnsi="Times New Roman" w:cs="Times New Roman"/>
          <w:sz w:val="24"/>
          <w:szCs w:val="24"/>
          <w:u w:val="single"/>
        </w:rPr>
        <w:t>Reliability Measure</w:t>
      </w:r>
      <w:r w:rsidR="00E85324" w:rsidRPr="00032667">
        <w:rPr>
          <w:rFonts w:ascii="Times New Roman" w:hAnsi="Times New Roman" w:cs="Times New Roman"/>
          <w:sz w:val="24"/>
          <w:szCs w:val="24"/>
          <w:u w:val="single"/>
        </w:rPr>
        <w:t xml:space="preserve"> (5</w:t>
      </w:r>
      <w:r w:rsidR="005D2F04" w:rsidRPr="00032667">
        <w:rPr>
          <w:rFonts w:ascii="Times New Roman" w:hAnsi="Times New Roman" w:cs="Times New Roman"/>
          <w:sz w:val="24"/>
          <w:szCs w:val="24"/>
          <w:u w:val="single"/>
        </w:rPr>
        <w:t>%</w:t>
      </w:r>
      <w:r w:rsidR="006A33DC" w:rsidRPr="00032667">
        <w:rPr>
          <w:rFonts w:ascii="Times New Roman" w:hAnsi="Times New Roman" w:cs="Times New Roman"/>
          <w:sz w:val="24"/>
          <w:szCs w:val="24"/>
          <w:u w:val="single"/>
        </w:rPr>
        <w:t xml:space="preserve"> of S</w:t>
      </w:r>
      <w:r w:rsidR="00CC4E5A" w:rsidRPr="00032667">
        <w:rPr>
          <w:rFonts w:ascii="Times New Roman" w:hAnsi="Times New Roman" w:cs="Times New Roman"/>
          <w:sz w:val="24"/>
          <w:szCs w:val="24"/>
          <w:u w:val="single"/>
        </w:rPr>
        <w:t>TIP</w:t>
      </w:r>
      <w:r w:rsidR="005D2F04" w:rsidRPr="00032667">
        <w:rPr>
          <w:rFonts w:ascii="Times New Roman" w:hAnsi="Times New Roman" w:cs="Times New Roman"/>
          <w:sz w:val="24"/>
          <w:szCs w:val="24"/>
          <w:u w:val="single"/>
        </w:rPr>
        <w:t>)</w:t>
      </w:r>
      <w:r w:rsidR="00032667">
        <w:rPr>
          <w:rFonts w:ascii="Times New Roman" w:hAnsi="Times New Roman" w:cs="Times New Roman"/>
          <w:sz w:val="24"/>
          <w:szCs w:val="24"/>
          <w:u w:val="single"/>
        </w:rPr>
        <w:t>:</w:t>
      </w:r>
    </w:p>
    <w:p w:rsidR="00B94364" w:rsidRPr="00E95BD7" w:rsidRDefault="0070171D" w:rsidP="00240E3B">
      <w:pPr>
        <w:pStyle w:val="ListParagraph"/>
        <w:jc w:val="both"/>
        <w:rPr>
          <w:rFonts w:ascii="Times New Roman" w:hAnsi="Times New Roman" w:cs="Times New Roman"/>
          <w:sz w:val="24"/>
          <w:szCs w:val="24"/>
        </w:rPr>
      </w:pPr>
      <w:r w:rsidRPr="00E95BD7">
        <w:rPr>
          <w:rFonts w:ascii="Times New Roman" w:hAnsi="Times New Roman" w:cs="Times New Roman"/>
          <w:sz w:val="24"/>
          <w:szCs w:val="24"/>
        </w:rPr>
        <w:t>Providing</w:t>
      </w:r>
      <w:r w:rsidR="00240E3B" w:rsidRPr="00E95BD7">
        <w:rPr>
          <w:rFonts w:ascii="Times New Roman" w:hAnsi="Times New Roman" w:cs="Times New Roman"/>
          <w:sz w:val="24"/>
          <w:szCs w:val="24"/>
        </w:rPr>
        <w:t xml:space="preserve"> reliable service levels for our customers</w:t>
      </w:r>
      <w:r w:rsidRPr="00E95BD7">
        <w:rPr>
          <w:rFonts w:ascii="Times New Roman" w:hAnsi="Times New Roman" w:cs="Times New Roman"/>
          <w:sz w:val="24"/>
          <w:szCs w:val="24"/>
        </w:rPr>
        <w:t xml:space="preserve"> is also important</w:t>
      </w:r>
      <w:r w:rsidR="00240E3B" w:rsidRPr="00E95BD7">
        <w:rPr>
          <w:rFonts w:ascii="Times New Roman" w:hAnsi="Times New Roman" w:cs="Times New Roman"/>
          <w:sz w:val="24"/>
          <w:szCs w:val="24"/>
        </w:rPr>
        <w:t xml:space="preserve">. This target in the </w:t>
      </w:r>
      <w:r w:rsidR="00C255F6" w:rsidRPr="00E95BD7">
        <w:rPr>
          <w:rFonts w:ascii="Times New Roman" w:hAnsi="Times New Roman" w:cs="Times New Roman"/>
          <w:sz w:val="24"/>
          <w:szCs w:val="24"/>
        </w:rPr>
        <w:t xml:space="preserve">STIP </w:t>
      </w:r>
      <w:r w:rsidR="00240E3B" w:rsidRPr="00E95BD7">
        <w:rPr>
          <w:rFonts w:ascii="Times New Roman" w:hAnsi="Times New Roman" w:cs="Times New Roman"/>
          <w:sz w:val="24"/>
          <w:szCs w:val="24"/>
        </w:rPr>
        <w:t>is a measure that tracks how quickly the Company restores outages, how frequently customers are affected by outages and what percent of customers are experiencing more than three sustained outages per year. We combined three common industry indices in order to balance our focus of electric reliability. The Company tracks the average restoration time for sustained outages that affect our customers (CAIDI) and the average number of sustained outages per customer (SAIFI). The third metric is fairly new to the utility industry and measures the percentage of customers that experience more than three sustained outages in the year (CEMI</w:t>
      </w:r>
      <w:r w:rsidR="00240E3B" w:rsidRPr="00E95BD7">
        <w:rPr>
          <w:rFonts w:ascii="Times New Roman" w:hAnsi="Times New Roman" w:cs="Times New Roman"/>
          <w:sz w:val="24"/>
          <w:szCs w:val="24"/>
          <w:vertAlign w:val="superscript"/>
        </w:rPr>
        <w:t>3</w:t>
      </w:r>
      <w:r w:rsidR="00240E3B" w:rsidRPr="00E95BD7">
        <w:rPr>
          <w:rFonts w:ascii="Times New Roman" w:hAnsi="Times New Roman" w:cs="Times New Roman"/>
          <w:sz w:val="24"/>
          <w:szCs w:val="24"/>
        </w:rPr>
        <w:t xml:space="preserve">). We chose this level of outages over others because industry data received from JD Power’s customer service surveys indicate that customers are more apt to be dissatisfied after three outages. Each metric has a set target to achieve and then are weighted equally (one-third of 100%) and combined into one index. Focusing on these measurements enables the Company to direct our resources appropriately and efficiently in order to contain costs and plan for future infrastructure upgrades that will benefit the customer. </w:t>
      </w:r>
      <w:r w:rsidR="00C255F6" w:rsidRPr="00E95BD7">
        <w:rPr>
          <w:rFonts w:ascii="Times New Roman" w:hAnsi="Times New Roman" w:cs="Times New Roman"/>
          <w:sz w:val="24"/>
          <w:szCs w:val="24"/>
        </w:rPr>
        <w:t>There is no payment under this portion of the plan if the target is not achieved.</w:t>
      </w:r>
    </w:p>
    <w:p w:rsidR="00A74FF9" w:rsidRPr="00E95BD7" w:rsidRDefault="00A74FF9" w:rsidP="00A74FF9">
      <w:pPr>
        <w:pStyle w:val="NormalWeb"/>
        <w:widowControl w:val="0"/>
        <w:spacing w:before="0" w:beforeAutospacing="0" w:after="0" w:afterAutospacing="0"/>
        <w:jc w:val="both"/>
        <w:rPr>
          <w:i/>
        </w:rPr>
      </w:pPr>
    </w:p>
    <w:p w:rsidR="00E85324" w:rsidRPr="00032667" w:rsidRDefault="00A74FF9" w:rsidP="00A74FF9">
      <w:pPr>
        <w:pStyle w:val="NormalWeb"/>
        <w:widowControl w:val="0"/>
        <w:numPr>
          <w:ilvl w:val="0"/>
          <w:numId w:val="11"/>
        </w:numPr>
        <w:spacing w:before="0" w:beforeAutospacing="0" w:after="0" w:afterAutospacing="0"/>
        <w:jc w:val="both"/>
        <w:rPr>
          <w:u w:val="single"/>
        </w:rPr>
      </w:pPr>
      <w:r w:rsidRPr="00032667">
        <w:rPr>
          <w:iCs/>
          <w:u w:val="single"/>
        </w:rPr>
        <w:t xml:space="preserve">Response Time </w:t>
      </w:r>
      <w:r w:rsidR="006A33DC" w:rsidRPr="00032667">
        <w:rPr>
          <w:u w:val="single"/>
        </w:rPr>
        <w:t>(5% of S</w:t>
      </w:r>
      <w:r w:rsidR="00CC4E5A" w:rsidRPr="00032667">
        <w:rPr>
          <w:u w:val="single"/>
        </w:rPr>
        <w:t>TIP</w:t>
      </w:r>
      <w:r w:rsidR="00E85324" w:rsidRPr="00032667">
        <w:rPr>
          <w:iCs/>
          <w:u w:val="single"/>
        </w:rPr>
        <w:t>)</w:t>
      </w:r>
      <w:r w:rsidR="00032667">
        <w:rPr>
          <w:u w:val="single"/>
        </w:rPr>
        <w:t>:</w:t>
      </w:r>
    </w:p>
    <w:p w:rsidR="00A74FF9" w:rsidRPr="00E95BD7" w:rsidRDefault="00A74FF9" w:rsidP="00FF0203">
      <w:pPr>
        <w:pStyle w:val="NormalWeb"/>
        <w:widowControl w:val="0"/>
        <w:spacing w:before="0" w:beforeAutospacing="0" w:after="0" w:afterAutospacing="0"/>
        <w:ind w:left="720"/>
        <w:jc w:val="both"/>
      </w:pPr>
      <w:r w:rsidRPr="00E95BD7">
        <w:t>This metric measures the percentage of time the Company responds with</w:t>
      </w:r>
      <w:r w:rsidR="00CC36D2" w:rsidRPr="00E95BD7">
        <w:t>in</w:t>
      </w:r>
      <w:r w:rsidRPr="00E95BD7">
        <w:t xml:space="preserve"> targeted time goals for dispatched natural gas emergency calls. </w:t>
      </w:r>
      <w:r w:rsidR="00E85324" w:rsidRPr="00E95BD7">
        <w:t xml:space="preserve">The Company tracks the time between the receipt of the call to the time our crew or serviceman arrives on-site, assesses the situation and reports back to dispatch.  The </w:t>
      </w:r>
      <w:r w:rsidR="00C255F6" w:rsidRPr="00E95BD7">
        <w:t>C</w:t>
      </w:r>
      <w:r w:rsidR="00E85324" w:rsidRPr="00E95BD7">
        <w:t>ompany tracks two types of emergency calls: priority 1 (blowing gas, explosions and/o</w:t>
      </w:r>
      <w:r w:rsidR="00FF3FFD" w:rsidRPr="00E95BD7">
        <w:t>r fires, etc) and priority 2 (i</w:t>
      </w:r>
      <w:r w:rsidR="00E85324" w:rsidRPr="00E95BD7">
        <w:t>n</w:t>
      </w:r>
      <w:r w:rsidR="00FF3FFD" w:rsidRPr="00E95BD7">
        <w:t>side</w:t>
      </w:r>
      <w:r w:rsidR="00E85324" w:rsidRPr="00E95BD7">
        <w:t xml:space="preserve"> or outside odors, runaway furnaces, etc). The primary objective is customer and public safety while consistent</w:t>
      </w:r>
      <w:r w:rsidR="00FF3FFD" w:rsidRPr="00E95BD7">
        <w:t>l</w:t>
      </w:r>
      <w:r w:rsidR="00E85324" w:rsidRPr="00E95BD7">
        <w:t>y treating customers the same throughout our service territory.</w:t>
      </w:r>
      <w:r w:rsidR="00C255F6" w:rsidRPr="00E95BD7">
        <w:t xml:space="preserve"> There is no payment under this portion of the plan if the target is not achieved.</w:t>
      </w:r>
    </w:p>
    <w:p w:rsidR="00A74FF9" w:rsidRPr="00E95BD7" w:rsidRDefault="00A74FF9" w:rsidP="00A74FF9">
      <w:pPr>
        <w:pStyle w:val="NormalWeb"/>
        <w:widowControl w:val="0"/>
        <w:spacing w:before="0" w:beforeAutospacing="0" w:after="0" w:afterAutospacing="0"/>
        <w:jc w:val="both"/>
      </w:pPr>
    </w:p>
    <w:p w:rsidR="006A33DC" w:rsidRPr="00032667" w:rsidRDefault="00A74FF9" w:rsidP="00240E3B">
      <w:pPr>
        <w:pStyle w:val="NormalWeb"/>
        <w:widowControl w:val="0"/>
        <w:numPr>
          <w:ilvl w:val="0"/>
          <w:numId w:val="11"/>
        </w:numPr>
        <w:spacing w:before="0" w:beforeAutospacing="0" w:after="0" w:afterAutospacing="0"/>
        <w:jc w:val="both"/>
        <w:rPr>
          <w:u w:val="single"/>
        </w:rPr>
      </w:pPr>
      <w:r w:rsidRPr="00032667">
        <w:rPr>
          <w:iCs/>
          <w:u w:val="single"/>
        </w:rPr>
        <w:t xml:space="preserve">Performance Excellence </w:t>
      </w:r>
      <w:r w:rsidR="006A33DC" w:rsidRPr="00032667">
        <w:rPr>
          <w:u w:val="single"/>
        </w:rPr>
        <w:t>(5% of S</w:t>
      </w:r>
      <w:r w:rsidR="00CC4E5A" w:rsidRPr="00032667">
        <w:rPr>
          <w:u w:val="single"/>
        </w:rPr>
        <w:t>TIP</w:t>
      </w:r>
      <w:r w:rsidR="006A33DC" w:rsidRPr="00032667">
        <w:rPr>
          <w:iCs/>
          <w:u w:val="single"/>
        </w:rPr>
        <w:t>)</w:t>
      </w:r>
      <w:r w:rsidR="00032667">
        <w:rPr>
          <w:iCs/>
          <w:u w:val="single"/>
        </w:rPr>
        <w:t>:</w:t>
      </w:r>
    </w:p>
    <w:p w:rsidR="00A74FF9" w:rsidRPr="00E95BD7" w:rsidRDefault="00FF0203" w:rsidP="006A33DC">
      <w:pPr>
        <w:pStyle w:val="NormalWeb"/>
        <w:widowControl w:val="0"/>
        <w:spacing w:before="0" w:beforeAutospacing="0" w:after="0" w:afterAutospacing="0"/>
        <w:ind w:left="720"/>
        <w:jc w:val="both"/>
      </w:pPr>
      <w:r w:rsidRPr="00E95BD7">
        <w:t xml:space="preserve">This metric combined two separate measures into one. By the end of the year, the objective </w:t>
      </w:r>
      <w:r w:rsidR="00B659D6" w:rsidRPr="00E95BD7">
        <w:t>was</w:t>
      </w:r>
      <w:r w:rsidRPr="00E95BD7">
        <w:t xml:space="preserve"> to implement or complete 92 project milestones and through process improvements achieve</w:t>
      </w:r>
      <w:r w:rsidR="00A5062F">
        <w:t xml:space="preserve"> </w:t>
      </w:r>
      <w:r w:rsidRPr="00E95BD7">
        <w:lastRenderedPageBreak/>
        <w:t>$6.2 million in value to redeploy where needed</w:t>
      </w:r>
      <w:r w:rsidR="00515A4D">
        <w:rPr>
          <w:rStyle w:val="FootnoteReference"/>
        </w:rPr>
        <w:footnoteReference w:id="6"/>
      </w:r>
      <w:r w:rsidRPr="00E95BD7">
        <w:t>. The metric demonstrates the Company’s commitment to continuously look for opportunities for efficiencies in order to keep costs reasonable for our customers in the long term.</w:t>
      </w:r>
      <w:r w:rsidR="00C255F6" w:rsidRPr="00E95BD7">
        <w:t xml:space="preserve"> There is no payment under this portion of the plan if the target is not achieved.</w:t>
      </w:r>
    </w:p>
    <w:p w:rsidR="006E7C21" w:rsidRPr="00E95BD7" w:rsidRDefault="006E7C21" w:rsidP="006A33DC">
      <w:pPr>
        <w:pStyle w:val="NormalWeb"/>
        <w:widowControl w:val="0"/>
        <w:spacing w:before="0" w:beforeAutospacing="0" w:after="0" w:afterAutospacing="0"/>
        <w:ind w:left="720"/>
        <w:jc w:val="both"/>
      </w:pPr>
    </w:p>
    <w:p w:rsidR="0011779C" w:rsidRPr="00E95BD7" w:rsidRDefault="00432D30" w:rsidP="00C255F6">
      <w:pPr>
        <w:pStyle w:val="NormalWeb"/>
        <w:widowControl w:val="0"/>
        <w:spacing w:before="0" w:beforeAutospacing="0" w:after="0" w:afterAutospacing="0"/>
        <w:jc w:val="both"/>
      </w:pPr>
      <w:r w:rsidRPr="00E95BD7">
        <w:t>T</w:t>
      </w:r>
      <w:r w:rsidR="00046152" w:rsidRPr="00E95BD7">
        <w:t xml:space="preserve">he utility operational component </w:t>
      </w:r>
      <w:r w:rsidR="00194D23" w:rsidRPr="00E95BD7">
        <w:t>metrics and allocation</w:t>
      </w:r>
      <w:r w:rsidR="000F2FD6" w:rsidRPr="00E95BD7">
        <w:t>s</w:t>
      </w:r>
      <w:r w:rsidR="00194D23" w:rsidRPr="00E95BD7">
        <w:t xml:space="preserve"> </w:t>
      </w:r>
      <w:r w:rsidR="00046152" w:rsidRPr="00E95BD7">
        <w:t>ha</w:t>
      </w:r>
      <w:r w:rsidR="00C255F6" w:rsidRPr="00E95BD7">
        <w:t>ve</w:t>
      </w:r>
      <w:r w:rsidR="00032667">
        <w:t xml:space="preserve"> varied over time and</w:t>
      </w:r>
      <w:r w:rsidRPr="00E95BD7">
        <w:t xml:space="preserve"> </w:t>
      </w:r>
      <w:r w:rsidR="00046152" w:rsidRPr="00E95BD7">
        <w:t xml:space="preserve">payouts associated with </w:t>
      </w:r>
      <w:r w:rsidR="00194D23" w:rsidRPr="00E95BD7">
        <w:t>such components</w:t>
      </w:r>
      <w:r w:rsidR="00046152" w:rsidRPr="00E95BD7">
        <w:t xml:space="preserve"> </w:t>
      </w:r>
      <w:r w:rsidR="006E7C21" w:rsidRPr="00E95BD7">
        <w:t>born</w:t>
      </w:r>
      <w:r w:rsidR="00032667">
        <w:t>e</w:t>
      </w:r>
      <w:r w:rsidR="006E7C21" w:rsidRPr="00E95BD7">
        <w:t xml:space="preserve"> by </w:t>
      </w:r>
      <w:r w:rsidR="000117D7" w:rsidRPr="00E95BD7">
        <w:t>customers and included in rates</w:t>
      </w:r>
      <w:r w:rsidR="0038068D" w:rsidRPr="00E95BD7">
        <w:t xml:space="preserve"> (which will be addressed later)</w:t>
      </w:r>
      <w:r w:rsidR="00C255F6" w:rsidRPr="00E95BD7">
        <w:t xml:space="preserve"> ha</w:t>
      </w:r>
      <w:r w:rsidR="000F2FD6" w:rsidRPr="00E95BD7">
        <w:t>ve</w:t>
      </w:r>
      <w:r w:rsidR="00C255F6" w:rsidRPr="00E95BD7">
        <w:t xml:space="preserve"> also varied over time</w:t>
      </w:r>
      <w:r w:rsidR="000117D7" w:rsidRPr="00E95BD7">
        <w:t>.</w:t>
      </w:r>
      <w:r w:rsidR="00C255F6" w:rsidRPr="00E95BD7">
        <w:t xml:space="preserve"> </w:t>
      </w:r>
    </w:p>
    <w:p w:rsidR="00C255F6" w:rsidRPr="00E95BD7" w:rsidRDefault="00C255F6" w:rsidP="00C255F6">
      <w:pPr>
        <w:pStyle w:val="NormalWeb"/>
        <w:widowControl w:val="0"/>
        <w:spacing w:before="0" w:beforeAutospacing="0" w:after="0" w:afterAutospacing="0"/>
        <w:jc w:val="both"/>
      </w:pPr>
    </w:p>
    <w:p w:rsidR="0038068D" w:rsidRPr="00E95BD7" w:rsidRDefault="005816C5" w:rsidP="00B94364">
      <w:pPr>
        <w:jc w:val="both"/>
        <w:rPr>
          <w:rFonts w:ascii="Times New Roman" w:hAnsi="Times New Roman" w:cs="Times New Roman"/>
          <w:b/>
          <w:sz w:val="24"/>
          <w:szCs w:val="24"/>
          <w:u w:val="single"/>
        </w:rPr>
      </w:pPr>
      <w:r w:rsidRPr="005816C5">
        <w:rPr>
          <w:rFonts w:ascii="Times New Roman" w:hAnsi="Times New Roman" w:cs="Times New Roman"/>
          <w:b/>
          <w:sz w:val="24"/>
          <w:szCs w:val="24"/>
          <w:u w:val="single"/>
        </w:rPr>
        <w:t>Earnings-Per-Share Components</w:t>
      </w:r>
    </w:p>
    <w:p w:rsidR="00B94364" w:rsidRPr="00E95BD7" w:rsidRDefault="007A43E8" w:rsidP="00B94364">
      <w:pPr>
        <w:jc w:val="both"/>
        <w:rPr>
          <w:rFonts w:ascii="Times New Roman" w:hAnsi="Times New Roman" w:cs="Times New Roman"/>
          <w:sz w:val="24"/>
          <w:szCs w:val="24"/>
        </w:rPr>
      </w:pPr>
      <w:r w:rsidRPr="00E95BD7">
        <w:rPr>
          <w:rFonts w:ascii="Times New Roman" w:hAnsi="Times New Roman" w:cs="Times New Roman"/>
          <w:sz w:val="24"/>
          <w:szCs w:val="24"/>
        </w:rPr>
        <w:t xml:space="preserve">The Utility and Non-Utility EPS </w:t>
      </w:r>
      <w:r w:rsidR="007A308C" w:rsidRPr="00E95BD7">
        <w:rPr>
          <w:rFonts w:ascii="Times New Roman" w:hAnsi="Times New Roman" w:cs="Times New Roman"/>
          <w:sz w:val="24"/>
          <w:szCs w:val="24"/>
        </w:rPr>
        <w:t>components of the STIP are summarized below:</w:t>
      </w:r>
    </w:p>
    <w:p w:rsidR="009F6EB7" w:rsidRPr="00E95BD7" w:rsidRDefault="009F6EB7" w:rsidP="00B94364">
      <w:pPr>
        <w:jc w:val="both"/>
        <w:rPr>
          <w:rFonts w:ascii="Times New Roman" w:hAnsi="Times New Roman" w:cs="Times New Roman"/>
          <w:sz w:val="24"/>
          <w:szCs w:val="24"/>
        </w:rPr>
      </w:pPr>
    </w:p>
    <w:p w:rsidR="009F6EB7" w:rsidRPr="00D970C1" w:rsidRDefault="009F6EB7" w:rsidP="009F6EB7">
      <w:pPr>
        <w:pStyle w:val="ListParagraph"/>
        <w:numPr>
          <w:ilvl w:val="0"/>
          <w:numId w:val="12"/>
        </w:numPr>
        <w:jc w:val="both"/>
        <w:rPr>
          <w:rFonts w:ascii="Times New Roman" w:hAnsi="Times New Roman" w:cs="Times New Roman"/>
          <w:sz w:val="24"/>
          <w:szCs w:val="24"/>
          <w:u w:val="single"/>
        </w:rPr>
      </w:pPr>
      <w:r w:rsidRPr="00D970C1">
        <w:rPr>
          <w:rFonts w:ascii="Times New Roman" w:hAnsi="Times New Roman" w:cs="Times New Roman"/>
          <w:sz w:val="24"/>
          <w:szCs w:val="24"/>
          <w:u w:val="single"/>
        </w:rPr>
        <w:t>Utility Earnings Per Share (EPS) (50%)</w:t>
      </w:r>
      <w:r w:rsidR="00D970C1">
        <w:rPr>
          <w:rFonts w:ascii="Times New Roman" w:hAnsi="Times New Roman" w:cs="Times New Roman"/>
          <w:sz w:val="24"/>
          <w:szCs w:val="24"/>
          <w:u w:val="single"/>
        </w:rPr>
        <w:t>:</w:t>
      </w:r>
    </w:p>
    <w:p w:rsidR="009F6EB7" w:rsidRPr="00E95BD7" w:rsidRDefault="009F6EB7" w:rsidP="009F6EB7">
      <w:pPr>
        <w:pStyle w:val="ListParagraph"/>
        <w:ind w:left="1080"/>
        <w:jc w:val="both"/>
        <w:rPr>
          <w:rFonts w:ascii="Times New Roman" w:hAnsi="Times New Roman" w:cs="Times New Roman"/>
          <w:sz w:val="24"/>
          <w:szCs w:val="24"/>
        </w:rPr>
      </w:pPr>
      <w:r w:rsidRPr="00E95BD7">
        <w:rPr>
          <w:rFonts w:ascii="Times New Roman" w:hAnsi="Times New Roman" w:cs="Times New Roman"/>
          <w:sz w:val="24"/>
          <w:szCs w:val="24"/>
        </w:rPr>
        <w:t xml:space="preserve">This award will depend on attaining EPS goals for the utility operations. The actual amount paid, related to </w:t>
      </w:r>
      <w:r w:rsidR="00E03B2E" w:rsidRPr="00E95BD7">
        <w:rPr>
          <w:rFonts w:ascii="Times New Roman" w:hAnsi="Times New Roman" w:cs="Times New Roman"/>
          <w:sz w:val="24"/>
          <w:szCs w:val="24"/>
        </w:rPr>
        <w:t xml:space="preserve">the </w:t>
      </w:r>
      <w:r w:rsidR="00C255F6" w:rsidRPr="00E95BD7">
        <w:rPr>
          <w:rFonts w:ascii="Times New Roman" w:hAnsi="Times New Roman" w:cs="Times New Roman"/>
          <w:sz w:val="24"/>
          <w:szCs w:val="24"/>
        </w:rPr>
        <w:t>u</w:t>
      </w:r>
      <w:r w:rsidRPr="00E95BD7">
        <w:rPr>
          <w:rFonts w:ascii="Times New Roman" w:hAnsi="Times New Roman" w:cs="Times New Roman"/>
          <w:sz w:val="24"/>
          <w:szCs w:val="24"/>
        </w:rPr>
        <w:t>tility EPS target, could increase (up to 150% of the utility EPS target award) or</w:t>
      </w:r>
      <w:r w:rsidR="00D970C1">
        <w:rPr>
          <w:rFonts w:ascii="Times New Roman" w:hAnsi="Times New Roman" w:cs="Times New Roman"/>
          <w:sz w:val="24"/>
          <w:szCs w:val="24"/>
        </w:rPr>
        <w:t xml:space="preserve"> decrease (as low as 0% of the u</w:t>
      </w:r>
      <w:r w:rsidRPr="00E95BD7">
        <w:rPr>
          <w:rFonts w:ascii="Times New Roman" w:hAnsi="Times New Roman" w:cs="Times New Roman"/>
          <w:sz w:val="24"/>
          <w:szCs w:val="24"/>
        </w:rPr>
        <w:t>tility EPS target award) depending on the Company’s actual performance.</w:t>
      </w:r>
    </w:p>
    <w:p w:rsidR="00D819F6" w:rsidRPr="00E95BD7" w:rsidRDefault="00D819F6" w:rsidP="00D819F6">
      <w:pPr>
        <w:pStyle w:val="ListParagraph"/>
        <w:ind w:left="1080"/>
        <w:jc w:val="both"/>
        <w:rPr>
          <w:rFonts w:ascii="Times New Roman" w:hAnsi="Times New Roman" w:cs="Times New Roman"/>
          <w:sz w:val="24"/>
          <w:szCs w:val="24"/>
        </w:rPr>
      </w:pPr>
    </w:p>
    <w:p w:rsidR="009F6EB7" w:rsidRPr="00D970C1" w:rsidRDefault="009F6EB7" w:rsidP="009F6EB7">
      <w:pPr>
        <w:pStyle w:val="ListParagraph"/>
        <w:numPr>
          <w:ilvl w:val="0"/>
          <w:numId w:val="12"/>
        </w:numPr>
        <w:jc w:val="both"/>
        <w:rPr>
          <w:rFonts w:ascii="Times New Roman" w:hAnsi="Times New Roman" w:cs="Times New Roman"/>
          <w:sz w:val="24"/>
          <w:szCs w:val="24"/>
          <w:u w:val="single"/>
        </w:rPr>
      </w:pPr>
      <w:r w:rsidRPr="00D970C1">
        <w:rPr>
          <w:rFonts w:ascii="Times New Roman" w:hAnsi="Times New Roman" w:cs="Times New Roman"/>
          <w:sz w:val="24"/>
          <w:szCs w:val="24"/>
          <w:u w:val="single"/>
        </w:rPr>
        <w:t xml:space="preserve">Non-Utility Earnings Per Share (EPS) </w:t>
      </w:r>
      <w:r w:rsidR="00CC4E5A" w:rsidRPr="00D970C1">
        <w:rPr>
          <w:rFonts w:ascii="Times New Roman" w:hAnsi="Times New Roman" w:cs="Times New Roman"/>
          <w:sz w:val="24"/>
          <w:szCs w:val="24"/>
          <w:u w:val="single"/>
        </w:rPr>
        <w:t>(</w:t>
      </w:r>
      <w:r w:rsidRPr="00D970C1">
        <w:rPr>
          <w:rFonts w:ascii="Times New Roman" w:hAnsi="Times New Roman" w:cs="Times New Roman"/>
          <w:sz w:val="24"/>
          <w:szCs w:val="24"/>
          <w:u w:val="single"/>
        </w:rPr>
        <w:t>10%</w:t>
      </w:r>
      <w:r w:rsidR="00CC4E5A" w:rsidRPr="00D970C1">
        <w:rPr>
          <w:rFonts w:ascii="Times New Roman" w:hAnsi="Times New Roman" w:cs="Times New Roman"/>
          <w:sz w:val="24"/>
          <w:szCs w:val="24"/>
          <w:u w:val="single"/>
        </w:rPr>
        <w:t>)</w:t>
      </w:r>
      <w:r w:rsidR="00D970C1">
        <w:rPr>
          <w:rFonts w:ascii="Times New Roman" w:hAnsi="Times New Roman" w:cs="Times New Roman"/>
          <w:sz w:val="24"/>
          <w:szCs w:val="24"/>
          <w:u w:val="single"/>
        </w:rPr>
        <w:t>:</w:t>
      </w:r>
    </w:p>
    <w:p w:rsidR="009F6EB7" w:rsidRPr="00E95BD7" w:rsidRDefault="009F6EB7" w:rsidP="009F6EB7">
      <w:pPr>
        <w:ind w:left="1080"/>
        <w:jc w:val="both"/>
        <w:rPr>
          <w:rFonts w:ascii="Times New Roman" w:hAnsi="Times New Roman" w:cs="Times New Roman"/>
          <w:sz w:val="24"/>
          <w:szCs w:val="24"/>
        </w:rPr>
      </w:pPr>
      <w:r w:rsidRPr="00E95BD7">
        <w:rPr>
          <w:rFonts w:ascii="Times New Roman" w:hAnsi="Times New Roman" w:cs="Times New Roman"/>
          <w:sz w:val="24"/>
          <w:szCs w:val="24"/>
        </w:rPr>
        <w:t xml:space="preserve">This award will depend on attaining EPS goals for non-utility operations.  </w:t>
      </w:r>
      <w:r w:rsidR="00AB5B68" w:rsidRPr="00E95BD7">
        <w:rPr>
          <w:rFonts w:ascii="Times New Roman" w:hAnsi="Times New Roman" w:cs="Times New Roman"/>
          <w:sz w:val="24"/>
          <w:szCs w:val="24"/>
        </w:rPr>
        <w:t>The actual amount paid, related to the non-utility EPS target,</w:t>
      </w:r>
      <w:r w:rsidR="00D970C1">
        <w:rPr>
          <w:rFonts w:ascii="Times New Roman" w:hAnsi="Times New Roman" w:cs="Times New Roman"/>
          <w:sz w:val="24"/>
          <w:szCs w:val="24"/>
        </w:rPr>
        <w:t xml:space="preserve"> could increase (up to 150% of non-u</w:t>
      </w:r>
      <w:r w:rsidR="00AB5B68" w:rsidRPr="00E95BD7">
        <w:rPr>
          <w:rFonts w:ascii="Times New Roman" w:hAnsi="Times New Roman" w:cs="Times New Roman"/>
          <w:sz w:val="24"/>
          <w:szCs w:val="24"/>
        </w:rPr>
        <w:t>tility EPS target award) or</w:t>
      </w:r>
      <w:r w:rsidR="00D970C1">
        <w:rPr>
          <w:rFonts w:ascii="Times New Roman" w:hAnsi="Times New Roman" w:cs="Times New Roman"/>
          <w:sz w:val="24"/>
          <w:szCs w:val="24"/>
        </w:rPr>
        <w:t xml:space="preserve"> decrease (as low as 0% of the non-u</w:t>
      </w:r>
      <w:r w:rsidR="00AB5B68" w:rsidRPr="00E95BD7">
        <w:rPr>
          <w:rFonts w:ascii="Times New Roman" w:hAnsi="Times New Roman" w:cs="Times New Roman"/>
          <w:sz w:val="24"/>
          <w:szCs w:val="24"/>
        </w:rPr>
        <w:t>tility EPS target award) depending on the Company’s actual performance.</w:t>
      </w:r>
    </w:p>
    <w:p w:rsidR="00046152" w:rsidRPr="00E95BD7" w:rsidRDefault="00046152" w:rsidP="002C4B86">
      <w:pPr>
        <w:ind w:left="90"/>
        <w:jc w:val="both"/>
        <w:rPr>
          <w:rFonts w:ascii="Times New Roman" w:hAnsi="Times New Roman" w:cs="Times New Roman"/>
          <w:sz w:val="24"/>
          <w:szCs w:val="24"/>
        </w:rPr>
      </w:pPr>
    </w:p>
    <w:p w:rsidR="002877AA" w:rsidRPr="00E95BD7" w:rsidRDefault="00B04FC8" w:rsidP="00E70D27">
      <w:pPr>
        <w:jc w:val="both"/>
        <w:rPr>
          <w:rFonts w:ascii="Times New Roman" w:hAnsi="Times New Roman" w:cs="Times New Roman"/>
          <w:sz w:val="24"/>
          <w:szCs w:val="24"/>
        </w:rPr>
      </w:pPr>
      <w:r>
        <w:rPr>
          <w:rFonts w:ascii="Times New Roman" w:hAnsi="Times New Roman" w:cs="Times New Roman"/>
          <w:sz w:val="24"/>
          <w:szCs w:val="24"/>
        </w:rPr>
        <w:t>For information on all executive short term payouts for 2011 (paid in 2012)</w:t>
      </w:r>
      <w:r w:rsidR="00D37DA2">
        <w:rPr>
          <w:rFonts w:ascii="Times New Roman" w:hAnsi="Times New Roman" w:cs="Times New Roman"/>
          <w:sz w:val="24"/>
          <w:szCs w:val="24"/>
        </w:rPr>
        <w:t xml:space="preserve"> included in retail rates</w:t>
      </w:r>
      <w:r w:rsidR="00D970C1">
        <w:rPr>
          <w:rFonts w:ascii="Times New Roman" w:hAnsi="Times New Roman" w:cs="Times New Roman"/>
          <w:sz w:val="24"/>
          <w:szCs w:val="24"/>
        </w:rPr>
        <w:t>,</w:t>
      </w:r>
      <w:r>
        <w:rPr>
          <w:rFonts w:ascii="Times New Roman" w:hAnsi="Times New Roman" w:cs="Times New Roman"/>
          <w:sz w:val="24"/>
          <w:szCs w:val="24"/>
        </w:rPr>
        <w:t xml:space="preserve"> s</w:t>
      </w:r>
      <w:r w:rsidR="008D7187">
        <w:rPr>
          <w:rFonts w:ascii="Times New Roman" w:hAnsi="Times New Roman" w:cs="Times New Roman"/>
          <w:sz w:val="24"/>
          <w:szCs w:val="24"/>
        </w:rPr>
        <w:t>ee</w:t>
      </w:r>
      <w:r w:rsidR="00230E04" w:rsidRPr="00E95BD7">
        <w:rPr>
          <w:rFonts w:ascii="Times New Roman" w:hAnsi="Times New Roman" w:cs="Times New Roman"/>
          <w:sz w:val="24"/>
          <w:szCs w:val="24"/>
        </w:rPr>
        <w:t xml:space="preserve"> Confidential Attachment </w:t>
      </w:r>
      <w:r w:rsidR="00CA2590">
        <w:rPr>
          <w:rFonts w:ascii="Times New Roman" w:hAnsi="Times New Roman" w:cs="Times New Roman"/>
          <w:sz w:val="24"/>
          <w:szCs w:val="24"/>
        </w:rPr>
        <w:t>C</w:t>
      </w:r>
      <w:r w:rsidR="00230E04" w:rsidRPr="00E95BD7">
        <w:rPr>
          <w:rFonts w:ascii="Times New Roman" w:hAnsi="Times New Roman" w:cs="Times New Roman"/>
          <w:sz w:val="24"/>
          <w:szCs w:val="24"/>
        </w:rPr>
        <w:t xml:space="preserve"> </w:t>
      </w:r>
      <w:r w:rsidR="001466CE">
        <w:rPr>
          <w:rFonts w:ascii="Times New Roman" w:hAnsi="Times New Roman" w:cs="Times New Roman"/>
          <w:sz w:val="24"/>
          <w:szCs w:val="24"/>
        </w:rPr>
        <w:t xml:space="preserve">- </w:t>
      </w:r>
      <w:r>
        <w:rPr>
          <w:rFonts w:ascii="Times New Roman" w:hAnsi="Times New Roman" w:cs="Times New Roman"/>
          <w:sz w:val="24"/>
          <w:szCs w:val="24"/>
        </w:rPr>
        <w:t xml:space="preserve">Total </w:t>
      </w:r>
      <w:r w:rsidR="00444FDD">
        <w:rPr>
          <w:rFonts w:ascii="Times New Roman" w:hAnsi="Times New Roman" w:cs="Times New Roman"/>
          <w:sz w:val="24"/>
          <w:szCs w:val="24"/>
        </w:rPr>
        <w:t xml:space="preserve">Utility </w:t>
      </w:r>
      <w:r w:rsidR="00D77586">
        <w:rPr>
          <w:rFonts w:ascii="Times New Roman" w:hAnsi="Times New Roman" w:cs="Times New Roman"/>
          <w:sz w:val="24"/>
          <w:szCs w:val="24"/>
        </w:rPr>
        <w:t xml:space="preserve">Executive Officer </w:t>
      </w:r>
      <w:r w:rsidR="00444FDD">
        <w:rPr>
          <w:rFonts w:ascii="Times New Roman" w:hAnsi="Times New Roman" w:cs="Times New Roman"/>
          <w:sz w:val="24"/>
          <w:szCs w:val="24"/>
        </w:rPr>
        <w:t>Base Salary and Incentive</w:t>
      </w:r>
      <w:r>
        <w:rPr>
          <w:rFonts w:ascii="Times New Roman" w:hAnsi="Times New Roman" w:cs="Times New Roman"/>
          <w:sz w:val="24"/>
          <w:szCs w:val="24"/>
        </w:rPr>
        <w:t xml:space="preserve"> </w:t>
      </w:r>
      <w:r w:rsidR="00D77586">
        <w:rPr>
          <w:rFonts w:ascii="Times New Roman" w:hAnsi="Times New Roman" w:cs="Times New Roman"/>
          <w:sz w:val="24"/>
          <w:szCs w:val="24"/>
        </w:rPr>
        <w:t>A</w:t>
      </w:r>
      <w:r w:rsidR="00444FDD">
        <w:rPr>
          <w:rFonts w:ascii="Times New Roman" w:hAnsi="Times New Roman" w:cs="Times New Roman"/>
          <w:sz w:val="24"/>
          <w:szCs w:val="24"/>
        </w:rPr>
        <w:t>mounts</w:t>
      </w:r>
      <w:r w:rsidR="006D19C0">
        <w:rPr>
          <w:rFonts w:ascii="Times New Roman" w:hAnsi="Times New Roman" w:cs="Times New Roman"/>
          <w:sz w:val="24"/>
          <w:szCs w:val="24"/>
        </w:rPr>
        <w:t xml:space="preserve"> in Rates</w:t>
      </w:r>
      <w:r>
        <w:rPr>
          <w:rFonts w:ascii="Times New Roman" w:hAnsi="Times New Roman" w:cs="Times New Roman"/>
          <w:sz w:val="24"/>
          <w:szCs w:val="24"/>
        </w:rPr>
        <w:t>.</w:t>
      </w:r>
    </w:p>
    <w:p w:rsidR="0014796D" w:rsidRPr="00E95BD7" w:rsidRDefault="0014796D" w:rsidP="009F6EB7">
      <w:pPr>
        <w:ind w:left="1080"/>
        <w:jc w:val="both"/>
        <w:rPr>
          <w:rFonts w:ascii="Times New Roman" w:hAnsi="Times New Roman" w:cs="Times New Roman"/>
          <w:sz w:val="24"/>
          <w:szCs w:val="24"/>
        </w:rPr>
      </w:pPr>
    </w:p>
    <w:p w:rsidR="00E13F38" w:rsidRPr="00E95BD7" w:rsidRDefault="00052EDE" w:rsidP="006A33DC">
      <w:pPr>
        <w:jc w:val="both"/>
        <w:rPr>
          <w:rFonts w:ascii="Times New Roman" w:hAnsi="Times New Roman" w:cs="Times New Roman"/>
          <w:b/>
          <w:sz w:val="24"/>
          <w:szCs w:val="24"/>
          <w:u w:val="single"/>
        </w:rPr>
      </w:pPr>
      <w:r w:rsidRPr="00E95BD7">
        <w:rPr>
          <w:rFonts w:ascii="Times New Roman" w:hAnsi="Times New Roman" w:cs="Times New Roman"/>
          <w:b/>
          <w:sz w:val="24"/>
          <w:szCs w:val="24"/>
          <w:u w:val="single"/>
        </w:rPr>
        <w:t xml:space="preserve">Executive Officer </w:t>
      </w:r>
      <w:r w:rsidR="00E13F38" w:rsidRPr="00E95BD7">
        <w:rPr>
          <w:rFonts w:ascii="Times New Roman" w:hAnsi="Times New Roman" w:cs="Times New Roman"/>
          <w:b/>
          <w:sz w:val="24"/>
          <w:szCs w:val="24"/>
          <w:u w:val="single"/>
        </w:rPr>
        <w:t>Long Term Incentive Plan</w:t>
      </w:r>
      <w:r w:rsidR="0099594E" w:rsidRPr="00E95BD7">
        <w:rPr>
          <w:rFonts w:ascii="Times New Roman" w:hAnsi="Times New Roman" w:cs="Times New Roman"/>
          <w:b/>
          <w:sz w:val="24"/>
          <w:szCs w:val="24"/>
          <w:u w:val="single"/>
        </w:rPr>
        <w:t xml:space="preserve"> (LTIP)</w:t>
      </w:r>
    </w:p>
    <w:p w:rsidR="0014796D" w:rsidRPr="00E95BD7" w:rsidRDefault="0014796D" w:rsidP="006A33DC">
      <w:pPr>
        <w:jc w:val="both"/>
        <w:rPr>
          <w:rFonts w:ascii="Times New Roman" w:hAnsi="Times New Roman" w:cs="Times New Roman"/>
          <w:sz w:val="24"/>
          <w:szCs w:val="24"/>
        </w:rPr>
      </w:pPr>
      <w:r w:rsidRPr="00E95BD7">
        <w:rPr>
          <w:rFonts w:ascii="Times New Roman" w:hAnsi="Times New Roman" w:cs="Times New Roman"/>
          <w:sz w:val="24"/>
          <w:szCs w:val="24"/>
        </w:rPr>
        <w:t xml:space="preserve">The </w:t>
      </w:r>
      <w:r w:rsidR="0099594E" w:rsidRPr="00E95BD7">
        <w:rPr>
          <w:rFonts w:ascii="Times New Roman" w:hAnsi="Times New Roman" w:cs="Times New Roman"/>
          <w:sz w:val="24"/>
          <w:szCs w:val="24"/>
        </w:rPr>
        <w:t xml:space="preserve">current </w:t>
      </w:r>
      <w:r w:rsidR="00B41CA5" w:rsidRPr="00E95BD7">
        <w:rPr>
          <w:rFonts w:ascii="Times New Roman" w:hAnsi="Times New Roman" w:cs="Times New Roman"/>
          <w:sz w:val="24"/>
          <w:szCs w:val="24"/>
        </w:rPr>
        <w:t>Long Term I</w:t>
      </w:r>
      <w:r w:rsidRPr="00E95BD7">
        <w:rPr>
          <w:rFonts w:ascii="Times New Roman" w:hAnsi="Times New Roman" w:cs="Times New Roman"/>
          <w:sz w:val="24"/>
          <w:szCs w:val="24"/>
        </w:rPr>
        <w:t>ncentive Plan (LTIP)</w:t>
      </w:r>
      <w:r w:rsidR="0099594E" w:rsidRPr="00E95BD7">
        <w:rPr>
          <w:rFonts w:ascii="Times New Roman" w:hAnsi="Times New Roman" w:cs="Times New Roman"/>
          <w:sz w:val="24"/>
          <w:szCs w:val="24"/>
        </w:rPr>
        <w:t xml:space="preserve"> awards are based on 25% restricted common stock units and 75% through performance based common stock equity awards.</w:t>
      </w:r>
      <w:r w:rsidR="00773D3E" w:rsidRPr="00E95BD7">
        <w:rPr>
          <w:rFonts w:ascii="Times New Roman" w:hAnsi="Times New Roman" w:cs="Times New Roman"/>
          <w:sz w:val="24"/>
          <w:szCs w:val="24"/>
        </w:rPr>
        <w:t xml:space="preserve">  </w:t>
      </w:r>
      <w:r w:rsidRPr="00E95BD7">
        <w:rPr>
          <w:rFonts w:ascii="Times New Roman" w:hAnsi="Times New Roman" w:cs="Times New Roman"/>
          <w:sz w:val="24"/>
          <w:szCs w:val="24"/>
        </w:rPr>
        <w:t xml:space="preserve">As with all the components of </w:t>
      </w:r>
      <w:r w:rsidR="005B1BF1" w:rsidRPr="00E95BD7">
        <w:rPr>
          <w:rFonts w:ascii="Times New Roman" w:hAnsi="Times New Roman" w:cs="Times New Roman"/>
          <w:sz w:val="24"/>
          <w:szCs w:val="24"/>
        </w:rPr>
        <w:t>executive officer</w:t>
      </w:r>
      <w:r w:rsidRPr="00E95BD7">
        <w:rPr>
          <w:rFonts w:ascii="Times New Roman" w:hAnsi="Times New Roman" w:cs="Times New Roman"/>
          <w:sz w:val="24"/>
          <w:szCs w:val="24"/>
        </w:rPr>
        <w:t xml:space="preserve"> compensation, the Compensation Committee determines all material aspects of the long-term incentive reward – who receives the reward, the amount of the reward, the timing of the award as well as any other aspect of the award that may be deemed material. </w:t>
      </w:r>
      <w:r w:rsidR="0099594E" w:rsidRPr="00E95BD7">
        <w:rPr>
          <w:rFonts w:ascii="Times New Roman" w:hAnsi="Times New Roman" w:cs="Times New Roman"/>
          <w:sz w:val="24"/>
          <w:szCs w:val="24"/>
        </w:rPr>
        <w:t xml:space="preserve"> A summary of the components of the LTIP is provided below.</w:t>
      </w:r>
    </w:p>
    <w:p w:rsidR="006A33DC" w:rsidRPr="00E95BD7" w:rsidRDefault="006A33DC" w:rsidP="006A33DC">
      <w:pPr>
        <w:ind w:left="1080"/>
        <w:jc w:val="both"/>
        <w:rPr>
          <w:rFonts w:ascii="Times New Roman" w:eastAsia="Calibri" w:hAnsi="Times New Roman" w:cs="Times New Roman"/>
          <w:sz w:val="24"/>
          <w:szCs w:val="24"/>
        </w:rPr>
      </w:pPr>
    </w:p>
    <w:p w:rsidR="006A33DC" w:rsidRPr="00D970C1" w:rsidRDefault="006A33DC" w:rsidP="00B44751">
      <w:pPr>
        <w:pStyle w:val="ListParagraph"/>
        <w:numPr>
          <w:ilvl w:val="0"/>
          <w:numId w:val="18"/>
        </w:numPr>
        <w:jc w:val="both"/>
        <w:rPr>
          <w:rFonts w:ascii="Times New Roman" w:eastAsia="Calibri" w:hAnsi="Times New Roman" w:cs="Times New Roman"/>
          <w:sz w:val="24"/>
          <w:szCs w:val="24"/>
          <w:u w:val="single"/>
        </w:rPr>
      </w:pPr>
      <w:r w:rsidRPr="00D970C1">
        <w:rPr>
          <w:rFonts w:ascii="Times New Roman" w:eastAsia="Calibri" w:hAnsi="Times New Roman" w:cs="Times New Roman"/>
          <w:sz w:val="24"/>
          <w:szCs w:val="24"/>
          <w:u w:val="single"/>
        </w:rPr>
        <w:t xml:space="preserve">Restricted Stock (25% of </w:t>
      </w:r>
      <w:r w:rsidR="008221B3" w:rsidRPr="00D970C1">
        <w:rPr>
          <w:rFonts w:ascii="Times New Roman" w:eastAsia="Calibri" w:hAnsi="Times New Roman" w:cs="Times New Roman"/>
          <w:sz w:val="24"/>
          <w:szCs w:val="24"/>
          <w:u w:val="single"/>
        </w:rPr>
        <w:t>LTIP</w:t>
      </w:r>
      <w:r w:rsidRPr="00D970C1">
        <w:rPr>
          <w:rFonts w:ascii="Times New Roman" w:eastAsia="Calibri" w:hAnsi="Times New Roman" w:cs="Times New Roman"/>
          <w:sz w:val="24"/>
          <w:szCs w:val="24"/>
          <w:u w:val="single"/>
        </w:rPr>
        <w:t>)</w:t>
      </w:r>
      <w:r w:rsidR="00D970C1">
        <w:rPr>
          <w:rFonts w:ascii="Times New Roman" w:eastAsia="Calibri" w:hAnsi="Times New Roman" w:cs="Times New Roman"/>
          <w:sz w:val="24"/>
          <w:szCs w:val="24"/>
          <w:u w:val="single"/>
        </w:rPr>
        <w:t>:</w:t>
      </w:r>
    </w:p>
    <w:p w:rsidR="0014796D" w:rsidRPr="00E95BD7" w:rsidRDefault="0084074C" w:rsidP="00B44751">
      <w:pPr>
        <w:ind w:left="1080"/>
        <w:jc w:val="both"/>
        <w:rPr>
          <w:rFonts w:ascii="Times New Roman" w:eastAsia="Calibri" w:hAnsi="Times New Roman" w:cs="Times New Roman"/>
          <w:sz w:val="24"/>
          <w:szCs w:val="24"/>
        </w:rPr>
      </w:pPr>
      <w:r w:rsidRPr="00E95BD7">
        <w:rPr>
          <w:rFonts w:ascii="Times New Roman" w:hAnsi="Times New Roman" w:cs="Times New Roman"/>
          <w:sz w:val="24"/>
          <w:szCs w:val="24"/>
        </w:rPr>
        <w:t>E</w:t>
      </w:r>
      <w:r w:rsidR="0014796D" w:rsidRPr="00E95BD7">
        <w:rPr>
          <w:rFonts w:ascii="Times New Roman" w:hAnsi="Times New Roman" w:cs="Times New Roman"/>
          <w:sz w:val="24"/>
          <w:szCs w:val="24"/>
        </w:rPr>
        <w:t>xecutive</w:t>
      </w:r>
      <w:r w:rsidR="005B1BF1" w:rsidRPr="00E95BD7">
        <w:rPr>
          <w:rFonts w:ascii="Times New Roman" w:hAnsi="Times New Roman" w:cs="Times New Roman"/>
          <w:sz w:val="24"/>
          <w:szCs w:val="24"/>
        </w:rPr>
        <w:t xml:space="preserve"> Officers</w:t>
      </w:r>
      <w:r w:rsidR="0014796D" w:rsidRPr="00E95BD7">
        <w:rPr>
          <w:rFonts w:ascii="Times New Roman" w:hAnsi="Times New Roman" w:cs="Times New Roman"/>
          <w:sz w:val="24"/>
          <w:szCs w:val="24"/>
        </w:rPr>
        <w:t xml:space="preserve"> (</w:t>
      </w:r>
      <w:r w:rsidR="0014796D" w:rsidRPr="00E95BD7">
        <w:rPr>
          <w:rFonts w:ascii="Times New Roman" w:eastAsia="Calibri" w:hAnsi="Times New Roman" w:cs="Times New Roman"/>
          <w:sz w:val="24"/>
          <w:szCs w:val="24"/>
        </w:rPr>
        <w:t xml:space="preserve">other than </w:t>
      </w:r>
      <w:r w:rsidR="0014796D" w:rsidRPr="00E95BD7">
        <w:rPr>
          <w:rFonts w:ascii="Times New Roman" w:hAnsi="Times New Roman" w:cs="Times New Roman"/>
          <w:sz w:val="24"/>
          <w:szCs w:val="24"/>
        </w:rPr>
        <w:t>the CEO)</w:t>
      </w:r>
      <w:r w:rsidR="0014796D" w:rsidRPr="00E95BD7">
        <w:rPr>
          <w:rFonts w:ascii="Times New Roman" w:eastAsia="Calibri" w:hAnsi="Times New Roman" w:cs="Times New Roman"/>
          <w:sz w:val="24"/>
          <w:szCs w:val="24"/>
        </w:rPr>
        <w:t xml:space="preserve"> </w:t>
      </w:r>
      <w:r w:rsidR="00CC36D2" w:rsidRPr="00E95BD7">
        <w:rPr>
          <w:rFonts w:ascii="Times New Roman" w:eastAsia="Calibri" w:hAnsi="Times New Roman" w:cs="Times New Roman"/>
          <w:sz w:val="24"/>
          <w:szCs w:val="24"/>
        </w:rPr>
        <w:t>ar</w:t>
      </w:r>
      <w:r w:rsidR="0014796D" w:rsidRPr="00E95BD7">
        <w:rPr>
          <w:rFonts w:ascii="Times New Roman" w:eastAsia="Calibri" w:hAnsi="Times New Roman" w:cs="Times New Roman"/>
          <w:sz w:val="24"/>
          <w:szCs w:val="24"/>
        </w:rPr>
        <w:t xml:space="preserve">e awarded </w:t>
      </w:r>
      <w:r w:rsidR="00CC36D2" w:rsidRPr="00E95BD7">
        <w:rPr>
          <w:rFonts w:ascii="Times New Roman" w:eastAsia="Calibri" w:hAnsi="Times New Roman" w:cs="Times New Roman"/>
          <w:sz w:val="24"/>
          <w:szCs w:val="24"/>
        </w:rPr>
        <w:t xml:space="preserve">time-based </w:t>
      </w:r>
      <w:r w:rsidR="0014796D" w:rsidRPr="00E95BD7">
        <w:rPr>
          <w:rFonts w:ascii="Times New Roman" w:eastAsia="Calibri" w:hAnsi="Times New Roman" w:cs="Times New Roman"/>
          <w:sz w:val="24"/>
          <w:szCs w:val="24"/>
        </w:rPr>
        <w:t xml:space="preserve">restricted stock units that vest over a three-year period—each year 1/3 of the units vest and shares are issued on an annual basis provided the </w:t>
      </w:r>
      <w:r w:rsidR="005B1BF1" w:rsidRPr="00E95BD7">
        <w:rPr>
          <w:rFonts w:ascii="Times New Roman" w:hAnsi="Times New Roman" w:cs="Times New Roman"/>
          <w:sz w:val="24"/>
          <w:szCs w:val="24"/>
        </w:rPr>
        <w:t>executive officer</w:t>
      </w:r>
      <w:r w:rsidR="0014796D" w:rsidRPr="00E95BD7">
        <w:rPr>
          <w:rFonts w:ascii="Times New Roman" w:eastAsia="Calibri" w:hAnsi="Times New Roman" w:cs="Times New Roman"/>
          <w:sz w:val="24"/>
          <w:szCs w:val="24"/>
        </w:rPr>
        <w:t xml:space="preserve"> is employed on the last day of the vesting period. </w:t>
      </w:r>
      <w:r w:rsidR="00CC36D2" w:rsidRPr="00E95BD7">
        <w:rPr>
          <w:rFonts w:ascii="Times New Roman" w:eastAsia="Calibri" w:hAnsi="Times New Roman" w:cs="Times New Roman"/>
          <w:sz w:val="24"/>
          <w:szCs w:val="24"/>
        </w:rPr>
        <w:t xml:space="preserve">For the CEO, the restricted stock units vest in three equal annual increments, provided the CEO remains employed by the Company on the last day of each year of the </w:t>
      </w:r>
      <w:r w:rsidR="00CC36D2" w:rsidRPr="00E95BD7">
        <w:rPr>
          <w:rFonts w:ascii="Times New Roman" w:eastAsia="Calibri" w:hAnsi="Times New Roman" w:cs="Times New Roman"/>
          <w:sz w:val="24"/>
          <w:szCs w:val="24"/>
        </w:rPr>
        <w:lastRenderedPageBreak/>
        <w:t xml:space="preserve">three-year period. Vesting is also based on the attainment of a performance target so that the compensation qualifies as performance-based compensation and is tax-deductible by the Company.  </w:t>
      </w:r>
      <w:r w:rsidR="0014796D" w:rsidRPr="00E95BD7">
        <w:rPr>
          <w:rFonts w:ascii="Times New Roman" w:eastAsia="Calibri" w:hAnsi="Times New Roman" w:cs="Times New Roman"/>
          <w:sz w:val="24"/>
          <w:szCs w:val="24"/>
        </w:rPr>
        <w:t xml:space="preserve">Dividend equivalents accrue on the unvested units and, if the </w:t>
      </w:r>
      <w:r w:rsidR="005B1BF1" w:rsidRPr="00E95BD7">
        <w:rPr>
          <w:rFonts w:ascii="Times New Roman" w:hAnsi="Times New Roman" w:cs="Times New Roman"/>
          <w:sz w:val="24"/>
          <w:szCs w:val="24"/>
        </w:rPr>
        <w:t>executive officer</w:t>
      </w:r>
      <w:r w:rsidR="00CC36D2" w:rsidRPr="00E95BD7">
        <w:rPr>
          <w:rFonts w:ascii="Times New Roman" w:hAnsi="Times New Roman" w:cs="Times New Roman"/>
          <w:sz w:val="24"/>
          <w:szCs w:val="24"/>
        </w:rPr>
        <w:t>, as well as the CEO</w:t>
      </w:r>
      <w:r w:rsidR="00CC4E5A" w:rsidRPr="00E95BD7">
        <w:rPr>
          <w:rFonts w:ascii="Times New Roman" w:hAnsi="Times New Roman" w:cs="Times New Roman"/>
          <w:sz w:val="24"/>
          <w:szCs w:val="24"/>
        </w:rPr>
        <w:t>,</w:t>
      </w:r>
      <w:r w:rsidR="0014796D" w:rsidRPr="00E95BD7">
        <w:rPr>
          <w:rFonts w:ascii="Times New Roman" w:eastAsia="Calibri" w:hAnsi="Times New Roman" w:cs="Times New Roman"/>
          <w:sz w:val="24"/>
          <w:szCs w:val="24"/>
        </w:rPr>
        <w:t xml:space="preserve"> is employed on the last day of the vesting period, the dividend equivalents are paid in cash at the same time that the underlying units vest and are paid in shares. Therefore, if his or her employment ends prior to the last day of the vesting period, no units or dividend equivalents are earned.</w:t>
      </w:r>
    </w:p>
    <w:p w:rsidR="006A33DC" w:rsidRPr="00E95BD7" w:rsidRDefault="006A33DC" w:rsidP="006A33DC">
      <w:pPr>
        <w:jc w:val="both"/>
        <w:rPr>
          <w:rFonts w:ascii="Times New Roman" w:eastAsia="Calibri" w:hAnsi="Times New Roman" w:cs="Times New Roman"/>
          <w:sz w:val="24"/>
          <w:szCs w:val="24"/>
        </w:rPr>
      </w:pPr>
    </w:p>
    <w:p w:rsidR="006A33DC" w:rsidRPr="00D970C1" w:rsidRDefault="006A33DC" w:rsidP="00B44751">
      <w:pPr>
        <w:pStyle w:val="ListParagraph"/>
        <w:numPr>
          <w:ilvl w:val="0"/>
          <w:numId w:val="18"/>
        </w:numPr>
        <w:jc w:val="both"/>
        <w:rPr>
          <w:rFonts w:ascii="Times New Roman" w:eastAsia="Calibri" w:hAnsi="Times New Roman" w:cs="Times New Roman"/>
          <w:sz w:val="24"/>
          <w:szCs w:val="24"/>
          <w:u w:val="single"/>
        </w:rPr>
      </w:pPr>
      <w:r w:rsidRPr="00D970C1">
        <w:rPr>
          <w:rFonts w:ascii="Times New Roman" w:eastAsia="Calibri" w:hAnsi="Times New Roman" w:cs="Times New Roman"/>
          <w:sz w:val="24"/>
          <w:szCs w:val="24"/>
          <w:u w:val="single"/>
        </w:rPr>
        <w:t>Performance Based Equity Awards (</w:t>
      </w:r>
      <w:r w:rsidR="007256FA" w:rsidRPr="00D970C1">
        <w:rPr>
          <w:rFonts w:ascii="Times New Roman" w:eastAsia="Calibri" w:hAnsi="Times New Roman" w:cs="Times New Roman"/>
          <w:sz w:val="24"/>
          <w:szCs w:val="24"/>
          <w:u w:val="single"/>
        </w:rPr>
        <w:t>7</w:t>
      </w:r>
      <w:r w:rsidRPr="00D970C1">
        <w:rPr>
          <w:rFonts w:ascii="Times New Roman" w:eastAsia="Calibri" w:hAnsi="Times New Roman" w:cs="Times New Roman"/>
          <w:sz w:val="24"/>
          <w:szCs w:val="24"/>
          <w:u w:val="single"/>
        </w:rPr>
        <w:t xml:space="preserve">5% of </w:t>
      </w:r>
      <w:r w:rsidR="006D6DB7" w:rsidRPr="00D970C1">
        <w:rPr>
          <w:rFonts w:ascii="Times New Roman" w:eastAsia="Calibri" w:hAnsi="Times New Roman" w:cs="Times New Roman"/>
          <w:sz w:val="24"/>
          <w:szCs w:val="24"/>
          <w:u w:val="single"/>
        </w:rPr>
        <w:t>LTIP</w:t>
      </w:r>
      <w:r w:rsidRPr="00D970C1">
        <w:rPr>
          <w:rFonts w:ascii="Times New Roman" w:eastAsia="Calibri" w:hAnsi="Times New Roman" w:cs="Times New Roman"/>
          <w:sz w:val="24"/>
          <w:szCs w:val="24"/>
          <w:u w:val="single"/>
        </w:rPr>
        <w:t>)</w:t>
      </w:r>
      <w:r w:rsidR="00D970C1">
        <w:rPr>
          <w:rFonts w:ascii="Times New Roman" w:eastAsia="Calibri" w:hAnsi="Times New Roman" w:cs="Times New Roman"/>
          <w:sz w:val="24"/>
          <w:szCs w:val="24"/>
          <w:u w:val="single"/>
        </w:rPr>
        <w:t>:</w:t>
      </w:r>
    </w:p>
    <w:p w:rsidR="0014796D" w:rsidRPr="00E95BD7" w:rsidRDefault="00B44751" w:rsidP="00B44751">
      <w:pPr>
        <w:ind w:left="1080"/>
        <w:jc w:val="both"/>
        <w:rPr>
          <w:rFonts w:ascii="Times New Roman" w:eastAsia="Calibri" w:hAnsi="Times New Roman" w:cs="Times New Roman"/>
          <w:sz w:val="24"/>
          <w:szCs w:val="24"/>
        </w:rPr>
      </w:pPr>
      <w:r w:rsidRPr="00E95BD7">
        <w:rPr>
          <w:rFonts w:ascii="Times New Roman" w:eastAsia="Calibri" w:hAnsi="Times New Roman" w:cs="Times New Roman"/>
          <w:sz w:val="24"/>
          <w:szCs w:val="24"/>
        </w:rPr>
        <w:t>P</w:t>
      </w:r>
      <w:r w:rsidR="0014796D" w:rsidRPr="00E95BD7">
        <w:rPr>
          <w:rFonts w:ascii="Times New Roman" w:eastAsia="Calibri" w:hAnsi="Times New Roman" w:cs="Times New Roman"/>
          <w:sz w:val="24"/>
          <w:szCs w:val="24"/>
        </w:rPr>
        <w:t>erformance share awards are granted under the LTIP and will vest based on performance over a three-year period. The number of contingent shares varies based on the Company’s three-year relative total shareholder return compared to the returns reported in the S&amp;P 400 Utilities Index. Dividend equivalents are paid in cash based on the total number of units earned at the end of the performance cycle provided the performance goals are met. Therefore, if the total shareholder return does not meet the threshold performance level, then no units or dividend equivalents are earned</w:t>
      </w:r>
      <w:r w:rsidR="00A04926" w:rsidRPr="00E95BD7">
        <w:rPr>
          <w:rFonts w:ascii="Times New Roman" w:eastAsia="Calibri" w:hAnsi="Times New Roman" w:cs="Times New Roman"/>
          <w:sz w:val="24"/>
          <w:szCs w:val="24"/>
        </w:rPr>
        <w:t>.</w:t>
      </w:r>
    </w:p>
    <w:p w:rsidR="00A04926" w:rsidRPr="00E95BD7" w:rsidRDefault="00A04926" w:rsidP="00B44751">
      <w:pPr>
        <w:ind w:left="1080"/>
        <w:jc w:val="both"/>
        <w:rPr>
          <w:rFonts w:ascii="Times New Roman" w:eastAsia="Calibri" w:hAnsi="Times New Roman" w:cs="Times New Roman"/>
          <w:sz w:val="24"/>
          <w:szCs w:val="24"/>
        </w:rPr>
      </w:pPr>
    </w:p>
    <w:p w:rsidR="00A04926" w:rsidRPr="00E95BD7" w:rsidRDefault="00A04926" w:rsidP="00A04926">
      <w:pPr>
        <w:ind w:left="90"/>
        <w:jc w:val="both"/>
        <w:rPr>
          <w:rFonts w:ascii="Times New Roman" w:eastAsia="Calibri" w:hAnsi="Times New Roman" w:cs="Times New Roman"/>
          <w:sz w:val="24"/>
          <w:szCs w:val="24"/>
        </w:rPr>
      </w:pPr>
      <w:r w:rsidRPr="00E95BD7">
        <w:rPr>
          <w:rFonts w:ascii="Times New Roman" w:eastAsia="Calibri" w:hAnsi="Times New Roman" w:cs="Times New Roman"/>
          <w:sz w:val="24"/>
          <w:szCs w:val="24"/>
        </w:rPr>
        <w:t xml:space="preserve">See </w:t>
      </w:r>
      <w:r w:rsidR="00FA43EF" w:rsidRPr="00E95BD7">
        <w:rPr>
          <w:rFonts w:ascii="Times New Roman" w:eastAsia="Calibri" w:hAnsi="Times New Roman" w:cs="Times New Roman"/>
          <w:sz w:val="24"/>
          <w:szCs w:val="24"/>
        </w:rPr>
        <w:t>A</w:t>
      </w:r>
      <w:r w:rsidRPr="00E95BD7">
        <w:rPr>
          <w:rFonts w:ascii="Times New Roman" w:eastAsia="Calibri" w:hAnsi="Times New Roman" w:cs="Times New Roman"/>
          <w:sz w:val="24"/>
          <w:szCs w:val="24"/>
        </w:rPr>
        <w:t xml:space="preserve">ttachment </w:t>
      </w:r>
      <w:r w:rsidR="00B04FC8">
        <w:rPr>
          <w:rFonts w:ascii="Times New Roman" w:eastAsia="Calibri" w:hAnsi="Times New Roman" w:cs="Times New Roman"/>
          <w:sz w:val="24"/>
          <w:szCs w:val="24"/>
        </w:rPr>
        <w:t>D</w:t>
      </w:r>
      <w:r w:rsidRPr="00E95BD7">
        <w:rPr>
          <w:rFonts w:ascii="Times New Roman" w:eastAsia="Calibri" w:hAnsi="Times New Roman" w:cs="Times New Roman"/>
          <w:sz w:val="24"/>
          <w:szCs w:val="24"/>
        </w:rPr>
        <w:t xml:space="preserve">, Avista Corporation </w:t>
      </w:r>
      <w:r w:rsidR="00B04FC8">
        <w:rPr>
          <w:rFonts w:ascii="Times New Roman" w:eastAsia="Calibri" w:hAnsi="Times New Roman" w:cs="Times New Roman"/>
          <w:sz w:val="24"/>
          <w:szCs w:val="24"/>
        </w:rPr>
        <w:t xml:space="preserve">Executive Officer </w:t>
      </w:r>
      <w:r w:rsidRPr="00E95BD7">
        <w:rPr>
          <w:rFonts w:ascii="Times New Roman" w:eastAsia="Calibri" w:hAnsi="Times New Roman" w:cs="Times New Roman"/>
          <w:sz w:val="24"/>
          <w:szCs w:val="24"/>
        </w:rPr>
        <w:t xml:space="preserve">Long Term Incentive Plan, for additional </w:t>
      </w:r>
      <w:r w:rsidR="007042A6" w:rsidRPr="00E95BD7">
        <w:rPr>
          <w:rFonts w:ascii="Times New Roman" w:eastAsia="Calibri" w:hAnsi="Times New Roman" w:cs="Times New Roman"/>
          <w:sz w:val="24"/>
          <w:szCs w:val="24"/>
        </w:rPr>
        <w:t>details related to these components</w:t>
      </w:r>
      <w:r w:rsidRPr="00E95BD7">
        <w:rPr>
          <w:rFonts w:ascii="Times New Roman" w:eastAsia="Calibri" w:hAnsi="Times New Roman" w:cs="Times New Roman"/>
          <w:sz w:val="24"/>
          <w:szCs w:val="24"/>
        </w:rPr>
        <w:t>.</w:t>
      </w:r>
    </w:p>
    <w:p w:rsidR="00B357EE" w:rsidRPr="00E95BD7" w:rsidRDefault="00B357EE" w:rsidP="00B357EE">
      <w:pPr>
        <w:pStyle w:val="ListParagraph"/>
        <w:ind w:left="90"/>
        <w:jc w:val="both"/>
        <w:rPr>
          <w:rFonts w:ascii="Times New Roman" w:eastAsia="Calibri" w:hAnsi="Times New Roman" w:cs="Times New Roman"/>
          <w:b/>
          <w:sz w:val="24"/>
          <w:szCs w:val="24"/>
          <w:u w:val="single"/>
        </w:rPr>
      </w:pPr>
    </w:p>
    <w:p w:rsidR="00B357EE" w:rsidRPr="00D970C1" w:rsidRDefault="00B357EE" w:rsidP="00B357EE">
      <w:pPr>
        <w:jc w:val="both"/>
        <w:rPr>
          <w:rFonts w:ascii="Times New Roman" w:eastAsia="Calibri" w:hAnsi="Times New Roman" w:cs="Times New Roman"/>
          <w:b/>
          <w:color w:val="FF0000"/>
          <w:sz w:val="24"/>
          <w:szCs w:val="24"/>
          <w:u w:val="single"/>
        </w:rPr>
      </w:pPr>
      <w:r w:rsidRPr="00E95BD7">
        <w:rPr>
          <w:rFonts w:ascii="Times New Roman" w:eastAsia="Calibri" w:hAnsi="Times New Roman" w:cs="Times New Roman"/>
          <w:b/>
          <w:sz w:val="24"/>
          <w:szCs w:val="24"/>
          <w:u w:val="single"/>
        </w:rPr>
        <w:t>Benefits Package</w:t>
      </w:r>
    </w:p>
    <w:p w:rsidR="00B357EE" w:rsidRPr="00E95BD7" w:rsidRDefault="00B357EE" w:rsidP="00B357EE">
      <w:pPr>
        <w:jc w:val="both"/>
        <w:rPr>
          <w:rFonts w:ascii="Times New Roman" w:hAnsi="Times New Roman" w:cs="Times New Roman"/>
          <w:b/>
          <w:sz w:val="24"/>
          <w:szCs w:val="24"/>
        </w:rPr>
      </w:pPr>
      <w:r w:rsidRPr="00E95BD7">
        <w:rPr>
          <w:rFonts w:ascii="Times New Roman" w:eastAsia="Calibri" w:hAnsi="Times New Roman" w:cs="Times New Roman"/>
          <w:sz w:val="24"/>
          <w:szCs w:val="24"/>
        </w:rPr>
        <w:t xml:space="preserve">All regular employees, including executive officers, are eligible for the Company’s Qualified Defined Benefit plan, the Company’s 401(k) plan, health and dental coverage, Company-paid term life insurance, disability insurance, paid time off and paid holidays. This benefit package offers several choices as to </w:t>
      </w:r>
      <w:r w:rsidR="00BB433A" w:rsidRPr="00E95BD7">
        <w:rPr>
          <w:rFonts w:ascii="Times New Roman" w:eastAsia="Calibri" w:hAnsi="Times New Roman" w:cs="Times New Roman"/>
          <w:sz w:val="24"/>
          <w:szCs w:val="24"/>
        </w:rPr>
        <w:t xml:space="preserve">the </w:t>
      </w:r>
      <w:r w:rsidRPr="00E95BD7">
        <w:rPr>
          <w:rFonts w:ascii="Times New Roman" w:eastAsia="Calibri" w:hAnsi="Times New Roman" w:cs="Times New Roman"/>
          <w:sz w:val="24"/>
          <w:szCs w:val="24"/>
        </w:rPr>
        <w:t>type of medical plan, dental plan, life insurance, etc to determine the best fit for their circumstances.  These plans are designed to be competitive with the overall market practices and are in place to attract and retain the talent needed in the business.  As with all portions of the plan, the Company works with a third</w:t>
      </w:r>
      <w:r w:rsidR="003F45B3">
        <w:rPr>
          <w:rFonts w:ascii="Times New Roman" w:eastAsia="Calibri" w:hAnsi="Times New Roman" w:cs="Times New Roman"/>
          <w:sz w:val="24"/>
          <w:szCs w:val="24"/>
        </w:rPr>
        <w:t>-</w:t>
      </w:r>
      <w:r w:rsidRPr="00E95BD7">
        <w:rPr>
          <w:rFonts w:ascii="Times New Roman" w:eastAsia="Calibri" w:hAnsi="Times New Roman" w:cs="Times New Roman"/>
          <w:sz w:val="24"/>
          <w:szCs w:val="24"/>
        </w:rPr>
        <w:t xml:space="preserve">party administrator to determine the annual rates for the </w:t>
      </w:r>
      <w:r w:rsidR="000F62C3" w:rsidRPr="00E95BD7">
        <w:rPr>
          <w:rFonts w:ascii="Times New Roman" w:eastAsia="Calibri" w:hAnsi="Times New Roman" w:cs="Times New Roman"/>
          <w:sz w:val="24"/>
          <w:szCs w:val="24"/>
        </w:rPr>
        <w:t>C</w:t>
      </w:r>
      <w:r w:rsidRPr="00E95BD7">
        <w:rPr>
          <w:rFonts w:ascii="Times New Roman" w:eastAsia="Calibri" w:hAnsi="Times New Roman" w:cs="Times New Roman"/>
          <w:sz w:val="24"/>
          <w:szCs w:val="24"/>
        </w:rPr>
        <w:t>ompany and for each individual employee based on their elections.</w:t>
      </w:r>
    </w:p>
    <w:p w:rsidR="00230E04" w:rsidRPr="00E95BD7" w:rsidRDefault="00230E04" w:rsidP="00B357EE">
      <w:pPr>
        <w:jc w:val="both"/>
        <w:rPr>
          <w:rFonts w:ascii="Times New Roman" w:hAnsi="Times New Roman" w:cs="Times New Roman"/>
          <w:b/>
          <w:sz w:val="24"/>
          <w:szCs w:val="24"/>
        </w:rPr>
      </w:pPr>
    </w:p>
    <w:p w:rsidR="00B357EE" w:rsidRPr="00E95BD7" w:rsidRDefault="00B357EE" w:rsidP="00B357EE">
      <w:pPr>
        <w:jc w:val="both"/>
        <w:rPr>
          <w:rFonts w:ascii="Times New Roman" w:hAnsi="Times New Roman" w:cs="Times New Roman"/>
          <w:sz w:val="24"/>
          <w:szCs w:val="24"/>
        </w:rPr>
      </w:pPr>
      <w:r w:rsidRPr="00E95BD7">
        <w:rPr>
          <w:rFonts w:ascii="Times New Roman" w:hAnsi="Times New Roman" w:cs="Times New Roman"/>
          <w:sz w:val="24"/>
          <w:szCs w:val="24"/>
        </w:rPr>
        <w:t xml:space="preserve">Avista sponsors a self-funded medical benefit plan that provides various levels of coverage for medical, dental and vision. Avista encourages employees to take responsibility for their health care decisions and make lifestyle changes to avoid health care issues. The Company also encourages participants to adopt and maintain healthy lifestyles, and use health care wisely.  Proactive programs are set up to help individuals change their behaviors and live a healthier life. The Company addresses this by using a health continuum; low risk (Wellness), moderate risk (Wellness, Lifestyle Health Coaching) and high risk (Disease Management, Case Management). </w:t>
      </w:r>
    </w:p>
    <w:p w:rsidR="00B357EE" w:rsidRPr="00E95BD7" w:rsidRDefault="00B357EE" w:rsidP="00B357EE">
      <w:pPr>
        <w:jc w:val="both"/>
        <w:rPr>
          <w:rFonts w:ascii="Times New Roman" w:hAnsi="Times New Roman" w:cs="Times New Roman"/>
          <w:sz w:val="24"/>
          <w:szCs w:val="24"/>
        </w:rPr>
      </w:pPr>
    </w:p>
    <w:p w:rsidR="00B357EE" w:rsidRPr="00942858" w:rsidRDefault="00B357EE" w:rsidP="00B357EE">
      <w:pPr>
        <w:jc w:val="both"/>
        <w:rPr>
          <w:rFonts w:ascii="Times New Roman" w:hAnsi="Times New Roman" w:cs="Times New Roman"/>
          <w:b/>
          <w:sz w:val="24"/>
          <w:szCs w:val="24"/>
        </w:rPr>
      </w:pPr>
      <w:r w:rsidRPr="00E95BD7">
        <w:rPr>
          <w:rFonts w:ascii="Times New Roman" w:hAnsi="Times New Roman" w:cs="Times New Roman"/>
          <w:sz w:val="24"/>
          <w:szCs w:val="24"/>
        </w:rPr>
        <w:t xml:space="preserve">Retirement programs are crucial to attracting and retaining a skilled workforce within the </w:t>
      </w:r>
      <w:r w:rsidR="00CC4496" w:rsidRPr="00E95BD7">
        <w:rPr>
          <w:rFonts w:ascii="Times New Roman" w:hAnsi="Times New Roman" w:cs="Times New Roman"/>
          <w:sz w:val="24"/>
          <w:szCs w:val="24"/>
        </w:rPr>
        <w:t>utility</w:t>
      </w:r>
      <w:r w:rsidRPr="00E95BD7">
        <w:rPr>
          <w:rFonts w:ascii="Times New Roman" w:hAnsi="Times New Roman" w:cs="Times New Roman"/>
          <w:sz w:val="24"/>
          <w:szCs w:val="24"/>
        </w:rPr>
        <w:t xml:space="preserve"> industry.  For active employees, a defined benefit pension plan and a defined contribution plan provide a balanced retirement opportunity for employees. </w:t>
      </w:r>
      <w:r w:rsidR="00CC36D2" w:rsidRPr="00E95BD7">
        <w:rPr>
          <w:rFonts w:ascii="Times New Roman" w:hAnsi="Times New Roman" w:cs="Times New Roman"/>
          <w:sz w:val="24"/>
          <w:szCs w:val="24"/>
        </w:rPr>
        <w:t xml:space="preserve">The Company’s Retirement Plan for Employees (defined benefit pension plan) provides a retirement benefit based upon employees’ compensation and years of credited service. The retirement benefit is based on a participant’s final average annual base salary for the highest 36 consecutive months during the last 120 months of service with the Company. </w:t>
      </w:r>
      <w:r w:rsidRPr="00E95BD7">
        <w:rPr>
          <w:rFonts w:ascii="Times New Roman" w:hAnsi="Times New Roman" w:cs="Times New Roman"/>
          <w:sz w:val="24"/>
          <w:szCs w:val="24"/>
        </w:rPr>
        <w:t xml:space="preserve">The defined contribution plan, or 401(k) plan, provides tax deferred savings providing partial matching dollars for the first 6% invested by the employee (except for union employees). The matching feature </w:t>
      </w:r>
      <w:r w:rsidRPr="00E95BD7">
        <w:rPr>
          <w:rFonts w:ascii="Times New Roman" w:hAnsi="Times New Roman" w:cs="Times New Roman"/>
          <w:sz w:val="24"/>
          <w:szCs w:val="24"/>
        </w:rPr>
        <w:lastRenderedPageBreak/>
        <w:t>encourages participation in the plan and provides incentive to maximize contributions to take full advantage of the Company match. These programs, in combination with pay and other benefits</w:t>
      </w:r>
      <w:r w:rsidR="00B41CA5" w:rsidRPr="00E95BD7">
        <w:rPr>
          <w:rFonts w:ascii="Times New Roman" w:hAnsi="Times New Roman" w:cs="Times New Roman"/>
          <w:sz w:val="24"/>
          <w:szCs w:val="24"/>
        </w:rPr>
        <w:t>,</w:t>
      </w:r>
      <w:r w:rsidRPr="00E95BD7">
        <w:rPr>
          <w:rFonts w:ascii="Times New Roman" w:hAnsi="Times New Roman" w:cs="Times New Roman"/>
          <w:sz w:val="24"/>
          <w:szCs w:val="24"/>
        </w:rPr>
        <w:t xml:space="preserve"> are keys to attracting and retaining quality employees to run our business.</w:t>
      </w:r>
      <w:r w:rsidR="008806CA" w:rsidRPr="00E95BD7">
        <w:rPr>
          <w:rFonts w:ascii="Times New Roman" w:hAnsi="Times New Roman" w:cs="Times New Roman"/>
          <w:sz w:val="24"/>
          <w:szCs w:val="24"/>
        </w:rPr>
        <w:t xml:space="preserve">  </w:t>
      </w:r>
      <w:r w:rsidR="008806CA" w:rsidRPr="00942858">
        <w:rPr>
          <w:rFonts w:ascii="Times New Roman" w:hAnsi="Times New Roman" w:cs="Times New Roman"/>
          <w:sz w:val="24"/>
          <w:szCs w:val="24"/>
        </w:rPr>
        <w:t xml:space="preserve">See Attachment </w:t>
      </w:r>
      <w:r w:rsidR="00CA2590">
        <w:rPr>
          <w:rFonts w:ascii="Times New Roman" w:hAnsi="Times New Roman" w:cs="Times New Roman"/>
          <w:sz w:val="24"/>
          <w:szCs w:val="24"/>
        </w:rPr>
        <w:t>E</w:t>
      </w:r>
      <w:r w:rsidR="008806CA" w:rsidRPr="00942858">
        <w:rPr>
          <w:rFonts w:ascii="Times New Roman" w:hAnsi="Times New Roman" w:cs="Times New Roman"/>
          <w:sz w:val="24"/>
          <w:szCs w:val="24"/>
        </w:rPr>
        <w:t>, 201</w:t>
      </w:r>
      <w:r w:rsidR="00B04FC8">
        <w:rPr>
          <w:rFonts w:ascii="Times New Roman" w:hAnsi="Times New Roman" w:cs="Times New Roman"/>
          <w:sz w:val="24"/>
          <w:szCs w:val="24"/>
        </w:rPr>
        <w:t>1</w:t>
      </w:r>
      <w:r w:rsidR="008806CA" w:rsidRPr="00942858">
        <w:rPr>
          <w:rFonts w:ascii="Times New Roman" w:hAnsi="Times New Roman" w:cs="Times New Roman"/>
          <w:sz w:val="24"/>
          <w:szCs w:val="24"/>
        </w:rPr>
        <w:t xml:space="preserve"> Employee Benefit </w:t>
      </w:r>
      <w:r w:rsidR="00AB3BF5">
        <w:rPr>
          <w:rFonts w:ascii="Times New Roman" w:hAnsi="Times New Roman" w:cs="Times New Roman"/>
          <w:sz w:val="24"/>
          <w:szCs w:val="24"/>
        </w:rPr>
        <w:t>Summary</w:t>
      </w:r>
      <w:r w:rsidR="003F45B3">
        <w:rPr>
          <w:rFonts w:ascii="Times New Roman" w:hAnsi="Times New Roman" w:cs="Times New Roman"/>
          <w:sz w:val="24"/>
          <w:szCs w:val="24"/>
        </w:rPr>
        <w:t>,</w:t>
      </w:r>
      <w:r w:rsidR="008806CA" w:rsidRPr="00942858">
        <w:rPr>
          <w:rFonts w:ascii="Times New Roman" w:hAnsi="Times New Roman" w:cs="Times New Roman"/>
          <w:sz w:val="24"/>
          <w:szCs w:val="24"/>
        </w:rPr>
        <w:t xml:space="preserve"> for further additional details related to the benefit plans.</w:t>
      </w:r>
    </w:p>
    <w:p w:rsidR="009F6EB7" w:rsidRPr="00E95BD7" w:rsidRDefault="009F6EB7" w:rsidP="009F6EB7">
      <w:pPr>
        <w:pStyle w:val="ListParagraph"/>
        <w:ind w:left="1080"/>
        <w:jc w:val="both"/>
        <w:rPr>
          <w:rFonts w:ascii="Times New Roman" w:hAnsi="Times New Roman" w:cs="Times New Roman"/>
          <w:sz w:val="24"/>
          <w:szCs w:val="24"/>
        </w:rPr>
      </w:pPr>
    </w:p>
    <w:p w:rsidR="0080108C" w:rsidRPr="00E95BD7" w:rsidRDefault="003A4A58" w:rsidP="003E6999">
      <w:pPr>
        <w:spacing w:after="200" w:line="276" w:lineRule="auto"/>
        <w:jc w:val="both"/>
        <w:rPr>
          <w:rFonts w:ascii="Times New Roman" w:eastAsia="Calibri" w:hAnsi="Times New Roman" w:cs="Times New Roman"/>
          <w:b/>
          <w:sz w:val="24"/>
          <w:szCs w:val="24"/>
          <w:u w:val="single"/>
        </w:rPr>
      </w:pPr>
      <w:r w:rsidRPr="00E95BD7">
        <w:rPr>
          <w:rFonts w:ascii="Times New Roman" w:eastAsia="Calibri" w:hAnsi="Times New Roman" w:cs="Times New Roman"/>
          <w:b/>
          <w:sz w:val="24"/>
          <w:szCs w:val="24"/>
          <w:u w:val="single"/>
        </w:rPr>
        <w:t>Other Executive</w:t>
      </w:r>
      <w:r w:rsidR="0080108C" w:rsidRPr="00E95BD7">
        <w:rPr>
          <w:rFonts w:ascii="Times New Roman" w:eastAsia="Calibri" w:hAnsi="Times New Roman" w:cs="Times New Roman"/>
          <w:b/>
          <w:sz w:val="24"/>
          <w:szCs w:val="24"/>
          <w:u w:val="single"/>
        </w:rPr>
        <w:t xml:space="preserve"> Benefits</w:t>
      </w:r>
    </w:p>
    <w:p w:rsidR="00317F02" w:rsidRPr="00E95BD7" w:rsidRDefault="00317F02" w:rsidP="005F33D3">
      <w:pPr>
        <w:pStyle w:val="ListParagraph"/>
        <w:numPr>
          <w:ilvl w:val="0"/>
          <w:numId w:val="21"/>
        </w:numPr>
        <w:spacing w:after="200"/>
        <w:jc w:val="both"/>
        <w:rPr>
          <w:rFonts w:ascii="Times New Roman" w:eastAsia="Calibri" w:hAnsi="Times New Roman" w:cs="Times New Roman"/>
          <w:sz w:val="24"/>
          <w:szCs w:val="24"/>
        </w:rPr>
      </w:pPr>
      <w:r w:rsidRPr="00E95BD7">
        <w:rPr>
          <w:rFonts w:ascii="Times New Roman" w:eastAsia="Calibri" w:hAnsi="Times New Roman" w:cs="Times New Roman"/>
          <w:sz w:val="24"/>
          <w:szCs w:val="24"/>
        </w:rPr>
        <w:t xml:space="preserve">Supplemental Executive </w:t>
      </w:r>
      <w:r w:rsidR="005B1BF1" w:rsidRPr="00E95BD7">
        <w:rPr>
          <w:rFonts w:ascii="Times New Roman" w:eastAsia="Calibri" w:hAnsi="Times New Roman" w:cs="Times New Roman"/>
          <w:sz w:val="24"/>
          <w:szCs w:val="24"/>
        </w:rPr>
        <w:t xml:space="preserve">Officer </w:t>
      </w:r>
      <w:r w:rsidRPr="00E95BD7">
        <w:rPr>
          <w:rFonts w:ascii="Times New Roman" w:eastAsia="Calibri" w:hAnsi="Times New Roman" w:cs="Times New Roman"/>
          <w:sz w:val="24"/>
          <w:szCs w:val="24"/>
        </w:rPr>
        <w:t>Retirement Plan</w:t>
      </w:r>
      <w:r w:rsidR="00230E04" w:rsidRPr="00E95BD7">
        <w:rPr>
          <w:rFonts w:ascii="Times New Roman" w:eastAsia="Calibri" w:hAnsi="Times New Roman" w:cs="Times New Roman"/>
          <w:sz w:val="24"/>
          <w:szCs w:val="24"/>
        </w:rPr>
        <w:t xml:space="preserve"> (SERP)</w:t>
      </w:r>
    </w:p>
    <w:p w:rsidR="00A933F0" w:rsidRPr="00E95BD7" w:rsidRDefault="0084074C" w:rsidP="005F33D3">
      <w:pPr>
        <w:pStyle w:val="ListParagraph"/>
        <w:spacing w:after="200"/>
        <w:jc w:val="both"/>
        <w:rPr>
          <w:rFonts w:ascii="Times New Roman" w:eastAsia="Calibri" w:hAnsi="Times New Roman" w:cs="Times New Roman"/>
          <w:sz w:val="24"/>
          <w:szCs w:val="24"/>
        </w:rPr>
      </w:pPr>
      <w:r w:rsidRPr="00E95BD7">
        <w:rPr>
          <w:rFonts w:ascii="Times New Roman" w:eastAsia="Calibri" w:hAnsi="Times New Roman" w:cs="Times New Roman"/>
          <w:sz w:val="24"/>
          <w:szCs w:val="24"/>
        </w:rPr>
        <w:t xml:space="preserve">In addition to the Company’s retirement plan for all employees, the Company provides additional pension benefits through the SERP to executive officers of the Company who have attained the age of 55 and a minimum of 15 years of credited service with the Company.  </w:t>
      </w:r>
      <w:r w:rsidR="00D37DA2">
        <w:rPr>
          <w:rFonts w:ascii="Times New Roman" w:eastAsia="Calibri" w:hAnsi="Times New Roman" w:cs="Times New Roman"/>
          <w:sz w:val="24"/>
          <w:szCs w:val="24"/>
        </w:rPr>
        <w:t>The costs associated with SERP are excluded from retail rates.</w:t>
      </w:r>
    </w:p>
    <w:p w:rsidR="005C0400" w:rsidRDefault="005C0400" w:rsidP="005F33D3">
      <w:pPr>
        <w:pStyle w:val="ListParagraph"/>
        <w:spacing w:after="200"/>
        <w:jc w:val="both"/>
        <w:rPr>
          <w:rFonts w:ascii="Times New Roman" w:eastAsia="Calibri" w:hAnsi="Times New Roman" w:cs="Times New Roman"/>
          <w:sz w:val="24"/>
          <w:szCs w:val="24"/>
        </w:rPr>
      </w:pPr>
    </w:p>
    <w:p w:rsidR="00317F02" w:rsidRPr="00E95BD7" w:rsidRDefault="00317F02" w:rsidP="005F33D3">
      <w:pPr>
        <w:pStyle w:val="ListParagraph"/>
        <w:numPr>
          <w:ilvl w:val="0"/>
          <w:numId w:val="21"/>
        </w:numPr>
        <w:jc w:val="both"/>
        <w:rPr>
          <w:rFonts w:ascii="Times New Roman" w:eastAsia="Calibri" w:hAnsi="Times New Roman" w:cs="Times New Roman"/>
          <w:sz w:val="24"/>
          <w:szCs w:val="24"/>
        </w:rPr>
      </w:pPr>
      <w:r w:rsidRPr="00E95BD7">
        <w:rPr>
          <w:rFonts w:ascii="Times New Roman" w:eastAsia="Calibri" w:hAnsi="Times New Roman" w:cs="Times New Roman"/>
          <w:sz w:val="24"/>
          <w:szCs w:val="24"/>
        </w:rPr>
        <w:t>Deferred Compensation</w:t>
      </w:r>
    </w:p>
    <w:p w:rsidR="0084074C" w:rsidRPr="00E95BD7" w:rsidRDefault="0084074C" w:rsidP="005F33D3">
      <w:pPr>
        <w:pStyle w:val="ListParagraph"/>
        <w:jc w:val="both"/>
        <w:rPr>
          <w:rFonts w:ascii="Times New Roman" w:eastAsia="Calibri" w:hAnsi="Times New Roman" w:cs="Times New Roman"/>
          <w:sz w:val="24"/>
          <w:szCs w:val="24"/>
        </w:rPr>
      </w:pPr>
      <w:r w:rsidRPr="00E95BD7">
        <w:rPr>
          <w:rFonts w:ascii="Times New Roman" w:eastAsia="Calibri" w:hAnsi="Times New Roman" w:cs="Times New Roman"/>
          <w:sz w:val="24"/>
          <w:szCs w:val="24"/>
        </w:rPr>
        <w:t>The Executive</w:t>
      </w:r>
      <w:r w:rsidR="005B1BF1" w:rsidRPr="00E95BD7">
        <w:rPr>
          <w:rFonts w:ascii="Times New Roman" w:eastAsia="Calibri" w:hAnsi="Times New Roman" w:cs="Times New Roman"/>
          <w:sz w:val="24"/>
          <w:szCs w:val="24"/>
        </w:rPr>
        <w:t xml:space="preserve"> Officer</w:t>
      </w:r>
      <w:r w:rsidRPr="00E95BD7">
        <w:rPr>
          <w:rFonts w:ascii="Times New Roman" w:eastAsia="Calibri" w:hAnsi="Times New Roman" w:cs="Times New Roman"/>
          <w:sz w:val="24"/>
          <w:szCs w:val="24"/>
        </w:rPr>
        <w:t xml:space="preserve"> Deferred Compensation plan provides the opportunity to defer up to 75% of base salary and up to 100% of cash bonuses for payment at a future date.  This plan is competitive in the market, and provides eligible employees and </w:t>
      </w:r>
      <w:r w:rsidR="005B1BF1" w:rsidRPr="00E95BD7">
        <w:rPr>
          <w:rFonts w:ascii="Times New Roman" w:eastAsia="Calibri" w:hAnsi="Times New Roman" w:cs="Times New Roman"/>
          <w:sz w:val="24"/>
          <w:szCs w:val="24"/>
        </w:rPr>
        <w:t>executive officer</w:t>
      </w:r>
      <w:r w:rsidRPr="00E95BD7">
        <w:rPr>
          <w:rFonts w:ascii="Times New Roman" w:eastAsia="Calibri" w:hAnsi="Times New Roman" w:cs="Times New Roman"/>
          <w:sz w:val="24"/>
          <w:szCs w:val="24"/>
        </w:rPr>
        <w:t>s with a tax-efficient savings method.</w:t>
      </w:r>
      <w:r w:rsidR="00D37DA2">
        <w:rPr>
          <w:rFonts w:ascii="Times New Roman" w:eastAsia="Calibri" w:hAnsi="Times New Roman" w:cs="Times New Roman"/>
          <w:sz w:val="24"/>
          <w:szCs w:val="24"/>
        </w:rPr>
        <w:t xml:space="preserve"> </w:t>
      </w:r>
      <w:r w:rsidR="00D37DA2" w:rsidRPr="00D37DA2">
        <w:rPr>
          <w:rFonts w:ascii="Times New Roman" w:eastAsia="Calibri" w:hAnsi="Times New Roman" w:cs="Times New Roman"/>
          <w:sz w:val="24"/>
          <w:szCs w:val="24"/>
        </w:rPr>
        <w:t xml:space="preserve"> </w:t>
      </w:r>
      <w:r w:rsidR="00D37DA2">
        <w:rPr>
          <w:rFonts w:ascii="Times New Roman" w:eastAsia="Calibri" w:hAnsi="Times New Roman" w:cs="Times New Roman"/>
          <w:sz w:val="24"/>
          <w:szCs w:val="24"/>
        </w:rPr>
        <w:t xml:space="preserve">The costs associated with </w:t>
      </w:r>
      <w:r w:rsidR="00D77586">
        <w:rPr>
          <w:rFonts w:ascii="Times New Roman" w:eastAsia="Calibri" w:hAnsi="Times New Roman" w:cs="Times New Roman"/>
          <w:sz w:val="24"/>
          <w:szCs w:val="24"/>
        </w:rPr>
        <w:t>Deferred Compensation</w:t>
      </w:r>
      <w:r w:rsidR="00D37DA2">
        <w:rPr>
          <w:rFonts w:ascii="Times New Roman" w:eastAsia="Calibri" w:hAnsi="Times New Roman" w:cs="Times New Roman"/>
          <w:sz w:val="24"/>
          <w:szCs w:val="24"/>
        </w:rPr>
        <w:t xml:space="preserve"> are excluded from retail rates</w:t>
      </w:r>
      <w:r w:rsidR="00D77586">
        <w:rPr>
          <w:rFonts w:ascii="Times New Roman" w:eastAsia="Calibri" w:hAnsi="Times New Roman" w:cs="Times New Roman"/>
          <w:sz w:val="24"/>
          <w:szCs w:val="24"/>
        </w:rPr>
        <w:t>.</w:t>
      </w:r>
    </w:p>
    <w:p w:rsidR="00317B35" w:rsidRPr="00E95BD7" w:rsidRDefault="00317B35" w:rsidP="005F33D3">
      <w:pPr>
        <w:pStyle w:val="ListParagraph"/>
        <w:jc w:val="both"/>
        <w:rPr>
          <w:rFonts w:ascii="Times New Roman" w:eastAsia="Calibri" w:hAnsi="Times New Roman" w:cs="Times New Roman"/>
          <w:sz w:val="24"/>
          <w:szCs w:val="24"/>
        </w:rPr>
      </w:pPr>
    </w:p>
    <w:p w:rsidR="00317F02" w:rsidRPr="00E95BD7" w:rsidRDefault="00317B35" w:rsidP="005F33D3">
      <w:pPr>
        <w:pStyle w:val="ListParagraph"/>
        <w:numPr>
          <w:ilvl w:val="0"/>
          <w:numId w:val="21"/>
        </w:numPr>
        <w:jc w:val="both"/>
        <w:rPr>
          <w:rFonts w:ascii="Times New Roman" w:eastAsia="Calibri" w:hAnsi="Times New Roman" w:cs="Times New Roman"/>
          <w:sz w:val="24"/>
          <w:szCs w:val="24"/>
        </w:rPr>
      </w:pPr>
      <w:r w:rsidRPr="00E95BD7">
        <w:rPr>
          <w:rFonts w:ascii="Times New Roman" w:eastAsia="Calibri" w:hAnsi="Times New Roman" w:cs="Times New Roman"/>
          <w:sz w:val="24"/>
          <w:szCs w:val="24"/>
        </w:rPr>
        <w:t>Perquisites</w:t>
      </w:r>
    </w:p>
    <w:p w:rsidR="00317B35" w:rsidRPr="00E95BD7" w:rsidRDefault="00317B35" w:rsidP="005F33D3">
      <w:pPr>
        <w:pStyle w:val="ListParagraph"/>
        <w:jc w:val="both"/>
        <w:rPr>
          <w:rFonts w:ascii="Times New Roman" w:hAnsi="Times New Roman" w:cs="Times New Roman"/>
          <w:sz w:val="24"/>
          <w:szCs w:val="24"/>
        </w:rPr>
      </w:pPr>
      <w:r w:rsidRPr="00E95BD7">
        <w:rPr>
          <w:rFonts w:ascii="Times New Roman" w:hAnsi="Times New Roman" w:cs="Times New Roman"/>
          <w:sz w:val="24"/>
          <w:szCs w:val="24"/>
        </w:rPr>
        <w:t xml:space="preserve">Because the total compensation program </w:t>
      </w:r>
      <w:r w:rsidR="00CC36D2" w:rsidRPr="00E95BD7">
        <w:rPr>
          <w:rFonts w:ascii="Times New Roman" w:hAnsi="Times New Roman" w:cs="Times New Roman"/>
          <w:sz w:val="24"/>
          <w:szCs w:val="24"/>
        </w:rPr>
        <w:t>for</w:t>
      </w:r>
      <w:r w:rsidRPr="00E95BD7">
        <w:rPr>
          <w:rFonts w:ascii="Times New Roman" w:hAnsi="Times New Roman" w:cs="Times New Roman"/>
          <w:sz w:val="24"/>
          <w:szCs w:val="24"/>
        </w:rPr>
        <w:t xml:space="preserve"> executive officers is fair and market competitive, the Company does not provide any additional benefits in the form of perquisites to the CEO or any other officer</w:t>
      </w:r>
      <w:r w:rsidR="00FE1D3E" w:rsidRPr="00E95BD7">
        <w:rPr>
          <w:rFonts w:ascii="Times New Roman" w:hAnsi="Times New Roman" w:cs="Times New Roman"/>
          <w:sz w:val="24"/>
          <w:szCs w:val="24"/>
        </w:rPr>
        <w:t>.</w:t>
      </w:r>
    </w:p>
    <w:p w:rsidR="00317F02" w:rsidRPr="00E95BD7" w:rsidRDefault="00317F02" w:rsidP="00317F02">
      <w:pPr>
        <w:pStyle w:val="ListParagraph"/>
        <w:ind w:left="90"/>
        <w:jc w:val="both"/>
        <w:rPr>
          <w:rFonts w:ascii="Times New Roman" w:eastAsia="Calibri" w:hAnsi="Times New Roman" w:cs="Times New Roman"/>
          <w:szCs w:val="24"/>
        </w:rPr>
      </w:pPr>
    </w:p>
    <w:p w:rsidR="000F77D9" w:rsidRDefault="000F77D9" w:rsidP="00FD7619">
      <w:pPr>
        <w:pStyle w:val="ListParagraph"/>
        <w:jc w:val="center"/>
        <w:rPr>
          <w:rFonts w:ascii="Times New Roman" w:hAnsi="Times New Roman" w:cs="Times New Roman"/>
          <w:b/>
          <w:sz w:val="24"/>
          <w:szCs w:val="24"/>
        </w:rPr>
      </w:pPr>
    </w:p>
    <w:p w:rsidR="008A4EAD" w:rsidRPr="00E95BD7" w:rsidRDefault="00FD7619" w:rsidP="00FD7619">
      <w:pPr>
        <w:pStyle w:val="ListParagraph"/>
        <w:jc w:val="center"/>
        <w:rPr>
          <w:rFonts w:ascii="Times New Roman" w:hAnsi="Times New Roman" w:cs="Times New Roman"/>
          <w:b/>
          <w:sz w:val="24"/>
          <w:szCs w:val="24"/>
          <w:u w:val="single"/>
        </w:rPr>
      </w:pPr>
      <w:r w:rsidRPr="00E95BD7">
        <w:rPr>
          <w:rFonts w:ascii="Times New Roman" w:hAnsi="Times New Roman" w:cs="Times New Roman"/>
          <w:b/>
          <w:sz w:val="24"/>
          <w:szCs w:val="24"/>
        </w:rPr>
        <w:t xml:space="preserve">2. </w:t>
      </w:r>
      <w:r w:rsidR="002338A6" w:rsidRPr="00E95BD7">
        <w:rPr>
          <w:rFonts w:ascii="Times New Roman" w:hAnsi="Times New Roman" w:cs="Times New Roman"/>
          <w:b/>
          <w:sz w:val="24"/>
          <w:szCs w:val="24"/>
        </w:rPr>
        <w:t xml:space="preserve">Setting of </w:t>
      </w:r>
      <w:r w:rsidR="005F33D3" w:rsidRPr="00E95BD7">
        <w:rPr>
          <w:rFonts w:ascii="Times New Roman" w:hAnsi="Times New Roman" w:cs="Times New Roman"/>
          <w:b/>
          <w:sz w:val="24"/>
          <w:szCs w:val="24"/>
        </w:rPr>
        <w:t>Executive O</w:t>
      </w:r>
      <w:r w:rsidR="005B1BF1" w:rsidRPr="00E95BD7">
        <w:rPr>
          <w:rFonts w:ascii="Times New Roman" w:hAnsi="Times New Roman" w:cs="Times New Roman"/>
          <w:b/>
          <w:sz w:val="24"/>
          <w:szCs w:val="24"/>
        </w:rPr>
        <w:t>fficer</w:t>
      </w:r>
      <w:r w:rsidR="002338A6" w:rsidRPr="00E95BD7">
        <w:rPr>
          <w:rFonts w:ascii="Times New Roman" w:hAnsi="Times New Roman" w:cs="Times New Roman"/>
          <w:b/>
          <w:sz w:val="24"/>
          <w:szCs w:val="24"/>
        </w:rPr>
        <w:t xml:space="preserve"> Compensation Levels</w:t>
      </w:r>
    </w:p>
    <w:p w:rsidR="00CE194C" w:rsidRPr="00E95BD7" w:rsidRDefault="00CE194C" w:rsidP="00CE194C">
      <w:pPr>
        <w:ind w:left="90"/>
        <w:jc w:val="center"/>
        <w:rPr>
          <w:rFonts w:ascii="Times New Roman" w:hAnsi="Times New Roman" w:cs="Times New Roman"/>
          <w:b/>
          <w:sz w:val="24"/>
          <w:szCs w:val="24"/>
          <w:u w:val="single"/>
        </w:rPr>
      </w:pPr>
    </w:p>
    <w:p w:rsidR="00A933F0" w:rsidRPr="00E95BD7" w:rsidRDefault="005816C5" w:rsidP="00DF59A2">
      <w:pPr>
        <w:jc w:val="both"/>
        <w:rPr>
          <w:rFonts w:ascii="Times New Roman" w:hAnsi="Times New Roman" w:cs="Times New Roman"/>
          <w:sz w:val="24"/>
          <w:szCs w:val="24"/>
        </w:rPr>
      </w:pPr>
      <w:r w:rsidRPr="005816C5">
        <w:rPr>
          <w:rFonts w:ascii="Times New Roman" w:hAnsi="Times New Roman" w:cs="Times New Roman"/>
          <w:sz w:val="24"/>
          <w:szCs w:val="24"/>
        </w:rPr>
        <w:t xml:space="preserve">Avista is committed to providing a total compensation program that will attract and retain qualified people required to meet the needs and expectations of all utility stakeholders, including, but not limited to, customers, shareholders and regulators. The overarching compensation philosophy is that success is measured by the ability to hire, develop, and retain the most competent people to work in a very complex industry.  In an effort to recruit and retain such people, Avista provides base salaries, performance-based award programs and benefits that are competitive in the marketplace as benchmarked against other similar-sized companies in regional and national markets.  </w:t>
      </w:r>
    </w:p>
    <w:p w:rsidR="00A933F0" w:rsidRPr="00E95BD7" w:rsidRDefault="00A933F0" w:rsidP="00DF59A2">
      <w:pPr>
        <w:jc w:val="both"/>
        <w:rPr>
          <w:rFonts w:ascii="Times New Roman" w:hAnsi="Times New Roman" w:cs="Times New Roman"/>
          <w:sz w:val="24"/>
          <w:szCs w:val="24"/>
        </w:rPr>
      </w:pPr>
    </w:p>
    <w:p w:rsidR="00DF59A2" w:rsidRPr="00E95BD7" w:rsidRDefault="00DF59A2" w:rsidP="00DF59A2">
      <w:pPr>
        <w:jc w:val="both"/>
        <w:rPr>
          <w:rFonts w:ascii="Times New Roman" w:hAnsi="Times New Roman" w:cs="Times New Roman"/>
          <w:sz w:val="24"/>
          <w:szCs w:val="24"/>
        </w:rPr>
      </w:pPr>
      <w:r w:rsidRPr="00E95BD7">
        <w:rPr>
          <w:rFonts w:ascii="Times New Roman" w:hAnsi="Times New Roman" w:cs="Times New Roman"/>
          <w:sz w:val="24"/>
          <w:szCs w:val="24"/>
        </w:rPr>
        <w:t>The Compensation Committee of the Board of Directors is responsible for considering and approving, as well as overseeing the risk associated with, the compensation and benefits of executive officers of the Company.  The Compensation Committee is composed of independent directors as defined by the rules of the N</w:t>
      </w:r>
      <w:r w:rsidR="003F45B3">
        <w:rPr>
          <w:rFonts w:ascii="Times New Roman" w:hAnsi="Times New Roman" w:cs="Times New Roman"/>
          <w:sz w:val="24"/>
          <w:szCs w:val="24"/>
        </w:rPr>
        <w:t xml:space="preserve">ew </w:t>
      </w:r>
      <w:r w:rsidRPr="00E95BD7">
        <w:rPr>
          <w:rFonts w:ascii="Times New Roman" w:hAnsi="Times New Roman" w:cs="Times New Roman"/>
          <w:sz w:val="24"/>
          <w:szCs w:val="24"/>
        </w:rPr>
        <w:t>Y</w:t>
      </w:r>
      <w:r w:rsidR="003F45B3">
        <w:rPr>
          <w:rFonts w:ascii="Times New Roman" w:hAnsi="Times New Roman" w:cs="Times New Roman"/>
          <w:sz w:val="24"/>
          <w:szCs w:val="24"/>
        </w:rPr>
        <w:t xml:space="preserve">ork </w:t>
      </w:r>
      <w:r w:rsidRPr="00E95BD7">
        <w:rPr>
          <w:rFonts w:ascii="Times New Roman" w:hAnsi="Times New Roman" w:cs="Times New Roman"/>
          <w:sz w:val="24"/>
          <w:szCs w:val="24"/>
        </w:rPr>
        <w:t>S</w:t>
      </w:r>
      <w:r w:rsidR="003F45B3">
        <w:rPr>
          <w:rFonts w:ascii="Times New Roman" w:hAnsi="Times New Roman" w:cs="Times New Roman"/>
          <w:sz w:val="24"/>
          <w:szCs w:val="24"/>
        </w:rPr>
        <w:t xml:space="preserve">tock </w:t>
      </w:r>
      <w:r w:rsidRPr="00E95BD7">
        <w:rPr>
          <w:rFonts w:ascii="Times New Roman" w:hAnsi="Times New Roman" w:cs="Times New Roman"/>
          <w:sz w:val="24"/>
          <w:szCs w:val="24"/>
        </w:rPr>
        <w:t>E</w:t>
      </w:r>
      <w:r w:rsidR="003F45B3">
        <w:rPr>
          <w:rFonts w:ascii="Times New Roman" w:hAnsi="Times New Roman" w:cs="Times New Roman"/>
          <w:sz w:val="24"/>
          <w:szCs w:val="24"/>
        </w:rPr>
        <w:t>xchange</w:t>
      </w:r>
      <w:r w:rsidRPr="00E95BD7">
        <w:rPr>
          <w:rFonts w:ascii="Times New Roman" w:hAnsi="Times New Roman" w:cs="Times New Roman"/>
          <w:sz w:val="24"/>
          <w:szCs w:val="24"/>
        </w:rPr>
        <w:t>, and in addition, complies with the “outside director” requirement of S</w:t>
      </w:r>
      <w:r w:rsidR="003F45B3">
        <w:rPr>
          <w:rFonts w:ascii="Times New Roman" w:hAnsi="Times New Roman" w:cs="Times New Roman"/>
          <w:sz w:val="24"/>
          <w:szCs w:val="24"/>
        </w:rPr>
        <w:t>e</w:t>
      </w:r>
      <w:r w:rsidRPr="00E95BD7">
        <w:rPr>
          <w:rFonts w:ascii="Times New Roman" w:hAnsi="Times New Roman" w:cs="Times New Roman"/>
          <w:sz w:val="24"/>
          <w:szCs w:val="24"/>
        </w:rPr>
        <w:t>c</w:t>
      </w:r>
      <w:r w:rsidR="003F45B3">
        <w:rPr>
          <w:rFonts w:ascii="Times New Roman" w:hAnsi="Times New Roman" w:cs="Times New Roman"/>
          <w:sz w:val="24"/>
          <w:szCs w:val="24"/>
        </w:rPr>
        <w:t>t</w:t>
      </w:r>
      <w:r w:rsidRPr="00E95BD7">
        <w:rPr>
          <w:rFonts w:ascii="Times New Roman" w:hAnsi="Times New Roman" w:cs="Times New Roman"/>
          <w:sz w:val="24"/>
          <w:szCs w:val="24"/>
        </w:rPr>
        <w:t>ion 162(m) of the Internal Revenue Code of 1986, as amended (the Code), and the “non-employee director” requirement of Rule 16b-3 under the Exchange act.  Board members are elected based on factors that are in the best interest of the Company and its shareholders, including the knowledge, experience, integrity</w:t>
      </w:r>
      <w:r w:rsidR="00A933F0" w:rsidRPr="00E95BD7">
        <w:rPr>
          <w:rFonts w:ascii="Times New Roman" w:hAnsi="Times New Roman" w:cs="Times New Roman"/>
          <w:sz w:val="24"/>
          <w:szCs w:val="24"/>
        </w:rPr>
        <w:t>,</w:t>
      </w:r>
      <w:r w:rsidRPr="00E95BD7">
        <w:rPr>
          <w:rFonts w:ascii="Times New Roman" w:hAnsi="Times New Roman" w:cs="Times New Roman"/>
          <w:sz w:val="24"/>
          <w:szCs w:val="24"/>
        </w:rPr>
        <w:t xml:space="preserve"> and </w:t>
      </w:r>
      <w:r w:rsidR="00E3720E" w:rsidRPr="00E95BD7">
        <w:rPr>
          <w:rFonts w:ascii="Times New Roman" w:hAnsi="Times New Roman" w:cs="Times New Roman"/>
          <w:sz w:val="24"/>
          <w:szCs w:val="24"/>
        </w:rPr>
        <w:t>judgment</w:t>
      </w:r>
      <w:r w:rsidRPr="00E95BD7">
        <w:rPr>
          <w:rFonts w:ascii="Times New Roman" w:hAnsi="Times New Roman" w:cs="Times New Roman"/>
          <w:sz w:val="24"/>
          <w:szCs w:val="24"/>
        </w:rPr>
        <w:t xml:space="preserve"> of each candidate; the potential contributions of each candidate to the diversity of backgrounds, experience and competencies that the Board desire</w:t>
      </w:r>
      <w:r w:rsidR="00A933F0" w:rsidRPr="00E95BD7">
        <w:rPr>
          <w:rFonts w:ascii="Times New Roman" w:hAnsi="Times New Roman" w:cs="Times New Roman"/>
          <w:sz w:val="24"/>
          <w:szCs w:val="24"/>
        </w:rPr>
        <w:t>s</w:t>
      </w:r>
      <w:r w:rsidRPr="00E95BD7">
        <w:rPr>
          <w:rFonts w:ascii="Times New Roman" w:hAnsi="Times New Roman" w:cs="Times New Roman"/>
          <w:sz w:val="24"/>
          <w:szCs w:val="24"/>
        </w:rPr>
        <w:t xml:space="preserve"> to have represented; each candidates</w:t>
      </w:r>
      <w:r w:rsidR="00A933F0" w:rsidRPr="00E95BD7">
        <w:rPr>
          <w:rFonts w:ascii="Times New Roman" w:hAnsi="Times New Roman" w:cs="Times New Roman"/>
          <w:sz w:val="24"/>
          <w:szCs w:val="24"/>
        </w:rPr>
        <w:t>’</w:t>
      </w:r>
      <w:r w:rsidRPr="00E95BD7">
        <w:rPr>
          <w:rFonts w:ascii="Times New Roman" w:hAnsi="Times New Roman" w:cs="Times New Roman"/>
          <w:sz w:val="24"/>
          <w:szCs w:val="24"/>
        </w:rPr>
        <w:t xml:space="preserve"> ability to devote sufficient time and effort to his or her duties as a </w:t>
      </w:r>
      <w:r w:rsidRPr="00E95BD7">
        <w:rPr>
          <w:rFonts w:ascii="Times New Roman" w:hAnsi="Times New Roman" w:cs="Times New Roman"/>
          <w:sz w:val="24"/>
          <w:szCs w:val="24"/>
        </w:rPr>
        <w:lastRenderedPageBreak/>
        <w:t xml:space="preserve">director; independence and willingness to consider all strategic proposals and other criteria established by the Board, as well as any core competencies or technical expertise necessary to staff Board Committees. </w:t>
      </w:r>
    </w:p>
    <w:p w:rsidR="00DF59A2" w:rsidRPr="00E95BD7" w:rsidRDefault="00DF59A2" w:rsidP="00DF59A2">
      <w:pPr>
        <w:jc w:val="both"/>
        <w:rPr>
          <w:rFonts w:ascii="Times New Roman" w:hAnsi="Times New Roman" w:cs="Times New Roman"/>
          <w:sz w:val="24"/>
          <w:szCs w:val="24"/>
        </w:rPr>
      </w:pPr>
    </w:p>
    <w:p w:rsidR="004A41A6" w:rsidRPr="00E95BD7" w:rsidRDefault="00DF59A2" w:rsidP="00DF59A2">
      <w:pPr>
        <w:pStyle w:val="NormalWeb"/>
        <w:widowControl w:val="0"/>
        <w:spacing w:before="0" w:beforeAutospacing="0" w:after="0" w:afterAutospacing="0"/>
        <w:jc w:val="both"/>
      </w:pPr>
      <w:r w:rsidRPr="00E95BD7">
        <w:rPr>
          <w:color w:val="000000"/>
        </w:rPr>
        <w:t>The Compensation Committee employs an independent executive compensation consultant</w:t>
      </w:r>
      <w:r w:rsidR="00A933F0" w:rsidRPr="00E95BD7">
        <w:rPr>
          <w:color w:val="000000"/>
        </w:rPr>
        <w:t>, Towers Watson,</w:t>
      </w:r>
      <w:r w:rsidRPr="00E95BD7">
        <w:rPr>
          <w:color w:val="000000"/>
        </w:rPr>
        <w:t xml:space="preserve"> to assist them in their review of current executive pay practices. </w:t>
      </w:r>
      <w:r w:rsidR="00A933F0" w:rsidRPr="00E95BD7">
        <w:rPr>
          <w:color w:val="000000"/>
        </w:rPr>
        <w:t xml:space="preserve"> </w:t>
      </w:r>
      <w:r w:rsidRPr="00E95BD7">
        <w:rPr>
          <w:color w:val="000000"/>
        </w:rPr>
        <w:t>Because the Compensation Committee believes that its executive compensation consultant should be able to render advice to the Committee free of management’s influence, the Compensation Committee has processes in place to assure independence. The consultant reports directly to the Compensation Committee on all executive compensation matters; regularly meets separately with the Compensation Committee outside the presence of management; and speaks separately with the Compensation Committee Chair and other Compensation Committee members between meetings, as necessary or as requested by the Compensation Committee</w:t>
      </w:r>
      <w:r w:rsidR="00A933F0" w:rsidRPr="00E95BD7">
        <w:rPr>
          <w:color w:val="000000"/>
        </w:rPr>
        <w:t>.</w:t>
      </w:r>
      <w:r w:rsidRPr="00E95BD7">
        <w:t xml:space="preserve"> </w:t>
      </w:r>
    </w:p>
    <w:p w:rsidR="004A41A6" w:rsidRDefault="004A41A6" w:rsidP="005F33D3">
      <w:pPr>
        <w:pStyle w:val="NormalWeb"/>
        <w:widowControl w:val="0"/>
        <w:spacing w:before="0" w:beforeAutospacing="0" w:after="0" w:afterAutospacing="0"/>
        <w:jc w:val="both"/>
      </w:pPr>
    </w:p>
    <w:p w:rsidR="00F371B6" w:rsidRPr="00E95BD7" w:rsidRDefault="00F371B6" w:rsidP="005F33D3">
      <w:pPr>
        <w:pStyle w:val="NormalWeb"/>
        <w:widowControl w:val="0"/>
        <w:spacing w:before="0" w:beforeAutospacing="0" w:after="0" w:afterAutospacing="0"/>
        <w:jc w:val="both"/>
      </w:pPr>
      <w:r w:rsidRPr="00E95BD7">
        <w:t>Towers Watson assists in the following</w:t>
      </w:r>
      <w:r w:rsidR="003F45B3">
        <w:t xml:space="preserve"> ways</w:t>
      </w:r>
      <w:r w:rsidRPr="00E95BD7">
        <w:t>:</w:t>
      </w:r>
    </w:p>
    <w:p w:rsidR="00F371B6" w:rsidRPr="00E95BD7" w:rsidRDefault="00F371B6" w:rsidP="009F02B9">
      <w:pPr>
        <w:pStyle w:val="NormalWeb"/>
        <w:widowControl w:val="0"/>
        <w:spacing w:before="0" w:beforeAutospacing="0" w:after="0" w:afterAutospacing="0"/>
        <w:jc w:val="both"/>
      </w:pPr>
    </w:p>
    <w:p w:rsidR="00F371B6" w:rsidRPr="00E95BD7" w:rsidRDefault="00F371B6" w:rsidP="005F33D3">
      <w:pPr>
        <w:pStyle w:val="NormalWeb"/>
        <w:widowControl w:val="0"/>
        <w:spacing w:before="0" w:beforeAutospacing="0" w:after="0" w:afterAutospacing="0"/>
        <w:ind w:left="856" w:hanging="367"/>
        <w:jc w:val="both"/>
      </w:pPr>
      <w:r w:rsidRPr="00E95BD7">
        <w:t>•</w:t>
      </w:r>
      <w:r w:rsidRPr="00E95BD7">
        <w:tab/>
        <w:t>Benchmarking pay practices among the peer group and providing a broader market perspective;  </w:t>
      </w:r>
    </w:p>
    <w:p w:rsidR="005F33D3" w:rsidRPr="00E95BD7" w:rsidRDefault="005F33D3" w:rsidP="005F33D3">
      <w:pPr>
        <w:pStyle w:val="NormalWeb"/>
        <w:widowControl w:val="0"/>
        <w:spacing w:before="0" w:beforeAutospacing="0" w:after="0" w:afterAutospacing="0"/>
        <w:ind w:left="856" w:hanging="367"/>
        <w:jc w:val="both"/>
      </w:pPr>
    </w:p>
    <w:p w:rsidR="00F371B6" w:rsidRPr="00E95BD7" w:rsidRDefault="00F371B6" w:rsidP="005F33D3">
      <w:pPr>
        <w:pStyle w:val="NormalWeb"/>
        <w:widowControl w:val="0"/>
        <w:spacing w:before="0" w:beforeAutospacing="0" w:after="0" w:afterAutospacing="0"/>
        <w:ind w:left="856" w:hanging="367"/>
        <w:jc w:val="both"/>
      </w:pPr>
      <w:r w:rsidRPr="00E95BD7">
        <w:t>•</w:t>
      </w:r>
      <w:r w:rsidRPr="00E95BD7">
        <w:tab/>
        <w:t>Assessing the design of individual pay elements and the total pay program relative to the Company’s objectives, market practices and other factors;  </w:t>
      </w:r>
    </w:p>
    <w:p w:rsidR="005F33D3" w:rsidRPr="00E95BD7" w:rsidRDefault="005F33D3" w:rsidP="005F33D3">
      <w:pPr>
        <w:pStyle w:val="NormalWeb"/>
        <w:widowControl w:val="0"/>
        <w:spacing w:before="0" w:beforeAutospacing="0" w:after="0" w:afterAutospacing="0"/>
        <w:ind w:left="856" w:hanging="367"/>
        <w:jc w:val="both"/>
      </w:pPr>
    </w:p>
    <w:p w:rsidR="00F371B6" w:rsidRPr="00E95BD7" w:rsidRDefault="00F371B6" w:rsidP="005F33D3">
      <w:pPr>
        <w:pStyle w:val="NormalWeb"/>
        <w:widowControl w:val="0"/>
        <w:spacing w:before="0" w:beforeAutospacing="0" w:after="0" w:afterAutospacing="0"/>
        <w:ind w:left="856" w:hanging="367"/>
        <w:jc w:val="both"/>
      </w:pPr>
      <w:r w:rsidRPr="00E95BD7">
        <w:t>•</w:t>
      </w:r>
      <w:r w:rsidRPr="00E95BD7">
        <w:tab/>
        <w:t>Assisting the Compensation Committee in reviewing compensation recommendations prepared by management; and  </w:t>
      </w:r>
    </w:p>
    <w:p w:rsidR="005F33D3" w:rsidRPr="00E95BD7" w:rsidRDefault="005F33D3" w:rsidP="005F33D3">
      <w:pPr>
        <w:pStyle w:val="NormalWeb"/>
        <w:widowControl w:val="0"/>
        <w:spacing w:before="0" w:beforeAutospacing="0" w:after="0" w:afterAutospacing="0"/>
        <w:ind w:left="856" w:hanging="367"/>
        <w:jc w:val="both"/>
      </w:pPr>
    </w:p>
    <w:p w:rsidR="00F371B6" w:rsidRPr="00E95BD7" w:rsidRDefault="00F371B6" w:rsidP="00F371B6">
      <w:pPr>
        <w:pStyle w:val="NormalWeb"/>
        <w:widowControl w:val="0"/>
        <w:spacing w:before="0" w:beforeAutospacing="0" w:after="0" w:afterAutospacing="0"/>
        <w:ind w:left="856" w:hanging="367"/>
        <w:jc w:val="both"/>
      </w:pPr>
      <w:r w:rsidRPr="00E95BD7">
        <w:t>•</w:t>
      </w:r>
      <w:r w:rsidRPr="00E95BD7">
        <w:tab/>
        <w:t xml:space="preserve">Providing the Compensation Committee with an outside perspective and, as appropriate, specific recommendations on program design. </w:t>
      </w:r>
    </w:p>
    <w:p w:rsidR="000C3FFA" w:rsidRPr="00E95BD7" w:rsidRDefault="00F371B6" w:rsidP="00F371B6">
      <w:pPr>
        <w:pStyle w:val="NormalWeb"/>
        <w:widowControl w:val="0"/>
        <w:spacing w:before="0" w:beforeAutospacing="0" w:after="0" w:afterAutospacing="0"/>
        <w:jc w:val="both"/>
      </w:pPr>
      <w:r w:rsidRPr="00E95BD7">
        <w:t> </w:t>
      </w:r>
    </w:p>
    <w:p w:rsidR="009E3B08" w:rsidRPr="00E95BD7" w:rsidRDefault="00F371B6" w:rsidP="00F371B6">
      <w:pPr>
        <w:pStyle w:val="NormalWeb"/>
        <w:widowControl w:val="0"/>
        <w:spacing w:before="0" w:beforeAutospacing="0" w:after="0" w:afterAutospacing="0"/>
        <w:jc w:val="both"/>
      </w:pPr>
      <w:r w:rsidRPr="00E95BD7">
        <w:t xml:space="preserve">Towers Watson presents information on current market practices and, as appropriate, provides recommendations for consideration by the Compensation Committee. </w:t>
      </w:r>
      <w:r w:rsidR="00B73080">
        <w:t xml:space="preserve">See Confidential Attachment </w:t>
      </w:r>
      <w:r w:rsidR="00393C8F">
        <w:t xml:space="preserve">G </w:t>
      </w:r>
      <w:r w:rsidR="00B73080">
        <w:t>Towers Watson Total Direct Compensation Review for additional information.</w:t>
      </w:r>
    </w:p>
    <w:p w:rsidR="009E3B08" w:rsidRPr="00E95BD7" w:rsidRDefault="009E3B08" w:rsidP="00F371B6">
      <w:pPr>
        <w:pStyle w:val="NormalWeb"/>
        <w:widowControl w:val="0"/>
        <w:spacing w:before="0" w:beforeAutospacing="0" w:after="0" w:afterAutospacing="0"/>
        <w:jc w:val="both"/>
      </w:pPr>
    </w:p>
    <w:p w:rsidR="00BF45B8" w:rsidRDefault="005816C5" w:rsidP="00DF59A2">
      <w:pPr>
        <w:jc w:val="both"/>
        <w:rPr>
          <w:rFonts w:ascii="Times New Roman" w:hAnsi="Times New Roman" w:cs="Times New Roman"/>
          <w:sz w:val="24"/>
          <w:szCs w:val="24"/>
        </w:rPr>
      </w:pPr>
      <w:r w:rsidRPr="005816C5">
        <w:rPr>
          <w:rFonts w:ascii="Times New Roman" w:hAnsi="Times New Roman" w:cs="Times New Roman"/>
          <w:sz w:val="24"/>
          <w:szCs w:val="24"/>
        </w:rPr>
        <w:t xml:space="preserve">One of the core principles of </w:t>
      </w:r>
      <w:r w:rsidR="008B6D66">
        <w:rPr>
          <w:rFonts w:ascii="Times New Roman" w:hAnsi="Times New Roman" w:cs="Times New Roman"/>
          <w:sz w:val="24"/>
          <w:szCs w:val="24"/>
        </w:rPr>
        <w:t>the</w:t>
      </w:r>
      <w:r w:rsidRPr="005816C5">
        <w:rPr>
          <w:rFonts w:ascii="Times New Roman" w:hAnsi="Times New Roman" w:cs="Times New Roman"/>
          <w:sz w:val="24"/>
          <w:szCs w:val="24"/>
        </w:rPr>
        <w:t xml:space="preserve"> executive compensation program is to ensure management’s interests are aligned with </w:t>
      </w:r>
      <w:r w:rsidR="00A933F0" w:rsidRPr="00E95BD7">
        <w:rPr>
          <w:rFonts w:ascii="Times New Roman" w:hAnsi="Times New Roman" w:cs="Times New Roman"/>
          <w:sz w:val="24"/>
          <w:szCs w:val="24"/>
        </w:rPr>
        <w:t>customer</w:t>
      </w:r>
      <w:r w:rsidR="00D37DA2">
        <w:rPr>
          <w:rFonts w:ascii="Times New Roman" w:hAnsi="Times New Roman" w:cs="Times New Roman"/>
          <w:sz w:val="24"/>
          <w:szCs w:val="24"/>
        </w:rPr>
        <w:t>s’</w:t>
      </w:r>
      <w:r w:rsidR="00A933F0" w:rsidRPr="00E95BD7">
        <w:rPr>
          <w:rFonts w:ascii="Times New Roman" w:hAnsi="Times New Roman" w:cs="Times New Roman"/>
          <w:sz w:val="24"/>
          <w:szCs w:val="24"/>
        </w:rPr>
        <w:t xml:space="preserve"> and s</w:t>
      </w:r>
      <w:r w:rsidRPr="005816C5">
        <w:rPr>
          <w:rFonts w:ascii="Times New Roman" w:hAnsi="Times New Roman" w:cs="Times New Roman"/>
          <w:sz w:val="24"/>
          <w:szCs w:val="24"/>
        </w:rPr>
        <w:t>hare</w:t>
      </w:r>
      <w:r w:rsidR="00D37DA2">
        <w:rPr>
          <w:rFonts w:ascii="Times New Roman" w:hAnsi="Times New Roman" w:cs="Times New Roman"/>
          <w:sz w:val="24"/>
          <w:szCs w:val="24"/>
        </w:rPr>
        <w:t>holders’</w:t>
      </w:r>
      <w:r w:rsidRPr="005816C5">
        <w:rPr>
          <w:rFonts w:ascii="Times New Roman" w:hAnsi="Times New Roman" w:cs="Times New Roman"/>
          <w:sz w:val="24"/>
          <w:szCs w:val="24"/>
        </w:rPr>
        <w:t xml:space="preserve"> interests to support long-term </w:t>
      </w:r>
      <w:r w:rsidR="009463B2">
        <w:rPr>
          <w:rFonts w:ascii="Times New Roman" w:hAnsi="Times New Roman" w:cs="Times New Roman"/>
          <w:sz w:val="24"/>
          <w:szCs w:val="24"/>
        </w:rPr>
        <w:t xml:space="preserve">value creation. Accordingly, the 2011 Proxy included a </w:t>
      </w:r>
      <w:r w:rsidR="00D970C1">
        <w:rPr>
          <w:rFonts w:ascii="Times New Roman" w:hAnsi="Times New Roman" w:cs="Times New Roman"/>
          <w:sz w:val="24"/>
          <w:szCs w:val="24"/>
        </w:rPr>
        <w:t>“Say-On-</w:t>
      </w:r>
      <w:r w:rsidR="009463B2">
        <w:rPr>
          <w:rFonts w:ascii="Times New Roman" w:hAnsi="Times New Roman" w:cs="Times New Roman"/>
          <w:sz w:val="24"/>
          <w:szCs w:val="24"/>
        </w:rPr>
        <w:t>Pay</w:t>
      </w:r>
      <w:r w:rsidR="00D970C1">
        <w:rPr>
          <w:rFonts w:ascii="Times New Roman" w:hAnsi="Times New Roman" w:cs="Times New Roman"/>
          <w:sz w:val="24"/>
          <w:szCs w:val="24"/>
        </w:rPr>
        <w:t>”</w:t>
      </w:r>
      <w:r w:rsidR="009463B2">
        <w:rPr>
          <w:rFonts w:ascii="Times New Roman" w:hAnsi="Times New Roman" w:cs="Times New Roman"/>
          <w:sz w:val="24"/>
          <w:szCs w:val="24"/>
        </w:rPr>
        <w:t xml:space="preserve"> proposal for a non-binding advisory vote giving </w:t>
      </w:r>
      <w:r w:rsidRPr="005816C5">
        <w:rPr>
          <w:rFonts w:ascii="Times New Roman" w:hAnsi="Times New Roman" w:cs="Times New Roman"/>
          <w:sz w:val="24"/>
          <w:szCs w:val="24"/>
        </w:rPr>
        <w:t xml:space="preserve">shareholders the opportunity to vote on </w:t>
      </w:r>
      <w:r w:rsidR="008B6D66">
        <w:rPr>
          <w:rFonts w:ascii="Times New Roman" w:hAnsi="Times New Roman" w:cs="Times New Roman"/>
          <w:sz w:val="24"/>
          <w:szCs w:val="24"/>
        </w:rPr>
        <w:t>the</w:t>
      </w:r>
      <w:r w:rsidRPr="005816C5">
        <w:rPr>
          <w:rFonts w:ascii="Times New Roman" w:hAnsi="Times New Roman" w:cs="Times New Roman"/>
          <w:sz w:val="24"/>
          <w:szCs w:val="24"/>
        </w:rPr>
        <w:t xml:space="preserve"> executive compensation program</w:t>
      </w:r>
      <w:r w:rsidR="009463B2">
        <w:rPr>
          <w:rFonts w:ascii="Times New Roman" w:hAnsi="Times New Roman" w:cs="Times New Roman"/>
          <w:sz w:val="24"/>
          <w:szCs w:val="24"/>
        </w:rPr>
        <w:t>.</w:t>
      </w:r>
      <w:r w:rsidRPr="005816C5">
        <w:rPr>
          <w:rFonts w:ascii="Times New Roman" w:hAnsi="Times New Roman" w:cs="Times New Roman"/>
          <w:sz w:val="24"/>
          <w:szCs w:val="24"/>
        </w:rPr>
        <w:t xml:space="preserve">  </w:t>
      </w:r>
      <w:r w:rsidR="00490D1B">
        <w:rPr>
          <w:rFonts w:ascii="Times New Roman" w:hAnsi="Times New Roman" w:cs="Times New Roman"/>
          <w:sz w:val="24"/>
          <w:szCs w:val="24"/>
        </w:rPr>
        <w:t xml:space="preserve">This proposal was approved </w:t>
      </w:r>
      <w:r w:rsidR="00302565">
        <w:rPr>
          <w:rFonts w:ascii="Times New Roman" w:hAnsi="Times New Roman" w:cs="Times New Roman"/>
          <w:sz w:val="24"/>
          <w:szCs w:val="24"/>
        </w:rPr>
        <w:t>by</w:t>
      </w:r>
      <w:r w:rsidR="00490D1B">
        <w:rPr>
          <w:rFonts w:ascii="Times New Roman" w:hAnsi="Times New Roman" w:cs="Times New Roman"/>
          <w:sz w:val="24"/>
          <w:szCs w:val="24"/>
        </w:rPr>
        <w:t xml:space="preserve"> shareholders at the May, 2011 Shareholders’ Annual Meeting</w:t>
      </w:r>
      <w:r w:rsidR="00302565">
        <w:rPr>
          <w:rFonts w:ascii="Times New Roman" w:hAnsi="Times New Roman" w:cs="Times New Roman"/>
          <w:sz w:val="24"/>
          <w:szCs w:val="24"/>
        </w:rPr>
        <w:t xml:space="preserve">, included as part of the Proxy, and a vote was cast. </w:t>
      </w:r>
      <w:r w:rsidR="00490D1B" w:rsidRPr="005816C5">
        <w:rPr>
          <w:rFonts w:ascii="Times New Roman" w:hAnsi="Times New Roman" w:cs="Times New Roman"/>
          <w:color w:val="000000"/>
          <w:sz w:val="24"/>
          <w:szCs w:val="24"/>
        </w:rPr>
        <w:t xml:space="preserve"> </w:t>
      </w:r>
      <w:r w:rsidRPr="005816C5">
        <w:rPr>
          <w:rFonts w:ascii="Times New Roman" w:hAnsi="Times New Roman" w:cs="Times New Roman"/>
          <w:sz w:val="24"/>
          <w:szCs w:val="24"/>
        </w:rPr>
        <w:t xml:space="preserve">While the vote was advisory, and not binding on </w:t>
      </w:r>
      <w:r w:rsidR="00A933F0" w:rsidRPr="00E95BD7">
        <w:rPr>
          <w:rFonts w:ascii="Times New Roman" w:hAnsi="Times New Roman" w:cs="Times New Roman"/>
          <w:sz w:val="24"/>
          <w:szCs w:val="24"/>
        </w:rPr>
        <w:t>the</w:t>
      </w:r>
      <w:r w:rsidR="003A2857">
        <w:rPr>
          <w:rFonts w:ascii="Times New Roman" w:hAnsi="Times New Roman" w:cs="Times New Roman"/>
          <w:sz w:val="24"/>
          <w:szCs w:val="24"/>
        </w:rPr>
        <w:t xml:space="preserve"> company, the 94</w:t>
      </w:r>
      <w:r w:rsidRPr="005816C5">
        <w:rPr>
          <w:rFonts w:ascii="Times New Roman" w:hAnsi="Times New Roman" w:cs="Times New Roman"/>
          <w:sz w:val="24"/>
          <w:szCs w:val="24"/>
        </w:rPr>
        <w:t>% shareholder approval vote sen</w:t>
      </w:r>
      <w:r w:rsidR="00BF45B8">
        <w:rPr>
          <w:rFonts w:ascii="Times New Roman" w:hAnsi="Times New Roman" w:cs="Times New Roman"/>
          <w:sz w:val="24"/>
          <w:szCs w:val="24"/>
        </w:rPr>
        <w:t>t</w:t>
      </w:r>
      <w:r w:rsidRPr="005816C5">
        <w:rPr>
          <w:rFonts w:ascii="Times New Roman" w:hAnsi="Times New Roman" w:cs="Times New Roman"/>
          <w:sz w:val="24"/>
          <w:szCs w:val="24"/>
        </w:rPr>
        <w:t xml:space="preserve"> a signal to management and the </w:t>
      </w:r>
      <w:r w:rsidR="00BF45B8">
        <w:rPr>
          <w:rFonts w:ascii="Times New Roman" w:hAnsi="Times New Roman" w:cs="Times New Roman"/>
          <w:sz w:val="24"/>
          <w:szCs w:val="24"/>
        </w:rPr>
        <w:t>C</w:t>
      </w:r>
      <w:r w:rsidRPr="005816C5">
        <w:rPr>
          <w:rFonts w:ascii="Times New Roman" w:hAnsi="Times New Roman" w:cs="Times New Roman"/>
          <w:sz w:val="24"/>
          <w:szCs w:val="24"/>
        </w:rPr>
        <w:t xml:space="preserve">ompensation </w:t>
      </w:r>
      <w:r w:rsidR="00BF45B8">
        <w:rPr>
          <w:rFonts w:ascii="Times New Roman" w:hAnsi="Times New Roman" w:cs="Times New Roman"/>
          <w:sz w:val="24"/>
          <w:szCs w:val="24"/>
        </w:rPr>
        <w:t>C</w:t>
      </w:r>
      <w:r w:rsidRPr="005816C5">
        <w:rPr>
          <w:rFonts w:ascii="Times New Roman" w:hAnsi="Times New Roman" w:cs="Times New Roman"/>
          <w:sz w:val="24"/>
          <w:szCs w:val="24"/>
        </w:rPr>
        <w:t xml:space="preserve">ommittee </w:t>
      </w:r>
      <w:r w:rsidR="00BF45B8">
        <w:rPr>
          <w:rFonts w:ascii="Times New Roman" w:hAnsi="Times New Roman" w:cs="Times New Roman"/>
          <w:sz w:val="24"/>
          <w:szCs w:val="24"/>
        </w:rPr>
        <w:t xml:space="preserve">that shareholders believe the </w:t>
      </w:r>
      <w:r w:rsidR="00BF45B8" w:rsidRPr="005816C5">
        <w:rPr>
          <w:rFonts w:ascii="Times New Roman" w:hAnsi="Times New Roman" w:cs="Times New Roman"/>
          <w:sz w:val="24"/>
          <w:szCs w:val="24"/>
        </w:rPr>
        <w:t xml:space="preserve">executive compensation program </w:t>
      </w:r>
      <w:r w:rsidR="00BF45B8" w:rsidRPr="00E95BD7">
        <w:rPr>
          <w:rFonts w:ascii="Times New Roman" w:hAnsi="Times New Roman" w:cs="Times New Roman"/>
          <w:sz w:val="24"/>
          <w:szCs w:val="24"/>
        </w:rPr>
        <w:t>is</w:t>
      </w:r>
      <w:r w:rsidR="00BF45B8" w:rsidRPr="005816C5">
        <w:rPr>
          <w:rFonts w:ascii="Times New Roman" w:hAnsi="Times New Roman" w:cs="Times New Roman"/>
          <w:sz w:val="24"/>
          <w:szCs w:val="24"/>
        </w:rPr>
        <w:t xml:space="preserve"> designed appropriately and is working to ensure management’s interests are aligned with </w:t>
      </w:r>
      <w:r w:rsidR="00BF45B8" w:rsidRPr="00E95BD7">
        <w:rPr>
          <w:rFonts w:ascii="Times New Roman" w:hAnsi="Times New Roman" w:cs="Times New Roman"/>
          <w:sz w:val="24"/>
          <w:szCs w:val="24"/>
        </w:rPr>
        <w:t>customer</w:t>
      </w:r>
      <w:r w:rsidR="00D37DA2">
        <w:rPr>
          <w:rFonts w:ascii="Times New Roman" w:hAnsi="Times New Roman" w:cs="Times New Roman"/>
          <w:sz w:val="24"/>
          <w:szCs w:val="24"/>
        </w:rPr>
        <w:t>s’</w:t>
      </w:r>
      <w:r w:rsidR="00BF45B8" w:rsidRPr="00E95BD7">
        <w:rPr>
          <w:rFonts w:ascii="Times New Roman" w:hAnsi="Times New Roman" w:cs="Times New Roman"/>
          <w:sz w:val="24"/>
          <w:szCs w:val="24"/>
        </w:rPr>
        <w:t xml:space="preserve"> and </w:t>
      </w:r>
      <w:r w:rsidR="00BF45B8" w:rsidRPr="005816C5">
        <w:rPr>
          <w:rFonts w:ascii="Times New Roman" w:hAnsi="Times New Roman" w:cs="Times New Roman"/>
          <w:sz w:val="24"/>
          <w:szCs w:val="24"/>
        </w:rPr>
        <w:t>shareholders’ interests</w:t>
      </w:r>
      <w:r w:rsidR="00BF45B8">
        <w:rPr>
          <w:rFonts w:ascii="Times New Roman" w:hAnsi="Times New Roman" w:cs="Times New Roman"/>
          <w:sz w:val="24"/>
          <w:szCs w:val="24"/>
        </w:rPr>
        <w:t xml:space="preserve">. </w:t>
      </w:r>
      <w:r w:rsidR="00BF45B8" w:rsidRPr="005816C5">
        <w:rPr>
          <w:rFonts w:ascii="Times New Roman" w:hAnsi="Times New Roman" w:cs="Times New Roman"/>
          <w:sz w:val="24"/>
          <w:szCs w:val="24"/>
        </w:rPr>
        <w:t xml:space="preserve"> </w:t>
      </w:r>
    </w:p>
    <w:p w:rsidR="00BF45B8" w:rsidRDefault="00BF45B8" w:rsidP="00DF59A2">
      <w:pPr>
        <w:jc w:val="both"/>
        <w:rPr>
          <w:rFonts w:ascii="Times New Roman" w:hAnsi="Times New Roman" w:cs="Times New Roman"/>
          <w:sz w:val="24"/>
          <w:szCs w:val="24"/>
        </w:rPr>
      </w:pPr>
    </w:p>
    <w:p w:rsidR="009F02B9" w:rsidRPr="00E95BD7" w:rsidRDefault="009F02B9" w:rsidP="009F02B9">
      <w:pPr>
        <w:pStyle w:val="NormalWeb"/>
        <w:widowControl w:val="0"/>
        <w:spacing w:before="0" w:beforeAutospacing="0" w:after="0" w:afterAutospacing="0"/>
        <w:jc w:val="both"/>
      </w:pPr>
      <w:r w:rsidRPr="00E95BD7">
        <w:t xml:space="preserve">The Compensation Committee believes that an effective total compensation plan should be structured to focus </w:t>
      </w:r>
      <w:r w:rsidR="005B1BF1" w:rsidRPr="00E95BD7">
        <w:t>executive officer</w:t>
      </w:r>
      <w:r w:rsidRPr="00E95BD7">
        <w:t xml:space="preserve">s on the achievement of specific business goals set by the Company and to reward </w:t>
      </w:r>
      <w:r w:rsidR="005B1BF1" w:rsidRPr="00E95BD7">
        <w:t>executive officer</w:t>
      </w:r>
      <w:r w:rsidRPr="00E95BD7">
        <w:t>s for achieving those goals.</w:t>
      </w:r>
      <w:r w:rsidR="00EE7CAB" w:rsidRPr="00E95BD7">
        <w:t xml:space="preserve">  </w:t>
      </w:r>
      <w:r w:rsidR="001E5D1E" w:rsidRPr="00E95BD7">
        <w:t>C</w:t>
      </w:r>
      <w:r w:rsidRPr="00E95BD7">
        <w:t>onsiderable time</w:t>
      </w:r>
      <w:r w:rsidR="001E5D1E" w:rsidRPr="00E95BD7">
        <w:t xml:space="preserve"> is spent</w:t>
      </w:r>
      <w:r w:rsidRPr="00E95BD7">
        <w:t xml:space="preserve"> weighing various design options to ensure that top management’s compensation is primarily performance-based, fair, </w:t>
      </w:r>
      <w:r w:rsidRPr="00E95BD7">
        <w:lastRenderedPageBreak/>
        <w:t xml:space="preserve">and reasonable and does not encourage key decision makers to take excessive risks. </w:t>
      </w:r>
    </w:p>
    <w:p w:rsidR="009F02B9" w:rsidRPr="00E95BD7" w:rsidRDefault="009F02B9" w:rsidP="009F02B9">
      <w:pPr>
        <w:pStyle w:val="NormalWeb"/>
        <w:widowControl w:val="0"/>
        <w:spacing w:before="0" w:beforeAutospacing="0" w:after="0" w:afterAutospacing="0"/>
        <w:jc w:val="both"/>
      </w:pPr>
      <w:r w:rsidRPr="00E95BD7">
        <w:t> </w:t>
      </w:r>
    </w:p>
    <w:p w:rsidR="009F02B9" w:rsidRPr="00E95BD7" w:rsidRDefault="009F02B9" w:rsidP="00520628">
      <w:pPr>
        <w:pStyle w:val="NormalWeb"/>
        <w:widowControl w:val="0"/>
        <w:spacing w:before="0" w:beforeAutospacing="0" w:after="0" w:afterAutospacing="0"/>
        <w:jc w:val="both"/>
      </w:pPr>
      <w:r w:rsidRPr="00E95BD7">
        <w:t xml:space="preserve">The Compensation Committee continues to review best practices and maintain appropriate alignment between pay and performance, with emphasis on long-term </w:t>
      </w:r>
      <w:r w:rsidR="00520628" w:rsidRPr="00E95BD7">
        <w:t xml:space="preserve">customer and </w:t>
      </w:r>
      <w:r w:rsidRPr="00E95BD7">
        <w:t xml:space="preserve">shareholder value. This principle applies generally to our </w:t>
      </w:r>
      <w:r w:rsidR="005B1BF1" w:rsidRPr="00E95BD7">
        <w:t>executive officer</w:t>
      </w:r>
      <w:r w:rsidRPr="00E95BD7">
        <w:t xml:space="preserve"> pay practices. The Compensation Committee takes into consideration external factors, such as the </w:t>
      </w:r>
      <w:r w:rsidR="005B1BF1" w:rsidRPr="00E95BD7">
        <w:t>executive officer</w:t>
      </w:r>
      <w:r w:rsidRPr="00E95BD7">
        <w:t xml:space="preserve"> labor market, in order to create a program that is designed to attract, retain, and appropriately motivate the key employees of the Company who drive </w:t>
      </w:r>
      <w:r w:rsidR="00520628" w:rsidRPr="00E95BD7">
        <w:t xml:space="preserve">customer and </w:t>
      </w:r>
      <w:r w:rsidRPr="00E95BD7">
        <w:t xml:space="preserve">shareholder value creation over the long term. The Compensation Committee also has a clear goal to ensure the overall program has a direct link between pay and performance and the right mix between fixed </w:t>
      </w:r>
      <w:r w:rsidR="005A0A71" w:rsidRPr="00E95BD7">
        <w:t xml:space="preserve">pay </w:t>
      </w:r>
      <w:r w:rsidRPr="00E95BD7">
        <w:t>and pay</w:t>
      </w:r>
      <w:r w:rsidR="005A0A71" w:rsidRPr="00E95BD7">
        <w:t xml:space="preserve"> at risk</w:t>
      </w:r>
      <w:r w:rsidRPr="00E95BD7">
        <w:t xml:space="preserve">. </w:t>
      </w:r>
      <w:r w:rsidR="00520628" w:rsidRPr="00E95BD7">
        <w:t xml:space="preserve">See </w:t>
      </w:r>
      <w:r w:rsidR="00DB3CE3">
        <w:t>S</w:t>
      </w:r>
      <w:r w:rsidR="00520628" w:rsidRPr="00E95BD7">
        <w:t xml:space="preserve">ection </w:t>
      </w:r>
      <w:r w:rsidR="00520628" w:rsidRPr="00D77586">
        <w:t xml:space="preserve">1. </w:t>
      </w:r>
      <w:r w:rsidR="00520628" w:rsidRPr="00E95BD7">
        <w:rPr>
          <w:u w:val="single"/>
        </w:rPr>
        <w:t xml:space="preserve">Executive </w:t>
      </w:r>
      <w:r w:rsidR="005B1BF1" w:rsidRPr="00E95BD7">
        <w:rPr>
          <w:u w:val="single"/>
        </w:rPr>
        <w:t xml:space="preserve">Officer </w:t>
      </w:r>
      <w:r w:rsidR="00520628" w:rsidRPr="00E95BD7">
        <w:rPr>
          <w:u w:val="single"/>
        </w:rPr>
        <w:t>Compensation Description</w:t>
      </w:r>
      <w:r w:rsidR="00520628" w:rsidRPr="00E95BD7">
        <w:t xml:space="preserve"> for additional information.</w:t>
      </w:r>
    </w:p>
    <w:p w:rsidR="00520628" w:rsidRPr="00E95BD7" w:rsidRDefault="00520628" w:rsidP="00520628">
      <w:pPr>
        <w:pStyle w:val="NormalWeb"/>
        <w:widowControl w:val="0"/>
        <w:spacing w:before="0" w:beforeAutospacing="0" w:after="0" w:afterAutospacing="0"/>
        <w:jc w:val="both"/>
      </w:pPr>
    </w:p>
    <w:p w:rsidR="009F02B9" w:rsidRPr="00E95BD7" w:rsidRDefault="001E5D1E" w:rsidP="009F02B9">
      <w:pPr>
        <w:pStyle w:val="NormalWeb"/>
        <w:widowControl w:val="0"/>
        <w:spacing w:before="0" w:beforeAutospacing="0" w:after="0" w:afterAutospacing="0"/>
        <w:jc w:val="both"/>
      </w:pPr>
      <w:r w:rsidRPr="00E95BD7">
        <w:t>K</w:t>
      </w:r>
      <w:r w:rsidR="009F02B9" w:rsidRPr="00E95BD7">
        <w:t>ey compensation principles</w:t>
      </w:r>
      <w:r w:rsidRPr="00E95BD7">
        <w:t xml:space="preserve"> have been established</w:t>
      </w:r>
      <w:r w:rsidR="009F02B9" w:rsidRPr="00E95BD7">
        <w:t xml:space="preserve"> to guide the design and ongoing administration of the Company’s overall compensation program. According to these principles, the Company’s compensation plans are intended to: </w:t>
      </w:r>
    </w:p>
    <w:p w:rsidR="009F02B9" w:rsidRPr="00E95BD7" w:rsidRDefault="009F02B9" w:rsidP="009F02B9">
      <w:pPr>
        <w:pStyle w:val="NormalWeb"/>
        <w:widowControl w:val="0"/>
        <w:spacing w:before="0" w:beforeAutospacing="0" w:after="0" w:afterAutospacing="0"/>
        <w:jc w:val="both"/>
      </w:pPr>
      <w:r w:rsidRPr="00E95BD7">
        <w:t> </w:t>
      </w:r>
    </w:p>
    <w:p w:rsidR="009F02B9" w:rsidRPr="00E95BD7" w:rsidRDefault="009F02B9" w:rsidP="005F33D3">
      <w:pPr>
        <w:pStyle w:val="NormalWeb"/>
        <w:widowControl w:val="0"/>
        <w:numPr>
          <w:ilvl w:val="0"/>
          <w:numId w:val="26"/>
        </w:numPr>
        <w:spacing w:before="0" w:beforeAutospacing="0" w:after="0" w:afterAutospacing="0"/>
        <w:jc w:val="both"/>
      </w:pPr>
      <w:r w:rsidRPr="00E95BD7">
        <w:t>Clearly identify the specific measures of Company performance that are likely to create long-term value</w:t>
      </w:r>
      <w:r w:rsidR="00476514" w:rsidRPr="00E95BD7">
        <w:t xml:space="preserve"> for the </w:t>
      </w:r>
      <w:r w:rsidR="001E5D1E" w:rsidRPr="00E95BD7">
        <w:t>C</w:t>
      </w:r>
      <w:r w:rsidR="00476514" w:rsidRPr="00E95BD7">
        <w:t xml:space="preserve">ompany’s </w:t>
      </w:r>
      <w:r w:rsidR="001E5D1E" w:rsidRPr="00E95BD7">
        <w:t>customers and shareholders</w:t>
      </w:r>
      <w:r w:rsidR="00444FDD">
        <w:t>;</w:t>
      </w:r>
      <w:r w:rsidRPr="00E95BD7">
        <w:t xml:space="preserve"> </w:t>
      </w:r>
    </w:p>
    <w:p w:rsidR="009F02B9" w:rsidRPr="00E95BD7" w:rsidRDefault="009F02B9" w:rsidP="005F33D3">
      <w:pPr>
        <w:pStyle w:val="NormalWeb"/>
        <w:widowControl w:val="0"/>
        <w:numPr>
          <w:ilvl w:val="0"/>
          <w:numId w:val="25"/>
        </w:numPr>
        <w:spacing w:before="0" w:beforeAutospacing="0" w:after="0" w:afterAutospacing="0"/>
        <w:jc w:val="both"/>
      </w:pPr>
      <w:r w:rsidRPr="00E95BD7">
        <w:t xml:space="preserve">Structure incentive pay programs to reward specified levels of performance on measures designed to help the Company achieve: </w:t>
      </w:r>
    </w:p>
    <w:p w:rsidR="009F02B9" w:rsidRPr="00E95BD7" w:rsidRDefault="009F02B9" w:rsidP="00983418">
      <w:pPr>
        <w:pStyle w:val="NormalWeb"/>
        <w:widowControl w:val="0"/>
        <w:spacing w:before="0" w:beforeAutospacing="0" w:after="0" w:afterAutospacing="0"/>
        <w:jc w:val="both"/>
      </w:pPr>
      <w:r w:rsidRPr="00E95BD7">
        <w:t> </w:t>
      </w:r>
      <w:r w:rsidR="00983418" w:rsidRPr="00E95BD7">
        <w:tab/>
      </w:r>
      <w:r w:rsidR="00983418" w:rsidRPr="00E95BD7">
        <w:tab/>
      </w:r>
      <w:r w:rsidRPr="00E95BD7">
        <w:t>•</w:t>
      </w:r>
      <w:r w:rsidR="00983418" w:rsidRPr="00E95BD7">
        <w:t xml:space="preserve"> </w:t>
      </w:r>
      <w:r w:rsidRPr="00E95BD7">
        <w:t xml:space="preserve">Shareholder value targets; </w:t>
      </w:r>
    </w:p>
    <w:p w:rsidR="009F02B9" w:rsidRPr="00E95BD7" w:rsidRDefault="009F02B9" w:rsidP="00983418">
      <w:pPr>
        <w:pStyle w:val="NormalWeb"/>
        <w:widowControl w:val="0"/>
        <w:spacing w:before="0" w:beforeAutospacing="0" w:after="0" w:afterAutospacing="0"/>
        <w:ind w:left="1591" w:hanging="151"/>
        <w:jc w:val="both"/>
      </w:pPr>
      <w:r w:rsidRPr="00E95BD7">
        <w:t>•</w:t>
      </w:r>
      <w:r w:rsidRPr="00E95BD7">
        <w:tab/>
        <w:t xml:space="preserve">Earnings per share targets; </w:t>
      </w:r>
    </w:p>
    <w:p w:rsidR="009F02B9" w:rsidRPr="00E95BD7" w:rsidRDefault="009F02B9" w:rsidP="00983418">
      <w:pPr>
        <w:pStyle w:val="NormalWeb"/>
        <w:widowControl w:val="0"/>
        <w:spacing w:before="0" w:beforeAutospacing="0" w:after="0" w:afterAutospacing="0"/>
        <w:ind w:left="1591" w:hanging="151"/>
        <w:jc w:val="both"/>
      </w:pPr>
      <w:r w:rsidRPr="00E95BD7">
        <w:t>•</w:t>
      </w:r>
      <w:r w:rsidRPr="00E95BD7">
        <w:tab/>
        <w:t xml:space="preserve">Relative stock performance levels compared to peers; </w:t>
      </w:r>
    </w:p>
    <w:p w:rsidR="009F02B9" w:rsidRPr="00E95BD7" w:rsidRDefault="009F02B9" w:rsidP="00983418">
      <w:pPr>
        <w:pStyle w:val="NormalWeb"/>
        <w:widowControl w:val="0"/>
        <w:spacing w:before="0" w:beforeAutospacing="0" w:after="0" w:afterAutospacing="0"/>
        <w:ind w:left="1591" w:hanging="151"/>
        <w:jc w:val="both"/>
      </w:pPr>
      <w:r w:rsidRPr="00E95BD7">
        <w:t xml:space="preserve">• </w:t>
      </w:r>
      <w:r w:rsidRPr="00E95BD7">
        <w:tab/>
        <w:t xml:space="preserve">Customer service targets; </w:t>
      </w:r>
    </w:p>
    <w:p w:rsidR="009F02B9" w:rsidRPr="00E95BD7" w:rsidRDefault="009F02B9" w:rsidP="00983418">
      <w:pPr>
        <w:pStyle w:val="NormalWeb"/>
        <w:widowControl w:val="0"/>
        <w:spacing w:before="0" w:beforeAutospacing="0" w:after="0" w:afterAutospacing="0"/>
        <w:ind w:left="1591" w:hanging="151"/>
        <w:jc w:val="both"/>
      </w:pPr>
      <w:r w:rsidRPr="00E95BD7">
        <w:t xml:space="preserve">• </w:t>
      </w:r>
      <w:r w:rsidRPr="00E95BD7">
        <w:tab/>
        <w:t xml:space="preserve">Operational targets; </w:t>
      </w:r>
    </w:p>
    <w:p w:rsidR="009F02B9" w:rsidRPr="00E95BD7" w:rsidRDefault="009F02B9" w:rsidP="003C417F">
      <w:pPr>
        <w:pStyle w:val="NormalWeb"/>
        <w:widowControl w:val="0"/>
        <w:numPr>
          <w:ilvl w:val="0"/>
          <w:numId w:val="25"/>
        </w:numPr>
        <w:spacing w:before="0" w:beforeAutospacing="0" w:after="0" w:afterAutospacing="0"/>
        <w:jc w:val="both"/>
      </w:pPr>
      <w:r w:rsidRPr="00E95BD7">
        <w:t xml:space="preserve">Promote a </w:t>
      </w:r>
      <w:r w:rsidR="00476514" w:rsidRPr="00E95BD7">
        <w:t xml:space="preserve">culture of </w:t>
      </w:r>
      <w:r w:rsidRPr="00E95BD7">
        <w:t xml:space="preserve">safety; </w:t>
      </w:r>
    </w:p>
    <w:p w:rsidR="009F02B9" w:rsidRPr="00E95BD7" w:rsidRDefault="009F02B9" w:rsidP="003C417F">
      <w:pPr>
        <w:pStyle w:val="NormalWeb"/>
        <w:widowControl w:val="0"/>
        <w:numPr>
          <w:ilvl w:val="0"/>
          <w:numId w:val="25"/>
        </w:numPr>
        <w:spacing w:before="0" w:beforeAutospacing="0" w:after="0" w:afterAutospacing="0"/>
        <w:jc w:val="both"/>
      </w:pPr>
      <w:r w:rsidRPr="00E95BD7">
        <w:t xml:space="preserve">Align elements of the incentive plans among all Company employees and </w:t>
      </w:r>
      <w:r w:rsidR="005B1BF1" w:rsidRPr="00E95BD7">
        <w:t>executive officer</w:t>
      </w:r>
      <w:r w:rsidRPr="00E95BD7">
        <w:t xml:space="preserve">s; </w:t>
      </w:r>
    </w:p>
    <w:p w:rsidR="009F02B9" w:rsidRPr="00E95BD7" w:rsidRDefault="009F02B9" w:rsidP="003C417F">
      <w:pPr>
        <w:pStyle w:val="NormalWeb"/>
        <w:widowControl w:val="0"/>
        <w:numPr>
          <w:ilvl w:val="0"/>
          <w:numId w:val="25"/>
        </w:numPr>
        <w:spacing w:before="0" w:beforeAutospacing="0" w:after="0" w:afterAutospacing="0"/>
        <w:jc w:val="both"/>
      </w:pPr>
      <w:r w:rsidRPr="00E95BD7">
        <w:t xml:space="preserve">Maintain total compensation at market competitive levels; and </w:t>
      </w:r>
    </w:p>
    <w:p w:rsidR="009F02B9" w:rsidRPr="00E95BD7" w:rsidRDefault="009F02B9" w:rsidP="003C417F">
      <w:pPr>
        <w:pStyle w:val="NormalWeb"/>
        <w:widowControl w:val="0"/>
        <w:numPr>
          <w:ilvl w:val="0"/>
          <w:numId w:val="25"/>
        </w:numPr>
        <w:spacing w:before="0" w:beforeAutospacing="0" w:after="0" w:afterAutospacing="0"/>
        <w:jc w:val="both"/>
      </w:pPr>
      <w:r w:rsidRPr="00E95BD7">
        <w:t xml:space="preserve">Provide a range of payout opportunities based on the level of achievement of performance goals. </w:t>
      </w:r>
    </w:p>
    <w:p w:rsidR="009F02B9" w:rsidRPr="00E95BD7" w:rsidRDefault="009F02B9" w:rsidP="009F02B9">
      <w:pPr>
        <w:pStyle w:val="NormalWeb"/>
        <w:widowControl w:val="0"/>
        <w:spacing w:before="0" w:beforeAutospacing="0" w:after="0" w:afterAutospacing="0"/>
        <w:jc w:val="both"/>
      </w:pPr>
      <w:r w:rsidRPr="00E95BD7">
        <w:t> </w:t>
      </w:r>
    </w:p>
    <w:p w:rsidR="009F02B9" w:rsidRPr="00E95BD7" w:rsidRDefault="009F02B9" w:rsidP="009F02B9">
      <w:pPr>
        <w:pStyle w:val="Heading2"/>
        <w:spacing w:before="0" w:after="0"/>
        <w:rPr>
          <w:rFonts w:ascii="Times New Roman" w:hAnsi="Times New Roman"/>
          <w:sz w:val="24"/>
          <w:szCs w:val="24"/>
        </w:rPr>
      </w:pPr>
      <w:bookmarkStart w:id="0" w:name="_Toc304901591"/>
      <w:r w:rsidRPr="00E95BD7">
        <w:rPr>
          <w:rFonts w:ascii="Times New Roman" w:hAnsi="Times New Roman"/>
          <w:sz w:val="24"/>
          <w:szCs w:val="24"/>
        </w:rPr>
        <w:t>Competitive Analysis</w:t>
      </w:r>
      <w:bookmarkEnd w:id="0"/>
    </w:p>
    <w:p w:rsidR="009F02B9" w:rsidRPr="00E95BD7" w:rsidRDefault="009F02B9" w:rsidP="009F02B9">
      <w:pPr>
        <w:pStyle w:val="NormalWeb"/>
        <w:widowControl w:val="0"/>
        <w:spacing w:before="0" w:beforeAutospacing="0" w:after="0" w:afterAutospacing="0"/>
        <w:jc w:val="both"/>
      </w:pPr>
      <w:r w:rsidRPr="00E95BD7">
        <w:t xml:space="preserve">When determining the types and amounts of compensation to be paid to </w:t>
      </w:r>
      <w:r w:rsidR="005B1BF1" w:rsidRPr="00E95BD7">
        <w:t>executive officer</w:t>
      </w:r>
      <w:r w:rsidRPr="00E95BD7">
        <w:t xml:space="preserve">s, the Compensation Committee considers it important to provide an overall plan that reflects </w:t>
      </w:r>
      <w:r w:rsidR="00D970C1">
        <w:t>officer</w:t>
      </w:r>
      <w:r w:rsidR="00216CE2" w:rsidRPr="00E95BD7">
        <w:t>s</w:t>
      </w:r>
      <w:r w:rsidR="00D970C1">
        <w:t>’</w:t>
      </w:r>
      <w:r w:rsidR="00216CE2" w:rsidRPr="00E95BD7">
        <w:t xml:space="preserve"> </w:t>
      </w:r>
      <w:r w:rsidRPr="00E95BD7">
        <w:t xml:space="preserve">compensation paid to similarly situated </w:t>
      </w:r>
      <w:r w:rsidR="005B1BF1" w:rsidRPr="00E95BD7">
        <w:t>executive officer</w:t>
      </w:r>
      <w:r w:rsidRPr="00E95BD7">
        <w:t>s of peer companies</w:t>
      </w:r>
      <w:r w:rsidR="00D970C1">
        <w:t>,</w:t>
      </w:r>
      <w:r w:rsidRPr="00E95BD7">
        <w:t xml:space="preserve"> to maintain a competitive position within the energy/utility industry and to ensure the Company retains</w:t>
      </w:r>
      <w:r w:rsidR="00476514" w:rsidRPr="00E95BD7">
        <w:t xml:space="preserve"> </w:t>
      </w:r>
      <w:r w:rsidRPr="00E95BD7">
        <w:t xml:space="preserve">and attracts quality employees in key positions to lead the Company. To achieve this objective, the Compensation Committee works with Towers Watson to conduct an annual competitive review of its total compensation program for </w:t>
      </w:r>
      <w:r w:rsidR="005B1BF1" w:rsidRPr="00E95BD7">
        <w:t>executive officer</w:t>
      </w:r>
      <w:r w:rsidR="00216CE2" w:rsidRPr="00E95BD7">
        <w:t>s</w:t>
      </w:r>
      <w:r w:rsidRPr="00E95BD7">
        <w:t xml:space="preserve">. Through the review process the Compensation Committee establishes levels of base salaries, short-term annual incentives, and long-term incentives that are generally targeted to be near the median of the amounts paid by a peer group, based on competitive data gathered by Towers Watson. However, the Compensation Committee exercises its discretion to set any one or more of the components at levels higher or lower than the median depending on an individual’s role, responsibilities, and performance within the Company. The Compensation Committee believes this target positioning is effective to attract and retain our </w:t>
      </w:r>
      <w:r w:rsidR="005B1BF1" w:rsidRPr="00E95BD7">
        <w:t xml:space="preserve">executive </w:t>
      </w:r>
      <w:r w:rsidR="005B1BF1" w:rsidRPr="00E95BD7">
        <w:lastRenderedPageBreak/>
        <w:t>officer</w:t>
      </w:r>
      <w:r w:rsidRPr="00E95BD7">
        <w:t xml:space="preserve">s. </w:t>
      </w:r>
    </w:p>
    <w:p w:rsidR="009F02B9" w:rsidRPr="00E95BD7" w:rsidRDefault="009F02B9" w:rsidP="009F02B9">
      <w:pPr>
        <w:pStyle w:val="NormalWeb"/>
        <w:widowControl w:val="0"/>
        <w:spacing w:before="0" w:beforeAutospacing="0" w:after="0" w:afterAutospacing="0"/>
        <w:jc w:val="both"/>
      </w:pPr>
      <w:r w:rsidRPr="00E95BD7">
        <w:t> </w:t>
      </w:r>
    </w:p>
    <w:p w:rsidR="009F02B9" w:rsidRPr="00E95BD7" w:rsidRDefault="009F02B9" w:rsidP="009F02B9">
      <w:pPr>
        <w:pStyle w:val="NormalWeb"/>
        <w:widowControl w:val="0"/>
        <w:spacing w:before="0" w:beforeAutospacing="0" w:after="0" w:afterAutospacing="0"/>
        <w:jc w:val="both"/>
      </w:pPr>
      <w:r w:rsidRPr="00E95BD7">
        <w:t xml:space="preserve">The Compensation Committee annually compares each element of total direct compensation, which includes base salary, annual cash incentives, and the value of long-term incentive grants, against a specific peer group of publicly-traded companies within the energy/utility industry. The companies in the peer group generally recruit individuals who are similar in skills and background to those the Company recruits to fill senior management positions, and are the companies with which Avista competes for </w:t>
      </w:r>
      <w:r w:rsidR="005B1BF1" w:rsidRPr="00E95BD7">
        <w:t>executive officer</w:t>
      </w:r>
      <w:r w:rsidRPr="00E95BD7">
        <w:t xml:space="preserve">s and for shareholder investment. </w:t>
      </w:r>
    </w:p>
    <w:p w:rsidR="00BB7856" w:rsidRPr="00E95BD7" w:rsidRDefault="00BB7856" w:rsidP="00833224">
      <w:pPr>
        <w:pStyle w:val="NormalWeb"/>
        <w:widowControl w:val="0"/>
        <w:spacing w:before="0" w:beforeAutospacing="0" w:after="0" w:afterAutospacing="0"/>
        <w:jc w:val="both"/>
        <w:rPr>
          <w:b/>
          <w:i/>
          <w:color w:val="FF0000"/>
        </w:rPr>
      </w:pPr>
    </w:p>
    <w:p w:rsidR="00BB7856" w:rsidRPr="00D77586" w:rsidRDefault="00D77586" w:rsidP="00BB7856">
      <w:pPr>
        <w:pStyle w:val="Heading2"/>
        <w:spacing w:before="0" w:after="0"/>
        <w:rPr>
          <w:rFonts w:ascii="Times New Roman" w:hAnsi="Times New Roman"/>
          <w:sz w:val="24"/>
          <w:szCs w:val="24"/>
        </w:rPr>
      </w:pPr>
      <w:bookmarkStart w:id="1" w:name="_Toc304901592"/>
      <w:r w:rsidRPr="00D77586">
        <w:rPr>
          <w:rFonts w:ascii="Times New Roman" w:hAnsi="Times New Roman"/>
          <w:sz w:val="24"/>
          <w:szCs w:val="24"/>
        </w:rPr>
        <w:t xml:space="preserve">Peer Group </w:t>
      </w:r>
      <w:r w:rsidR="00BB7856" w:rsidRPr="00D77586">
        <w:rPr>
          <w:rFonts w:ascii="Times New Roman" w:hAnsi="Times New Roman"/>
          <w:sz w:val="24"/>
          <w:szCs w:val="24"/>
        </w:rPr>
        <w:t>Companies</w:t>
      </w:r>
      <w:bookmarkEnd w:id="1"/>
    </w:p>
    <w:p w:rsidR="00E616DD" w:rsidRPr="00031A17" w:rsidRDefault="00BB7856" w:rsidP="00D77586">
      <w:pPr>
        <w:jc w:val="both"/>
        <w:rPr>
          <w:rFonts w:ascii="Times New Roman" w:hAnsi="Times New Roman" w:cs="Times New Roman"/>
          <w:sz w:val="24"/>
          <w:szCs w:val="24"/>
        </w:rPr>
      </w:pPr>
      <w:r w:rsidRPr="00E95BD7">
        <w:rPr>
          <w:rFonts w:ascii="Times New Roman" w:hAnsi="Times New Roman" w:cs="Times New Roman"/>
          <w:sz w:val="24"/>
          <w:szCs w:val="24"/>
        </w:rPr>
        <w:t xml:space="preserve">In 2011, the Compensation Committee asked Towers Watson to use its Energy Services Executive </w:t>
      </w:r>
      <w:r w:rsidR="005B1BF1" w:rsidRPr="00E95BD7">
        <w:rPr>
          <w:rFonts w:ascii="Times New Roman" w:hAnsi="Times New Roman" w:cs="Times New Roman"/>
          <w:sz w:val="24"/>
          <w:szCs w:val="24"/>
        </w:rPr>
        <w:t xml:space="preserve">Officer </w:t>
      </w:r>
      <w:r w:rsidRPr="00E95BD7">
        <w:rPr>
          <w:rFonts w:ascii="Times New Roman" w:hAnsi="Times New Roman" w:cs="Times New Roman"/>
          <w:sz w:val="24"/>
          <w:szCs w:val="24"/>
        </w:rPr>
        <w:t>Compensation database to perform a study of the compensation structure of comparable diversified energy companies with revenues between $1 billion and $3 billion to assure the data presented to the Compensation Committee reflected the Company’s general size and scope wi</w:t>
      </w:r>
      <w:r w:rsidR="00216CE2" w:rsidRPr="00E95BD7">
        <w:rPr>
          <w:rFonts w:ascii="Times New Roman" w:hAnsi="Times New Roman" w:cs="Times New Roman"/>
          <w:sz w:val="24"/>
          <w:szCs w:val="24"/>
        </w:rPr>
        <w:t>thin the marke</w:t>
      </w:r>
      <w:r w:rsidR="00EF0E95" w:rsidRPr="00E95BD7">
        <w:rPr>
          <w:rFonts w:ascii="Times New Roman" w:hAnsi="Times New Roman" w:cs="Times New Roman"/>
          <w:sz w:val="24"/>
          <w:szCs w:val="24"/>
        </w:rPr>
        <w:t>t</w:t>
      </w:r>
      <w:r w:rsidR="00216CE2" w:rsidRPr="00E95BD7">
        <w:t>.</w:t>
      </w:r>
      <w:r w:rsidR="00494A84" w:rsidRPr="00E95BD7">
        <w:rPr>
          <w:rFonts w:ascii="Times New Roman" w:hAnsi="Times New Roman" w:cs="Times New Roman"/>
          <w:sz w:val="24"/>
          <w:szCs w:val="24"/>
        </w:rPr>
        <w:t xml:space="preserve"> Organizations that benchmark compensation levels and practices typically select a sample of companies to gather this information.  It is a widely</w:t>
      </w:r>
      <w:r w:rsidR="00D970C1">
        <w:rPr>
          <w:rFonts w:ascii="Times New Roman" w:hAnsi="Times New Roman" w:cs="Times New Roman"/>
          <w:sz w:val="24"/>
          <w:szCs w:val="24"/>
        </w:rPr>
        <w:t>-</w:t>
      </w:r>
      <w:r w:rsidR="00494A84" w:rsidRPr="00E95BD7">
        <w:rPr>
          <w:rFonts w:ascii="Times New Roman" w:hAnsi="Times New Roman" w:cs="Times New Roman"/>
          <w:sz w:val="24"/>
          <w:szCs w:val="24"/>
        </w:rPr>
        <w:t>accepted practice that</w:t>
      </w:r>
      <w:r w:rsidR="00D970C1">
        <w:rPr>
          <w:rFonts w:ascii="Times New Roman" w:hAnsi="Times New Roman" w:cs="Times New Roman"/>
          <w:sz w:val="24"/>
          <w:szCs w:val="24"/>
        </w:rPr>
        <w:t>,</w:t>
      </w:r>
      <w:r w:rsidR="00494A84" w:rsidRPr="00E95BD7">
        <w:rPr>
          <w:rFonts w:ascii="Times New Roman" w:hAnsi="Times New Roman" w:cs="Times New Roman"/>
          <w:sz w:val="24"/>
          <w:szCs w:val="24"/>
        </w:rPr>
        <w:t xml:space="preserve"> for </w:t>
      </w:r>
      <w:r w:rsidR="005B1BF1" w:rsidRPr="00E95BD7">
        <w:rPr>
          <w:rFonts w:ascii="Times New Roman" w:hAnsi="Times New Roman" w:cs="Times New Roman"/>
          <w:sz w:val="24"/>
          <w:szCs w:val="24"/>
        </w:rPr>
        <w:t>executive officer</w:t>
      </w:r>
      <w:r w:rsidR="00494A84" w:rsidRPr="00E95BD7">
        <w:rPr>
          <w:rFonts w:ascii="Times New Roman" w:hAnsi="Times New Roman" w:cs="Times New Roman"/>
          <w:sz w:val="24"/>
          <w:szCs w:val="24"/>
        </w:rPr>
        <w:t xml:space="preserve"> </w:t>
      </w:r>
      <w:r w:rsidR="00FE1D3E" w:rsidRPr="00E95BD7">
        <w:rPr>
          <w:rFonts w:ascii="Times New Roman" w:hAnsi="Times New Roman" w:cs="Times New Roman"/>
          <w:sz w:val="24"/>
          <w:szCs w:val="24"/>
        </w:rPr>
        <w:t>compensation</w:t>
      </w:r>
      <w:r w:rsidR="00494A84" w:rsidRPr="00E95BD7">
        <w:rPr>
          <w:rFonts w:ascii="Times New Roman" w:hAnsi="Times New Roman" w:cs="Times New Roman"/>
          <w:sz w:val="24"/>
          <w:szCs w:val="24"/>
        </w:rPr>
        <w:t xml:space="preserve"> benchmarking</w:t>
      </w:r>
      <w:r w:rsidR="00D970C1">
        <w:rPr>
          <w:rFonts w:ascii="Times New Roman" w:hAnsi="Times New Roman" w:cs="Times New Roman"/>
          <w:sz w:val="24"/>
          <w:szCs w:val="24"/>
        </w:rPr>
        <w:t>,</w:t>
      </w:r>
      <w:r w:rsidR="00494A84" w:rsidRPr="00E95BD7">
        <w:rPr>
          <w:rFonts w:ascii="Times New Roman" w:hAnsi="Times New Roman" w:cs="Times New Roman"/>
          <w:sz w:val="24"/>
          <w:szCs w:val="24"/>
        </w:rPr>
        <w:t xml:space="preserve"> it is important to select companies of similar size and with similar business characteristics</w:t>
      </w:r>
      <w:r w:rsidR="00D970C1">
        <w:rPr>
          <w:rFonts w:ascii="Times New Roman" w:hAnsi="Times New Roman" w:cs="Times New Roman"/>
          <w:sz w:val="24"/>
          <w:szCs w:val="24"/>
        </w:rPr>
        <w:t>,</w:t>
      </w:r>
      <w:r w:rsidR="00494A84" w:rsidRPr="00E95BD7">
        <w:rPr>
          <w:rFonts w:ascii="Times New Roman" w:hAnsi="Times New Roman" w:cs="Times New Roman"/>
          <w:sz w:val="24"/>
          <w:szCs w:val="24"/>
        </w:rPr>
        <w:t xml:space="preserve"> as these factors have been shown to have the strongest correlation to compensation opportunities.  Governance groups, proxy advisors</w:t>
      </w:r>
      <w:r w:rsidR="00E616DD" w:rsidRPr="00E95BD7">
        <w:rPr>
          <w:rFonts w:ascii="Times New Roman" w:hAnsi="Times New Roman" w:cs="Times New Roman"/>
          <w:sz w:val="24"/>
          <w:szCs w:val="24"/>
        </w:rPr>
        <w:t>,</w:t>
      </w:r>
      <w:r w:rsidR="00494A84" w:rsidRPr="00E95BD7">
        <w:rPr>
          <w:rFonts w:ascii="Times New Roman" w:hAnsi="Times New Roman" w:cs="Times New Roman"/>
          <w:sz w:val="24"/>
          <w:szCs w:val="24"/>
        </w:rPr>
        <w:t xml:space="preserve"> and investors all view a peer group of companies within a size range of approximately .5x to 2x the companies size (as measured by revenues and secondarily market capitalization) to</w:t>
      </w:r>
      <w:r w:rsidR="00DB3CE3">
        <w:rPr>
          <w:rFonts w:ascii="Times New Roman" w:hAnsi="Times New Roman" w:cs="Times New Roman"/>
          <w:sz w:val="24"/>
          <w:szCs w:val="24"/>
        </w:rPr>
        <w:t xml:space="preserve"> </w:t>
      </w:r>
      <w:r w:rsidR="00494A84" w:rsidRPr="00E95BD7">
        <w:rPr>
          <w:rFonts w:ascii="Times New Roman" w:hAnsi="Times New Roman" w:cs="Times New Roman"/>
          <w:sz w:val="24"/>
          <w:szCs w:val="24"/>
        </w:rPr>
        <w:t>be an</w:t>
      </w:r>
      <w:r w:rsidR="00DB3CE3">
        <w:rPr>
          <w:rFonts w:ascii="Times New Roman" w:hAnsi="Times New Roman" w:cs="Times New Roman"/>
          <w:sz w:val="24"/>
          <w:szCs w:val="24"/>
        </w:rPr>
        <w:t xml:space="preserve"> </w:t>
      </w:r>
      <w:r w:rsidR="00494A84" w:rsidRPr="00E95BD7">
        <w:rPr>
          <w:rFonts w:ascii="Times New Roman" w:hAnsi="Times New Roman" w:cs="Times New Roman"/>
          <w:sz w:val="24"/>
          <w:szCs w:val="24"/>
        </w:rPr>
        <w:t xml:space="preserve">appropriate </w:t>
      </w:r>
      <w:r w:rsidR="00D77586">
        <w:rPr>
          <w:rFonts w:ascii="Times New Roman" w:hAnsi="Times New Roman" w:cs="Times New Roman"/>
          <w:sz w:val="24"/>
          <w:szCs w:val="24"/>
        </w:rPr>
        <w:t xml:space="preserve">peer </w:t>
      </w:r>
      <w:r w:rsidR="00494A84" w:rsidRPr="00E95BD7">
        <w:rPr>
          <w:rFonts w:ascii="Times New Roman" w:hAnsi="Times New Roman" w:cs="Times New Roman"/>
          <w:sz w:val="24"/>
          <w:szCs w:val="24"/>
        </w:rPr>
        <w:t xml:space="preserve">group.  </w:t>
      </w:r>
      <w:r w:rsidR="00D77586">
        <w:rPr>
          <w:rFonts w:ascii="Times New Roman" w:hAnsi="Times New Roman" w:cs="Times New Roman"/>
          <w:sz w:val="24"/>
          <w:szCs w:val="24"/>
        </w:rPr>
        <w:t>In addition</w:t>
      </w:r>
      <w:r w:rsidR="00D970C1">
        <w:rPr>
          <w:rFonts w:ascii="Times New Roman" w:hAnsi="Times New Roman" w:cs="Times New Roman"/>
          <w:sz w:val="24"/>
          <w:szCs w:val="24"/>
        </w:rPr>
        <w:t>,</w:t>
      </w:r>
      <w:r w:rsidR="00494A84" w:rsidRPr="00E95BD7">
        <w:rPr>
          <w:rFonts w:ascii="Times New Roman" w:hAnsi="Times New Roman" w:cs="Times New Roman"/>
          <w:sz w:val="24"/>
          <w:szCs w:val="24"/>
        </w:rPr>
        <w:t xml:space="preserve"> these organizations should be in the same industry (to the extent there are enough industry peers) and the </w:t>
      </w:r>
      <w:r w:rsidR="00494A84" w:rsidRPr="00031A17">
        <w:rPr>
          <w:rFonts w:ascii="Times New Roman" w:hAnsi="Times New Roman" w:cs="Times New Roman"/>
          <w:sz w:val="24"/>
          <w:szCs w:val="24"/>
        </w:rPr>
        <w:t xml:space="preserve">peer group should be large enough that there are not statistical challenges with the data samples.  </w:t>
      </w:r>
    </w:p>
    <w:p w:rsidR="00E616DD" w:rsidRPr="00031A17" w:rsidRDefault="00E616DD" w:rsidP="00E5606A">
      <w:pPr>
        <w:jc w:val="both"/>
        <w:rPr>
          <w:rFonts w:ascii="Times New Roman" w:hAnsi="Times New Roman" w:cs="Times New Roman"/>
          <w:sz w:val="24"/>
          <w:szCs w:val="24"/>
        </w:rPr>
      </w:pPr>
    </w:p>
    <w:p w:rsidR="00BB7856" w:rsidRPr="00031A17" w:rsidRDefault="00494A84" w:rsidP="00031A17">
      <w:pPr>
        <w:jc w:val="both"/>
        <w:rPr>
          <w:rFonts w:ascii="Times New Roman" w:hAnsi="Times New Roman" w:cs="Times New Roman"/>
          <w:sz w:val="24"/>
          <w:szCs w:val="24"/>
        </w:rPr>
      </w:pPr>
      <w:r w:rsidRPr="00031A17">
        <w:rPr>
          <w:rFonts w:ascii="Times New Roman" w:hAnsi="Times New Roman" w:cs="Times New Roman"/>
          <w:sz w:val="24"/>
          <w:szCs w:val="24"/>
        </w:rPr>
        <w:t xml:space="preserve">For benchmarking its </w:t>
      </w:r>
      <w:r w:rsidR="005B1BF1" w:rsidRPr="00031A17">
        <w:rPr>
          <w:rFonts w:ascii="Times New Roman" w:hAnsi="Times New Roman" w:cs="Times New Roman"/>
          <w:sz w:val="24"/>
          <w:szCs w:val="24"/>
        </w:rPr>
        <w:t>executive officer</w:t>
      </w:r>
      <w:r w:rsidRPr="00031A17">
        <w:rPr>
          <w:rFonts w:ascii="Times New Roman" w:hAnsi="Times New Roman" w:cs="Times New Roman"/>
          <w:sz w:val="24"/>
          <w:szCs w:val="24"/>
        </w:rPr>
        <w:t xml:space="preserve"> group, Avista's primary source is the set of companies in the $1 billion to $3 billion standard data sample in Towers Watson's Energy Services Survey.  This sample typically includes approximately 30 companies, the</w:t>
      </w:r>
      <w:r w:rsidR="00D970C1" w:rsidRPr="00031A17">
        <w:rPr>
          <w:rFonts w:ascii="Times New Roman" w:hAnsi="Times New Roman" w:cs="Times New Roman"/>
          <w:sz w:val="24"/>
          <w:szCs w:val="24"/>
        </w:rPr>
        <w:t xml:space="preserve"> majority of which are investor-</w:t>
      </w:r>
      <w:r w:rsidRPr="00031A17">
        <w:rPr>
          <w:rFonts w:ascii="Times New Roman" w:hAnsi="Times New Roman" w:cs="Times New Roman"/>
          <w:sz w:val="24"/>
          <w:szCs w:val="24"/>
        </w:rPr>
        <w:t xml:space="preserve">owned.  </w:t>
      </w:r>
      <w:r w:rsidR="00BB7856" w:rsidRPr="00031A17">
        <w:rPr>
          <w:rFonts w:ascii="Times New Roman" w:hAnsi="Times New Roman" w:cs="Times New Roman"/>
          <w:sz w:val="24"/>
          <w:szCs w:val="24"/>
        </w:rPr>
        <w:t xml:space="preserve">The companies comprising the Compensation Peer Group </w:t>
      </w:r>
      <w:r w:rsidR="00443EEE" w:rsidRPr="00031A17">
        <w:rPr>
          <w:rFonts w:ascii="Times New Roman" w:hAnsi="Times New Roman" w:cs="Times New Roman"/>
          <w:sz w:val="24"/>
          <w:szCs w:val="24"/>
        </w:rPr>
        <w:t>for the 2011 study were</w:t>
      </w:r>
      <w:r w:rsidR="00BB7856" w:rsidRPr="00031A17">
        <w:rPr>
          <w:rFonts w:ascii="Times New Roman" w:hAnsi="Times New Roman" w:cs="Times New Roman"/>
          <w:sz w:val="24"/>
          <w:szCs w:val="24"/>
        </w:rPr>
        <w:t xml:space="preserve">: </w:t>
      </w:r>
    </w:p>
    <w:p w:rsidR="00BB7856" w:rsidRPr="00E95BD7" w:rsidRDefault="00BB7856" w:rsidP="00E5606A">
      <w:pPr>
        <w:pStyle w:val="NormalWeb"/>
        <w:widowControl w:val="0"/>
        <w:spacing w:before="0" w:beforeAutospacing="0" w:after="0" w:afterAutospacing="0"/>
        <w:jc w:val="both"/>
      </w:pPr>
    </w:p>
    <w:tbl>
      <w:tblPr>
        <w:tblW w:w="0" w:type="auto"/>
        <w:tblInd w:w="918" w:type="dxa"/>
        <w:tblLook w:val="04A0"/>
      </w:tblPr>
      <w:tblGrid>
        <w:gridCol w:w="4590"/>
        <w:gridCol w:w="4590"/>
      </w:tblGrid>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Areva</w:t>
            </w:r>
          </w:p>
        </w:tc>
        <w:tc>
          <w:tcPr>
            <w:tcW w:w="4590" w:type="dxa"/>
            <w:hideMark/>
          </w:tcPr>
          <w:p w:rsidR="00BB7856" w:rsidRPr="006D19C0" w:rsidRDefault="005816C5" w:rsidP="00E5606A">
            <w:pPr>
              <w:pStyle w:val="NormalWeb"/>
              <w:widowControl w:val="0"/>
              <w:spacing w:before="0" w:beforeAutospacing="0" w:after="0" w:afterAutospacing="0"/>
              <w:jc w:val="both"/>
            </w:pPr>
            <w:r w:rsidRPr="006D19C0">
              <w:t>Northwest Natural</w:t>
            </w:r>
          </w:p>
        </w:tc>
      </w:tr>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Black Hills Corp</w:t>
            </w:r>
          </w:p>
        </w:tc>
        <w:tc>
          <w:tcPr>
            <w:tcW w:w="4590" w:type="dxa"/>
            <w:hideMark/>
          </w:tcPr>
          <w:p w:rsidR="00BB7856" w:rsidRPr="006D19C0" w:rsidRDefault="00BB7856" w:rsidP="00E5606A">
            <w:pPr>
              <w:pStyle w:val="NormalWeb"/>
              <w:widowControl w:val="0"/>
              <w:spacing w:before="0" w:beforeAutospacing="0" w:after="0" w:afterAutospacing="0"/>
              <w:jc w:val="both"/>
            </w:pPr>
            <w:r w:rsidRPr="006D19C0">
              <w:t>NorthWestern Energy</w:t>
            </w:r>
          </w:p>
        </w:tc>
      </w:tr>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Covanta Holdings</w:t>
            </w:r>
          </w:p>
        </w:tc>
        <w:tc>
          <w:tcPr>
            <w:tcW w:w="4590" w:type="dxa"/>
            <w:hideMark/>
          </w:tcPr>
          <w:p w:rsidR="00BB7856" w:rsidRPr="006D19C0" w:rsidRDefault="00BB7856" w:rsidP="00E5606A">
            <w:pPr>
              <w:pStyle w:val="NormalWeb"/>
              <w:widowControl w:val="0"/>
              <w:spacing w:before="0" w:beforeAutospacing="0" w:after="0" w:afterAutospacing="0"/>
              <w:jc w:val="both"/>
            </w:pPr>
            <w:r w:rsidRPr="006D19C0">
              <w:t>OGE Energy</w:t>
            </w:r>
          </w:p>
        </w:tc>
      </w:tr>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CPS Energy</w:t>
            </w:r>
          </w:p>
        </w:tc>
        <w:tc>
          <w:tcPr>
            <w:tcW w:w="4590" w:type="dxa"/>
            <w:hideMark/>
          </w:tcPr>
          <w:p w:rsidR="00BB7856" w:rsidRPr="006D19C0" w:rsidRDefault="00BB7856" w:rsidP="00E5606A">
            <w:pPr>
              <w:pStyle w:val="NormalWeb"/>
              <w:widowControl w:val="0"/>
              <w:spacing w:before="0" w:beforeAutospacing="0" w:after="0" w:afterAutospacing="0"/>
              <w:jc w:val="both"/>
            </w:pPr>
            <w:r w:rsidRPr="006D19C0">
              <w:t>Oglethorpe Power</w:t>
            </w:r>
          </w:p>
        </w:tc>
      </w:tr>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DPL Inc</w:t>
            </w:r>
          </w:p>
        </w:tc>
        <w:tc>
          <w:tcPr>
            <w:tcW w:w="4590" w:type="dxa"/>
            <w:hideMark/>
          </w:tcPr>
          <w:p w:rsidR="00BB7856" w:rsidRPr="006D19C0" w:rsidRDefault="00BB7856" w:rsidP="00E5606A">
            <w:pPr>
              <w:pStyle w:val="NormalWeb"/>
              <w:widowControl w:val="0"/>
              <w:spacing w:before="0" w:beforeAutospacing="0" w:after="0" w:afterAutospacing="0"/>
              <w:jc w:val="both"/>
            </w:pPr>
            <w:r w:rsidRPr="006D19C0">
              <w:t>PNM Resources</w:t>
            </w:r>
          </w:p>
        </w:tc>
      </w:tr>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Energen</w:t>
            </w:r>
          </w:p>
        </w:tc>
        <w:tc>
          <w:tcPr>
            <w:tcW w:w="4590" w:type="dxa"/>
            <w:hideMark/>
          </w:tcPr>
          <w:p w:rsidR="00BB7856" w:rsidRPr="006D19C0" w:rsidRDefault="005816C5" w:rsidP="00E5606A">
            <w:pPr>
              <w:pStyle w:val="NormalWeb"/>
              <w:widowControl w:val="0"/>
              <w:spacing w:before="0" w:beforeAutospacing="0" w:after="0" w:afterAutospacing="0"/>
              <w:jc w:val="both"/>
            </w:pPr>
            <w:r w:rsidRPr="006D19C0">
              <w:t>Portland General Electric</w:t>
            </w:r>
          </w:p>
        </w:tc>
      </w:tr>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E On US</w:t>
            </w:r>
          </w:p>
        </w:tc>
        <w:tc>
          <w:tcPr>
            <w:tcW w:w="4590" w:type="dxa"/>
            <w:hideMark/>
          </w:tcPr>
          <w:p w:rsidR="00BB7856" w:rsidRPr="006D19C0" w:rsidRDefault="00BB7856" w:rsidP="00E5606A">
            <w:pPr>
              <w:pStyle w:val="NormalWeb"/>
              <w:widowControl w:val="0"/>
              <w:spacing w:before="0" w:beforeAutospacing="0" w:after="0" w:afterAutospacing="0"/>
              <w:jc w:val="both"/>
            </w:pPr>
            <w:r w:rsidRPr="006D19C0">
              <w:t>Proliance Holdings</w:t>
            </w:r>
          </w:p>
        </w:tc>
      </w:tr>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First Solar</w:t>
            </w:r>
          </w:p>
        </w:tc>
        <w:tc>
          <w:tcPr>
            <w:tcW w:w="4590" w:type="dxa"/>
            <w:hideMark/>
          </w:tcPr>
          <w:p w:rsidR="00BB7856" w:rsidRPr="006D19C0" w:rsidRDefault="00BB7856" w:rsidP="00E5606A">
            <w:pPr>
              <w:pStyle w:val="NormalWeb"/>
              <w:widowControl w:val="0"/>
              <w:spacing w:before="0" w:beforeAutospacing="0" w:after="0" w:afterAutospacing="0"/>
              <w:jc w:val="both"/>
            </w:pPr>
            <w:r w:rsidRPr="006D19C0">
              <w:t>Regency Energy Partners LP</w:t>
            </w:r>
          </w:p>
        </w:tc>
      </w:tr>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GenOn Energy</w:t>
            </w:r>
          </w:p>
        </w:tc>
        <w:tc>
          <w:tcPr>
            <w:tcW w:w="4590" w:type="dxa"/>
            <w:hideMark/>
          </w:tcPr>
          <w:p w:rsidR="00BB7856" w:rsidRPr="006D19C0" w:rsidRDefault="00BB7856" w:rsidP="00E5606A">
            <w:pPr>
              <w:pStyle w:val="NormalWeb"/>
              <w:widowControl w:val="0"/>
              <w:spacing w:before="0" w:beforeAutospacing="0" w:after="0" w:afterAutospacing="0"/>
              <w:jc w:val="both"/>
            </w:pPr>
            <w:r w:rsidRPr="006D19C0">
              <w:t>Salt River Project</w:t>
            </w:r>
          </w:p>
        </w:tc>
      </w:tr>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Hawaiian Electric</w:t>
            </w:r>
          </w:p>
        </w:tc>
        <w:tc>
          <w:tcPr>
            <w:tcW w:w="4590" w:type="dxa"/>
            <w:hideMark/>
          </w:tcPr>
          <w:p w:rsidR="00BB7856" w:rsidRPr="006D19C0" w:rsidRDefault="00BB7856" w:rsidP="00E5606A">
            <w:pPr>
              <w:pStyle w:val="NormalWeb"/>
              <w:widowControl w:val="0"/>
              <w:spacing w:before="0" w:beforeAutospacing="0" w:after="0" w:afterAutospacing="0"/>
              <w:jc w:val="both"/>
            </w:pPr>
            <w:r w:rsidRPr="006D19C0">
              <w:t>Santee Cooper</w:t>
            </w:r>
          </w:p>
        </w:tc>
      </w:tr>
      <w:tr w:rsidR="00BB7856" w:rsidRPr="00E95BD7" w:rsidTr="00CC34FF">
        <w:tc>
          <w:tcPr>
            <w:tcW w:w="4590" w:type="dxa"/>
            <w:hideMark/>
          </w:tcPr>
          <w:p w:rsidR="00BB7856" w:rsidRPr="006D19C0" w:rsidRDefault="005816C5" w:rsidP="00E5606A">
            <w:pPr>
              <w:pStyle w:val="NormalWeb"/>
              <w:widowControl w:val="0"/>
              <w:spacing w:before="0" w:beforeAutospacing="0" w:after="0" w:afterAutospacing="0"/>
              <w:jc w:val="both"/>
            </w:pPr>
            <w:r w:rsidRPr="006D19C0">
              <w:t>IDACORP Inc</w:t>
            </w:r>
          </w:p>
        </w:tc>
        <w:tc>
          <w:tcPr>
            <w:tcW w:w="4590" w:type="dxa"/>
            <w:hideMark/>
          </w:tcPr>
          <w:p w:rsidR="00BB7856" w:rsidRPr="006D19C0" w:rsidRDefault="00BB7856" w:rsidP="00E5606A">
            <w:pPr>
              <w:pStyle w:val="NormalWeb"/>
              <w:widowControl w:val="0"/>
              <w:spacing w:before="0" w:beforeAutospacing="0" w:after="0" w:afterAutospacing="0"/>
              <w:jc w:val="both"/>
            </w:pPr>
            <w:r w:rsidRPr="006D19C0">
              <w:t>Southern Union Company</w:t>
            </w:r>
          </w:p>
        </w:tc>
      </w:tr>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Lower Colorado River Authority</w:t>
            </w:r>
          </w:p>
        </w:tc>
        <w:tc>
          <w:tcPr>
            <w:tcW w:w="4590" w:type="dxa"/>
            <w:hideMark/>
          </w:tcPr>
          <w:p w:rsidR="00BB7856" w:rsidRPr="006D19C0" w:rsidRDefault="00BB7856" w:rsidP="00E5606A">
            <w:pPr>
              <w:pStyle w:val="NormalWeb"/>
              <w:widowControl w:val="0"/>
              <w:spacing w:before="0" w:beforeAutospacing="0" w:after="0" w:afterAutospacing="0"/>
              <w:jc w:val="both"/>
            </w:pPr>
            <w:r w:rsidRPr="006D19C0">
              <w:t>Unisource Energy</w:t>
            </w:r>
          </w:p>
        </w:tc>
      </w:tr>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Mirant</w:t>
            </w:r>
          </w:p>
        </w:tc>
        <w:tc>
          <w:tcPr>
            <w:tcW w:w="4590" w:type="dxa"/>
            <w:hideMark/>
          </w:tcPr>
          <w:p w:rsidR="00BB7856" w:rsidRPr="006D19C0" w:rsidRDefault="00BB7856" w:rsidP="00E5606A">
            <w:pPr>
              <w:pStyle w:val="NormalWeb"/>
              <w:widowControl w:val="0"/>
              <w:spacing w:before="0" w:beforeAutospacing="0" w:after="0" w:afterAutospacing="0"/>
              <w:jc w:val="both"/>
            </w:pPr>
            <w:r w:rsidRPr="006D19C0">
              <w:t>Vectren</w:t>
            </w:r>
          </w:p>
        </w:tc>
      </w:tr>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New York Power Authority</w:t>
            </w:r>
          </w:p>
        </w:tc>
        <w:tc>
          <w:tcPr>
            <w:tcW w:w="4590" w:type="dxa"/>
            <w:hideMark/>
          </w:tcPr>
          <w:p w:rsidR="00BB7856" w:rsidRPr="006D19C0" w:rsidRDefault="00BB7856" w:rsidP="00E5606A">
            <w:pPr>
              <w:pStyle w:val="NormalWeb"/>
              <w:widowControl w:val="0"/>
              <w:spacing w:before="0" w:beforeAutospacing="0" w:after="0" w:afterAutospacing="0"/>
              <w:jc w:val="both"/>
            </w:pPr>
            <w:r w:rsidRPr="006D19C0">
              <w:t>Westar Energy</w:t>
            </w:r>
          </w:p>
        </w:tc>
      </w:tr>
      <w:tr w:rsidR="00BB7856" w:rsidRPr="00E95BD7" w:rsidTr="00CC34FF">
        <w:tc>
          <w:tcPr>
            <w:tcW w:w="4590" w:type="dxa"/>
            <w:hideMark/>
          </w:tcPr>
          <w:p w:rsidR="00BB7856" w:rsidRPr="006D19C0" w:rsidRDefault="00BB7856" w:rsidP="00E5606A">
            <w:pPr>
              <w:pStyle w:val="NormalWeb"/>
              <w:widowControl w:val="0"/>
              <w:spacing w:before="0" w:beforeAutospacing="0" w:after="0" w:afterAutospacing="0"/>
              <w:jc w:val="both"/>
            </w:pPr>
            <w:r w:rsidRPr="006D19C0">
              <w:t>Nicor</w:t>
            </w:r>
          </w:p>
        </w:tc>
        <w:tc>
          <w:tcPr>
            <w:tcW w:w="4590" w:type="dxa"/>
          </w:tcPr>
          <w:p w:rsidR="00BB7856" w:rsidRPr="006D19C0" w:rsidRDefault="00BB7856" w:rsidP="00E5606A">
            <w:pPr>
              <w:pStyle w:val="NormalWeb"/>
              <w:widowControl w:val="0"/>
              <w:spacing w:before="0" w:beforeAutospacing="0" w:after="0" w:afterAutospacing="0"/>
              <w:jc w:val="both"/>
            </w:pPr>
          </w:p>
        </w:tc>
      </w:tr>
    </w:tbl>
    <w:p w:rsidR="00BB7856" w:rsidRPr="00E95BD7" w:rsidRDefault="00BB7856" w:rsidP="00E5606A">
      <w:pPr>
        <w:pStyle w:val="NormalWeb"/>
        <w:widowControl w:val="0"/>
        <w:spacing w:before="0" w:beforeAutospacing="0" w:after="0" w:afterAutospacing="0"/>
        <w:jc w:val="both"/>
        <w:rPr>
          <w:b/>
          <w:color w:val="FF0000"/>
        </w:rPr>
      </w:pPr>
    </w:p>
    <w:p w:rsidR="008F048E" w:rsidRPr="00E95BD7" w:rsidRDefault="008F048E" w:rsidP="00E5606A">
      <w:pPr>
        <w:pStyle w:val="NormalWeb"/>
        <w:widowControl w:val="0"/>
        <w:spacing w:before="0" w:beforeAutospacing="0" w:after="0" w:afterAutospacing="0"/>
        <w:jc w:val="both"/>
      </w:pPr>
      <w:r w:rsidRPr="00E95BD7">
        <w:t xml:space="preserve">The Compensation Committee also reviews compensation data from other regional peers in an effort to </w:t>
      </w:r>
      <w:r w:rsidRPr="00E95BD7">
        <w:lastRenderedPageBreak/>
        <w:t xml:space="preserve">obtain as much intelligence on trends within the region, as well as the overall energy industry.  The Compensation Committee uses all of these sources of data to help make informed decisions about market compensation practices. </w:t>
      </w:r>
    </w:p>
    <w:p w:rsidR="008F048E" w:rsidRPr="00E95BD7" w:rsidRDefault="008F048E" w:rsidP="00E5606A">
      <w:pPr>
        <w:jc w:val="both"/>
        <w:rPr>
          <w:rFonts w:ascii="Times New Roman" w:hAnsi="Times New Roman" w:cs="Times New Roman"/>
          <w:sz w:val="24"/>
          <w:szCs w:val="24"/>
        </w:rPr>
      </w:pPr>
    </w:p>
    <w:p w:rsidR="0094373B" w:rsidRPr="00E95BD7" w:rsidRDefault="00494A84" w:rsidP="00E5606A">
      <w:pPr>
        <w:jc w:val="both"/>
        <w:rPr>
          <w:rFonts w:ascii="Times New Roman" w:hAnsi="Times New Roman" w:cs="Times New Roman"/>
          <w:b/>
          <w:sz w:val="24"/>
          <w:szCs w:val="24"/>
          <w:u w:val="single"/>
        </w:rPr>
      </w:pPr>
      <w:r w:rsidRPr="00E95BD7">
        <w:rPr>
          <w:rFonts w:ascii="Times New Roman" w:hAnsi="Times New Roman" w:cs="Times New Roman"/>
          <w:sz w:val="24"/>
          <w:szCs w:val="24"/>
        </w:rPr>
        <w:t>As can be seen in the listing above,</w:t>
      </w:r>
      <w:r w:rsidR="00B22D90" w:rsidRPr="00E95BD7">
        <w:rPr>
          <w:rFonts w:ascii="Times New Roman" w:hAnsi="Times New Roman" w:cs="Times New Roman"/>
          <w:sz w:val="24"/>
          <w:szCs w:val="24"/>
        </w:rPr>
        <w:t xml:space="preserve"> some</w:t>
      </w:r>
      <w:r w:rsidRPr="00E95BD7">
        <w:rPr>
          <w:rFonts w:ascii="Times New Roman" w:hAnsi="Times New Roman" w:cs="Times New Roman"/>
          <w:sz w:val="24"/>
          <w:szCs w:val="24"/>
        </w:rPr>
        <w:t xml:space="preserve"> local utilities were not considered in the review of market data.  Puget Energy</w:t>
      </w:r>
      <w:r w:rsidR="00B22D90" w:rsidRPr="00E95BD7">
        <w:rPr>
          <w:rFonts w:ascii="Times New Roman" w:hAnsi="Times New Roman" w:cs="Times New Roman"/>
          <w:sz w:val="24"/>
          <w:szCs w:val="24"/>
        </w:rPr>
        <w:t xml:space="preserve"> and Pacifi</w:t>
      </w:r>
      <w:r w:rsidR="009B2672">
        <w:rPr>
          <w:rFonts w:ascii="Times New Roman" w:hAnsi="Times New Roman" w:cs="Times New Roman"/>
          <w:sz w:val="24"/>
          <w:szCs w:val="24"/>
        </w:rPr>
        <w:t>C</w:t>
      </w:r>
      <w:r w:rsidR="00B22D90" w:rsidRPr="00E95BD7">
        <w:rPr>
          <w:rFonts w:ascii="Times New Roman" w:hAnsi="Times New Roman" w:cs="Times New Roman"/>
          <w:sz w:val="24"/>
          <w:szCs w:val="24"/>
        </w:rPr>
        <w:t>orp do not fall within the $1.0 billion to $3.0 billion range for peer comparisons.</w:t>
      </w:r>
      <w:r w:rsidRPr="00E95BD7">
        <w:rPr>
          <w:rFonts w:ascii="Times New Roman" w:hAnsi="Times New Roman" w:cs="Times New Roman"/>
          <w:sz w:val="24"/>
          <w:szCs w:val="24"/>
        </w:rPr>
        <w:t xml:space="preserve"> </w:t>
      </w:r>
      <w:r w:rsidR="00B16365" w:rsidRPr="00E95BD7">
        <w:rPr>
          <w:rFonts w:ascii="Times New Roman" w:hAnsi="Times New Roman" w:cs="Times New Roman"/>
          <w:sz w:val="24"/>
          <w:szCs w:val="24"/>
        </w:rPr>
        <w:t xml:space="preserve"> </w:t>
      </w:r>
      <w:r w:rsidRPr="00E95BD7">
        <w:rPr>
          <w:rFonts w:ascii="Times New Roman" w:hAnsi="Times New Roman" w:cs="Times New Roman"/>
          <w:sz w:val="24"/>
          <w:szCs w:val="24"/>
        </w:rPr>
        <w:t xml:space="preserve">NW Natural, Portland General and IDACORP </w:t>
      </w:r>
      <w:r w:rsidR="00B22D90" w:rsidRPr="00E95BD7">
        <w:rPr>
          <w:rFonts w:ascii="Times New Roman" w:hAnsi="Times New Roman" w:cs="Times New Roman"/>
          <w:sz w:val="24"/>
          <w:szCs w:val="24"/>
        </w:rPr>
        <w:t>were included as</w:t>
      </w:r>
      <w:r w:rsidRPr="00E95BD7">
        <w:rPr>
          <w:rFonts w:ascii="Times New Roman" w:hAnsi="Times New Roman" w:cs="Times New Roman"/>
          <w:sz w:val="24"/>
          <w:szCs w:val="24"/>
        </w:rPr>
        <w:t xml:space="preserve"> part of the sample as they are participants in the survey</w:t>
      </w:r>
      <w:r w:rsidR="00B22D90" w:rsidRPr="00E95BD7">
        <w:rPr>
          <w:rFonts w:ascii="Times New Roman" w:hAnsi="Times New Roman" w:cs="Times New Roman"/>
          <w:sz w:val="24"/>
          <w:szCs w:val="24"/>
        </w:rPr>
        <w:t>,</w:t>
      </w:r>
      <w:r w:rsidRPr="00E95BD7">
        <w:rPr>
          <w:rFonts w:ascii="Times New Roman" w:hAnsi="Times New Roman" w:cs="Times New Roman"/>
          <w:sz w:val="24"/>
          <w:szCs w:val="24"/>
        </w:rPr>
        <w:t xml:space="preserve"> their revenues fall within this sample rang</w:t>
      </w:r>
      <w:r w:rsidR="0003495D">
        <w:rPr>
          <w:rFonts w:ascii="Times New Roman" w:hAnsi="Times New Roman" w:cs="Times New Roman"/>
          <w:sz w:val="24"/>
          <w:szCs w:val="24"/>
        </w:rPr>
        <w:t>e and are investor-o</w:t>
      </w:r>
      <w:r w:rsidR="00B22D90" w:rsidRPr="00E95BD7">
        <w:rPr>
          <w:rFonts w:ascii="Times New Roman" w:hAnsi="Times New Roman" w:cs="Times New Roman"/>
          <w:sz w:val="24"/>
          <w:szCs w:val="24"/>
        </w:rPr>
        <w:t>wned.</w:t>
      </w:r>
      <w:r w:rsidRPr="00E95BD7">
        <w:rPr>
          <w:rFonts w:ascii="Times New Roman" w:hAnsi="Times New Roman" w:cs="Times New Roman"/>
          <w:sz w:val="24"/>
          <w:szCs w:val="24"/>
        </w:rPr>
        <w:t xml:space="preserve">  </w:t>
      </w:r>
    </w:p>
    <w:p w:rsidR="002338A6" w:rsidRDefault="002338A6" w:rsidP="0094373B">
      <w:pPr>
        <w:rPr>
          <w:rFonts w:cs="Times New Roman"/>
          <w:b/>
          <w:sz w:val="24"/>
          <w:szCs w:val="24"/>
          <w:u w:val="single"/>
        </w:rPr>
      </w:pPr>
    </w:p>
    <w:p w:rsidR="00031A17" w:rsidRDefault="00031A17" w:rsidP="00031A17">
      <w:pPr>
        <w:jc w:val="both"/>
        <w:rPr>
          <w:rFonts w:ascii="Times New Roman" w:hAnsi="Times New Roman" w:cs="Times New Roman"/>
          <w:sz w:val="24"/>
          <w:szCs w:val="24"/>
        </w:rPr>
      </w:pPr>
      <w:r w:rsidRPr="00E95BD7">
        <w:rPr>
          <w:rFonts w:ascii="Times New Roman" w:hAnsi="Times New Roman" w:cs="Times New Roman"/>
          <w:sz w:val="24"/>
          <w:szCs w:val="24"/>
        </w:rPr>
        <w:t>Typi</w:t>
      </w:r>
      <w:r>
        <w:rPr>
          <w:rFonts w:ascii="Times New Roman" w:hAnsi="Times New Roman" w:cs="Times New Roman"/>
          <w:sz w:val="24"/>
          <w:szCs w:val="24"/>
        </w:rPr>
        <w:t>cally those companies that are consumer-o</w:t>
      </w:r>
      <w:r w:rsidRPr="00E95BD7">
        <w:rPr>
          <w:rFonts w:ascii="Times New Roman" w:hAnsi="Times New Roman" w:cs="Times New Roman"/>
          <w:sz w:val="24"/>
          <w:szCs w:val="24"/>
        </w:rPr>
        <w:t>wned (PUDs, REAs</w:t>
      </w:r>
      <w:r>
        <w:rPr>
          <w:rFonts w:ascii="Times New Roman" w:hAnsi="Times New Roman" w:cs="Times New Roman"/>
          <w:sz w:val="24"/>
          <w:szCs w:val="24"/>
        </w:rPr>
        <w:t>,</w:t>
      </w:r>
      <w:r w:rsidRPr="00E95BD7">
        <w:rPr>
          <w:rFonts w:ascii="Times New Roman" w:hAnsi="Times New Roman" w:cs="Times New Roman"/>
          <w:sz w:val="24"/>
          <w:szCs w:val="24"/>
        </w:rPr>
        <w:t xml:space="preserve"> Co-ops</w:t>
      </w:r>
      <w:r>
        <w:rPr>
          <w:rFonts w:ascii="Times New Roman" w:hAnsi="Times New Roman" w:cs="Times New Roman"/>
          <w:sz w:val="24"/>
          <w:szCs w:val="24"/>
        </w:rPr>
        <w:t>, or Municipals</w:t>
      </w:r>
      <w:r w:rsidRPr="00E95BD7">
        <w:rPr>
          <w:rFonts w:ascii="Times New Roman" w:hAnsi="Times New Roman" w:cs="Times New Roman"/>
          <w:sz w:val="24"/>
          <w:szCs w:val="24"/>
        </w:rPr>
        <w:t>) are excluded from the sample.  Investor-owned utilities (IOUs) ha</w:t>
      </w:r>
      <w:r>
        <w:rPr>
          <w:rFonts w:ascii="Times New Roman" w:hAnsi="Times New Roman" w:cs="Times New Roman"/>
          <w:sz w:val="24"/>
          <w:szCs w:val="24"/>
        </w:rPr>
        <w:t>ve different challenges than c</w:t>
      </w:r>
      <w:r w:rsidRPr="00E95BD7">
        <w:rPr>
          <w:rFonts w:ascii="Times New Roman" w:hAnsi="Times New Roman" w:cs="Times New Roman"/>
          <w:sz w:val="24"/>
          <w:szCs w:val="24"/>
        </w:rPr>
        <w:t>onsume</w:t>
      </w:r>
      <w:r>
        <w:rPr>
          <w:rFonts w:ascii="Times New Roman" w:hAnsi="Times New Roman" w:cs="Times New Roman"/>
          <w:sz w:val="24"/>
          <w:szCs w:val="24"/>
        </w:rPr>
        <w:t>r-o</w:t>
      </w:r>
      <w:r w:rsidRPr="00E95BD7">
        <w:rPr>
          <w:rFonts w:ascii="Times New Roman" w:hAnsi="Times New Roman" w:cs="Times New Roman"/>
          <w:sz w:val="24"/>
          <w:szCs w:val="24"/>
        </w:rPr>
        <w:t xml:space="preserve">wned </w:t>
      </w:r>
      <w:r>
        <w:rPr>
          <w:rFonts w:ascii="Times New Roman" w:hAnsi="Times New Roman" w:cs="Times New Roman"/>
          <w:sz w:val="24"/>
          <w:szCs w:val="24"/>
        </w:rPr>
        <w:t xml:space="preserve">utilities, </w:t>
      </w:r>
      <w:r w:rsidRPr="00E95BD7">
        <w:rPr>
          <w:rFonts w:ascii="Times New Roman" w:hAnsi="Times New Roman" w:cs="Times New Roman"/>
          <w:sz w:val="24"/>
          <w:szCs w:val="24"/>
        </w:rPr>
        <w:t>and as such</w:t>
      </w:r>
      <w:r>
        <w:rPr>
          <w:rFonts w:ascii="Times New Roman" w:hAnsi="Times New Roman" w:cs="Times New Roman"/>
          <w:sz w:val="24"/>
          <w:szCs w:val="24"/>
        </w:rPr>
        <w:t>,</w:t>
      </w:r>
      <w:r w:rsidRPr="00E95BD7">
        <w:rPr>
          <w:rFonts w:ascii="Times New Roman" w:hAnsi="Times New Roman" w:cs="Times New Roman"/>
          <w:sz w:val="24"/>
          <w:szCs w:val="24"/>
        </w:rPr>
        <w:t xml:space="preserve"> executive compensation programs are structured differently.  </w:t>
      </w:r>
      <w:r>
        <w:rPr>
          <w:rFonts w:ascii="Times New Roman" w:hAnsi="Times New Roman" w:cs="Times New Roman"/>
          <w:sz w:val="24"/>
          <w:szCs w:val="24"/>
        </w:rPr>
        <w:t>As management of a publicly-traded investor-owned utility, the Company’s officers have responsibilities to a broader constituency than our consumer-owned counterparts.  Publicly-traded companies such as Avista answer not only to customers, but also to</w:t>
      </w:r>
      <w:r w:rsidR="00D77586">
        <w:rPr>
          <w:rFonts w:ascii="Times New Roman" w:hAnsi="Times New Roman" w:cs="Times New Roman"/>
          <w:sz w:val="24"/>
          <w:szCs w:val="24"/>
        </w:rPr>
        <w:t xml:space="preserve"> a</w:t>
      </w:r>
      <w:r>
        <w:rPr>
          <w:rFonts w:ascii="Times New Roman" w:hAnsi="Times New Roman" w:cs="Times New Roman"/>
          <w:sz w:val="24"/>
          <w:szCs w:val="24"/>
        </w:rPr>
        <w:t xml:space="preserve"> broader investment community, including shareholders, as well as multiple state and federal regulatory agencies.  </w:t>
      </w:r>
    </w:p>
    <w:p w:rsidR="00031A17" w:rsidRDefault="00031A17" w:rsidP="00031A17">
      <w:pPr>
        <w:jc w:val="both"/>
        <w:rPr>
          <w:rFonts w:ascii="Times New Roman" w:hAnsi="Times New Roman" w:cs="Times New Roman"/>
          <w:sz w:val="24"/>
          <w:szCs w:val="24"/>
        </w:rPr>
      </w:pPr>
    </w:p>
    <w:p w:rsidR="00031A17" w:rsidRDefault="00031A17" w:rsidP="00031A17">
      <w:pPr>
        <w:jc w:val="both"/>
        <w:rPr>
          <w:rFonts w:ascii="Times New Roman" w:hAnsi="Times New Roman" w:cs="Times New Roman"/>
          <w:sz w:val="24"/>
          <w:szCs w:val="24"/>
        </w:rPr>
      </w:pPr>
      <w:r>
        <w:rPr>
          <w:rFonts w:ascii="Times New Roman" w:hAnsi="Times New Roman" w:cs="Times New Roman"/>
          <w:sz w:val="24"/>
          <w:szCs w:val="24"/>
        </w:rPr>
        <w:t>As a vertically integrated utility, Avista owns and operates not only an electric distribution system like our consumer-owned counterparts, but also owns and operates</w:t>
      </w:r>
      <w:r w:rsidR="00DB3CE3">
        <w:rPr>
          <w:rFonts w:ascii="Times New Roman" w:hAnsi="Times New Roman" w:cs="Times New Roman"/>
          <w:sz w:val="24"/>
          <w:szCs w:val="24"/>
        </w:rPr>
        <w:t xml:space="preserve"> extensive</w:t>
      </w:r>
      <w:r>
        <w:rPr>
          <w:rFonts w:ascii="Times New Roman" w:hAnsi="Times New Roman" w:cs="Times New Roman"/>
          <w:sz w:val="24"/>
          <w:szCs w:val="24"/>
        </w:rPr>
        <w:t xml:space="preserve"> generation and transmission facilities, all of which are used to serve customers in its multiple service areas in Washington, Idaho and Montana.  Avista must manage and optimize its generation assets daily, keep existing assets operational and licensed for our customers, and develop future resource needs.  Finally, as noted elsewhere, Avista must remain competitive in its compensation philosophy with other investor-owned utilities. </w:t>
      </w:r>
    </w:p>
    <w:p w:rsidR="00031A17" w:rsidRDefault="00031A17" w:rsidP="00031A17">
      <w:pPr>
        <w:jc w:val="both"/>
        <w:rPr>
          <w:rFonts w:ascii="Times New Roman" w:hAnsi="Times New Roman" w:cs="Times New Roman"/>
          <w:sz w:val="24"/>
          <w:szCs w:val="24"/>
        </w:rPr>
      </w:pPr>
    </w:p>
    <w:p w:rsidR="00031A17" w:rsidRDefault="00031A17" w:rsidP="00031A17">
      <w:pPr>
        <w:jc w:val="both"/>
        <w:rPr>
          <w:rFonts w:ascii="Times New Roman" w:hAnsi="Times New Roman" w:cs="Times New Roman"/>
          <w:sz w:val="24"/>
          <w:szCs w:val="24"/>
        </w:rPr>
      </w:pPr>
      <w:r>
        <w:rPr>
          <w:rFonts w:ascii="Times New Roman" w:hAnsi="Times New Roman" w:cs="Times New Roman"/>
          <w:sz w:val="24"/>
          <w:szCs w:val="24"/>
        </w:rPr>
        <w:t xml:space="preserve">This requires Avista to attract and retain executive officers who have the requisite experience and knowledge.  This also places additional demands on management in terms of disclosure and reporting.  This includes understanding and oversight of reporting and compliance requirements of multiple jurisdictions (FERC, SEC, UTC, etc.) and multiple services (electric and natural gas), as well as increased accounting and other financial reporting requirements.   </w:t>
      </w:r>
    </w:p>
    <w:p w:rsidR="00031A17" w:rsidRPr="00E95BD7" w:rsidRDefault="00031A17" w:rsidP="0094373B">
      <w:pPr>
        <w:rPr>
          <w:rFonts w:cs="Times New Roman"/>
          <w:b/>
          <w:sz w:val="24"/>
          <w:szCs w:val="24"/>
          <w:u w:val="single"/>
        </w:rPr>
      </w:pPr>
    </w:p>
    <w:p w:rsidR="000F77D9" w:rsidRDefault="000F77D9" w:rsidP="008A4EAD">
      <w:pPr>
        <w:jc w:val="center"/>
        <w:rPr>
          <w:rFonts w:ascii="Times New Roman" w:hAnsi="Times New Roman" w:cs="Times New Roman"/>
          <w:b/>
          <w:sz w:val="24"/>
          <w:szCs w:val="24"/>
          <w:u w:val="single"/>
        </w:rPr>
      </w:pPr>
    </w:p>
    <w:p w:rsidR="008A4EAD" w:rsidRPr="00E95BD7" w:rsidRDefault="008A4EAD" w:rsidP="008A4EAD">
      <w:pPr>
        <w:jc w:val="center"/>
        <w:rPr>
          <w:rFonts w:ascii="Times New Roman" w:hAnsi="Times New Roman" w:cs="Times New Roman"/>
          <w:b/>
          <w:sz w:val="24"/>
          <w:szCs w:val="24"/>
          <w:u w:val="single"/>
        </w:rPr>
      </w:pPr>
      <w:r w:rsidRPr="00E95BD7">
        <w:rPr>
          <w:rFonts w:ascii="Times New Roman" w:hAnsi="Times New Roman" w:cs="Times New Roman"/>
          <w:b/>
          <w:sz w:val="24"/>
          <w:szCs w:val="24"/>
          <w:u w:val="single"/>
        </w:rPr>
        <w:t xml:space="preserve">3.  </w:t>
      </w:r>
      <w:r w:rsidR="00691931" w:rsidRPr="00E95BD7">
        <w:rPr>
          <w:rFonts w:ascii="Times New Roman" w:hAnsi="Times New Roman" w:cs="Times New Roman"/>
          <w:b/>
          <w:sz w:val="24"/>
          <w:szCs w:val="24"/>
          <w:u w:val="single"/>
        </w:rPr>
        <w:t xml:space="preserve">Appropriate Level </w:t>
      </w:r>
      <w:r w:rsidR="005F1C76" w:rsidRPr="00E95BD7">
        <w:rPr>
          <w:rFonts w:ascii="Times New Roman" w:hAnsi="Times New Roman" w:cs="Times New Roman"/>
          <w:b/>
          <w:sz w:val="24"/>
          <w:szCs w:val="24"/>
          <w:u w:val="single"/>
        </w:rPr>
        <w:t>of</w:t>
      </w:r>
      <w:r w:rsidR="00691931" w:rsidRPr="00E95BD7">
        <w:rPr>
          <w:rFonts w:ascii="Times New Roman" w:hAnsi="Times New Roman" w:cs="Times New Roman"/>
          <w:b/>
          <w:sz w:val="24"/>
          <w:szCs w:val="24"/>
          <w:u w:val="single"/>
        </w:rPr>
        <w:t xml:space="preserve"> </w:t>
      </w:r>
      <w:r w:rsidR="005B1BF1" w:rsidRPr="00E95BD7">
        <w:rPr>
          <w:rFonts w:ascii="Times New Roman" w:hAnsi="Times New Roman" w:cs="Times New Roman"/>
          <w:b/>
          <w:sz w:val="24"/>
          <w:szCs w:val="24"/>
          <w:u w:val="single"/>
        </w:rPr>
        <w:t>Executive Officer</w:t>
      </w:r>
      <w:r w:rsidR="00691931" w:rsidRPr="00E95BD7">
        <w:rPr>
          <w:rFonts w:ascii="Times New Roman" w:hAnsi="Times New Roman" w:cs="Times New Roman"/>
          <w:b/>
          <w:sz w:val="24"/>
          <w:szCs w:val="24"/>
          <w:u w:val="single"/>
        </w:rPr>
        <w:t xml:space="preserve"> </w:t>
      </w:r>
      <w:r w:rsidR="005F1C76" w:rsidRPr="00E95BD7">
        <w:rPr>
          <w:rFonts w:ascii="Times New Roman" w:hAnsi="Times New Roman" w:cs="Times New Roman"/>
          <w:b/>
          <w:sz w:val="24"/>
          <w:szCs w:val="24"/>
          <w:u w:val="single"/>
        </w:rPr>
        <w:t>Compensation</w:t>
      </w:r>
      <w:r w:rsidR="00691931" w:rsidRPr="00E95BD7">
        <w:rPr>
          <w:rFonts w:ascii="Times New Roman" w:hAnsi="Times New Roman" w:cs="Times New Roman"/>
          <w:b/>
          <w:sz w:val="24"/>
          <w:szCs w:val="24"/>
          <w:u w:val="single"/>
        </w:rPr>
        <w:t xml:space="preserve"> in Rates</w:t>
      </w:r>
    </w:p>
    <w:p w:rsidR="00FE112C" w:rsidRPr="00E95BD7" w:rsidRDefault="00FE112C">
      <w:pPr>
        <w:jc w:val="both"/>
        <w:rPr>
          <w:rFonts w:ascii="Times New Roman" w:hAnsi="Times New Roman" w:cs="Times New Roman"/>
          <w:sz w:val="24"/>
          <w:szCs w:val="24"/>
        </w:rPr>
      </w:pPr>
    </w:p>
    <w:p w:rsidR="00FD7A48" w:rsidRDefault="00AB2DC7" w:rsidP="00850AA1">
      <w:pPr>
        <w:jc w:val="both"/>
        <w:rPr>
          <w:rFonts w:ascii="Times New Roman" w:eastAsia="Calibri" w:hAnsi="Times New Roman" w:cs="Times New Roman"/>
          <w:i/>
          <w:sz w:val="24"/>
          <w:szCs w:val="24"/>
        </w:rPr>
      </w:pPr>
      <w:r w:rsidRPr="00E95BD7">
        <w:rPr>
          <w:rFonts w:ascii="Times New Roman" w:eastAsia="Calibri" w:hAnsi="Times New Roman" w:cs="Times New Roman"/>
          <w:sz w:val="24"/>
          <w:szCs w:val="24"/>
        </w:rPr>
        <w:t xml:space="preserve">Avista believes that the </w:t>
      </w:r>
      <w:r w:rsidR="005B1BF1" w:rsidRPr="00E95BD7">
        <w:rPr>
          <w:rFonts w:ascii="Times New Roman" w:eastAsia="Calibri" w:hAnsi="Times New Roman" w:cs="Times New Roman"/>
          <w:sz w:val="24"/>
          <w:szCs w:val="24"/>
        </w:rPr>
        <w:t>executive officer</w:t>
      </w:r>
      <w:r w:rsidRPr="00E95BD7">
        <w:rPr>
          <w:rFonts w:ascii="Times New Roman" w:eastAsia="Calibri" w:hAnsi="Times New Roman" w:cs="Times New Roman"/>
          <w:sz w:val="24"/>
          <w:szCs w:val="24"/>
        </w:rPr>
        <w:t xml:space="preserve"> compensation programs are structured </w:t>
      </w:r>
      <w:r w:rsidR="0027268F">
        <w:rPr>
          <w:rFonts w:ascii="Times New Roman" w:eastAsia="Calibri" w:hAnsi="Times New Roman" w:cs="Times New Roman"/>
          <w:sz w:val="24"/>
          <w:szCs w:val="24"/>
        </w:rPr>
        <w:t>a</w:t>
      </w:r>
      <w:r w:rsidR="00F046B3" w:rsidRPr="00E95BD7">
        <w:rPr>
          <w:rFonts w:ascii="Times New Roman" w:eastAsia="Calibri" w:hAnsi="Times New Roman" w:cs="Times New Roman"/>
          <w:sz w:val="24"/>
          <w:szCs w:val="24"/>
        </w:rPr>
        <w:t>ppropriately</w:t>
      </w:r>
      <w:r w:rsidRPr="00E95BD7">
        <w:rPr>
          <w:rFonts w:ascii="Times New Roman" w:eastAsia="Calibri" w:hAnsi="Times New Roman" w:cs="Times New Roman"/>
          <w:sz w:val="24"/>
          <w:szCs w:val="24"/>
        </w:rPr>
        <w:t xml:space="preserve"> to meet the Company’s business objectives</w:t>
      </w:r>
      <w:r w:rsidR="00F046B3" w:rsidRPr="00E95BD7">
        <w:rPr>
          <w:rFonts w:ascii="Times New Roman" w:eastAsia="Calibri" w:hAnsi="Times New Roman" w:cs="Times New Roman"/>
          <w:sz w:val="24"/>
          <w:szCs w:val="24"/>
        </w:rPr>
        <w:t>.</w:t>
      </w:r>
      <w:r w:rsidRPr="00E95BD7">
        <w:rPr>
          <w:rFonts w:ascii="Times New Roman" w:eastAsia="Calibri" w:hAnsi="Times New Roman" w:cs="Times New Roman"/>
          <w:sz w:val="24"/>
          <w:szCs w:val="24"/>
        </w:rPr>
        <w:t xml:space="preserve"> The executive </w:t>
      </w:r>
      <w:r w:rsidR="005B1BF1" w:rsidRPr="00E95BD7">
        <w:rPr>
          <w:rFonts w:ascii="Times New Roman" w:eastAsia="Calibri" w:hAnsi="Times New Roman" w:cs="Times New Roman"/>
          <w:sz w:val="24"/>
          <w:szCs w:val="24"/>
        </w:rPr>
        <w:t xml:space="preserve">officer </w:t>
      </w:r>
      <w:r w:rsidRPr="00E95BD7">
        <w:rPr>
          <w:rFonts w:ascii="Times New Roman" w:eastAsia="Calibri" w:hAnsi="Times New Roman" w:cs="Times New Roman"/>
          <w:sz w:val="24"/>
          <w:szCs w:val="24"/>
        </w:rPr>
        <w:t>compensation programs have played</w:t>
      </w:r>
      <w:r w:rsidR="00FD7A48">
        <w:rPr>
          <w:rFonts w:ascii="Times New Roman" w:eastAsia="Calibri" w:hAnsi="Times New Roman" w:cs="Times New Roman"/>
          <w:sz w:val="24"/>
          <w:szCs w:val="24"/>
        </w:rPr>
        <w:t xml:space="preserve"> a material role in focusing the</w:t>
      </w:r>
      <w:r w:rsidRPr="00E95BD7">
        <w:rPr>
          <w:rFonts w:ascii="Times New Roman" w:eastAsia="Calibri" w:hAnsi="Times New Roman" w:cs="Times New Roman"/>
          <w:sz w:val="24"/>
          <w:szCs w:val="24"/>
        </w:rPr>
        <w:t xml:space="preserve"> executive </w:t>
      </w:r>
      <w:r w:rsidR="005B1BF1" w:rsidRPr="00E95BD7">
        <w:rPr>
          <w:rFonts w:ascii="Times New Roman" w:eastAsia="Calibri" w:hAnsi="Times New Roman" w:cs="Times New Roman"/>
          <w:sz w:val="24"/>
          <w:szCs w:val="24"/>
        </w:rPr>
        <w:t xml:space="preserve">officer </w:t>
      </w:r>
      <w:r w:rsidRPr="00E95BD7">
        <w:rPr>
          <w:rFonts w:ascii="Times New Roman" w:eastAsia="Calibri" w:hAnsi="Times New Roman" w:cs="Times New Roman"/>
          <w:sz w:val="24"/>
          <w:szCs w:val="24"/>
        </w:rPr>
        <w:t xml:space="preserve">team on achieving solid financial results, maintaining system reliability, and delivering outstanding customer service. </w:t>
      </w:r>
      <w:r w:rsidR="004514B9" w:rsidRPr="00E95BD7">
        <w:rPr>
          <w:rFonts w:ascii="Times New Roman" w:eastAsia="Calibri" w:hAnsi="Times New Roman" w:cs="Times New Roman"/>
          <w:sz w:val="24"/>
          <w:szCs w:val="24"/>
        </w:rPr>
        <w:t xml:space="preserve">The compensation structure and levels serve as an appropriate tool to help motivate, retain and attract </w:t>
      </w:r>
      <w:r w:rsidR="0094373B" w:rsidRPr="00E95BD7">
        <w:rPr>
          <w:rFonts w:ascii="Times New Roman" w:eastAsia="Calibri" w:hAnsi="Times New Roman" w:cs="Times New Roman"/>
          <w:sz w:val="24"/>
          <w:szCs w:val="24"/>
        </w:rPr>
        <w:t xml:space="preserve">a </w:t>
      </w:r>
      <w:r w:rsidR="004514B9" w:rsidRPr="00E95BD7">
        <w:rPr>
          <w:rFonts w:ascii="Times New Roman" w:eastAsia="Calibri" w:hAnsi="Times New Roman" w:cs="Times New Roman"/>
          <w:sz w:val="24"/>
          <w:szCs w:val="24"/>
        </w:rPr>
        <w:t xml:space="preserve">highly experienced, successful </w:t>
      </w:r>
      <w:r w:rsidR="005B1BF1" w:rsidRPr="00E95BD7">
        <w:rPr>
          <w:rFonts w:ascii="Times New Roman" w:eastAsia="Calibri" w:hAnsi="Times New Roman" w:cs="Times New Roman"/>
          <w:sz w:val="24"/>
          <w:szCs w:val="24"/>
        </w:rPr>
        <w:t>executive officer</w:t>
      </w:r>
      <w:r w:rsidR="0003495D">
        <w:rPr>
          <w:rFonts w:ascii="Times New Roman" w:eastAsia="Calibri" w:hAnsi="Times New Roman" w:cs="Times New Roman"/>
          <w:sz w:val="24"/>
          <w:szCs w:val="24"/>
        </w:rPr>
        <w:t xml:space="preserve"> team to manage the C</w:t>
      </w:r>
      <w:r w:rsidR="004514B9" w:rsidRPr="00E95BD7">
        <w:rPr>
          <w:rFonts w:ascii="Times New Roman" w:eastAsia="Calibri" w:hAnsi="Times New Roman" w:cs="Times New Roman"/>
          <w:sz w:val="24"/>
          <w:szCs w:val="24"/>
        </w:rPr>
        <w:t xml:space="preserve">ompany. </w:t>
      </w:r>
      <w:r w:rsidR="00FD7A48">
        <w:rPr>
          <w:rFonts w:ascii="Times New Roman" w:eastAsia="Calibri" w:hAnsi="Times New Roman" w:cs="Times New Roman"/>
          <w:sz w:val="24"/>
          <w:szCs w:val="24"/>
        </w:rPr>
        <w:t xml:space="preserve"> </w:t>
      </w:r>
    </w:p>
    <w:p w:rsidR="00FD7A48" w:rsidRDefault="00FD7A48" w:rsidP="00850AA1">
      <w:pPr>
        <w:jc w:val="both"/>
        <w:rPr>
          <w:rFonts w:ascii="Times New Roman" w:eastAsia="Calibri" w:hAnsi="Times New Roman" w:cs="Times New Roman"/>
          <w:i/>
          <w:sz w:val="24"/>
          <w:szCs w:val="24"/>
        </w:rPr>
      </w:pPr>
    </w:p>
    <w:p w:rsidR="002D63EF" w:rsidRPr="00E95BD7" w:rsidRDefault="0003495D" w:rsidP="00850AA1">
      <w:pPr>
        <w:jc w:val="both"/>
        <w:rPr>
          <w:rFonts w:ascii="Times New Roman" w:hAnsi="Times New Roman" w:cs="Times New Roman"/>
          <w:sz w:val="24"/>
          <w:szCs w:val="24"/>
        </w:rPr>
      </w:pPr>
      <w:r>
        <w:rPr>
          <w:rFonts w:ascii="Times New Roman" w:eastAsia="Calibri" w:hAnsi="Times New Roman" w:cs="Times New Roman"/>
          <w:i/>
          <w:sz w:val="24"/>
          <w:szCs w:val="24"/>
        </w:rPr>
        <w:t xml:space="preserve"> </w:t>
      </w:r>
      <w:r w:rsidR="004514B9" w:rsidRPr="00E95BD7">
        <w:rPr>
          <w:rFonts w:ascii="Times New Roman" w:eastAsia="Calibri" w:hAnsi="Times New Roman" w:cs="Times New Roman"/>
          <w:sz w:val="24"/>
          <w:szCs w:val="24"/>
        </w:rPr>
        <w:t xml:space="preserve">Ratepayers benefit from effective and capable utility management through innovation, efficiencies and leadership on strategic initiatives.  </w:t>
      </w:r>
      <w:r w:rsidR="002D63EF" w:rsidRPr="00E95BD7">
        <w:rPr>
          <w:rFonts w:ascii="Times New Roman" w:hAnsi="Times New Roman" w:cs="Times New Roman"/>
          <w:sz w:val="24"/>
          <w:szCs w:val="24"/>
        </w:rPr>
        <w:t xml:space="preserve">Avista’s total compensation philosophy creates the right focus for executive officers because a </w:t>
      </w:r>
      <w:r w:rsidR="00F046B3" w:rsidRPr="00E95BD7">
        <w:rPr>
          <w:rFonts w:ascii="Times New Roman" w:hAnsi="Times New Roman" w:cs="Times New Roman"/>
          <w:sz w:val="24"/>
          <w:szCs w:val="24"/>
        </w:rPr>
        <w:t xml:space="preserve">major </w:t>
      </w:r>
      <w:r w:rsidR="002D63EF" w:rsidRPr="00E95BD7">
        <w:rPr>
          <w:rFonts w:ascii="Times New Roman" w:hAnsi="Times New Roman" w:cs="Times New Roman"/>
          <w:sz w:val="24"/>
          <w:szCs w:val="24"/>
        </w:rPr>
        <w:t xml:space="preserve">portion of the overall earning opportunity </w:t>
      </w:r>
      <w:r w:rsidR="009E3B08" w:rsidRPr="00E95BD7">
        <w:rPr>
          <w:rFonts w:ascii="Times New Roman" w:hAnsi="Times New Roman" w:cs="Times New Roman"/>
          <w:sz w:val="24"/>
          <w:szCs w:val="24"/>
        </w:rPr>
        <w:t xml:space="preserve">is </w:t>
      </w:r>
      <w:r w:rsidR="002D63EF" w:rsidRPr="00E95BD7">
        <w:rPr>
          <w:rFonts w:ascii="Times New Roman" w:hAnsi="Times New Roman" w:cs="Times New Roman"/>
          <w:sz w:val="24"/>
          <w:szCs w:val="24"/>
        </w:rPr>
        <w:t xml:space="preserve">at risk. Employees and executive officers, as a whole, have to achieve the goals of the incentive plan for the plan to payout. </w:t>
      </w:r>
      <w:r w:rsidR="002D63EF" w:rsidRPr="00E95BD7">
        <w:rPr>
          <w:rFonts w:ascii="Times New Roman" w:hAnsi="Times New Roman" w:cs="Times New Roman"/>
          <w:sz w:val="24"/>
          <w:szCs w:val="24"/>
        </w:rPr>
        <w:lastRenderedPageBreak/>
        <w:t xml:space="preserve">This tension in plan design helps motivate and focus </w:t>
      </w:r>
      <w:r w:rsidR="009E3B08" w:rsidRPr="00E95BD7">
        <w:rPr>
          <w:rFonts w:ascii="Times New Roman" w:hAnsi="Times New Roman" w:cs="Times New Roman"/>
          <w:sz w:val="24"/>
          <w:szCs w:val="24"/>
        </w:rPr>
        <w:t xml:space="preserve">all </w:t>
      </w:r>
      <w:r w:rsidR="002D63EF" w:rsidRPr="00E95BD7">
        <w:rPr>
          <w:rFonts w:ascii="Times New Roman" w:hAnsi="Times New Roman" w:cs="Times New Roman"/>
          <w:sz w:val="24"/>
          <w:szCs w:val="24"/>
        </w:rPr>
        <w:t>employees on the stated goals of the Company.  In order to achieve additional level of compensation, employees have to keep focused on cost control, customer satisfaction and reliability within the system.  Avista’s existing total compensation plan is correct</w:t>
      </w:r>
      <w:r w:rsidR="009E3B08" w:rsidRPr="00E95BD7">
        <w:rPr>
          <w:rFonts w:ascii="Times New Roman" w:hAnsi="Times New Roman" w:cs="Times New Roman"/>
          <w:sz w:val="24"/>
          <w:szCs w:val="24"/>
        </w:rPr>
        <w:t>ly</w:t>
      </w:r>
      <w:r w:rsidR="002D63EF" w:rsidRPr="00E95BD7">
        <w:rPr>
          <w:rFonts w:ascii="Times New Roman" w:hAnsi="Times New Roman" w:cs="Times New Roman"/>
          <w:sz w:val="24"/>
          <w:szCs w:val="24"/>
        </w:rPr>
        <w:t xml:space="preserve"> weighted to retain current employees, while remaining competitive enough to attract new employees.  A pay</w:t>
      </w:r>
      <w:r w:rsidR="00FD7A48">
        <w:rPr>
          <w:rFonts w:ascii="Times New Roman" w:hAnsi="Times New Roman" w:cs="Times New Roman"/>
          <w:sz w:val="24"/>
          <w:szCs w:val="24"/>
        </w:rPr>
        <w:t>-</w:t>
      </w:r>
      <w:r w:rsidR="002D63EF" w:rsidRPr="00E95BD7">
        <w:rPr>
          <w:rFonts w:ascii="Times New Roman" w:hAnsi="Times New Roman" w:cs="Times New Roman"/>
          <w:sz w:val="24"/>
          <w:szCs w:val="24"/>
        </w:rPr>
        <w:t>at</w:t>
      </w:r>
      <w:r w:rsidR="00FD7A48">
        <w:rPr>
          <w:rFonts w:ascii="Times New Roman" w:hAnsi="Times New Roman" w:cs="Times New Roman"/>
          <w:sz w:val="24"/>
          <w:szCs w:val="24"/>
        </w:rPr>
        <w:t>-</w:t>
      </w:r>
      <w:r w:rsidR="002D63EF" w:rsidRPr="00E95BD7">
        <w:rPr>
          <w:rFonts w:ascii="Times New Roman" w:hAnsi="Times New Roman" w:cs="Times New Roman"/>
          <w:sz w:val="24"/>
          <w:szCs w:val="24"/>
        </w:rPr>
        <w:t xml:space="preserve">risk component of compensation is not designed to pay out the full incentive opportunity every year, nor is it designed to have no payout for an extended period of time.  Pay-at-risk plans are designed to help focus employees on making decisions that benefit the </w:t>
      </w:r>
      <w:r w:rsidR="000F62C3" w:rsidRPr="00E95BD7">
        <w:rPr>
          <w:rFonts w:ascii="Times New Roman" w:hAnsi="Times New Roman" w:cs="Times New Roman"/>
          <w:sz w:val="24"/>
          <w:szCs w:val="24"/>
        </w:rPr>
        <w:t>C</w:t>
      </w:r>
      <w:r w:rsidR="002D63EF" w:rsidRPr="00E95BD7">
        <w:rPr>
          <w:rFonts w:ascii="Times New Roman" w:hAnsi="Times New Roman" w:cs="Times New Roman"/>
          <w:sz w:val="24"/>
          <w:szCs w:val="24"/>
        </w:rPr>
        <w:t>ompany and its customers, while at the same time functioning as an integrated component of total compensation.</w:t>
      </w:r>
    </w:p>
    <w:p w:rsidR="004514B9" w:rsidRPr="00E95BD7" w:rsidRDefault="004514B9" w:rsidP="004514B9">
      <w:pPr>
        <w:jc w:val="both"/>
        <w:rPr>
          <w:rFonts w:ascii="Times New Roman" w:eastAsia="Calibri" w:hAnsi="Times New Roman" w:cs="Times New Roman"/>
          <w:sz w:val="24"/>
          <w:szCs w:val="24"/>
        </w:rPr>
      </w:pPr>
    </w:p>
    <w:p w:rsidR="00C712CE" w:rsidRPr="00E95BD7" w:rsidRDefault="0094373B" w:rsidP="00F83D9B">
      <w:pPr>
        <w:jc w:val="both"/>
        <w:rPr>
          <w:rFonts w:ascii="Times New Roman" w:hAnsi="Times New Roman" w:cs="Times New Roman"/>
          <w:sz w:val="24"/>
          <w:szCs w:val="24"/>
        </w:rPr>
      </w:pPr>
      <w:r w:rsidRPr="00E95BD7">
        <w:rPr>
          <w:rFonts w:ascii="Times New Roman" w:hAnsi="Times New Roman" w:cs="Times New Roman"/>
          <w:sz w:val="24"/>
          <w:szCs w:val="24"/>
        </w:rPr>
        <w:t xml:space="preserve">With the aid of Towers Watson, </w:t>
      </w:r>
      <w:r w:rsidR="007513F7" w:rsidRPr="00E95BD7">
        <w:rPr>
          <w:rFonts w:ascii="Times New Roman" w:hAnsi="Times New Roman" w:cs="Times New Roman"/>
          <w:sz w:val="24"/>
          <w:szCs w:val="24"/>
        </w:rPr>
        <w:t xml:space="preserve">the Compensation Committee benchmarks </w:t>
      </w:r>
      <w:r w:rsidRPr="00E95BD7">
        <w:rPr>
          <w:rFonts w:ascii="Times New Roman" w:hAnsi="Times New Roman" w:cs="Times New Roman"/>
          <w:sz w:val="24"/>
          <w:szCs w:val="24"/>
        </w:rPr>
        <w:t>each item in the comp</w:t>
      </w:r>
      <w:r w:rsidR="007513F7" w:rsidRPr="00E95BD7">
        <w:rPr>
          <w:rFonts w:ascii="Times New Roman" w:hAnsi="Times New Roman" w:cs="Times New Roman"/>
          <w:sz w:val="24"/>
          <w:szCs w:val="24"/>
        </w:rPr>
        <w:t xml:space="preserve">ensation program </w:t>
      </w:r>
      <w:r w:rsidRPr="00E95BD7">
        <w:rPr>
          <w:rFonts w:ascii="Times New Roman" w:hAnsi="Times New Roman" w:cs="Times New Roman"/>
          <w:sz w:val="24"/>
          <w:szCs w:val="24"/>
        </w:rPr>
        <w:t>against companies similar in size and business characteristics.</w:t>
      </w:r>
      <w:r w:rsidR="007513F7" w:rsidRPr="00E95BD7">
        <w:rPr>
          <w:rFonts w:ascii="Times New Roman" w:hAnsi="Times New Roman" w:cs="Times New Roman"/>
          <w:sz w:val="24"/>
          <w:szCs w:val="24"/>
        </w:rPr>
        <w:t xml:space="preserve">  Levels are set based on this research, experience levels and individual contributions.  These factors are evaluated every year and adjusted as needed.</w:t>
      </w:r>
      <w:r w:rsidRPr="00E95BD7">
        <w:rPr>
          <w:rFonts w:ascii="Times New Roman" w:hAnsi="Times New Roman" w:cs="Times New Roman"/>
          <w:sz w:val="24"/>
          <w:szCs w:val="24"/>
        </w:rPr>
        <w:t xml:space="preserve"> </w:t>
      </w:r>
      <w:r w:rsidR="00F83D9B" w:rsidRPr="00E95BD7">
        <w:rPr>
          <w:rFonts w:ascii="Times New Roman" w:hAnsi="Times New Roman" w:cs="Times New Roman"/>
          <w:sz w:val="24"/>
          <w:szCs w:val="24"/>
        </w:rPr>
        <w:t xml:space="preserve">The current levels of compensation are based on the </w:t>
      </w:r>
      <w:r w:rsidR="002507C1" w:rsidRPr="00E95BD7">
        <w:rPr>
          <w:rFonts w:ascii="Times New Roman" w:hAnsi="Times New Roman" w:cs="Times New Roman"/>
          <w:sz w:val="24"/>
          <w:szCs w:val="24"/>
        </w:rPr>
        <w:t>results of that analysis</w:t>
      </w:r>
      <w:r w:rsidR="00F83D9B" w:rsidRPr="00E95BD7">
        <w:rPr>
          <w:rFonts w:ascii="Times New Roman" w:hAnsi="Times New Roman" w:cs="Times New Roman"/>
          <w:sz w:val="24"/>
          <w:szCs w:val="24"/>
        </w:rPr>
        <w:t xml:space="preserve"> and we believe are appropriate given our peer group. </w:t>
      </w:r>
    </w:p>
    <w:p w:rsidR="00C712CE" w:rsidRPr="00E95BD7" w:rsidRDefault="00C712CE" w:rsidP="00F83D9B">
      <w:pPr>
        <w:jc w:val="both"/>
        <w:rPr>
          <w:rFonts w:ascii="Times New Roman" w:hAnsi="Times New Roman" w:cs="Times New Roman"/>
          <w:sz w:val="24"/>
          <w:szCs w:val="24"/>
        </w:rPr>
      </w:pPr>
    </w:p>
    <w:p w:rsidR="0094373B" w:rsidRPr="00E95BD7" w:rsidRDefault="001C2BB7" w:rsidP="00F83D9B">
      <w:pPr>
        <w:jc w:val="both"/>
        <w:rPr>
          <w:rFonts w:ascii="Times New Roman" w:hAnsi="Times New Roman" w:cs="Times New Roman"/>
          <w:sz w:val="24"/>
          <w:szCs w:val="24"/>
        </w:rPr>
      </w:pPr>
      <w:r w:rsidRPr="00E95BD7">
        <w:rPr>
          <w:rFonts w:ascii="Times New Roman" w:hAnsi="Times New Roman" w:cs="Times New Roman"/>
          <w:sz w:val="24"/>
          <w:szCs w:val="24"/>
        </w:rPr>
        <w:t>Ratepayers receive several b</w:t>
      </w:r>
      <w:r w:rsidR="00C712CE" w:rsidRPr="00E95BD7">
        <w:rPr>
          <w:rFonts w:ascii="Times New Roman" w:hAnsi="Times New Roman" w:cs="Times New Roman"/>
          <w:sz w:val="24"/>
          <w:szCs w:val="24"/>
        </w:rPr>
        <w:t xml:space="preserve">enefits from </w:t>
      </w:r>
      <w:r w:rsidR="005F1C76" w:rsidRPr="00E95BD7">
        <w:rPr>
          <w:rFonts w:ascii="Times New Roman" w:hAnsi="Times New Roman" w:cs="Times New Roman"/>
          <w:sz w:val="24"/>
          <w:szCs w:val="24"/>
        </w:rPr>
        <w:t>utility operational components of the</w:t>
      </w:r>
      <w:r w:rsidR="00C712CE" w:rsidRPr="00E95BD7">
        <w:rPr>
          <w:rFonts w:ascii="Times New Roman" w:hAnsi="Times New Roman" w:cs="Times New Roman"/>
          <w:sz w:val="24"/>
          <w:szCs w:val="24"/>
        </w:rPr>
        <w:t xml:space="preserve"> incentive plan, making it appropriate for recovery.</w:t>
      </w:r>
      <w:r w:rsidRPr="00E95BD7">
        <w:rPr>
          <w:rFonts w:ascii="Times New Roman" w:hAnsi="Times New Roman" w:cs="Times New Roman"/>
          <w:sz w:val="24"/>
          <w:szCs w:val="24"/>
        </w:rPr>
        <w:t xml:space="preserve">  </w:t>
      </w:r>
      <w:r w:rsidR="00DB3CE3">
        <w:rPr>
          <w:rFonts w:ascii="Times New Roman" w:hAnsi="Times New Roman" w:cs="Times New Roman"/>
          <w:sz w:val="24"/>
          <w:szCs w:val="24"/>
        </w:rPr>
        <w:t>T</w:t>
      </w:r>
      <w:r w:rsidRPr="00E95BD7">
        <w:rPr>
          <w:rFonts w:ascii="Times New Roman" w:hAnsi="Times New Roman" w:cs="Times New Roman"/>
          <w:sz w:val="24"/>
          <w:szCs w:val="24"/>
        </w:rPr>
        <w:t xml:space="preserve">he plan focuses </w:t>
      </w:r>
      <w:r w:rsidR="005B1BF1" w:rsidRPr="00E95BD7">
        <w:rPr>
          <w:rFonts w:ascii="Times New Roman" w:hAnsi="Times New Roman" w:cs="Times New Roman"/>
          <w:sz w:val="24"/>
          <w:szCs w:val="24"/>
        </w:rPr>
        <w:t>executive officer</w:t>
      </w:r>
      <w:r w:rsidRPr="00E95BD7">
        <w:rPr>
          <w:rFonts w:ascii="Times New Roman" w:hAnsi="Times New Roman" w:cs="Times New Roman"/>
          <w:sz w:val="24"/>
          <w:szCs w:val="24"/>
        </w:rPr>
        <w:t xml:space="preserve">s on key objectives of the Company, including reliability, customer service and operational efficiency which directly benefits customers, and overall operational efficiency translates into </w:t>
      </w:r>
      <w:r w:rsidR="00C712CE" w:rsidRPr="00E95BD7">
        <w:rPr>
          <w:rFonts w:ascii="Times New Roman" w:hAnsi="Times New Roman" w:cs="Times New Roman"/>
          <w:sz w:val="24"/>
          <w:szCs w:val="24"/>
        </w:rPr>
        <w:t xml:space="preserve">lower </w:t>
      </w:r>
      <w:r w:rsidRPr="00E95BD7">
        <w:rPr>
          <w:rFonts w:ascii="Times New Roman" w:hAnsi="Times New Roman" w:cs="Times New Roman"/>
          <w:sz w:val="24"/>
          <w:szCs w:val="24"/>
        </w:rPr>
        <w:t>rates</w:t>
      </w:r>
      <w:r w:rsidR="00C712CE" w:rsidRPr="00E95BD7">
        <w:rPr>
          <w:rFonts w:ascii="Times New Roman" w:hAnsi="Times New Roman" w:cs="Times New Roman"/>
          <w:sz w:val="24"/>
          <w:szCs w:val="24"/>
        </w:rPr>
        <w:t>.</w:t>
      </w:r>
      <w:r w:rsidRPr="00E95BD7">
        <w:rPr>
          <w:rFonts w:ascii="Times New Roman" w:hAnsi="Times New Roman" w:cs="Times New Roman"/>
          <w:sz w:val="24"/>
          <w:szCs w:val="24"/>
        </w:rPr>
        <w:t xml:space="preserve"> </w:t>
      </w:r>
      <w:r w:rsidR="00C712CE" w:rsidRPr="00E95BD7">
        <w:rPr>
          <w:rFonts w:ascii="Times New Roman" w:hAnsi="Times New Roman" w:cs="Times New Roman"/>
          <w:sz w:val="24"/>
          <w:szCs w:val="24"/>
        </w:rPr>
        <w:t xml:space="preserve">The Short Term Incentive plan focuses our </w:t>
      </w:r>
      <w:r w:rsidR="005B1BF1" w:rsidRPr="00E95BD7">
        <w:rPr>
          <w:rFonts w:ascii="Times New Roman" w:hAnsi="Times New Roman" w:cs="Times New Roman"/>
          <w:sz w:val="24"/>
          <w:szCs w:val="24"/>
        </w:rPr>
        <w:t>Executive officer</w:t>
      </w:r>
      <w:r w:rsidR="00C712CE" w:rsidRPr="00E95BD7">
        <w:rPr>
          <w:rFonts w:ascii="Times New Roman" w:hAnsi="Times New Roman" w:cs="Times New Roman"/>
          <w:sz w:val="24"/>
          <w:szCs w:val="24"/>
        </w:rPr>
        <w:t xml:space="preserve">s on those areas that provide </w:t>
      </w:r>
      <w:r w:rsidR="00F046B3" w:rsidRPr="00E95BD7">
        <w:rPr>
          <w:rFonts w:ascii="Times New Roman" w:hAnsi="Times New Roman" w:cs="Times New Roman"/>
          <w:sz w:val="24"/>
          <w:szCs w:val="24"/>
        </w:rPr>
        <w:t>r</w:t>
      </w:r>
      <w:r w:rsidR="00896A0C" w:rsidRPr="00E95BD7">
        <w:rPr>
          <w:rFonts w:ascii="Times New Roman" w:hAnsi="Times New Roman" w:cs="Times New Roman"/>
          <w:sz w:val="24"/>
          <w:szCs w:val="24"/>
        </w:rPr>
        <w:t>atepayer</w:t>
      </w:r>
      <w:r w:rsidR="00EC74DA" w:rsidRPr="00E95BD7">
        <w:rPr>
          <w:rFonts w:ascii="Times New Roman" w:hAnsi="Times New Roman" w:cs="Times New Roman"/>
          <w:sz w:val="24"/>
          <w:szCs w:val="24"/>
        </w:rPr>
        <w:t>s benefit</w:t>
      </w:r>
      <w:r w:rsidR="00C712CE" w:rsidRPr="00E95BD7">
        <w:rPr>
          <w:rFonts w:ascii="Times New Roman" w:hAnsi="Times New Roman" w:cs="Times New Roman"/>
          <w:sz w:val="24"/>
          <w:szCs w:val="24"/>
        </w:rPr>
        <w:t>.</w:t>
      </w:r>
      <w:r w:rsidR="00EC74DA" w:rsidRPr="00E95BD7">
        <w:rPr>
          <w:rFonts w:ascii="Times New Roman" w:hAnsi="Times New Roman" w:cs="Times New Roman"/>
          <w:sz w:val="24"/>
          <w:szCs w:val="24"/>
        </w:rPr>
        <w:t xml:space="preserve"> </w:t>
      </w:r>
      <w:r w:rsidRPr="00E95BD7">
        <w:rPr>
          <w:rFonts w:ascii="Times New Roman" w:hAnsi="Times New Roman" w:cs="Times New Roman"/>
          <w:sz w:val="24"/>
          <w:szCs w:val="24"/>
        </w:rPr>
        <w:t>Various options have been explored surrounding compensation and benefit programs to a</w:t>
      </w:r>
      <w:r w:rsidR="00F046B3" w:rsidRPr="00E95BD7">
        <w:rPr>
          <w:rFonts w:ascii="Times New Roman" w:hAnsi="Times New Roman" w:cs="Times New Roman"/>
          <w:sz w:val="24"/>
          <w:szCs w:val="24"/>
        </w:rPr>
        <w:t>ss</w:t>
      </w:r>
      <w:r w:rsidRPr="00E95BD7">
        <w:rPr>
          <w:rFonts w:ascii="Times New Roman" w:hAnsi="Times New Roman" w:cs="Times New Roman"/>
          <w:sz w:val="24"/>
          <w:szCs w:val="24"/>
        </w:rPr>
        <w:t xml:space="preserve">ess whether eliminating or reducing various programs would be appropriate given today’s economic environment.  If we were to eliminate the incentive plan, within one or two years after freezing wages, Avista would have to make upward market adjustments in order to bring current employee salaries up to appropriate levels.  </w:t>
      </w:r>
      <w:r w:rsidR="00F83D9B" w:rsidRPr="00E95BD7">
        <w:rPr>
          <w:rFonts w:ascii="Times New Roman" w:hAnsi="Times New Roman" w:cs="Times New Roman"/>
          <w:sz w:val="24"/>
          <w:szCs w:val="24"/>
        </w:rPr>
        <w:t>Finally, the Incentive Plan is part of a comprehensive benefits package provided to employees that make Avista an attractive employer to skilled, experienced talent in the marketplace.</w:t>
      </w:r>
      <w:r w:rsidR="0094373B" w:rsidRPr="00E95BD7">
        <w:rPr>
          <w:rFonts w:ascii="Times New Roman" w:hAnsi="Times New Roman" w:cs="Times New Roman"/>
          <w:sz w:val="24"/>
          <w:szCs w:val="24"/>
        </w:rPr>
        <w:t xml:space="preserve"> </w:t>
      </w:r>
    </w:p>
    <w:p w:rsidR="00140C3C" w:rsidRPr="00E95BD7" w:rsidRDefault="00140C3C" w:rsidP="00F83D9B">
      <w:pPr>
        <w:jc w:val="both"/>
        <w:rPr>
          <w:rFonts w:ascii="Times New Roman" w:hAnsi="Times New Roman" w:cs="Times New Roman"/>
          <w:sz w:val="24"/>
          <w:szCs w:val="24"/>
        </w:rPr>
      </w:pPr>
    </w:p>
    <w:p w:rsidR="00140C3C" w:rsidRPr="00E95BD7" w:rsidRDefault="00A2071E" w:rsidP="00F83D9B">
      <w:pPr>
        <w:jc w:val="both"/>
        <w:rPr>
          <w:rFonts w:ascii="Times New Roman" w:hAnsi="Times New Roman" w:cs="Times New Roman"/>
          <w:sz w:val="24"/>
          <w:szCs w:val="24"/>
        </w:rPr>
      </w:pPr>
      <w:r w:rsidRPr="00E95BD7">
        <w:rPr>
          <w:rFonts w:ascii="Times New Roman" w:hAnsi="Times New Roman" w:cs="Times New Roman"/>
          <w:sz w:val="24"/>
          <w:szCs w:val="24"/>
        </w:rPr>
        <w:t>The components of the executive officer</w:t>
      </w:r>
      <w:r w:rsidR="00EA0335" w:rsidRPr="00E95BD7">
        <w:rPr>
          <w:rFonts w:ascii="Times New Roman" w:hAnsi="Times New Roman" w:cs="Times New Roman"/>
          <w:sz w:val="24"/>
          <w:szCs w:val="24"/>
        </w:rPr>
        <w:t xml:space="preserve"> </w:t>
      </w:r>
      <w:r w:rsidR="00140C3C" w:rsidRPr="00E95BD7">
        <w:rPr>
          <w:rFonts w:ascii="Times New Roman" w:hAnsi="Times New Roman" w:cs="Times New Roman"/>
          <w:sz w:val="24"/>
          <w:szCs w:val="24"/>
        </w:rPr>
        <w:t xml:space="preserve">LTIP </w:t>
      </w:r>
      <w:r w:rsidR="00EA0335" w:rsidRPr="00E95BD7">
        <w:rPr>
          <w:rFonts w:ascii="Times New Roman" w:hAnsi="Times New Roman" w:cs="Times New Roman"/>
          <w:sz w:val="24"/>
          <w:szCs w:val="24"/>
        </w:rPr>
        <w:t>are</w:t>
      </w:r>
      <w:r w:rsidR="00140C3C" w:rsidRPr="00E95BD7">
        <w:rPr>
          <w:rFonts w:ascii="Times New Roman" w:hAnsi="Times New Roman" w:cs="Times New Roman"/>
          <w:sz w:val="24"/>
          <w:szCs w:val="24"/>
        </w:rPr>
        <w:t xml:space="preserve"> not in rate</w:t>
      </w:r>
      <w:r w:rsidR="00EA0335" w:rsidRPr="00E95BD7">
        <w:rPr>
          <w:rFonts w:ascii="Times New Roman" w:hAnsi="Times New Roman" w:cs="Times New Roman"/>
          <w:sz w:val="24"/>
          <w:szCs w:val="24"/>
        </w:rPr>
        <w:t xml:space="preserve">s because it is based on elements </w:t>
      </w:r>
      <w:r w:rsidR="009E3B08" w:rsidRPr="00E95BD7">
        <w:rPr>
          <w:rFonts w:ascii="Times New Roman" w:hAnsi="Times New Roman" w:cs="Times New Roman"/>
          <w:sz w:val="24"/>
          <w:szCs w:val="24"/>
        </w:rPr>
        <w:t>focusing on</w:t>
      </w:r>
      <w:r w:rsidR="00EA0335" w:rsidRPr="00E95BD7">
        <w:rPr>
          <w:rFonts w:ascii="Times New Roman" w:hAnsi="Times New Roman" w:cs="Times New Roman"/>
          <w:sz w:val="24"/>
          <w:szCs w:val="24"/>
        </w:rPr>
        <w:t xml:space="preserve"> shareholder value. T</w:t>
      </w:r>
      <w:r w:rsidR="00140C3C" w:rsidRPr="00E95BD7">
        <w:rPr>
          <w:rFonts w:ascii="Times New Roman" w:hAnsi="Times New Roman" w:cs="Times New Roman"/>
          <w:sz w:val="24"/>
          <w:szCs w:val="24"/>
        </w:rPr>
        <w:t>he SERP and Deferred Comp</w:t>
      </w:r>
      <w:r w:rsidR="00EA0335" w:rsidRPr="00E95BD7">
        <w:rPr>
          <w:rFonts w:ascii="Times New Roman" w:hAnsi="Times New Roman" w:cs="Times New Roman"/>
          <w:sz w:val="24"/>
          <w:szCs w:val="24"/>
        </w:rPr>
        <w:t>ensation</w:t>
      </w:r>
      <w:r w:rsidR="00140C3C" w:rsidRPr="00E95BD7">
        <w:rPr>
          <w:rFonts w:ascii="Times New Roman" w:hAnsi="Times New Roman" w:cs="Times New Roman"/>
          <w:sz w:val="24"/>
          <w:szCs w:val="24"/>
        </w:rPr>
        <w:t xml:space="preserve"> prog</w:t>
      </w:r>
      <w:r w:rsidR="00EA0335" w:rsidRPr="00E95BD7">
        <w:rPr>
          <w:rFonts w:ascii="Times New Roman" w:hAnsi="Times New Roman" w:cs="Times New Roman"/>
          <w:sz w:val="24"/>
          <w:szCs w:val="24"/>
        </w:rPr>
        <w:t>r</w:t>
      </w:r>
      <w:r w:rsidR="00140C3C" w:rsidRPr="00E95BD7">
        <w:rPr>
          <w:rFonts w:ascii="Times New Roman" w:hAnsi="Times New Roman" w:cs="Times New Roman"/>
          <w:sz w:val="24"/>
          <w:szCs w:val="24"/>
        </w:rPr>
        <w:t>ams</w:t>
      </w:r>
      <w:r w:rsidR="00EA0335" w:rsidRPr="00E95BD7">
        <w:rPr>
          <w:rFonts w:ascii="Times New Roman" w:hAnsi="Times New Roman" w:cs="Times New Roman"/>
          <w:sz w:val="24"/>
          <w:szCs w:val="24"/>
        </w:rPr>
        <w:t xml:space="preserve"> are also</w:t>
      </w:r>
      <w:r w:rsidR="00140C3C" w:rsidRPr="00E95BD7">
        <w:rPr>
          <w:rFonts w:ascii="Times New Roman" w:hAnsi="Times New Roman" w:cs="Times New Roman"/>
          <w:sz w:val="24"/>
          <w:szCs w:val="24"/>
        </w:rPr>
        <w:t xml:space="preserve"> not in rate</w:t>
      </w:r>
      <w:r w:rsidR="00EA0335" w:rsidRPr="00E95BD7">
        <w:rPr>
          <w:rFonts w:ascii="Times New Roman" w:hAnsi="Times New Roman" w:cs="Times New Roman"/>
          <w:sz w:val="24"/>
          <w:szCs w:val="24"/>
        </w:rPr>
        <w:t>s</w:t>
      </w:r>
      <w:r w:rsidR="00140C3C" w:rsidRPr="00E95BD7">
        <w:rPr>
          <w:rFonts w:ascii="Times New Roman" w:hAnsi="Times New Roman" w:cs="Times New Roman"/>
          <w:sz w:val="24"/>
          <w:szCs w:val="24"/>
        </w:rPr>
        <w:t xml:space="preserve"> because they are </w:t>
      </w:r>
      <w:r w:rsidR="00EA0335" w:rsidRPr="00E95BD7">
        <w:rPr>
          <w:rFonts w:ascii="Times New Roman" w:hAnsi="Times New Roman" w:cs="Times New Roman"/>
          <w:sz w:val="24"/>
          <w:szCs w:val="24"/>
        </w:rPr>
        <w:t xml:space="preserve">benefits over and above what is offered to all employees </w:t>
      </w:r>
      <w:r w:rsidR="00F046B3" w:rsidRPr="00E95BD7">
        <w:rPr>
          <w:rFonts w:ascii="Times New Roman" w:hAnsi="Times New Roman" w:cs="Times New Roman"/>
          <w:sz w:val="24"/>
          <w:szCs w:val="24"/>
        </w:rPr>
        <w:t>as</w:t>
      </w:r>
      <w:r w:rsidR="00EA0335" w:rsidRPr="00E95BD7">
        <w:rPr>
          <w:rFonts w:ascii="Times New Roman" w:hAnsi="Times New Roman" w:cs="Times New Roman"/>
          <w:sz w:val="24"/>
          <w:szCs w:val="24"/>
        </w:rPr>
        <w:t xml:space="preserve"> part of their total compensation package.</w:t>
      </w:r>
      <w:r w:rsidR="00140C3C" w:rsidRPr="00E95BD7">
        <w:rPr>
          <w:rFonts w:ascii="Times New Roman" w:hAnsi="Times New Roman" w:cs="Times New Roman"/>
          <w:sz w:val="24"/>
          <w:szCs w:val="24"/>
        </w:rPr>
        <w:t xml:space="preserve"> </w:t>
      </w:r>
      <w:r w:rsidR="00EA0335" w:rsidRPr="00E95BD7">
        <w:rPr>
          <w:rFonts w:ascii="Times New Roman" w:hAnsi="Times New Roman" w:cs="Times New Roman"/>
          <w:sz w:val="24"/>
          <w:szCs w:val="24"/>
        </w:rPr>
        <w:t xml:space="preserve"> </w:t>
      </w:r>
      <w:r w:rsidR="00140C3C" w:rsidRPr="00E95BD7">
        <w:rPr>
          <w:rFonts w:ascii="Times New Roman" w:hAnsi="Times New Roman" w:cs="Times New Roman"/>
          <w:sz w:val="24"/>
          <w:szCs w:val="24"/>
        </w:rPr>
        <w:t xml:space="preserve">However, </w:t>
      </w:r>
      <w:r w:rsidR="00EA0335" w:rsidRPr="00E95BD7">
        <w:rPr>
          <w:rFonts w:ascii="Times New Roman" w:hAnsi="Times New Roman" w:cs="Times New Roman"/>
          <w:sz w:val="24"/>
          <w:szCs w:val="24"/>
        </w:rPr>
        <w:t>t</w:t>
      </w:r>
      <w:r w:rsidR="00140C3C" w:rsidRPr="00E95BD7">
        <w:rPr>
          <w:rFonts w:ascii="Times New Roman" w:hAnsi="Times New Roman" w:cs="Times New Roman"/>
          <w:sz w:val="24"/>
          <w:szCs w:val="24"/>
        </w:rPr>
        <w:t xml:space="preserve">he employee defined </w:t>
      </w:r>
      <w:r w:rsidR="00DB3CE3">
        <w:rPr>
          <w:rFonts w:ascii="Times New Roman" w:hAnsi="Times New Roman" w:cs="Times New Roman"/>
          <w:sz w:val="24"/>
          <w:szCs w:val="24"/>
        </w:rPr>
        <w:t xml:space="preserve">benefit </w:t>
      </w:r>
      <w:r w:rsidR="00140C3C" w:rsidRPr="00E95BD7">
        <w:rPr>
          <w:rFonts w:ascii="Times New Roman" w:hAnsi="Times New Roman" w:cs="Times New Roman"/>
          <w:sz w:val="24"/>
          <w:szCs w:val="24"/>
        </w:rPr>
        <w:t>pension plan</w:t>
      </w:r>
      <w:r w:rsidR="00EA0335" w:rsidRPr="00E95BD7">
        <w:rPr>
          <w:rFonts w:ascii="Times New Roman" w:hAnsi="Times New Roman" w:cs="Times New Roman"/>
          <w:sz w:val="24"/>
          <w:szCs w:val="24"/>
        </w:rPr>
        <w:t xml:space="preserve"> </w:t>
      </w:r>
      <w:r w:rsidR="00EA0335" w:rsidRPr="00DB3CE3">
        <w:rPr>
          <w:rFonts w:ascii="Times New Roman" w:hAnsi="Times New Roman" w:cs="Times New Roman"/>
          <w:sz w:val="24"/>
          <w:szCs w:val="24"/>
        </w:rPr>
        <w:t>is</w:t>
      </w:r>
      <w:r w:rsidR="00EA0335" w:rsidRPr="00E95BD7">
        <w:rPr>
          <w:rFonts w:ascii="Times New Roman" w:hAnsi="Times New Roman" w:cs="Times New Roman"/>
          <w:sz w:val="24"/>
          <w:szCs w:val="24"/>
        </w:rPr>
        <w:t xml:space="preserve"> includ</w:t>
      </w:r>
      <w:r w:rsidR="00F046B3" w:rsidRPr="00E95BD7">
        <w:rPr>
          <w:rFonts w:ascii="Times New Roman" w:hAnsi="Times New Roman" w:cs="Times New Roman"/>
          <w:sz w:val="24"/>
          <w:szCs w:val="24"/>
        </w:rPr>
        <w:t>ed</w:t>
      </w:r>
      <w:r w:rsidR="00EA0335" w:rsidRPr="00E95BD7">
        <w:rPr>
          <w:rFonts w:ascii="Times New Roman" w:hAnsi="Times New Roman" w:cs="Times New Roman"/>
          <w:sz w:val="24"/>
          <w:szCs w:val="24"/>
        </w:rPr>
        <w:t xml:space="preserve"> in rates </w:t>
      </w:r>
      <w:r w:rsidR="00140C3C" w:rsidRPr="00E95BD7">
        <w:rPr>
          <w:rFonts w:ascii="Times New Roman" w:hAnsi="Times New Roman" w:cs="Times New Roman"/>
          <w:sz w:val="24"/>
          <w:szCs w:val="24"/>
        </w:rPr>
        <w:t>because it</w:t>
      </w:r>
      <w:r w:rsidR="00EA0335" w:rsidRPr="00E95BD7">
        <w:rPr>
          <w:rFonts w:ascii="Times New Roman" w:hAnsi="Times New Roman" w:cs="Times New Roman"/>
          <w:sz w:val="24"/>
          <w:szCs w:val="24"/>
        </w:rPr>
        <w:t xml:space="preserve"> is</w:t>
      </w:r>
      <w:r w:rsidR="00140C3C" w:rsidRPr="00E95BD7">
        <w:rPr>
          <w:rFonts w:ascii="Times New Roman" w:hAnsi="Times New Roman" w:cs="Times New Roman"/>
          <w:sz w:val="24"/>
          <w:szCs w:val="24"/>
        </w:rPr>
        <w:t xml:space="preserve"> a core benefit to all employees, which executives are a part of.</w:t>
      </w:r>
      <w:r w:rsidR="00EA0335" w:rsidRPr="00E95BD7">
        <w:rPr>
          <w:rFonts w:ascii="Times New Roman" w:hAnsi="Times New Roman" w:cs="Times New Roman"/>
          <w:sz w:val="24"/>
          <w:szCs w:val="24"/>
        </w:rPr>
        <w:t xml:space="preserve"> As </w:t>
      </w:r>
      <w:r w:rsidR="002D334E" w:rsidRPr="00E95BD7">
        <w:rPr>
          <w:rFonts w:ascii="Times New Roman" w:hAnsi="Times New Roman" w:cs="Times New Roman"/>
          <w:sz w:val="24"/>
          <w:szCs w:val="24"/>
        </w:rPr>
        <w:t>with all of the components of the overall compensation package, benefits are set at a level consistent with a peer group of companies</w:t>
      </w:r>
      <w:r w:rsidR="009900D4" w:rsidRPr="00E95BD7">
        <w:rPr>
          <w:rFonts w:ascii="Times New Roman" w:hAnsi="Times New Roman" w:cs="Times New Roman"/>
          <w:sz w:val="24"/>
          <w:szCs w:val="24"/>
        </w:rPr>
        <w:t>,</w:t>
      </w:r>
      <w:r w:rsidR="002D334E" w:rsidRPr="00E95BD7">
        <w:rPr>
          <w:rFonts w:ascii="Times New Roman" w:hAnsi="Times New Roman" w:cs="Times New Roman"/>
          <w:sz w:val="24"/>
          <w:szCs w:val="24"/>
        </w:rPr>
        <w:t xml:space="preserve"> such that the Company can attract</w:t>
      </w:r>
      <w:r w:rsidR="009900D4" w:rsidRPr="00E95BD7">
        <w:rPr>
          <w:rFonts w:ascii="Times New Roman" w:hAnsi="Times New Roman" w:cs="Times New Roman"/>
          <w:sz w:val="24"/>
          <w:szCs w:val="24"/>
        </w:rPr>
        <w:t>, motivate and retain the best employees to work at and manage the Company.</w:t>
      </w:r>
      <w:r w:rsidR="00F046B3" w:rsidRPr="00E95BD7">
        <w:rPr>
          <w:rFonts w:ascii="Times New Roman" w:hAnsi="Times New Roman" w:cs="Times New Roman"/>
          <w:sz w:val="24"/>
          <w:szCs w:val="24"/>
        </w:rPr>
        <w:t xml:space="preserve">  </w:t>
      </w:r>
    </w:p>
    <w:p w:rsidR="00FD7A48" w:rsidRDefault="00FD7A48" w:rsidP="000C3FFA">
      <w:pPr>
        <w:jc w:val="both"/>
        <w:rPr>
          <w:rFonts w:ascii="Times New Roman" w:eastAsia="Calibri" w:hAnsi="Times New Roman" w:cs="Times New Roman"/>
          <w:sz w:val="24"/>
          <w:szCs w:val="24"/>
        </w:rPr>
      </w:pPr>
    </w:p>
    <w:p w:rsidR="00DB343A" w:rsidRDefault="00DB343A" w:rsidP="00D34CCA">
      <w:pPr>
        <w:jc w:val="center"/>
        <w:rPr>
          <w:rFonts w:ascii="Times New Roman" w:hAnsi="Times New Roman" w:cs="Times New Roman"/>
          <w:b/>
          <w:sz w:val="24"/>
          <w:szCs w:val="24"/>
          <w:u w:val="single"/>
        </w:rPr>
      </w:pPr>
    </w:p>
    <w:p w:rsidR="00FD7A48" w:rsidRDefault="00D34CCA" w:rsidP="00D34CCA">
      <w:pPr>
        <w:jc w:val="center"/>
        <w:rPr>
          <w:rFonts w:cs="Times New Roman"/>
          <w:sz w:val="24"/>
          <w:szCs w:val="24"/>
        </w:rPr>
      </w:pPr>
      <w:r>
        <w:rPr>
          <w:rFonts w:ascii="Times New Roman" w:hAnsi="Times New Roman" w:cs="Times New Roman"/>
          <w:b/>
          <w:sz w:val="24"/>
          <w:szCs w:val="24"/>
          <w:u w:val="single"/>
        </w:rPr>
        <w:t>Conclusion</w:t>
      </w:r>
    </w:p>
    <w:p w:rsidR="00D34CCA" w:rsidRDefault="00D34CCA" w:rsidP="005F26CC">
      <w:pPr>
        <w:jc w:val="both"/>
        <w:rPr>
          <w:rFonts w:cs="Times New Roman"/>
          <w:sz w:val="24"/>
          <w:szCs w:val="24"/>
        </w:rPr>
      </w:pPr>
    </w:p>
    <w:p w:rsidR="00A06B8F" w:rsidRPr="00D34CCA" w:rsidRDefault="00DB3CE3" w:rsidP="005F26CC">
      <w:pPr>
        <w:jc w:val="both"/>
        <w:rPr>
          <w:rFonts w:ascii="Times New Roman" w:hAnsi="Times New Roman" w:cs="Times New Roman"/>
          <w:sz w:val="24"/>
          <w:szCs w:val="24"/>
        </w:rPr>
      </w:pPr>
      <w:r>
        <w:rPr>
          <w:rFonts w:ascii="Times New Roman" w:hAnsi="Times New Roman" w:cs="Times New Roman"/>
          <w:sz w:val="24"/>
          <w:szCs w:val="24"/>
        </w:rPr>
        <w:t xml:space="preserve">A </w:t>
      </w:r>
      <w:r w:rsidR="004F4F66" w:rsidRPr="00D34CCA">
        <w:rPr>
          <w:rFonts w:ascii="Times New Roman" w:hAnsi="Times New Roman" w:cs="Times New Roman"/>
          <w:sz w:val="24"/>
          <w:szCs w:val="24"/>
        </w:rPr>
        <w:t>considerable amount of time and effort goes into the development</w:t>
      </w:r>
      <w:r w:rsidR="00E25F19" w:rsidRPr="00D34CCA">
        <w:rPr>
          <w:rFonts w:ascii="Times New Roman" w:hAnsi="Times New Roman" w:cs="Times New Roman"/>
          <w:sz w:val="24"/>
          <w:szCs w:val="24"/>
        </w:rPr>
        <w:t xml:space="preserve"> </w:t>
      </w:r>
      <w:r w:rsidR="004F4F66" w:rsidRPr="00D34CCA">
        <w:rPr>
          <w:rFonts w:ascii="Times New Roman" w:hAnsi="Times New Roman" w:cs="Times New Roman"/>
          <w:sz w:val="24"/>
          <w:szCs w:val="24"/>
        </w:rPr>
        <w:t xml:space="preserve">of Avista’s overall executive compensation program.  The Board of </w:t>
      </w:r>
      <w:r w:rsidR="00D34CCA">
        <w:rPr>
          <w:rFonts w:ascii="Times New Roman" w:hAnsi="Times New Roman" w:cs="Times New Roman"/>
          <w:sz w:val="24"/>
          <w:szCs w:val="24"/>
        </w:rPr>
        <w:t xml:space="preserve">Directors </w:t>
      </w:r>
      <w:r w:rsidR="009B2672">
        <w:rPr>
          <w:rFonts w:ascii="Times New Roman" w:hAnsi="Times New Roman" w:cs="Times New Roman"/>
          <w:sz w:val="24"/>
          <w:szCs w:val="24"/>
        </w:rPr>
        <w:t>ha</w:t>
      </w:r>
      <w:r w:rsidR="00D34CCA">
        <w:rPr>
          <w:rFonts w:ascii="Times New Roman" w:hAnsi="Times New Roman" w:cs="Times New Roman"/>
          <w:sz w:val="24"/>
          <w:szCs w:val="24"/>
        </w:rPr>
        <w:t>s an independent</w:t>
      </w:r>
      <w:r w:rsidR="004F4F66" w:rsidRPr="00D34CCA">
        <w:rPr>
          <w:rFonts w:ascii="Times New Roman" w:hAnsi="Times New Roman" w:cs="Times New Roman"/>
          <w:sz w:val="24"/>
          <w:szCs w:val="24"/>
        </w:rPr>
        <w:t xml:space="preserve"> Compensation Committee to oversee all aspects of the program</w:t>
      </w:r>
      <w:r w:rsidR="00B72014">
        <w:rPr>
          <w:rFonts w:ascii="Times New Roman" w:hAnsi="Times New Roman" w:cs="Times New Roman"/>
          <w:sz w:val="24"/>
          <w:szCs w:val="24"/>
        </w:rPr>
        <w:t>,</w:t>
      </w:r>
      <w:r w:rsidR="004F4F66" w:rsidRPr="00D34CCA">
        <w:rPr>
          <w:rFonts w:ascii="Times New Roman" w:hAnsi="Times New Roman" w:cs="Times New Roman"/>
          <w:sz w:val="24"/>
          <w:szCs w:val="24"/>
        </w:rPr>
        <w:t xml:space="preserve"> including base salaries, STIP, LTIP, SERP/deferred compensation, and other benefits. </w:t>
      </w:r>
      <w:r w:rsidR="00D34CCA">
        <w:rPr>
          <w:rFonts w:ascii="Times New Roman" w:hAnsi="Times New Roman" w:cs="Times New Roman"/>
          <w:sz w:val="24"/>
          <w:szCs w:val="24"/>
        </w:rPr>
        <w:t xml:space="preserve"> </w:t>
      </w:r>
      <w:r w:rsidR="004F4F66" w:rsidRPr="00D34CCA">
        <w:rPr>
          <w:rFonts w:ascii="Times New Roman" w:hAnsi="Times New Roman" w:cs="Times New Roman"/>
          <w:sz w:val="24"/>
          <w:szCs w:val="24"/>
        </w:rPr>
        <w:t xml:space="preserve">The Compensation Committee </w:t>
      </w:r>
      <w:r w:rsidR="00D34CCA">
        <w:rPr>
          <w:rFonts w:ascii="Times New Roman" w:hAnsi="Times New Roman" w:cs="Times New Roman"/>
          <w:sz w:val="24"/>
          <w:szCs w:val="24"/>
        </w:rPr>
        <w:t>relies on</w:t>
      </w:r>
      <w:r w:rsidR="004F4F66" w:rsidRPr="00D34CCA">
        <w:rPr>
          <w:rFonts w:ascii="Times New Roman" w:hAnsi="Times New Roman" w:cs="Times New Roman"/>
          <w:sz w:val="24"/>
          <w:szCs w:val="24"/>
        </w:rPr>
        <w:t xml:space="preserve"> </w:t>
      </w:r>
      <w:r w:rsidR="00A06B8F" w:rsidRPr="00D34CCA">
        <w:rPr>
          <w:rFonts w:ascii="Times New Roman" w:hAnsi="Times New Roman" w:cs="Times New Roman"/>
          <w:sz w:val="24"/>
          <w:szCs w:val="24"/>
        </w:rPr>
        <w:t xml:space="preserve">additional analysis </w:t>
      </w:r>
      <w:r w:rsidR="004F4F66" w:rsidRPr="00D34CCA">
        <w:rPr>
          <w:rFonts w:ascii="Times New Roman" w:hAnsi="Times New Roman" w:cs="Times New Roman"/>
          <w:sz w:val="24"/>
          <w:szCs w:val="24"/>
        </w:rPr>
        <w:t>from an independent compensation expert</w:t>
      </w:r>
      <w:r w:rsidR="00A06B8F" w:rsidRPr="00D34CCA">
        <w:rPr>
          <w:rFonts w:ascii="Times New Roman" w:hAnsi="Times New Roman" w:cs="Times New Roman"/>
          <w:sz w:val="24"/>
          <w:szCs w:val="24"/>
        </w:rPr>
        <w:t>, Towers Watson, for</w:t>
      </w:r>
      <w:r w:rsidR="004F4F66" w:rsidRPr="00D34CCA">
        <w:rPr>
          <w:rFonts w:ascii="Times New Roman" w:hAnsi="Times New Roman" w:cs="Times New Roman"/>
          <w:sz w:val="24"/>
          <w:szCs w:val="24"/>
        </w:rPr>
        <w:t xml:space="preserve"> each pay element relative to the Company’s objectives, market practices and other factors</w:t>
      </w:r>
      <w:r w:rsidR="00A06B8F" w:rsidRPr="00D34CCA">
        <w:rPr>
          <w:rFonts w:ascii="Times New Roman" w:hAnsi="Times New Roman" w:cs="Times New Roman"/>
          <w:sz w:val="24"/>
          <w:szCs w:val="24"/>
        </w:rPr>
        <w:t xml:space="preserve"> consistent within a </w:t>
      </w:r>
      <w:r w:rsidR="004F4F66" w:rsidRPr="00D34CCA">
        <w:rPr>
          <w:rFonts w:ascii="Times New Roman" w:hAnsi="Times New Roman" w:cs="Times New Roman"/>
          <w:sz w:val="24"/>
          <w:szCs w:val="24"/>
        </w:rPr>
        <w:t xml:space="preserve">peer group </w:t>
      </w:r>
      <w:r w:rsidR="00A06B8F" w:rsidRPr="00D34CCA">
        <w:rPr>
          <w:rFonts w:ascii="Times New Roman" w:hAnsi="Times New Roman" w:cs="Times New Roman"/>
          <w:sz w:val="24"/>
          <w:szCs w:val="24"/>
        </w:rPr>
        <w:t xml:space="preserve">of </w:t>
      </w:r>
      <w:r w:rsidR="004F4F66" w:rsidRPr="00D34CCA">
        <w:rPr>
          <w:rFonts w:ascii="Times New Roman" w:hAnsi="Times New Roman" w:cs="Times New Roman"/>
          <w:sz w:val="24"/>
          <w:szCs w:val="24"/>
        </w:rPr>
        <w:t xml:space="preserve">utilities </w:t>
      </w:r>
      <w:r w:rsidR="00A06B8F" w:rsidRPr="00D34CCA">
        <w:rPr>
          <w:rFonts w:ascii="Times New Roman" w:hAnsi="Times New Roman" w:cs="Times New Roman"/>
          <w:sz w:val="24"/>
          <w:szCs w:val="24"/>
        </w:rPr>
        <w:t>of</w:t>
      </w:r>
      <w:r w:rsidR="004F4F66" w:rsidRPr="00D34CCA">
        <w:rPr>
          <w:rFonts w:ascii="Times New Roman" w:hAnsi="Times New Roman" w:cs="Times New Roman"/>
          <w:sz w:val="24"/>
          <w:szCs w:val="24"/>
        </w:rPr>
        <w:t xml:space="preserve"> similar size and characteristics as Avista. </w:t>
      </w:r>
      <w:r w:rsidR="00A06B8F" w:rsidRPr="00D34CCA">
        <w:rPr>
          <w:rFonts w:ascii="Times New Roman" w:hAnsi="Times New Roman" w:cs="Times New Roman"/>
          <w:sz w:val="24"/>
          <w:szCs w:val="24"/>
        </w:rPr>
        <w:t xml:space="preserve"> </w:t>
      </w:r>
      <w:r w:rsidR="004F4F66" w:rsidRPr="00D34CCA">
        <w:rPr>
          <w:rFonts w:ascii="Times New Roman" w:hAnsi="Times New Roman" w:cs="Times New Roman"/>
          <w:sz w:val="24"/>
          <w:szCs w:val="24"/>
        </w:rPr>
        <w:t xml:space="preserve"> </w:t>
      </w:r>
      <w:r w:rsidR="00D34CCA">
        <w:rPr>
          <w:rFonts w:ascii="Times New Roman" w:hAnsi="Times New Roman" w:cs="Times New Roman"/>
          <w:sz w:val="24"/>
          <w:szCs w:val="24"/>
        </w:rPr>
        <w:t>Finally</w:t>
      </w:r>
      <w:r w:rsidR="004F4F66" w:rsidRPr="00D34CCA">
        <w:rPr>
          <w:rFonts w:ascii="Times New Roman" w:hAnsi="Times New Roman" w:cs="Times New Roman"/>
          <w:sz w:val="24"/>
          <w:szCs w:val="24"/>
        </w:rPr>
        <w:t>, Avista’s shareholders weigh in on the program through the “Say</w:t>
      </w:r>
      <w:r w:rsidR="00A06B8F" w:rsidRPr="00D34CCA">
        <w:rPr>
          <w:rFonts w:ascii="Times New Roman" w:hAnsi="Times New Roman" w:cs="Times New Roman"/>
          <w:sz w:val="24"/>
          <w:szCs w:val="24"/>
        </w:rPr>
        <w:t>-</w:t>
      </w:r>
      <w:r w:rsidR="004F4F66" w:rsidRPr="00D34CCA">
        <w:rPr>
          <w:rFonts w:ascii="Times New Roman" w:hAnsi="Times New Roman" w:cs="Times New Roman"/>
          <w:sz w:val="24"/>
          <w:szCs w:val="24"/>
        </w:rPr>
        <w:lastRenderedPageBreak/>
        <w:t>On</w:t>
      </w:r>
      <w:r w:rsidR="00A06B8F" w:rsidRPr="00D34CCA">
        <w:rPr>
          <w:rFonts w:ascii="Times New Roman" w:hAnsi="Times New Roman" w:cs="Times New Roman"/>
          <w:sz w:val="24"/>
          <w:szCs w:val="24"/>
        </w:rPr>
        <w:t>-</w:t>
      </w:r>
      <w:r w:rsidR="004F4F66" w:rsidRPr="00D34CCA">
        <w:rPr>
          <w:rFonts w:ascii="Times New Roman" w:hAnsi="Times New Roman" w:cs="Times New Roman"/>
          <w:sz w:val="24"/>
          <w:szCs w:val="24"/>
        </w:rPr>
        <w:t xml:space="preserve">Pay” vote in the annual proxy, </w:t>
      </w:r>
      <w:r w:rsidR="00D34CCA">
        <w:rPr>
          <w:rFonts w:ascii="Times New Roman" w:hAnsi="Times New Roman" w:cs="Times New Roman"/>
          <w:sz w:val="24"/>
          <w:szCs w:val="24"/>
        </w:rPr>
        <w:t xml:space="preserve">which </w:t>
      </w:r>
      <w:r w:rsidR="004F4F66" w:rsidRPr="00D34CCA">
        <w:rPr>
          <w:rFonts w:ascii="Times New Roman" w:hAnsi="Times New Roman" w:cs="Times New Roman"/>
          <w:sz w:val="24"/>
          <w:szCs w:val="24"/>
        </w:rPr>
        <w:t>pass</w:t>
      </w:r>
      <w:r w:rsidR="00D34CCA">
        <w:rPr>
          <w:rFonts w:ascii="Times New Roman" w:hAnsi="Times New Roman" w:cs="Times New Roman"/>
          <w:sz w:val="24"/>
          <w:szCs w:val="24"/>
        </w:rPr>
        <w:t>ed</w:t>
      </w:r>
      <w:r w:rsidR="004F4F66" w:rsidRPr="00D34CCA">
        <w:rPr>
          <w:rFonts w:ascii="Times New Roman" w:hAnsi="Times New Roman" w:cs="Times New Roman"/>
          <w:sz w:val="24"/>
          <w:szCs w:val="24"/>
        </w:rPr>
        <w:t xml:space="preserve"> in 2011 with a 9</w:t>
      </w:r>
      <w:r w:rsidR="003A2857">
        <w:rPr>
          <w:rFonts w:ascii="Times New Roman" w:hAnsi="Times New Roman" w:cs="Times New Roman"/>
          <w:sz w:val="24"/>
          <w:szCs w:val="24"/>
        </w:rPr>
        <w:t>4</w:t>
      </w:r>
      <w:r w:rsidR="004F4F66" w:rsidRPr="00D34CCA">
        <w:rPr>
          <w:rFonts w:ascii="Times New Roman" w:hAnsi="Times New Roman" w:cs="Times New Roman"/>
          <w:sz w:val="24"/>
          <w:szCs w:val="24"/>
        </w:rPr>
        <w:t xml:space="preserve">% approval rate.  </w:t>
      </w:r>
      <w:r w:rsidR="00FC6721" w:rsidRPr="00D34CCA">
        <w:rPr>
          <w:rFonts w:ascii="Times New Roman" w:hAnsi="Times New Roman" w:cs="Times New Roman"/>
          <w:sz w:val="24"/>
          <w:szCs w:val="24"/>
        </w:rPr>
        <w:t>The level of compensation and benefits provided to executive officers is what other</w:t>
      </w:r>
      <w:r>
        <w:rPr>
          <w:rFonts w:ascii="Times New Roman" w:hAnsi="Times New Roman" w:cs="Times New Roman"/>
          <w:sz w:val="24"/>
          <w:szCs w:val="24"/>
        </w:rPr>
        <w:t xml:space="preserve"> similar</w:t>
      </w:r>
      <w:r w:rsidR="00FC6721" w:rsidRPr="00D34CCA">
        <w:rPr>
          <w:rFonts w:ascii="Times New Roman" w:hAnsi="Times New Roman" w:cs="Times New Roman"/>
          <w:sz w:val="24"/>
          <w:szCs w:val="24"/>
        </w:rPr>
        <w:t xml:space="preserve"> utilities offer.  </w:t>
      </w:r>
    </w:p>
    <w:p w:rsidR="00FC6721" w:rsidRPr="00D34CCA" w:rsidRDefault="00FC6721" w:rsidP="005F26CC">
      <w:pPr>
        <w:jc w:val="both"/>
        <w:rPr>
          <w:rFonts w:ascii="Times New Roman" w:hAnsi="Times New Roman" w:cs="Times New Roman"/>
          <w:sz w:val="24"/>
          <w:szCs w:val="24"/>
        </w:rPr>
      </w:pPr>
    </w:p>
    <w:p w:rsidR="005F26CC" w:rsidRDefault="00E25F19" w:rsidP="005F26CC">
      <w:pPr>
        <w:jc w:val="both"/>
        <w:rPr>
          <w:rFonts w:ascii="Times New Roman" w:hAnsi="Times New Roman" w:cs="Times New Roman"/>
          <w:sz w:val="24"/>
          <w:szCs w:val="24"/>
        </w:rPr>
      </w:pPr>
      <w:r w:rsidRPr="00D34CCA">
        <w:rPr>
          <w:rFonts w:ascii="Times New Roman" w:hAnsi="Times New Roman" w:cs="Times New Roman"/>
          <w:sz w:val="24"/>
          <w:szCs w:val="24"/>
        </w:rPr>
        <w:t xml:space="preserve">The Company’s </w:t>
      </w:r>
      <w:r w:rsidR="00D34CCA">
        <w:rPr>
          <w:rFonts w:ascii="Times New Roman" w:hAnsi="Times New Roman" w:cs="Times New Roman"/>
          <w:sz w:val="24"/>
          <w:szCs w:val="24"/>
        </w:rPr>
        <w:t>compensation</w:t>
      </w:r>
      <w:r w:rsidRPr="00D34CCA">
        <w:rPr>
          <w:rFonts w:ascii="Times New Roman" w:hAnsi="Times New Roman" w:cs="Times New Roman"/>
          <w:sz w:val="24"/>
          <w:szCs w:val="24"/>
        </w:rPr>
        <w:t xml:space="preserve"> </w:t>
      </w:r>
      <w:r w:rsidR="00D34CCA">
        <w:rPr>
          <w:rFonts w:ascii="Times New Roman" w:hAnsi="Times New Roman" w:cs="Times New Roman"/>
          <w:sz w:val="24"/>
          <w:szCs w:val="24"/>
        </w:rPr>
        <w:t>package</w:t>
      </w:r>
      <w:r w:rsidRPr="00D34CCA">
        <w:rPr>
          <w:rFonts w:ascii="Times New Roman" w:hAnsi="Times New Roman" w:cs="Times New Roman"/>
          <w:sz w:val="24"/>
          <w:szCs w:val="24"/>
        </w:rPr>
        <w:t xml:space="preserve"> </w:t>
      </w:r>
      <w:r w:rsidR="00D34CCA">
        <w:rPr>
          <w:rFonts w:ascii="Times New Roman" w:hAnsi="Times New Roman" w:cs="Times New Roman"/>
          <w:sz w:val="24"/>
          <w:szCs w:val="24"/>
        </w:rPr>
        <w:t>is</w:t>
      </w:r>
      <w:r w:rsidRPr="00D34CCA">
        <w:rPr>
          <w:rFonts w:ascii="Times New Roman" w:hAnsi="Times New Roman" w:cs="Times New Roman"/>
          <w:sz w:val="24"/>
          <w:szCs w:val="24"/>
        </w:rPr>
        <w:t xml:space="preserve"> designed to be competitive with other organizations in the utility industry</w:t>
      </w:r>
      <w:r w:rsidR="00D34CCA">
        <w:rPr>
          <w:rFonts w:ascii="Times New Roman" w:hAnsi="Times New Roman" w:cs="Times New Roman"/>
          <w:sz w:val="24"/>
          <w:szCs w:val="24"/>
        </w:rPr>
        <w:t>,</w:t>
      </w:r>
      <w:r w:rsidRPr="00D34CCA">
        <w:rPr>
          <w:rFonts w:ascii="Times New Roman" w:hAnsi="Times New Roman" w:cs="Times New Roman"/>
          <w:sz w:val="24"/>
          <w:szCs w:val="24"/>
        </w:rPr>
        <w:t xml:space="preserve"> and attract and retain qualified employees.</w:t>
      </w:r>
      <w:r w:rsidR="005F26CC" w:rsidRPr="00D34CCA">
        <w:rPr>
          <w:rFonts w:ascii="Times New Roman" w:hAnsi="Times New Roman" w:cs="Times New Roman"/>
          <w:sz w:val="24"/>
          <w:szCs w:val="24"/>
        </w:rPr>
        <w:t xml:space="preserve"> </w:t>
      </w:r>
      <w:r w:rsidRPr="00D34CCA">
        <w:rPr>
          <w:rFonts w:ascii="Times New Roman" w:hAnsi="Times New Roman" w:cs="Times New Roman"/>
          <w:sz w:val="24"/>
          <w:szCs w:val="24"/>
        </w:rPr>
        <w:t xml:space="preserve"> The compensation programs are intended to align the executive officer interests with those of our shareholder and customers</w:t>
      </w:r>
      <w:r w:rsidR="005F26CC" w:rsidRPr="00D34CCA">
        <w:rPr>
          <w:rFonts w:ascii="Times New Roman" w:hAnsi="Times New Roman" w:cs="Times New Roman"/>
          <w:sz w:val="24"/>
          <w:szCs w:val="24"/>
        </w:rPr>
        <w:t xml:space="preserve"> with the focus on achieving solid results, controlling costs, maintaining system reliability, and delivering outstanding customer service. </w:t>
      </w:r>
      <w:r w:rsidR="00D34CCA">
        <w:rPr>
          <w:rFonts w:ascii="Times New Roman" w:hAnsi="Times New Roman" w:cs="Times New Roman"/>
          <w:sz w:val="24"/>
          <w:szCs w:val="24"/>
        </w:rPr>
        <w:t xml:space="preserve"> </w:t>
      </w:r>
      <w:r w:rsidR="00AF1B48" w:rsidRPr="00D34CCA">
        <w:rPr>
          <w:rFonts w:ascii="Times New Roman" w:hAnsi="Times New Roman" w:cs="Times New Roman"/>
          <w:sz w:val="24"/>
          <w:szCs w:val="24"/>
        </w:rPr>
        <w:t xml:space="preserve">In accordance with the pay-for-performance philosophy, the total compensation received by executive officers reflects corporate and operational performance measured against annual and long term performance goals. </w:t>
      </w:r>
      <w:r w:rsidR="00D34CCA">
        <w:rPr>
          <w:rFonts w:ascii="Times New Roman" w:hAnsi="Times New Roman" w:cs="Times New Roman"/>
          <w:sz w:val="24"/>
          <w:szCs w:val="24"/>
        </w:rPr>
        <w:t xml:space="preserve"> </w:t>
      </w:r>
    </w:p>
    <w:p w:rsidR="000F77D9" w:rsidRDefault="000F77D9" w:rsidP="005F26CC">
      <w:pPr>
        <w:jc w:val="both"/>
        <w:rPr>
          <w:rFonts w:ascii="Times New Roman" w:hAnsi="Times New Roman" w:cs="Times New Roman"/>
          <w:sz w:val="24"/>
          <w:szCs w:val="24"/>
        </w:rPr>
      </w:pPr>
    </w:p>
    <w:p w:rsidR="000F77D9" w:rsidRDefault="000F77D9" w:rsidP="005F26CC">
      <w:pPr>
        <w:jc w:val="both"/>
        <w:rPr>
          <w:rFonts w:ascii="Times New Roman" w:hAnsi="Times New Roman" w:cs="Times New Roman"/>
          <w:sz w:val="24"/>
          <w:szCs w:val="24"/>
        </w:rPr>
      </w:pPr>
      <w:r>
        <w:rPr>
          <w:rFonts w:ascii="Times New Roman" w:hAnsi="Times New Roman" w:cs="Times New Roman"/>
          <w:sz w:val="24"/>
          <w:szCs w:val="24"/>
        </w:rPr>
        <w:t>As shown in Illustration 1, of the total salaries and incentive pay for all officers</w:t>
      </w:r>
      <w:r w:rsidR="00D77586">
        <w:rPr>
          <w:rFonts w:ascii="Times New Roman" w:hAnsi="Times New Roman" w:cs="Times New Roman"/>
          <w:sz w:val="24"/>
          <w:szCs w:val="24"/>
        </w:rPr>
        <w:t xml:space="preserve"> of $9.5 million in 2011, </w:t>
      </w:r>
      <w:r>
        <w:rPr>
          <w:rFonts w:ascii="Times New Roman" w:hAnsi="Times New Roman" w:cs="Times New Roman"/>
          <w:sz w:val="24"/>
          <w:szCs w:val="24"/>
        </w:rPr>
        <w:t>41.</w:t>
      </w:r>
      <w:r w:rsidR="00D77586">
        <w:rPr>
          <w:rFonts w:ascii="Times New Roman" w:hAnsi="Times New Roman" w:cs="Times New Roman"/>
          <w:sz w:val="24"/>
          <w:szCs w:val="24"/>
        </w:rPr>
        <w:t>6</w:t>
      </w:r>
      <w:r>
        <w:rPr>
          <w:rFonts w:ascii="Times New Roman" w:hAnsi="Times New Roman" w:cs="Times New Roman"/>
          <w:sz w:val="24"/>
          <w:szCs w:val="24"/>
        </w:rPr>
        <w:t>%</w:t>
      </w:r>
      <w:r w:rsidR="00D77586">
        <w:rPr>
          <w:rFonts w:ascii="Times New Roman" w:hAnsi="Times New Roman" w:cs="Times New Roman"/>
          <w:sz w:val="24"/>
          <w:szCs w:val="24"/>
        </w:rPr>
        <w:t xml:space="preserve"> or $3.8 million</w:t>
      </w:r>
      <w:r>
        <w:rPr>
          <w:rFonts w:ascii="Times New Roman" w:hAnsi="Times New Roman" w:cs="Times New Roman"/>
          <w:sz w:val="24"/>
          <w:szCs w:val="24"/>
        </w:rPr>
        <w:t xml:space="preserve"> is included in retail rates</w:t>
      </w:r>
      <w:r w:rsidR="00D77586">
        <w:rPr>
          <w:rFonts w:ascii="Times New Roman" w:hAnsi="Times New Roman" w:cs="Times New Roman"/>
          <w:sz w:val="24"/>
          <w:szCs w:val="24"/>
        </w:rPr>
        <w:t xml:space="preserve"> on a system basis.</w:t>
      </w:r>
      <w:r w:rsidR="003C5C0B">
        <w:rPr>
          <w:rFonts w:ascii="Times New Roman" w:hAnsi="Times New Roman" w:cs="Times New Roman"/>
          <w:sz w:val="24"/>
          <w:szCs w:val="24"/>
        </w:rPr>
        <w:t xml:space="preserve">  Washington’s portion of the overall salaries and incentive pay included in rates is </w:t>
      </w:r>
      <w:r w:rsidR="007874AF">
        <w:rPr>
          <w:rFonts w:ascii="Times New Roman" w:hAnsi="Times New Roman" w:cs="Times New Roman"/>
          <w:sz w:val="24"/>
          <w:szCs w:val="24"/>
        </w:rPr>
        <w:t xml:space="preserve">$2.4 million, or </w:t>
      </w:r>
      <w:r w:rsidR="00AE501D">
        <w:rPr>
          <w:rFonts w:ascii="Times New Roman" w:hAnsi="Times New Roman" w:cs="Times New Roman"/>
          <w:sz w:val="24"/>
          <w:szCs w:val="24"/>
        </w:rPr>
        <w:t>25</w:t>
      </w:r>
      <w:r w:rsidR="003C5C0B">
        <w:rPr>
          <w:rFonts w:ascii="Times New Roman" w:hAnsi="Times New Roman" w:cs="Times New Roman"/>
          <w:sz w:val="24"/>
          <w:szCs w:val="24"/>
        </w:rPr>
        <w:t>%</w:t>
      </w:r>
      <w:r w:rsidR="006D19C0">
        <w:rPr>
          <w:rFonts w:ascii="Times New Roman" w:hAnsi="Times New Roman" w:cs="Times New Roman"/>
          <w:sz w:val="24"/>
          <w:szCs w:val="24"/>
        </w:rPr>
        <w:t xml:space="preserve"> </w:t>
      </w:r>
      <w:r w:rsidR="007874AF">
        <w:rPr>
          <w:rFonts w:ascii="Times New Roman" w:hAnsi="Times New Roman" w:cs="Times New Roman"/>
          <w:sz w:val="24"/>
          <w:szCs w:val="24"/>
        </w:rPr>
        <w:t>of the total salaries and incentive pay.</w:t>
      </w:r>
    </w:p>
    <w:p w:rsidR="005F26CC" w:rsidRPr="00AF1B48" w:rsidRDefault="005F26CC" w:rsidP="005F26CC">
      <w:pPr>
        <w:jc w:val="both"/>
        <w:rPr>
          <w:rFonts w:ascii="Times New Roman" w:hAnsi="Times New Roman" w:cs="Times New Roman"/>
          <w:sz w:val="24"/>
          <w:szCs w:val="24"/>
        </w:rPr>
      </w:pPr>
    </w:p>
    <w:sectPr w:rsidR="005F26CC" w:rsidRPr="00AF1B48" w:rsidSect="00A5062F">
      <w:headerReference w:type="default" r:id="rId10"/>
      <w:footerReference w:type="default" r:id="rId11"/>
      <w:pgSz w:w="12240" w:h="15840" w:code="1"/>
      <w:pgMar w:top="1152" w:right="1152" w:bottom="1260" w:left="1152"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D41" w:rsidRDefault="00CE2D41" w:rsidP="00DC0093">
      <w:r>
        <w:separator/>
      </w:r>
    </w:p>
  </w:endnote>
  <w:endnote w:type="continuationSeparator" w:id="0">
    <w:p w:rsidR="00CE2D41" w:rsidRDefault="00CE2D41" w:rsidP="00DC00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35617"/>
      <w:docPartObj>
        <w:docPartGallery w:val="Page Numbers (Bottom of Page)"/>
        <w:docPartUnique/>
      </w:docPartObj>
    </w:sdtPr>
    <w:sdtEndPr>
      <w:rPr>
        <w:rFonts w:ascii="Times New Roman" w:hAnsi="Times New Roman" w:cs="Times New Roman"/>
        <w:sz w:val="24"/>
        <w:szCs w:val="24"/>
      </w:rPr>
    </w:sdtEndPr>
    <w:sdtContent>
      <w:sdt>
        <w:sdtPr>
          <w:id w:val="179135618"/>
          <w:docPartObj>
            <w:docPartGallery w:val="Page Numbers (Top of Page)"/>
            <w:docPartUnique/>
          </w:docPartObj>
        </w:sdtPr>
        <w:sdtEndPr>
          <w:rPr>
            <w:rFonts w:ascii="Times New Roman" w:hAnsi="Times New Roman" w:cs="Times New Roman"/>
            <w:sz w:val="24"/>
            <w:szCs w:val="24"/>
          </w:rPr>
        </w:sdtEndPr>
        <w:sdtContent>
          <w:p w:rsidR="00CE2D41" w:rsidRPr="00D6615A" w:rsidRDefault="00CE2D41" w:rsidP="00680A2F">
            <w:pPr>
              <w:rPr>
                <w:rFonts w:ascii="Times New Roman" w:hAnsi="Times New Roman" w:cs="Times New Roman"/>
                <w:sz w:val="24"/>
                <w:szCs w:val="24"/>
              </w:rPr>
            </w:pPr>
          </w:p>
          <w:p w:rsidR="00CE2D41" w:rsidRPr="00D6615A" w:rsidRDefault="00CE2D41" w:rsidP="00B36635">
            <w:pPr>
              <w:pStyle w:val="Header"/>
              <w:tabs>
                <w:tab w:val="clear" w:pos="9360"/>
                <w:tab w:val="right" w:pos="9900"/>
              </w:tabs>
              <w:rPr>
                <w:rFonts w:ascii="Times New Roman" w:hAnsi="Times New Roman" w:cs="Times New Roman"/>
                <w:sz w:val="24"/>
                <w:szCs w:val="24"/>
              </w:rPr>
            </w:pPr>
            <w:r w:rsidRPr="00D6615A">
              <w:rPr>
                <w:rFonts w:ascii="Times New Roman" w:hAnsi="Times New Roman" w:cs="Times New Roman"/>
                <w:sz w:val="24"/>
                <w:szCs w:val="24"/>
              </w:rPr>
              <w:t xml:space="preserve">Review of Executive Compensation  </w:t>
            </w:r>
            <w:r w:rsidRPr="00D6615A">
              <w:rPr>
                <w:rFonts w:ascii="Times New Roman" w:hAnsi="Times New Roman" w:cs="Times New Roman"/>
                <w:sz w:val="24"/>
                <w:szCs w:val="24"/>
              </w:rPr>
              <w:tab/>
            </w:r>
            <w:r w:rsidRPr="00D6615A">
              <w:rPr>
                <w:rFonts w:ascii="Times New Roman" w:hAnsi="Times New Roman" w:cs="Times New Roman"/>
                <w:sz w:val="24"/>
                <w:szCs w:val="24"/>
              </w:rPr>
              <w:tab/>
            </w:r>
            <w:sdt>
              <w:sdtPr>
                <w:rPr>
                  <w:rFonts w:ascii="Times New Roman" w:hAnsi="Times New Roman" w:cs="Times New Roman"/>
                  <w:sz w:val="24"/>
                  <w:szCs w:val="24"/>
                </w:rPr>
                <w:id w:val="565053189"/>
                <w:docPartObj>
                  <w:docPartGallery w:val="Page Numbers (Top of Page)"/>
                  <w:docPartUnique/>
                </w:docPartObj>
              </w:sdtPr>
              <w:sdtContent>
                <w:r>
                  <w:rPr>
                    <w:rFonts w:ascii="Times New Roman" w:hAnsi="Times New Roman" w:cs="Times New Roman"/>
                    <w:sz w:val="24"/>
                    <w:szCs w:val="24"/>
                  </w:rPr>
                  <w:t xml:space="preserve">   </w:t>
                </w:r>
                <w:r w:rsidRPr="00D6615A">
                  <w:rPr>
                    <w:rFonts w:ascii="Times New Roman" w:hAnsi="Times New Roman" w:cs="Times New Roman"/>
                    <w:sz w:val="24"/>
                    <w:szCs w:val="24"/>
                  </w:rPr>
                  <w:t xml:space="preserve">Page </w:t>
                </w:r>
                <w:r w:rsidR="005517F4" w:rsidRPr="00D6615A">
                  <w:rPr>
                    <w:rFonts w:ascii="Times New Roman" w:hAnsi="Times New Roman" w:cs="Times New Roman"/>
                    <w:sz w:val="24"/>
                    <w:szCs w:val="24"/>
                  </w:rPr>
                  <w:fldChar w:fldCharType="begin"/>
                </w:r>
                <w:r w:rsidRPr="00D6615A">
                  <w:rPr>
                    <w:rFonts w:ascii="Times New Roman" w:hAnsi="Times New Roman" w:cs="Times New Roman"/>
                    <w:sz w:val="24"/>
                    <w:szCs w:val="24"/>
                  </w:rPr>
                  <w:instrText xml:space="preserve"> PAGE </w:instrText>
                </w:r>
                <w:r w:rsidR="005517F4" w:rsidRPr="00D6615A">
                  <w:rPr>
                    <w:rFonts w:ascii="Times New Roman" w:hAnsi="Times New Roman" w:cs="Times New Roman"/>
                    <w:sz w:val="24"/>
                    <w:szCs w:val="24"/>
                  </w:rPr>
                  <w:fldChar w:fldCharType="separate"/>
                </w:r>
                <w:r w:rsidR="003A2857">
                  <w:rPr>
                    <w:rFonts w:ascii="Times New Roman" w:hAnsi="Times New Roman" w:cs="Times New Roman"/>
                    <w:noProof/>
                    <w:sz w:val="24"/>
                    <w:szCs w:val="24"/>
                  </w:rPr>
                  <w:t>11</w:t>
                </w:r>
                <w:r w:rsidR="005517F4" w:rsidRPr="00D6615A">
                  <w:rPr>
                    <w:rFonts w:ascii="Times New Roman" w:hAnsi="Times New Roman" w:cs="Times New Roman"/>
                    <w:sz w:val="24"/>
                    <w:szCs w:val="24"/>
                  </w:rPr>
                  <w:fldChar w:fldCharType="end"/>
                </w:r>
              </w:sdtContent>
            </w:sdt>
          </w:p>
          <w:p w:rsidR="00CE2D41" w:rsidRPr="00894469" w:rsidRDefault="005517F4">
            <w:pPr>
              <w:pStyle w:val="Footer"/>
              <w:rPr>
                <w:rFonts w:ascii="Times New Roman" w:hAnsi="Times New Roman" w:cs="Times New Roman"/>
                <w:sz w:val="24"/>
                <w:szCs w:val="24"/>
              </w:rPr>
            </w:pPr>
          </w:p>
        </w:sdtContent>
      </w:sdt>
    </w:sdtContent>
  </w:sdt>
  <w:p w:rsidR="00CE2D41" w:rsidRPr="0087238E" w:rsidRDefault="00CE2D41">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D41" w:rsidRDefault="00CE2D41" w:rsidP="00DC0093">
      <w:r>
        <w:separator/>
      </w:r>
    </w:p>
  </w:footnote>
  <w:footnote w:type="continuationSeparator" w:id="0">
    <w:p w:rsidR="00CE2D41" w:rsidRDefault="00CE2D41" w:rsidP="00DC0093">
      <w:r>
        <w:continuationSeparator/>
      </w:r>
    </w:p>
  </w:footnote>
  <w:footnote w:id="1">
    <w:p w:rsidR="00CE2D41" w:rsidRPr="00D12C5C" w:rsidRDefault="00CE2D41" w:rsidP="003A2857">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The information in t</w:t>
      </w:r>
      <w:r w:rsidRPr="00D12C5C">
        <w:rPr>
          <w:rFonts w:ascii="Times New Roman" w:hAnsi="Times New Roman" w:cs="Times New Roman"/>
        </w:rPr>
        <w:t xml:space="preserve">his table for the top five officers is based on information shown in the 2012 Proxy Statement, plus salaries and incentives for the remaining officers. </w:t>
      </w:r>
      <w:r>
        <w:rPr>
          <w:rFonts w:ascii="Times New Roman" w:hAnsi="Times New Roman" w:cs="Times New Roman"/>
        </w:rPr>
        <w:t>This table excludes company benefits such as pension, medical, etc.  S</w:t>
      </w:r>
      <w:r w:rsidRPr="00D12C5C">
        <w:rPr>
          <w:rFonts w:ascii="Times New Roman" w:hAnsi="Times New Roman" w:cs="Times New Roman"/>
        </w:rPr>
        <w:t>ee Attachment F for further information.</w:t>
      </w:r>
    </w:p>
  </w:footnote>
  <w:footnote w:id="2">
    <w:p w:rsidR="00B32FFF" w:rsidRPr="004235AE" w:rsidRDefault="00B32FFF" w:rsidP="003A2857">
      <w:pPr>
        <w:pStyle w:val="FootnoteText"/>
        <w:jc w:val="both"/>
        <w:rPr>
          <w:rFonts w:ascii="Times New Roman" w:hAnsi="Times New Roman" w:cs="Times New Roman"/>
        </w:rPr>
      </w:pPr>
      <w:r>
        <w:rPr>
          <w:rStyle w:val="FootnoteReference"/>
        </w:rPr>
        <w:footnoteRef/>
      </w:r>
      <w:r>
        <w:t xml:space="preserve"> </w:t>
      </w:r>
      <w:r w:rsidRPr="004235AE">
        <w:rPr>
          <w:rFonts w:ascii="Times New Roman" w:hAnsi="Times New Roman" w:cs="Times New Roman"/>
        </w:rPr>
        <w:t xml:space="preserve">Represents the change in pension amounts between 12/31/10 and 12/31/11 at net present value.  The increase in the value of pension benefits is due to one additional year </w:t>
      </w:r>
      <w:r w:rsidR="00CE4A98">
        <w:rPr>
          <w:rFonts w:ascii="Times New Roman" w:hAnsi="Times New Roman" w:cs="Times New Roman"/>
        </w:rPr>
        <w:t>of</w:t>
      </w:r>
      <w:r w:rsidRPr="004235AE">
        <w:rPr>
          <w:rFonts w:ascii="Times New Roman" w:hAnsi="Times New Roman" w:cs="Times New Roman"/>
        </w:rPr>
        <w:t xml:space="preserve"> service, higher final average earnings, the passage of time, and changes in interest and mortality assumptions for calculating present values.</w:t>
      </w:r>
      <w:r w:rsidR="00AE501D">
        <w:rPr>
          <w:rFonts w:ascii="Times New Roman" w:hAnsi="Times New Roman" w:cs="Times New Roman"/>
        </w:rPr>
        <w:t xml:space="preserve">  The costs detailed in this column are not included in rates.  What is included in rates is the Non-SERP annual pension expense.</w:t>
      </w:r>
      <w:r w:rsidR="003A2857">
        <w:rPr>
          <w:rFonts w:ascii="Times New Roman" w:hAnsi="Times New Roman" w:cs="Times New Roman"/>
        </w:rPr>
        <w:t xml:space="preserve">  Deferred Compensation is not included in rates.</w:t>
      </w:r>
    </w:p>
  </w:footnote>
  <w:footnote w:id="3">
    <w:p w:rsidR="00BF6DD0" w:rsidRPr="004235AE" w:rsidRDefault="00BF6DD0" w:rsidP="003A2857">
      <w:pPr>
        <w:pStyle w:val="FootnoteText"/>
        <w:jc w:val="both"/>
        <w:rPr>
          <w:rFonts w:ascii="Times New Roman" w:hAnsi="Times New Roman" w:cs="Times New Roman"/>
        </w:rPr>
      </w:pPr>
      <w:r w:rsidRPr="004235AE">
        <w:rPr>
          <w:rStyle w:val="FootnoteReference"/>
          <w:rFonts w:ascii="Times New Roman" w:hAnsi="Times New Roman" w:cs="Times New Roman"/>
        </w:rPr>
        <w:footnoteRef/>
      </w:r>
      <w:r w:rsidRPr="004235AE">
        <w:rPr>
          <w:rFonts w:ascii="Times New Roman" w:hAnsi="Times New Roman" w:cs="Times New Roman"/>
        </w:rPr>
        <w:t xml:space="preserve"> Represents the employer matching contributions under the Executive Deferred Compensation Plan. The Investment and Stock Option Plan 401(k) plan and executive one leave cash outs.</w:t>
      </w:r>
      <w:r w:rsidR="007F2B14">
        <w:rPr>
          <w:rFonts w:ascii="Times New Roman" w:hAnsi="Times New Roman" w:cs="Times New Roman"/>
        </w:rPr>
        <w:t xml:space="preserve"> </w:t>
      </w:r>
      <w:r w:rsidRPr="004235AE">
        <w:rPr>
          <w:rFonts w:ascii="Times New Roman" w:hAnsi="Times New Roman" w:cs="Times New Roman"/>
        </w:rPr>
        <w:t xml:space="preserve"> </w:t>
      </w:r>
    </w:p>
  </w:footnote>
  <w:footnote w:id="4">
    <w:p w:rsidR="00CE2D41" w:rsidRDefault="00CE2D41">
      <w:pPr>
        <w:pStyle w:val="FootnoteText"/>
      </w:pPr>
      <w:r w:rsidRPr="00D12C5C">
        <w:rPr>
          <w:rStyle w:val="FootnoteReference"/>
          <w:rFonts w:ascii="Times New Roman" w:hAnsi="Times New Roman" w:cs="Times New Roman"/>
        </w:rPr>
        <w:footnoteRef/>
      </w:r>
      <w:r w:rsidRPr="00D12C5C">
        <w:rPr>
          <w:rFonts w:ascii="Times New Roman" w:hAnsi="Times New Roman" w:cs="Times New Roman"/>
        </w:rPr>
        <w:t xml:space="preserve"> Represents amount of base salary and short term incentive amounts included in base rates as of 1/1/2012</w:t>
      </w:r>
      <w:r>
        <w:rPr>
          <w:rFonts w:ascii="Times New Roman" w:hAnsi="Times New Roman" w:cs="Times New Roman"/>
        </w:rPr>
        <w:t>.</w:t>
      </w:r>
    </w:p>
  </w:footnote>
  <w:footnote w:id="5">
    <w:p w:rsidR="00CE2D41" w:rsidRPr="00465F04" w:rsidRDefault="00CE2D41" w:rsidP="00465F04">
      <w:pPr>
        <w:shd w:val="clear" w:color="auto" w:fill="FFFFFF"/>
        <w:jc w:val="both"/>
        <w:rPr>
          <w:rFonts w:ascii="Times New Roman" w:eastAsia="Times New Roman" w:hAnsi="Times New Roman" w:cs="Times New Roman"/>
          <w:color w:val="000000"/>
          <w:sz w:val="20"/>
          <w:szCs w:val="20"/>
        </w:rPr>
      </w:pPr>
      <w:r w:rsidRPr="00465F04">
        <w:rPr>
          <w:rStyle w:val="FootnoteReference"/>
          <w:rFonts w:ascii="Times New Roman" w:hAnsi="Times New Roman" w:cs="Times New Roman"/>
          <w:sz w:val="20"/>
          <w:szCs w:val="20"/>
        </w:rPr>
        <w:footnoteRef/>
      </w:r>
      <w:r w:rsidRPr="00465F04">
        <w:rPr>
          <w:rFonts w:ascii="Times New Roman" w:eastAsia="Times New Roman" w:hAnsi="Times New Roman" w:cs="Times New Roman"/>
          <w:color w:val="000000"/>
          <w:sz w:val="20"/>
          <w:szCs w:val="20"/>
        </w:rPr>
        <w:t xml:space="preserve"> </w:t>
      </w:r>
      <w:r w:rsidRPr="00F551E5">
        <w:rPr>
          <w:rFonts w:ascii="Times New Roman" w:hAnsi="Times New Roman" w:cs="Times New Roman"/>
          <w:sz w:val="20"/>
          <w:szCs w:val="20"/>
        </w:rPr>
        <w:t xml:space="preserve">Towers Watson is a leading global professional services company that helps organizations </w:t>
      </w:r>
      <w:r>
        <w:rPr>
          <w:rFonts w:ascii="Times New Roman" w:hAnsi="Times New Roman" w:cs="Times New Roman"/>
          <w:sz w:val="20"/>
          <w:szCs w:val="20"/>
        </w:rPr>
        <w:t>assess compensation levels in light of competitive benchmarks. Towers Wa</w:t>
      </w:r>
      <w:r w:rsidRPr="00465F04">
        <w:rPr>
          <w:rFonts w:ascii="Times New Roman" w:hAnsi="Times New Roman" w:cs="Times New Roman"/>
          <w:sz w:val="20"/>
          <w:szCs w:val="20"/>
        </w:rPr>
        <w:t>tson is a nationally recognized independent provider of executive compensation advisory services</w:t>
      </w:r>
      <w:r>
        <w:rPr>
          <w:rFonts w:ascii="Times New Roman" w:hAnsi="Times New Roman" w:cs="Times New Roman"/>
          <w:sz w:val="20"/>
          <w:szCs w:val="20"/>
        </w:rPr>
        <w:t>,</w:t>
      </w:r>
      <w:r w:rsidRPr="00465F04">
        <w:rPr>
          <w:rFonts w:ascii="Times New Roman" w:hAnsi="Times New Roman" w:cs="Times New Roman"/>
          <w:sz w:val="20"/>
          <w:szCs w:val="20"/>
        </w:rPr>
        <w:t xml:space="preserve"> with no legal or financial connection with any other service provider. Towers Watson does not perform any work for the Company outside of its role as consultant to the Compensation Committee.</w:t>
      </w:r>
    </w:p>
    <w:p w:rsidR="00CE2D41" w:rsidRDefault="00CE2D41">
      <w:pPr>
        <w:pStyle w:val="FootnoteText"/>
      </w:pPr>
    </w:p>
  </w:footnote>
  <w:footnote w:id="6">
    <w:p w:rsidR="00CE2D41" w:rsidRPr="00444FDD" w:rsidRDefault="00CE2D41" w:rsidP="00515A4D">
      <w:pPr>
        <w:rPr>
          <w:rFonts w:ascii="Times New Roman" w:hAnsi="Times New Roman" w:cs="Times New Roman"/>
          <w:sz w:val="20"/>
          <w:szCs w:val="20"/>
        </w:rPr>
      </w:pPr>
      <w:r w:rsidRPr="00444FDD">
        <w:rPr>
          <w:rStyle w:val="FootnoteReference"/>
          <w:rFonts w:ascii="Times New Roman" w:hAnsi="Times New Roman" w:cs="Times New Roman"/>
          <w:sz w:val="20"/>
          <w:szCs w:val="20"/>
        </w:rPr>
        <w:footnoteRef/>
      </w:r>
      <w:r w:rsidRPr="00444FDD">
        <w:rPr>
          <w:rFonts w:ascii="Times New Roman" w:hAnsi="Times New Roman" w:cs="Times New Roman"/>
          <w:sz w:val="20"/>
          <w:szCs w:val="20"/>
        </w:rPr>
        <w:t xml:space="preserve"> Value represented above includes avoided costs, efficiencies with benefits redeployed in the utility, net present value of long-lived asset programs, re-invested sourcing benefits and power supply cost reductions.</w:t>
      </w:r>
    </w:p>
    <w:p w:rsidR="00CE2D41" w:rsidRDefault="00CE2D4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D41" w:rsidRDefault="00CE2D41">
    <w:pPr>
      <w:pStyle w:val="Header"/>
      <w:jc w:val="right"/>
    </w:pPr>
  </w:p>
  <w:p w:rsidR="00CE2D41" w:rsidRDefault="00CE2D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0FB7"/>
    <w:multiLevelType w:val="hybridMultilevel"/>
    <w:tmpl w:val="1424F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F91C88"/>
    <w:multiLevelType w:val="hybridMultilevel"/>
    <w:tmpl w:val="EA7AE720"/>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
    <w:nsid w:val="0B7E07D1"/>
    <w:multiLevelType w:val="hybridMultilevel"/>
    <w:tmpl w:val="2F0A2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737E2"/>
    <w:multiLevelType w:val="hybridMultilevel"/>
    <w:tmpl w:val="30D4C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17896"/>
    <w:multiLevelType w:val="hybridMultilevel"/>
    <w:tmpl w:val="A406E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4B09F0"/>
    <w:multiLevelType w:val="hybridMultilevel"/>
    <w:tmpl w:val="92567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F020D"/>
    <w:multiLevelType w:val="hybridMultilevel"/>
    <w:tmpl w:val="DFB6D5DE"/>
    <w:lvl w:ilvl="0" w:tplc="4EBCD7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6C57CE"/>
    <w:multiLevelType w:val="hybridMultilevel"/>
    <w:tmpl w:val="F87E8AB6"/>
    <w:lvl w:ilvl="0" w:tplc="A87AE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1A4471"/>
    <w:multiLevelType w:val="hybridMultilevel"/>
    <w:tmpl w:val="F488A396"/>
    <w:lvl w:ilvl="0" w:tplc="87F67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FB47AD"/>
    <w:multiLevelType w:val="hybridMultilevel"/>
    <w:tmpl w:val="04B88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76115"/>
    <w:multiLevelType w:val="hybridMultilevel"/>
    <w:tmpl w:val="30D4C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0A1474"/>
    <w:multiLevelType w:val="hybridMultilevel"/>
    <w:tmpl w:val="9324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35AA0"/>
    <w:multiLevelType w:val="hybridMultilevel"/>
    <w:tmpl w:val="6F48BFF2"/>
    <w:lvl w:ilvl="0" w:tplc="D362D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3F480D"/>
    <w:multiLevelType w:val="hybridMultilevel"/>
    <w:tmpl w:val="30D4C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E4130"/>
    <w:multiLevelType w:val="hybridMultilevel"/>
    <w:tmpl w:val="0F6C0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D34FE0"/>
    <w:multiLevelType w:val="hybridMultilevel"/>
    <w:tmpl w:val="2D848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2964EE"/>
    <w:multiLevelType w:val="hybridMultilevel"/>
    <w:tmpl w:val="EB782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8755B5"/>
    <w:multiLevelType w:val="hybridMultilevel"/>
    <w:tmpl w:val="C05860EA"/>
    <w:lvl w:ilvl="0" w:tplc="38CAFE92">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B22D0F"/>
    <w:multiLevelType w:val="hybridMultilevel"/>
    <w:tmpl w:val="A4B2C0F8"/>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9">
    <w:nsid w:val="3CED1F5B"/>
    <w:multiLevelType w:val="hybridMultilevel"/>
    <w:tmpl w:val="4CF85EC6"/>
    <w:lvl w:ilvl="0" w:tplc="78BC2442">
      <w:start w:val="1"/>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140CE8"/>
    <w:multiLevelType w:val="hybridMultilevel"/>
    <w:tmpl w:val="BF5C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AE16F0"/>
    <w:multiLevelType w:val="hybridMultilevel"/>
    <w:tmpl w:val="0FDA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042058"/>
    <w:multiLevelType w:val="hybridMultilevel"/>
    <w:tmpl w:val="6808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D0431"/>
    <w:multiLevelType w:val="hybridMultilevel"/>
    <w:tmpl w:val="17509A44"/>
    <w:lvl w:ilvl="0" w:tplc="F4E0FB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EEE4A3A"/>
    <w:multiLevelType w:val="hybridMultilevel"/>
    <w:tmpl w:val="C9322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DF6903"/>
    <w:multiLevelType w:val="hybridMultilevel"/>
    <w:tmpl w:val="BDCE40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627A83"/>
    <w:multiLevelType w:val="hybridMultilevel"/>
    <w:tmpl w:val="CB18E49E"/>
    <w:lvl w:ilvl="0" w:tplc="079E85FE">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772795"/>
    <w:multiLevelType w:val="multilevel"/>
    <w:tmpl w:val="638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BF5E56"/>
    <w:multiLevelType w:val="hybridMultilevel"/>
    <w:tmpl w:val="9942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1"/>
  </w:num>
  <w:num w:numId="3">
    <w:abstractNumId w:val="15"/>
  </w:num>
  <w:num w:numId="4">
    <w:abstractNumId w:val="9"/>
  </w:num>
  <w:num w:numId="5">
    <w:abstractNumId w:val="14"/>
  </w:num>
  <w:num w:numId="6">
    <w:abstractNumId w:val="2"/>
  </w:num>
  <w:num w:numId="7">
    <w:abstractNumId w:val="25"/>
  </w:num>
  <w:num w:numId="8">
    <w:abstractNumId w:val="26"/>
  </w:num>
  <w:num w:numId="9">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6"/>
  </w:num>
  <w:num w:numId="11">
    <w:abstractNumId w:val="5"/>
  </w:num>
  <w:num w:numId="12">
    <w:abstractNumId w:val="12"/>
  </w:num>
  <w:num w:numId="13">
    <w:abstractNumId w:val="17"/>
  </w:num>
  <w:num w:numId="14">
    <w:abstractNumId w:val="7"/>
  </w:num>
  <w:num w:numId="15">
    <w:abstractNumId w:val="23"/>
  </w:num>
  <w:num w:numId="16">
    <w:abstractNumId w:val="6"/>
  </w:num>
  <w:num w:numId="17">
    <w:abstractNumId w:val="19"/>
  </w:num>
  <w:num w:numId="18">
    <w:abstractNumId w:val="8"/>
  </w:num>
  <w:num w:numId="19">
    <w:abstractNumId w:val="10"/>
  </w:num>
  <w:num w:numId="20">
    <w:abstractNumId w:val="24"/>
  </w:num>
  <w:num w:numId="21">
    <w:abstractNumId w:val="28"/>
  </w:num>
  <w:num w:numId="22">
    <w:abstractNumId w:val="20"/>
  </w:num>
  <w:num w:numId="23">
    <w:abstractNumId w:val="4"/>
  </w:num>
  <w:num w:numId="24">
    <w:abstractNumId w:val="0"/>
  </w:num>
  <w:num w:numId="25">
    <w:abstractNumId w:val="1"/>
  </w:num>
  <w:num w:numId="26">
    <w:abstractNumId w:val="18"/>
  </w:num>
  <w:num w:numId="27">
    <w:abstractNumId w:val="11"/>
  </w:num>
  <w:num w:numId="28">
    <w:abstractNumId w:val="13"/>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rsids>
    <w:rsidRoot w:val="00627022"/>
    <w:rsid w:val="00001BB3"/>
    <w:rsid w:val="00003F54"/>
    <w:rsid w:val="00006418"/>
    <w:rsid w:val="0000689A"/>
    <w:rsid w:val="000117D7"/>
    <w:rsid w:val="000138CE"/>
    <w:rsid w:val="00017DA8"/>
    <w:rsid w:val="00017F77"/>
    <w:rsid w:val="00022081"/>
    <w:rsid w:val="00024877"/>
    <w:rsid w:val="00031A17"/>
    <w:rsid w:val="00032667"/>
    <w:rsid w:val="0003495D"/>
    <w:rsid w:val="000369CA"/>
    <w:rsid w:val="00036F70"/>
    <w:rsid w:val="00037891"/>
    <w:rsid w:val="000416DC"/>
    <w:rsid w:val="00041C7C"/>
    <w:rsid w:val="0004428B"/>
    <w:rsid w:val="000443C6"/>
    <w:rsid w:val="000452EE"/>
    <w:rsid w:val="00046152"/>
    <w:rsid w:val="00047DA3"/>
    <w:rsid w:val="00047E69"/>
    <w:rsid w:val="00051B93"/>
    <w:rsid w:val="00052EDE"/>
    <w:rsid w:val="00066C51"/>
    <w:rsid w:val="0007029C"/>
    <w:rsid w:val="00073725"/>
    <w:rsid w:val="000746C7"/>
    <w:rsid w:val="00077C42"/>
    <w:rsid w:val="00081B74"/>
    <w:rsid w:val="00092C4A"/>
    <w:rsid w:val="00092D86"/>
    <w:rsid w:val="000A1300"/>
    <w:rsid w:val="000A4C6C"/>
    <w:rsid w:val="000A579F"/>
    <w:rsid w:val="000A5B4A"/>
    <w:rsid w:val="000A5EF2"/>
    <w:rsid w:val="000B308D"/>
    <w:rsid w:val="000B605B"/>
    <w:rsid w:val="000C3FFA"/>
    <w:rsid w:val="000E17D9"/>
    <w:rsid w:val="000E226D"/>
    <w:rsid w:val="000E6A89"/>
    <w:rsid w:val="000F0475"/>
    <w:rsid w:val="000F17D7"/>
    <w:rsid w:val="000F2FD6"/>
    <w:rsid w:val="000F59D3"/>
    <w:rsid w:val="000F62C3"/>
    <w:rsid w:val="000F69EB"/>
    <w:rsid w:val="000F70B6"/>
    <w:rsid w:val="000F7370"/>
    <w:rsid w:val="000F77D9"/>
    <w:rsid w:val="0010195E"/>
    <w:rsid w:val="00101EFA"/>
    <w:rsid w:val="00113C13"/>
    <w:rsid w:val="00115555"/>
    <w:rsid w:val="0011779C"/>
    <w:rsid w:val="00122DD6"/>
    <w:rsid w:val="00127CAE"/>
    <w:rsid w:val="001360B3"/>
    <w:rsid w:val="00140C3C"/>
    <w:rsid w:val="00143C48"/>
    <w:rsid w:val="00143DE7"/>
    <w:rsid w:val="001466CE"/>
    <w:rsid w:val="0014796D"/>
    <w:rsid w:val="001501CA"/>
    <w:rsid w:val="00150921"/>
    <w:rsid w:val="00153BF8"/>
    <w:rsid w:val="0015679C"/>
    <w:rsid w:val="00163D56"/>
    <w:rsid w:val="0016646A"/>
    <w:rsid w:val="00171A9B"/>
    <w:rsid w:val="0017245D"/>
    <w:rsid w:val="00173DF8"/>
    <w:rsid w:val="00182EEC"/>
    <w:rsid w:val="001832E7"/>
    <w:rsid w:val="001845C5"/>
    <w:rsid w:val="00185435"/>
    <w:rsid w:val="0018713B"/>
    <w:rsid w:val="00187DC4"/>
    <w:rsid w:val="00191FD7"/>
    <w:rsid w:val="00194D23"/>
    <w:rsid w:val="0019619A"/>
    <w:rsid w:val="001A17B7"/>
    <w:rsid w:val="001A70CF"/>
    <w:rsid w:val="001A718D"/>
    <w:rsid w:val="001B08CB"/>
    <w:rsid w:val="001B1F06"/>
    <w:rsid w:val="001B2B60"/>
    <w:rsid w:val="001B42DC"/>
    <w:rsid w:val="001B6678"/>
    <w:rsid w:val="001C2BB7"/>
    <w:rsid w:val="001C3C49"/>
    <w:rsid w:val="001C4FF1"/>
    <w:rsid w:val="001C52C1"/>
    <w:rsid w:val="001C5C4F"/>
    <w:rsid w:val="001C6C6F"/>
    <w:rsid w:val="001C6E8D"/>
    <w:rsid w:val="001D0966"/>
    <w:rsid w:val="001D0A31"/>
    <w:rsid w:val="001E3538"/>
    <w:rsid w:val="001E5713"/>
    <w:rsid w:val="001E5D1E"/>
    <w:rsid w:val="001F2EE5"/>
    <w:rsid w:val="001F790B"/>
    <w:rsid w:val="001F795E"/>
    <w:rsid w:val="002014C0"/>
    <w:rsid w:val="0020183C"/>
    <w:rsid w:val="0020228B"/>
    <w:rsid w:val="00205859"/>
    <w:rsid w:val="00213692"/>
    <w:rsid w:val="002162DB"/>
    <w:rsid w:val="00216C9D"/>
    <w:rsid w:val="00216CE2"/>
    <w:rsid w:val="002179BC"/>
    <w:rsid w:val="00223779"/>
    <w:rsid w:val="00225598"/>
    <w:rsid w:val="00230E04"/>
    <w:rsid w:val="002338A6"/>
    <w:rsid w:val="00235DE5"/>
    <w:rsid w:val="002405EC"/>
    <w:rsid w:val="00240E3B"/>
    <w:rsid w:val="00243CC6"/>
    <w:rsid w:val="002507C1"/>
    <w:rsid w:val="00252001"/>
    <w:rsid w:val="00255D71"/>
    <w:rsid w:val="00256E66"/>
    <w:rsid w:val="00256EA4"/>
    <w:rsid w:val="00263BF3"/>
    <w:rsid w:val="00265104"/>
    <w:rsid w:val="00270136"/>
    <w:rsid w:val="0027268F"/>
    <w:rsid w:val="002730D8"/>
    <w:rsid w:val="00276458"/>
    <w:rsid w:val="00276F88"/>
    <w:rsid w:val="00280850"/>
    <w:rsid w:val="0028363E"/>
    <w:rsid w:val="00283EF3"/>
    <w:rsid w:val="00284545"/>
    <w:rsid w:val="00284993"/>
    <w:rsid w:val="00284FC2"/>
    <w:rsid w:val="0028659D"/>
    <w:rsid w:val="002877AA"/>
    <w:rsid w:val="00291E8A"/>
    <w:rsid w:val="002932B1"/>
    <w:rsid w:val="002937BE"/>
    <w:rsid w:val="002937ED"/>
    <w:rsid w:val="00296692"/>
    <w:rsid w:val="00296EC4"/>
    <w:rsid w:val="002A2674"/>
    <w:rsid w:val="002A5928"/>
    <w:rsid w:val="002A7DA1"/>
    <w:rsid w:val="002A7E5D"/>
    <w:rsid w:val="002B6A0C"/>
    <w:rsid w:val="002B7708"/>
    <w:rsid w:val="002C15BE"/>
    <w:rsid w:val="002C2C82"/>
    <w:rsid w:val="002C3D7A"/>
    <w:rsid w:val="002C4B86"/>
    <w:rsid w:val="002D2E63"/>
    <w:rsid w:val="002D334E"/>
    <w:rsid w:val="002D378A"/>
    <w:rsid w:val="002D39CB"/>
    <w:rsid w:val="002D63EE"/>
    <w:rsid w:val="002D63EF"/>
    <w:rsid w:val="002D73A3"/>
    <w:rsid w:val="002E06FE"/>
    <w:rsid w:val="002E7C2A"/>
    <w:rsid w:val="002F1682"/>
    <w:rsid w:val="002F2F4F"/>
    <w:rsid w:val="002F786E"/>
    <w:rsid w:val="00301CBD"/>
    <w:rsid w:val="00302565"/>
    <w:rsid w:val="00303302"/>
    <w:rsid w:val="00303BC6"/>
    <w:rsid w:val="00304043"/>
    <w:rsid w:val="00310775"/>
    <w:rsid w:val="00311D20"/>
    <w:rsid w:val="00317B35"/>
    <w:rsid w:val="00317F02"/>
    <w:rsid w:val="00331A9F"/>
    <w:rsid w:val="00332FB2"/>
    <w:rsid w:val="00336533"/>
    <w:rsid w:val="00341367"/>
    <w:rsid w:val="0034382E"/>
    <w:rsid w:val="00344C55"/>
    <w:rsid w:val="00346A94"/>
    <w:rsid w:val="0035194C"/>
    <w:rsid w:val="00352795"/>
    <w:rsid w:val="00357E85"/>
    <w:rsid w:val="00362DDD"/>
    <w:rsid w:val="0036328D"/>
    <w:rsid w:val="00363877"/>
    <w:rsid w:val="00365C63"/>
    <w:rsid w:val="00367785"/>
    <w:rsid w:val="00370ADC"/>
    <w:rsid w:val="00371D35"/>
    <w:rsid w:val="00372FCB"/>
    <w:rsid w:val="00375FC9"/>
    <w:rsid w:val="0038028B"/>
    <w:rsid w:val="0038068D"/>
    <w:rsid w:val="00381525"/>
    <w:rsid w:val="00384D32"/>
    <w:rsid w:val="00387DAA"/>
    <w:rsid w:val="00392B21"/>
    <w:rsid w:val="00392F85"/>
    <w:rsid w:val="00393C8F"/>
    <w:rsid w:val="003A1FB8"/>
    <w:rsid w:val="003A2857"/>
    <w:rsid w:val="003A4172"/>
    <w:rsid w:val="003A4A58"/>
    <w:rsid w:val="003A5EA3"/>
    <w:rsid w:val="003B2F9D"/>
    <w:rsid w:val="003B64EA"/>
    <w:rsid w:val="003B6B20"/>
    <w:rsid w:val="003C1F9D"/>
    <w:rsid w:val="003C417F"/>
    <w:rsid w:val="003C4BFF"/>
    <w:rsid w:val="003C5C0B"/>
    <w:rsid w:val="003C6C0C"/>
    <w:rsid w:val="003D1B86"/>
    <w:rsid w:val="003D3E12"/>
    <w:rsid w:val="003D3E7D"/>
    <w:rsid w:val="003E0D42"/>
    <w:rsid w:val="003E14FD"/>
    <w:rsid w:val="003E1D95"/>
    <w:rsid w:val="003E6999"/>
    <w:rsid w:val="003F18E0"/>
    <w:rsid w:val="003F2DA1"/>
    <w:rsid w:val="003F329C"/>
    <w:rsid w:val="003F3C7F"/>
    <w:rsid w:val="003F45B3"/>
    <w:rsid w:val="003F57CF"/>
    <w:rsid w:val="003F6CE1"/>
    <w:rsid w:val="00411AD9"/>
    <w:rsid w:val="00413C5D"/>
    <w:rsid w:val="004148F4"/>
    <w:rsid w:val="00416686"/>
    <w:rsid w:val="00417F4E"/>
    <w:rsid w:val="004235AE"/>
    <w:rsid w:val="00427492"/>
    <w:rsid w:val="00427D2C"/>
    <w:rsid w:val="00432D30"/>
    <w:rsid w:val="0043375F"/>
    <w:rsid w:val="00443EEE"/>
    <w:rsid w:val="00444FDD"/>
    <w:rsid w:val="004514B9"/>
    <w:rsid w:val="004554AD"/>
    <w:rsid w:val="004616A8"/>
    <w:rsid w:val="00465F04"/>
    <w:rsid w:val="004667BB"/>
    <w:rsid w:val="0047503A"/>
    <w:rsid w:val="00476514"/>
    <w:rsid w:val="0048056D"/>
    <w:rsid w:val="004808F0"/>
    <w:rsid w:val="0048309B"/>
    <w:rsid w:val="00485875"/>
    <w:rsid w:val="00486282"/>
    <w:rsid w:val="00486292"/>
    <w:rsid w:val="0049038E"/>
    <w:rsid w:val="00490D1B"/>
    <w:rsid w:val="00492DFE"/>
    <w:rsid w:val="00494A84"/>
    <w:rsid w:val="004960D1"/>
    <w:rsid w:val="004A27A6"/>
    <w:rsid w:val="004A41A6"/>
    <w:rsid w:val="004A5F43"/>
    <w:rsid w:val="004A6205"/>
    <w:rsid w:val="004A74FC"/>
    <w:rsid w:val="004A79E0"/>
    <w:rsid w:val="004B04AC"/>
    <w:rsid w:val="004B5BEE"/>
    <w:rsid w:val="004C09F9"/>
    <w:rsid w:val="004C3FFD"/>
    <w:rsid w:val="004C7FCE"/>
    <w:rsid w:val="004D1645"/>
    <w:rsid w:val="004D6AF3"/>
    <w:rsid w:val="004E2D1F"/>
    <w:rsid w:val="004E3524"/>
    <w:rsid w:val="004E6AC3"/>
    <w:rsid w:val="004E6F46"/>
    <w:rsid w:val="004F4F66"/>
    <w:rsid w:val="00506CAD"/>
    <w:rsid w:val="005110A2"/>
    <w:rsid w:val="00512C0E"/>
    <w:rsid w:val="00512FE2"/>
    <w:rsid w:val="00515A4D"/>
    <w:rsid w:val="0052029A"/>
    <w:rsid w:val="00520628"/>
    <w:rsid w:val="00520779"/>
    <w:rsid w:val="00520F02"/>
    <w:rsid w:val="00521045"/>
    <w:rsid w:val="00523FC2"/>
    <w:rsid w:val="005327B6"/>
    <w:rsid w:val="00536DA0"/>
    <w:rsid w:val="00540206"/>
    <w:rsid w:val="005437FD"/>
    <w:rsid w:val="005468F7"/>
    <w:rsid w:val="0055088C"/>
    <w:rsid w:val="005517F4"/>
    <w:rsid w:val="00551C30"/>
    <w:rsid w:val="00560FDE"/>
    <w:rsid w:val="005612BC"/>
    <w:rsid w:val="0057362C"/>
    <w:rsid w:val="005816C5"/>
    <w:rsid w:val="00593799"/>
    <w:rsid w:val="00594449"/>
    <w:rsid w:val="005955B2"/>
    <w:rsid w:val="00596A43"/>
    <w:rsid w:val="00597BC2"/>
    <w:rsid w:val="005A0A71"/>
    <w:rsid w:val="005A42A2"/>
    <w:rsid w:val="005A52A1"/>
    <w:rsid w:val="005B1BF1"/>
    <w:rsid w:val="005B74D5"/>
    <w:rsid w:val="005C029C"/>
    <w:rsid w:val="005C0400"/>
    <w:rsid w:val="005C2273"/>
    <w:rsid w:val="005C39E7"/>
    <w:rsid w:val="005C5887"/>
    <w:rsid w:val="005D12D0"/>
    <w:rsid w:val="005D2F04"/>
    <w:rsid w:val="005D6761"/>
    <w:rsid w:val="005D6F9B"/>
    <w:rsid w:val="005E1352"/>
    <w:rsid w:val="005E220C"/>
    <w:rsid w:val="005E7B94"/>
    <w:rsid w:val="005F1BF2"/>
    <w:rsid w:val="005F1C76"/>
    <w:rsid w:val="005F26CC"/>
    <w:rsid w:val="005F33D3"/>
    <w:rsid w:val="005F6CB1"/>
    <w:rsid w:val="006145A3"/>
    <w:rsid w:val="00616076"/>
    <w:rsid w:val="0061629F"/>
    <w:rsid w:val="00620B75"/>
    <w:rsid w:val="0062491A"/>
    <w:rsid w:val="006256C4"/>
    <w:rsid w:val="00627022"/>
    <w:rsid w:val="006330A8"/>
    <w:rsid w:val="006332F0"/>
    <w:rsid w:val="006339F4"/>
    <w:rsid w:val="006342D4"/>
    <w:rsid w:val="00641A42"/>
    <w:rsid w:val="00641EF0"/>
    <w:rsid w:val="00644CA0"/>
    <w:rsid w:val="00645F02"/>
    <w:rsid w:val="00646B44"/>
    <w:rsid w:val="006479B6"/>
    <w:rsid w:val="00651FA2"/>
    <w:rsid w:val="00656AEF"/>
    <w:rsid w:val="00660720"/>
    <w:rsid w:val="006617AA"/>
    <w:rsid w:val="00661C84"/>
    <w:rsid w:val="006712A2"/>
    <w:rsid w:val="0067329F"/>
    <w:rsid w:val="00680A2F"/>
    <w:rsid w:val="006823C5"/>
    <w:rsid w:val="006828FC"/>
    <w:rsid w:val="00690EDC"/>
    <w:rsid w:val="00691931"/>
    <w:rsid w:val="00693351"/>
    <w:rsid w:val="006A18D9"/>
    <w:rsid w:val="006A33DC"/>
    <w:rsid w:val="006A494A"/>
    <w:rsid w:val="006A49D1"/>
    <w:rsid w:val="006A6C9B"/>
    <w:rsid w:val="006B51F2"/>
    <w:rsid w:val="006B71DD"/>
    <w:rsid w:val="006B7888"/>
    <w:rsid w:val="006B7B12"/>
    <w:rsid w:val="006C2B79"/>
    <w:rsid w:val="006C3BAF"/>
    <w:rsid w:val="006C488B"/>
    <w:rsid w:val="006C4CBE"/>
    <w:rsid w:val="006C510C"/>
    <w:rsid w:val="006D0800"/>
    <w:rsid w:val="006D19C0"/>
    <w:rsid w:val="006D4610"/>
    <w:rsid w:val="006D5BF7"/>
    <w:rsid w:val="006D6DB7"/>
    <w:rsid w:val="006E421E"/>
    <w:rsid w:val="006E446D"/>
    <w:rsid w:val="006E7C21"/>
    <w:rsid w:val="006F0F7B"/>
    <w:rsid w:val="006F15CD"/>
    <w:rsid w:val="006F68AD"/>
    <w:rsid w:val="0070171D"/>
    <w:rsid w:val="007042A6"/>
    <w:rsid w:val="00704F1D"/>
    <w:rsid w:val="00706D56"/>
    <w:rsid w:val="00716099"/>
    <w:rsid w:val="007160AB"/>
    <w:rsid w:val="00720A6A"/>
    <w:rsid w:val="00720E92"/>
    <w:rsid w:val="007256FA"/>
    <w:rsid w:val="0072642E"/>
    <w:rsid w:val="00726E8C"/>
    <w:rsid w:val="00736F76"/>
    <w:rsid w:val="007513F7"/>
    <w:rsid w:val="00751911"/>
    <w:rsid w:val="0075558C"/>
    <w:rsid w:val="007600CB"/>
    <w:rsid w:val="00762F57"/>
    <w:rsid w:val="0076357D"/>
    <w:rsid w:val="00763EF4"/>
    <w:rsid w:val="007642E6"/>
    <w:rsid w:val="0076455D"/>
    <w:rsid w:val="00773D3E"/>
    <w:rsid w:val="0077573F"/>
    <w:rsid w:val="00776C71"/>
    <w:rsid w:val="0078311B"/>
    <w:rsid w:val="007869B4"/>
    <w:rsid w:val="00786D20"/>
    <w:rsid w:val="00787278"/>
    <w:rsid w:val="007874AF"/>
    <w:rsid w:val="00790CAA"/>
    <w:rsid w:val="00794836"/>
    <w:rsid w:val="007A0CA1"/>
    <w:rsid w:val="007A308C"/>
    <w:rsid w:val="007A384A"/>
    <w:rsid w:val="007A43E8"/>
    <w:rsid w:val="007A56EB"/>
    <w:rsid w:val="007A643B"/>
    <w:rsid w:val="007B2318"/>
    <w:rsid w:val="007B5071"/>
    <w:rsid w:val="007B7479"/>
    <w:rsid w:val="007B77F5"/>
    <w:rsid w:val="007B7B6C"/>
    <w:rsid w:val="007C0AA8"/>
    <w:rsid w:val="007D0167"/>
    <w:rsid w:val="007D3432"/>
    <w:rsid w:val="007D70BC"/>
    <w:rsid w:val="007E4642"/>
    <w:rsid w:val="007F260B"/>
    <w:rsid w:val="007F2B14"/>
    <w:rsid w:val="007F5BDD"/>
    <w:rsid w:val="007F6B0C"/>
    <w:rsid w:val="007F6CCD"/>
    <w:rsid w:val="0080108C"/>
    <w:rsid w:val="008066A5"/>
    <w:rsid w:val="008114A1"/>
    <w:rsid w:val="00811559"/>
    <w:rsid w:val="0081759E"/>
    <w:rsid w:val="0081797A"/>
    <w:rsid w:val="00821527"/>
    <w:rsid w:val="008221B3"/>
    <w:rsid w:val="00831770"/>
    <w:rsid w:val="008330DF"/>
    <w:rsid w:val="00833224"/>
    <w:rsid w:val="0083598E"/>
    <w:rsid w:val="0084074C"/>
    <w:rsid w:val="00840A0B"/>
    <w:rsid w:val="00847632"/>
    <w:rsid w:val="0085086F"/>
    <w:rsid w:val="00850AA1"/>
    <w:rsid w:val="008517E3"/>
    <w:rsid w:val="0085198A"/>
    <w:rsid w:val="00852EC1"/>
    <w:rsid w:val="00856218"/>
    <w:rsid w:val="0085698E"/>
    <w:rsid w:val="008711AE"/>
    <w:rsid w:val="0087238E"/>
    <w:rsid w:val="008740C6"/>
    <w:rsid w:val="00875A0D"/>
    <w:rsid w:val="00875DF2"/>
    <w:rsid w:val="00877951"/>
    <w:rsid w:val="008802AC"/>
    <w:rsid w:val="008806CA"/>
    <w:rsid w:val="008827A1"/>
    <w:rsid w:val="00883CD0"/>
    <w:rsid w:val="0088412C"/>
    <w:rsid w:val="00885CD9"/>
    <w:rsid w:val="00894469"/>
    <w:rsid w:val="00896A0C"/>
    <w:rsid w:val="00896C02"/>
    <w:rsid w:val="00897366"/>
    <w:rsid w:val="008A1127"/>
    <w:rsid w:val="008A2B66"/>
    <w:rsid w:val="008A2FFE"/>
    <w:rsid w:val="008A4605"/>
    <w:rsid w:val="008A4EAD"/>
    <w:rsid w:val="008B1E1F"/>
    <w:rsid w:val="008B4992"/>
    <w:rsid w:val="008B6A58"/>
    <w:rsid w:val="008B6D66"/>
    <w:rsid w:val="008C3AE6"/>
    <w:rsid w:val="008C662D"/>
    <w:rsid w:val="008C7C85"/>
    <w:rsid w:val="008D4070"/>
    <w:rsid w:val="008D4D25"/>
    <w:rsid w:val="008D7187"/>
    <w:rsid w:val="008E2288"/>
    <w:rsid w:val="008E5E0F"/>
    <w:rsid w:val="008F048E"/>
    <w:rsid w:val="008F1528"/>
    <w:rsid w:val="008F21E4"/>
    <w:rsid w:val="008F4F1A"/>
    <w:rsid w:val="008F53A1"/>
    <w:rsid w:val="00904D0D"/>
    <w:rsid w:val="00907FE0"/>
    <w:rsid w:val="009171DD"/>
    <w:rsid w:val="00917751"/>
    <w:rsid w:val="00922172"/>
    <w:rsid w:val="0092342D"/>
    <w:rsid w:val="00924645"/>
    <w:rsid w:val="00925EB6"/>
    <w:rsid w:val="009267EC"/>
    <w:rsid w:val="00933347"/>
    <w:rsid w:val="009357F2"/>
    <w:rsid w:val="00937363"/>
    <w:rsid w:val="00941BAA"/>
    <w:rsid w:val="00942858"/>
    <w:rsid w:val="0094373B"/>
    <w:rsid w:val="0094620E"/>
    <w:rsid w:val="009463B2"/>
    <w:rsid w:val="009475B2"/>
    <w:rsid w:val="009478CC"/>
    <w:rsid w:val="0095184A"/>
    <w:rsid w:val="0095338D"/>
    <w:rsid w:val="00954245"/>
    <w:rsid w:val="0095566A"/>
    <w:rsid w:val="00955AF2"/>
    <w:rsid w:val="00966316"/>
    <w:rsid w:val="009670BB"/>
    <w:rsid w:val="0097161E"/>
    <w:rsid w:val="0097492E"/>
    <w:rsid w:val="00975657"/>
    <w:rsid w:val="00982495"/>
    <w:rsid w:val="00982947"/>
    <w:rsid w:val="00983418"/>
    <w:rsid w:val="00984295"/>
    <w:rsid w:val="00985316"/>
    <w:rsid w:val="009877CF"/>
    <w:rsid w:val="009900D4"/>
    <w:rsid w:val="0099594E"/>
    <w:rsid w:val="009973DA"/>
    <w:rsid w:val="009A07DB"/>
    <w:rsid w:val="009B0BA6"/>
    <w:rsid w:val="009B2672"/>
    <w:rsid w:val="009B2ACF"/>
    <w:rsid w:val="009B32FA"/>
    <w:rsid w:val="009B4079"/>
    <w:rsid w:val="009B5535"/>
    <w:rsid w:val="009B76D9"/>
    <w:rsid w:val="009C1C2A"/>
    <w:rsid w:val="009C2E6D"/>
    <w:rsid w:val="009C33A7"/>
    <w:rsid w:val="009D1A12"/>
    <w:rsid w:val="009D2DCB"/>
    <w:rsid w:val="009D3C5F"/>
    <w:rsid w:val="009D78D1"/>
    <w:rsid w:val="009E2A83"/>
    <w:rsid w:val="009E3B08"/>
    <w:rsid w:val="009E4AF5"/>
    <w:rsid w:val="009E5D26"/>
    <w:rsid w:val="009E75E7"/>
    <w:rsid w:val="009F02B9"/>
    <w:rsid w:val="009F3EE7"/>
    <w:rsid w:val="009F5E0D"/>
    <w:rsid w:val="009F6182"/>
    <w:rsid w:val="009F6EB7"/>
    <w:rsid w:val="00A0046E"/>
    <w:rsid w:val="00A0448C"/>
    <w:rsid w:val="00A04926"/>
    <w:rsid w:val="00A049D2"/>
    <w:rsid w:val="00A06B8F"/>
    <w:rsid w:val="00A11C7C"/>
    <w:rsid w:val="00A2071E"/>
    <w:rsid w:val="00A20725"/>
    <w:rsid w:val="00A26EDA"/>
    <w:rsid w:val="00A30836"/>
    <w:rsid w:val="00A31634"/>
    <w:rsid w:val="00A35F1D"/>
    <w:rsid w:val="00A36BF4"/>
    <w:rsid w:val="00A4636E"/>
    <w:rsid w:val="00A5062F"/>
    <w:rsid w:val="00A50766"/>
    <w:rsid w:val="00A531B4"/>
    <w:rsid w:val="00A54FFF"/>
    <w:rsid w:val="00A61173"/>
    <w:rsid w:val="00A619B2"/>
    <w:rsid w:val="00A71903"/>
    <w:rsid w:val="00A7337C"/>
    <w:rsid w:val="00A74FF9"/>
    <w:rsid w:val="00A7629A"/>
    <w:rsid w:val="00A762F6"/>
    <w:rsid w:val="00A76F80"/>
    <w:rsid w:val="00A81B9F"/>
    <w:rsid w:val="00A82DCE"/>
    <w:rsid w:val="00A919CE"/>
    <w:rsid w:val="00A933F0"/>
    <w:rsid w:val="00AA71FD"/>
    <w:rsid w:val="00AB2DC7"/>
    <w:rsid w:val="00AB3BF5"/>
    <w:rsid w:val="00AB5B68"/>
    <w:rsid w:val="00AC14BE"/>
    <w:rsid w:val="00AC3B5F"/>
    <w:rsid w:val="00AC64A7"/>
    <w:rsid w:val="00AC77D0"/>
    <w:rsid w:val="00AD1A67"/>
    <w:rsid w:val="00AD3A24"/>
    <w:rsid w:val="00AD523C"/>
    <w:rsid w:val="00AD6B07"/>
    <w:rsid w:val="00AD7608"/>
    <w:rsid w:val="00AD7B14"/>
    <w:rsid w:val="00AE3089"/>
    <w:rsid w:val="00AE501D"/>
    <w:rsid w:val="00AE5B14"/>
    <w:rsid w:val="00AE69B1"/>
    <w:rsid w:val="00AE7B83"/>
    <w:rsid w:val="00AE7FA3"/>
    <w:rsid w:val="00AF0315"/>
    <w:rsid w:val="00AF1B48"/>
    <w:rsid w:val="00AF3726"/>
    <w:rsid w:val="00AF565D"/>
    <w:rsid w:val="00AF707F"/>
    <w:rsid w:val="00B01CD6"/>
    <w:rsid w:val="00B04775"/>
    <w:rsid w:val="00B04FC8"/>
    <w:rsid w:val="00B112F9"/>
    <w:rsid w:val="00B16365"/>
    <w:rsid w:val="00B17F5F"/>
    <w:rsid w:val="00B21797"/>
    <w:rsid w:val="00B22986"/>
    <w:rsid w:val="00B22D90"/>
    <w:rsid w:val="00B22F6D"/>
    <w:rsid w:val="00B2734B"/>
    <w:rsid w:val="00B27D44"/>
    <w:rsid w:val="00B31CFC"/>
    <w:rsid w:val="00B32FFF"/>
    <w:rsid w:val="00B33217"/>
    <w:rsid w:val="00B34576"/>
    <w:rsid w:val="00B357EE"/>
    <w:rsid w:val="00B36635"/>
    <w:rsid w:val="00B40696"/>
    <w:rsid w:val="00B41CA5"/>
    <w:rsid w:val="00B42C3A"/>
    <w:rsid w:val="00B44751"/>
    <w:rsid w:val="00B44884"/>
    <w:rsid w:val="00B46BF3"/>
    <w:rsid w:val="00B55502"/>
    <w:rsid w:val="00B659D6"/>
    <w:rsid w:val="00B65E98"/>
    <w:rsid w:val="00B715F2"/>
    <w:rsid w:val="00B72014"/>
    <w:rsid w:val="00B73080"/>
    <w:rsid w:val="00B749A2"/>
    <w:rsid w:val="00B7539D"/>
    <w:rsid w:val="00B8161E"/>
    <w:rsid w:val="00B83882"/>
    <w:rsid w:val="00B901A2"/>
    <w:rsid w:val="00B902E7"/>
    <w:rsid w:val="00B91636"/>
    <w:rsid w:val="00B92E70"/>
    <w:rsid w:val="00B937A8"/>
    <w:rsid w:val="00B94364"/>
    <w:rsid w:val="00BA08A5"/>
    <w:rsid w:val="00BA0F9B"/>
    <w:rsid w:val="00BA15A2"/>
    <w:rsid w:val="00BB3848"/>
    <w:rsid w:val="00BB433A"/>
    <w:rsid w:val="00BB4463"/>
    <w:rsid w:val="00BB5C2D"/>
    <w:rsid w:val="00BB7856"/>
    <w:rsid w:val="00BB79F0"/>
    <w:rsid w:val="00BC282B"/>
    <w:rsid w:val="00BC3C13"/>
    <w:rsid w:val="00BC4DE6"/>
    <w:rsid w:val="00BC7291"/>
    <w:rsid w:val="00BD31B1"/>
    <w:rsid w:val="00BD3F37"/>
    <w:rsid w:val="00BD48BA"/>
    <w:rsid w:val="00BD7664"/>
    <w:rsid w:val="00BE0643"/>
    <w:rsid w:val="00BE1696"/>
    <w:rsid w:val="00BE3F00"/>
    <w:rsid w:val="00BE4B5E"/>
    <w:rsid w:val="00BE5D1A"/>
    <w:rsid w:val="00BF0D13"/>
    <w:rsid w:val="00BF45B8"/>
    <w:rsid w:val="00BF6DD0"/>
    <w:rsid w:val="00C028C4"/>
    <w:rsid w:val="00C02BB3"/>
    <w:rsid w:val="00C02F01"/>
    <w:rsid w:val="00C03590"/>
    <w:rsid w:val="00C03F6E"/>
    <w:rsid w:val="00C10C37"/>
    <w:rsid w:val="00C138A5"/>
    <w:rsid w:val="00C174D7"/>
    <w:rsid w:val="00C22F8B"/>
    <w:rsid w:val="00C2492B"/>
    <w:rsid w:val="00C249A5"/>
    <w:rsid w:val="00C255F6"/>
    <w:rsid w:val="00C34933"/>
    <w:rsid w:val="00C3689D"/>
    <w:rsid w:val="00C40C8C"/>
    <w:rsid w:val="00C435F3"/>
    <w:rsid w:val="00C44A02"/>
    <w:rsid w:val="00C4650D"/>
    <w:rsid w:val="00C47712"/>
    <w:rsid w:val="00C47C2E"/>
    <w:rsid w:val="00C47F0A"/>
    <w:rsid w:val="00C5212B"/>
    <w:rsid w:val="00C56540"/>
    <w:rsid w:val="00C606D2"/>
    <w:rsid w:val="00C620FC"/>
    <w:rsid w:val="00C62542"/>
    <w:rsid w:val="00C646AD"/>
    <w:rsid w:val="00C66469"/>
    <w:rsid w:val="00C67A72"/>
    <w:rsid w:val="00C712CE"/>
    <w:rsid w:val="00C76EFF"/>
    <w:rsid w:val="00C77AA2"/>
    <w:rsid w:val="00C82378"/>
    <w:rsid w:val="00C83C01"/>
    <w:rsid w:val="00C85FCA"/>
    <w:rsid w:val="00C90E54"/>
    <w:rsid w:val="00C922C8"/>
    <w:rsid w:val="00C94D89"/>
    <w:rsid w:val="00C95384"/>
    <w:rsid w:val="00C9681A"/>
    <w:rsid w:val="00CA2590"/>
    <w:rsid w:val="00CA5DDF"/>
    <w:rsid w:val="00CA6BF1"/>
    <w:rsid w:val="00CA7CD2"/>
    <w:rsid w:val="00CC201A"/>
    <w:rsid w:val="00CC298E"/>
    <w:rsid w:val="00CC3341"/>
    <w:rsid w:val="00CC34FF"/>
    <w:rsid w:val="00CC36D2"/>
    <w:rsid w:val="00CC38E2"/>
    <w:rsid w:val="00CC4496"/>
    <w:rsid w:val="00CC4E5A"/>
    <w:rsid w:val="00CD27FB"/>
    <w:rsid w:val="00CD50CB"/>
    <w:rsid w:val="00CD60E1"/>
    <w:rsid w:val="00CE194C"/>
    <w:rsid w:val="00CE2C90"/>
    <w:rsid w:val="00CE2D41"/>
    <w:rsid w:val="00CE4A98"/>
    <w:rsid w:val="00CE5D40"/>
    <w:rsid w:val="00CF4C84"/>
    <w:rsid w:val="00D00777"/>
    <w:rsid w:val="00D0622B"/>
    <w:rsid w:val="00D11C92"/>
    <w:rsid w:val="00D12184"/>
    <w:rsid w:val="00D12C5C"/>
    <w:rsid w:val="00D21249"/>
    <w:rsid w:val="00D33EC4"/>
    <w:rsid w:val="00D34CCA"/>
    <w:rsid w:val="00D374D8"/>
    <w:rsid w:val="00D37DA2"/>
    <w:rsid w:val="00D40B6B"/>
    <w:rsid w:val="00D46BA8"/>
    <w:rsid w:val="00D507AC"/>
    <w:rsid w:val="00D57D68"/>
    <w:rsid w:val="00D6615A"/>
    <w:rsid w:val="00D7470D"/>
    <w:rsid w:val="00D77586"/>
    <w:rsid w:val="00D819F6"/>
    <w:rsid w:val="00D83537"/>
    <w:rsid w:val="00D8484D"/>
    <w:rsid w:val="00D856BF"/>
    <w:rsid w:val="00D876D6"/>
    <w:rsid w:val="00D90D09"/>
    <w:rsid w:val="00D93F30"/>
    <w:rsid w:val="00D945D4"/>
    <w:rsid w:val="00D953CD"/>
    <w:rsid w:val="00D96258"/>
    <w:rsid w:val="00D96573"/>
    <w:rsid w:val="00D970C1"/>
    <w:rsid w:val="00D97802"/>
    <w:rsid w:val="00DA06F4"/>
    <w:rsid w:val="00DA50CD"/>
    <w:rsid w:val="00DB343A"/>
    <w:rsid w:val="00DB3CE3"/>
    <w:rsid w:val="00DB48FF"/>
    <w:rsid w:val="00DC0093"/>
    <w:rsid w:val="00DC16AB"/>
    <w:rsid w:val="00DC3C7A"/>
    <w:rsid w:val="00DD09DD"/>
    <w:rsid w:val="00DD10DC"/>
    <w:rsid w:val="00DD6F88"/>
    <w:rsid w:val="00DD7D3C"/>
    <w:rsid w:val="00DE05F7"/>
    <w:rsid w:val="00DF25FD"/>
    <w:rsid w:val="00DF2994"/>
    <w:rsid w:val="00DF3DA3"/>
    <w:rsid w:val="00DF59A2"/>
    <w:rsid w:val="00DF5E7B"/>
    <w:rsid w:val="00E03B2E"/>
    <w:rsid w:val="00E053E3"/>
    <w:rsid w:val="00E06BF3"/>
    <w:rsid w:val="00E07E2A"/>
    <w:rsid w:val="00E11BD7"/>
    <w:rsid w:val="00E13816"/>
    <w:rsid w:val="00E13F38"/>
    <w:rsid w:val="00E14640"/>
    <w:rsid w:val="00E2291E"/>
    <w:rsid w:val="00E2446D"/>
    <w:rsid w:val="00E25F19"/>
    <w:rsid w:val="00E3327E"/>
    <w:rsid w:val="00E337A7"/>
    <w:rsid w:val="00E3720E"/>
    <w:rsid w:val="00E3781B"/>
    <w:rsid w:val="00E42548"/>
    <w:rsid w:val="00E4294C"/>
    <w:rsid w:val="00E46C4B"/>
    <w:rsid w:val="00E5536F"/>
    <w:rsid w:val="00E5606A"/>
    <w:rsid w:val="00E57E15"/>
    <w:rsid w:val="00E616DD"/>
    <w:rsid w:val="00E63058"/>
    <w:rsid w:val="00E67ACA"/>
    <w:rsid w:val="00E70D27"/>
    <w:rsid w:val="00E71E57"/>
    <w:rsid w:val="00E8167B"/>
    <w:rsid w:val="00E8340C"/>
    <w:rsid w:val="00E85324"/>
    <w:rsid w:val="00E86A27"/>
    <w:rsid w:val="00E902D3"/>
    <w:rsid w:val="00E93B16"/>
    <w:rsid w:val="00E95BD7"/>
    <w:rsid w:val="00EA02DB"/>
    <w:rsid w:val="00EA0335"/>
    <w:rsid w:val="00EA29E3"/>
    <w:rsid w:val="00EA4621"/>
    <w:rsid w:val="00EA4D72"/>
    <w:rsid w:val="00EA6DFA"/>
    <w:rsid w:val="00EA6ECF"/>
    <w:rsid w:val="00EB123E"/>
    <w:rsid w:val="00EB27D1"/>
    <w:rsid w:val="00EB5D82"/>
    <w:rsid w:val="00EB61BF"/>
    <w:rsid w:val="00EC74DA"/>
    <w:rsid w:val="00ED37B1"/>
    <w:rsid w:val="00ED5DFA"/>
    <w:rsid w:val="00EE6BE1"/>
    <w:rsid w:val="00EE7CAB"/>
    <w:rsid w:val="00EF0E95"/>
    <w:rsid w:val="00EF71C7"/>
    <w:rsid w:val="00F03AC2"/>
    <w:rsid w:val="00F046B3"/>
    <w:rsid w:val="00F1608F"/>
    <w:rsid w:val="00F16524"/>
    <w:rsid w:val="00F221A1"/>
    <w:rsid w:val="00F224EE"/>
    <w:rsid w:val="00F2532A"/>
    <w:rsid w:val="00F25416"/>
    <w:rsid w:val="00F25769"/>
    <w:rsid w:val="00F25C71"/>
    <w:rsid w:val="00F2726A"/>
    <w:rsid w:val="00F273C7"/>
    <w:rsid w:val="00F32E25"/>
    <w:rsid w:val="00F35BB9"/>
    <w:rsid w:val="00F371B6"/>
    <w:rsid w:val="00F41491"/>
    <w:rsid w:val="00F43929"/>
    <w:rsid w:val="00F44800"/>
    <w:rsid w:val="00F47F94"/>
    <w:rsid w:val="00F51701"/>
    <w:rsid w:val="00F53779"/>
    <w:rsid w:val="00F551E5"/>
    <w:rsid w:val="00F55774"/>
    <w:rsid w:val="00F56A51"/>
    <w:rsid w:val="00F579E3"/>
    <w:rsid w:val="00F67DF7"/>
    <w:rsid w:val="00F725EE"/>
    <w:rsid w:val="00F72934"/>
    <w:rsid w:val="00F74EFB"/>
    <w:rsid w:val="00F7680A"/>
    <w:rsid w:val="00F8165E"/>
    <w:rsid w:val="00F83D9B"/>
    <w:rsid w:val="00F858B5"/>
    <w:rsid w:val="00F8599C"/>
    <w:rsid w:val="00F875BE"/>
    <w:rsid w:val="00F91A7E"/>
    <w:rsid w:val="00F93ABB"/>
    <w:rsid w:val="00F945E3"/>
    <w:rsid w:val="00FA43EF"/>
    <w:rsid w:val="00FB0A33"/>
    <w:rsid w:val="00FB343D"/>
    <w:rsid w:val="00FB3CC5"/>
    <w:rsid w:val="00FC00B4"/>
    <w:rsid w:val="00FC05A2"/>
    <w:rsid w:val="00FC6721"/>
    <w:rsid w:val="00FC6CA3"/>
    <w:rsid w:val="00FD0770"/>
    <w:rsid w:val="00FD4EF7"/>
    <w:rsid w:val="00FD7619"/>
    <w:rsid w:val="00FD7A48"/>
    <w:rsid w:val="00FE112C"/>
    <w:rsid w:val="00FE1D3E"/>
    <w:rsid w:val="00FE2D1C"/>
    <w:rsid w:val="00FF0203"/>
    <w:rsid w:val="00FF3FC8"/>
    <w:rsid w:val="00FF3FFD"/>
    <w:rsid w:val="00FF54B5"/>
  </w:rsids>
  <m:mathPr>
    <m:mathFont m:val="Cambria Math"/>
    <m:brkBin m:val="before"/>
    <m:brkBinSub m:val="--"/>
    <m:smallFrac m:val="off"/>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85"/>
  </w:style>
  <w:style w:type="paragraph" w:styleId="Heading2">
    <w:name w:val="heading 2"/>
    <w:basedOn w:val="Normal"/>
    <w:next w:val="Normal"/>
    <w:link w:val="Heading2Char"/>
    <w:unhideWhenUsed/>
    <w:qFormat/>
    <w:rsid w:val="00BB7856"/>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022"/>
    <w:rPr>
      <w:rFonts w:ascii="Tahoma" w:hAnsi="Tahoma" w:cs="Tahoma"/>
      <w:sz w:val="16"/>
      <w:szCs w:val="16"/>
    </w:rPr>
  </w:style>
  <w:style w:type="character" w:customStyle="1" w:styleId="BalloonTextChar">
    <w:name w:val="Balloon Text Char"/>
    <w:basedOn w:val="DefaultParagraphFont"/>
    <w:link w:val="BalloonText"/>
    <w:uiPriority w:val="99"/>
    <w:semiHidden/>
    <w:rsid w:val="00627022"/>
    <w:rPr>
      <w:rFonts w:ascii="Tahoma" w:hAnsi="Tahoma" w:cs="Tahoma"/>
      <w:sz w:val="16"/>
      <w:szCs w:val="16"/>
    </w:rPr>
  </w:style>
  <w:style w:type="paragraph" w:styleId="Header">
    <w:name w:val="header"/>
    <w:basedOn w:val="Normal"/>
    <w:link w:val="HeaderChar"/>
    <w:uiPriority w:val="99"/>
    <w:unhideWhenUsed/>
    <w:rsid w:val="00DC0093"/>
    <w:pPr>
      <w:tabs>
        <w:tab w:val="center" w:pos="4680"/>
        <w:tab w:val="right" w:pos="9360"/>
      </w:tabs>
    </w:pPr>
  </w:style>
  <w:style w:type="character" w:customStyle="1" w:styleId="HeaderChar">
    <w:name w:val="Header Char"/>
    <w:basedOn w:val="DefaultParagraphFont"/>
    <w:link w:val="Header"/>
    <w:uiPriority w:val="99"/>
    <w:rsid w:val="00DC0093"/>
  </w:style>
  <w:style w:type="paragraph" w:styleId="Footer">
    <w:name w:val="footer"/>
    <w:basedOn w:val="Normal"/>
    <w:link w:val="FooterChar"/>
    <w:uiPriority w:val="99"/>
    <w:unhideWhenUsed/>
    <w:rsid w:val="00DC0093"/>
    <w:pPr>
      <w:tabs>
        <w:tab w:val="center" w:pos="4680"/>
        <w:tab w:val="right" w:pos="9360"/>
      </w:tabs>
    </w:pPr>
  </w:style>
  <w:style w:type="character" w:customStyle="1" w:styleId="FooterChar">
    <w:name w:val="Footer Char"/>
    <w:basedOn w:val="DefaultParagraphFont"/>
    <w:link w:val="Footer"/>
    <w:uiPriority w:val="99"/>
    <w:rsid w:val="00DC0093"/>
  </w:style>
  <w:style w:type="paragraph" w:styleId="ListParagraph">
    <w:name w:val="List Paragraph"/>
    <w:basedOn w:val="Normal"/>
    <w:uiPriority w:val="34"/>
    <w:qFormat/>
    <w:rsid w:val="00182EEC"/>
    <w:pPr>
      <w:ind w:left="720"/>
      <w:contextualSpacing/>
    </w:pPr>
  </w:style>
  <w:style w:type="character" w:styleId="PlaceholderText">
    <w:name w:val="Placeholder Text"/>
    <w:basedOn w:val="DefaultParagraphFont"/>
    <w:uiPriority w:val="99"/>
    <w:semiHidden/>
    <w:rsid w:val="00680A2F"/>
    <w:rPr>
      <w:color w:val="808080"/>
    </w:rPr>
  </w:style>
  <w:style w:type="paragraph" w:styleId="FootnoteText">
    <w:name w:val="footnote text"/>
    <w:basedOn w:val="Normal"/>
    <w:link w:val="FootnoteTextChar"/>
    <w:uiPriority w:val="99"/>
    <w:semiHidden/>
    <w:unhideWhenUsed/>
    <w:rsid w:val="00875DF2"/>
    <w:rPr>
      <w:sz w:val="20"/>
      <w:szCs w:val="20"/>
    </w:rPr>
  </w:style>
  <w:style w:type="character" w:customStyle="1" w:styleId="FootnoteTextChar">
    <w:name w:val="Footnote Text Char"/>
    <w:basedOn w:val="DefaultParagraphFont"/>
    <w:link w:val="FootnoteText"/>
    <w:uiPriority w:val="99"/>
    <w:semiHidden/>
    <w:rsid w:val="00875DF2"/>
    <w:rPr>
      <w:sz w:val="20"/>
      <w:szCs w:val="20"/>
    </w:rPr>
  </w:style>
  <w:style w:type="character" w:styleId="FootnoteReference">
    <w:name w:val="footnote reference"/>
    <w:basedOn w:val="DefaultParagraphFont"/>
    <w:uiPriority w:val="99"/>
    <w:semiHidden/>
    <w:unhideWhenUsed/>
    <w:rsid w:val="00875DF2"/>
    <w:rPr>
      <w:vertAlign w:val="superscript"/>
    </w:rPr>
  </w:style>
  <w:style w:type="paragraph" w:styleId="NormalWeb">
    <w:name w:val="Normal (Web)"/>
    <w:basedOn w:val="Normal"/>
    <w:rsid w:val="000F0475"/>
    <w:pPr>
      <w:spacing w:before="100" w:beforeAutospacing="1" w:after="100" w:afterAutospacing="1"/>
    </w:pPr>
    <w:rPr>
      <w:rFonts w:ascii="Times New Roman" w:eastAsia="Times New Roman" w:hAnsi="Times New Roman" w:cs="Times New Roman"/>
      <w:sz w:val="24"/>
      <w:szCs w:val="24"/>
    </w:rPr>
  </w:style>
  <w:style w:type="character" w:customStyle="1" w:styleId="hdr31">
    <w:name w:val="hdr31"/>
    <w:basedOn w:val="DefaultParagraphFont"/>
    <w:rsid w:val="000F0475"/>
    <w:rPr>
      <w:b/>
      <w:bCs/>
      <w:color w:val="003399"/>
      <w:sz w:val="20"/>
      <w:szCs w:val="20"/>
    </w:rPr>
  </w:style>
  <w:style w:type="paragraph" w:styleId="NoSpacing">
    <w:name w:val="No Spacing"/>
    <w:uiPriority w:val="1"/>
    <w:qFormat/>
    <w:rsid w:val="00D0622B"/>
  </w:style>
  <w:style w:type="table" w:customStyle="1" w:styleId="MediumGrid31">
    <w:name w:val="Medium Grid 31"/>
    <w:basedOn w:val="TableNormal"/>
    <w:uiPriority w:val="69"/>
    <w:rsid w:val="009475B2"/>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2Char">
    <w:name w:val="Heading 2 Char"/>
    <w:basedOn w:val="DefaultParagraphFont"/>
    <w:link w:val="Heading2"/>
    <w:rsid w:val="00BB7856"/>
    <w:rPr>
      <w:rFonts w:ascii="Cambria" w:eastAsia="Times New Roman" w:hAnsi="Cambria" w:cs="Times New Roman"/>
      <w:b/>
      <w:bCs/>
      <w:i/>
      <w:iCs/>
      <w:sz w:val="28"/>
      <w:szCs w:val="28"/>
    </w:rPr>
  </w:style>
  <w:style w:type="paragraph" w:styleId="Caption">
    <w:name w:val="caption"/>
    <w:basedOn w:val="Normal"/>
    <w:next w:val="Normal"/>
    <w:uiPriority w:val="35"/>
    <w:semiHidden/>
    <w:unhideWhenUsed/>
    <w:qFormat/>
    <w:rsid w:val="00F93ABB"/>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DA50CD"/>
    <w:rPr>
      <w:sz w:val="16"/>
      <w:szCs w:val="16"/>
    </w:rPr>
  </w:style>
  <w:style w:type="paragraph" w:styleId="CommentText">
    <w:name w:val="annotation text"/>
    <w:basedOn w:val="Normal"/>
    <w:link w:val="CommentTextChar"/>
    <w:uiPriority w:val="99"/>
    <w:semiHidden/>
    <w:unhideWhenUsed/>
    <w:rsid w:val="00DA50CD"/>
    <w:rPr>
      <w:sz w:val="20"/>
      <w:szCs w:val="20"/>
    </w:rPr>
  </w:style>
  <w:style w:type="character" w:customStyle="1" w:styleId="CommentTextChar">
    <w:name w:val="Comment Text Char"/>
    <w:basedOn w:val="DefaultParagraphFont"/>
    <w:link w:val="CommentText"/>
    <w:uiPriority w:val="99"/>
    <w:semiHidden/>
    <w:rsid w:val="00DA50CD"/>
    <w:rPr>
      <w:sz w:val="20"/>
      <w:szCs w:val="20"/>
    </w:rPr>
  </w:style>
  <w:style w:type="paragraph" w:styleId="CommentSubject">
    <w:name w:val="annotation subject"/>
    <w:basedOn w:val="CommentText"/>
    <w:next w:val="CommentText"/>
    <w:link w:val="CommentSubjectChar"/>
    <w:uiPriority w:val="99"/>
    <w:semiHidden/>
    <w:unhideWhenUsed/>
    <w:rsid w:val="00DA50CD"/>
    <w:rPr>
      <w:b/>
      <w:bCs/>
    </w:rPr>
  </w:style>
  <w:style w:type="character" w:customStyle="1" w:styleId="CommentSubjectChar">
    <w:name w:val="Comment Subject Char"/>
    <w:basedOn w:val="CommentTextChar"/>
    <w:link w:val="CommentSubject"/>
    <w:uiPriority w:val="99"/>
    <w:semiHidden/>
    <w:rsid w:val="00DA50CD"/>
    <w:rPr>
      <w:b/>
      <w:bCs/>
    </w:rPr>
  </w:style>
  <w:style w:type="paragraph" w:styleId="PlainText">
    <w:name w:val="Plain Text"/>
    <w:basedOn w:val="Normal"/>
    <w:link w:val="PlainTextChar"/>
    <w:uiPriority w:val="99"/>
    <w:unhideWhenUsed/>
    <w:rsid w:val="008517E3"/>
    <w:rPr>
      <w:rFonts w:ascii="Calibri" w:eastAsia="Times New Roman" w:hAnsi="Calibri"/>
      <w:szCs w:val="24"/>
    </w:rPr>
  </w:style>
  <w:style w:type="character" w:customStyle="1" w:styleId="PlainTextChar">
    <w:name w:val="Plain Text Char"/>
    <w:basedOn w:val="DefaultParagraphFont"/>
    <w:link w:val="PlainText"/>
    <w:uiPriority w:val="99"/>
    <w:rsid w:val="008517E3"/>
    <w:rPr>
      <w:rFonts w:ascii="Calibri" w:eastAsia="Times New Roman" w:hAnsi="Calibri"/>
      <w:szCs w:val="24"/>
    </w:rPr>
  </w:style>
  <w:style w:type="paragraph" w:customStyle="1" w:styleId="rrdsinglerule">
    <w:name w:val="rrdsinglerule"/>
    <w:basedOn w:val="Normal"/>
    <w:next w:val="Normal"/>
    <w:rsid w:val="00296692"/>
    <w:pPr>
      <w:pBdr>
        <w:top w:val="single" w:sz="8" w:space="1" w:color="auto"/>
      </w:pBdr>
      <w:spacing w:before="20" w:line="20" w:lineRule="exact"/>
      <w:jc w:val="center"/>
    </w:pPr>
    <w:rPr>
      <w:rFonts w:ascii="Times New Roman" w:eastAsia="Times New Roman" w:hAnsi="Times New Roman" w:cs="Times New Roman"/>
      <w:sz w:val="8"/>
      <w:szCs w:val="8"/>
    </w:rPr>
  </w:style>
  <w:style w:type="paragraph" w:customStyle="1" w:styleId="H9">
    <w:name w:val="H9"/>
    <w:rsid w:val="00DF59A2"/>
    <w:pPr>
      <w:spacing w:line="240" w:lineRule="exact"/>
      <w:jc w:val="right"/>
    </w:pPr>
    <w:rPr>
      <w:rFonts w:ascii="Times New Roman" w:eastAsia="Times New Roman" w:hAnsi="Times New Roman" w:cs="Times New Roman"/>
      <w:noProof/>
      <w:sz w:val="20"/>
      <w:szCs w:val="20"/>
    </w:rPr>
  </w:style>
</w:styles>
</file>

<file path=word/webSettings.xml><?xml version="1.0" encoding="utf-8"?>
<w:webSettings xmlns:r="http://schemas.openxmlformats.org/officeDocument/2006/relationships" xmlns:w="http://schemas.openxmlformats.org/wordprocessingml/2006/main">
  <w:divs>
    <w:div w:id="21709767">
      <w:bodyDiv w:val="1"/>
      <w:marLeft w:val="0"/>
      <w:marRight w:val="0"/>
      <w:marTop w:val="0"/>
      <w:marBottom w:val="0"/>
      <w:divBdr>
        <w:top w:val="none" w:sz="0" w:space="0" w:color="auto"/>
        <w:left w:val="none" w:sz="0" w:space="0" w:color="auto"/>
        <w:bottom w:val="none" w:sz="0" w:space="0" w:color="auto"/>
        <w:right w:val="none" w:sz="0" w:space="0" w:color="auto"/>
      </w:divBdr>
    </w:div>
    <w:div w:id="169032676">
      <w:bodyDiv w:val="1"/>
      <w:marLeft w:val="0"/>
      <w:marRight w:val="0"/>
      <w:marTop w:val="0"/>
      <w:marBottom w:val="0"/>
      <w:divBdr>
        <w:top w:val="none" w:sz="0" w:space="0" w:color="auto"/>
        <w:left w:val="none" w:sz="0" w:space="0" w:color="auto"/>
        <w:bottom w:val="none" w:sz="0" w:space="0" w:color="auto"/>
        <w:right w:val="none" w:sz="0" w:space="0" w:color="auto"/>
      </w:divBdr>
    </w:div>
    <w:div w:id="330184030">
      <w:bodyDiv w:val="1"/>
      <w:marLeft w:val="0"/>
      <w:marRight w:val="0"/>
      <w:marTop w:val="0"/>
      <w:marBottom w:val="0"/>
      <w:divBdr>
        <w:top w:val="none" w:sz="0" w:space="0" w:color="auto"/>
        <w:left w:val="none" w:sz="0" w:space="0" w:color="auto"/>
        <w:bottom w:val="none" w:sz="0" w:space="0" w:color="auto"/>
        <w:right w:val="none" w:sz="0" w:space="0" w:color="auto"/>
      </w:divBdr>
    </w:div>
    <w:div w:id="377633413">
      <w:bodyDiv w:val="1"/>
      <w:marLeft w:val="0"/>
      <w:marRight w:val="0"/>
      <w:marTop w:val="0"/>
      <w:marBottom w:val="0"/>
      <w:divBdr>
        <w:top w:val="none" w:sz="0" w:space="0" w:color="auto"/>
        <w:left w:val="none" w:sz="0" w:space="0" w:color="auto"/>
        <w:bottom w:val="none" w:sz="0" w:space="0" w:color="auto"/>
        <w:right w:val="none" w:sz="0" w:space="0" w:color="auto"/>
      </w:divBdr>
    </w:div>
    <w:div w:id="469786746">
      <w:bodyDiv w:val="1"/>
      <w:marLeft w:val="0"/>
      <w:marRight w:val="0"/>
      <w:marTop w:val="0"/>
      <w:marBottom w:val="0"/>
      <w:divBdr>
        <w:top w:val="none" w:sz="0" w:space="0" w:color="auto"/>
        <w:left w:val="none" w:sz="0" w:space="0" w:color="auto"/>
        <w:bottom w:val="none" w:sz="0" w:space="0" w:color="auto"/>
        <w:right w:val="none" w:sz="0" w:space="0" w:color="auto"/>
      </w:divBdr>
    </w:div>
    <w:div w:id="519592154">
      <w:bodyDiv w:val="1"/>
      <w:marLeft w:val="0"/>
      <w:marRight w:val="0"/>
      <w:marTop w:val="0"/>
      <w:marBottom w:val="0"/>
      <w:divBdr>
        <w:top w:val="none" w:sz="0" w:space="0" w:color="auto"/>
        <w:left w:val="none" w:sz="0" w:space="0" w:color="auto"/>
        <w:bottom w:val="none" w:sz="0" w:space="0" w:color="auto"/>
        <w:right w:val="none" w:sz="0" w:space="0" w:color="auto"/>
      </w:divBdr>
    </w:div>
    <w:div w:id="631399884">
      <w:bodyDiv w:val="1"/>
      <w:marLeft w:val="0"/>
      <w:marRight w:val="0"/>
      <w:marTop w:val="0"/>
      <w:marBottom w:val="0"/>
      <w:divBdr>
        <w:top w:val="none" w:sz="0" w:space="0" w:color="auto"/>
        <w:left w:val="none" w:sz="0" w:space="0" w:color="auto"/>
        <w:bottom w:val="none" w:sz="0" w:space="0" w:color="auto"/>
        <w:right w:val="none" w:sz="0" w:space="0" w:color="auto"/>
      </w:divBdr>
    </w:div>
    <w:div w:id="832450342">
      <w:bodyDiv w:val="1"/>
      <w:marLeft w:val="0"/>
      <w:marRight w:val="0"/>
      <w:marTop w:val="0"/>
      <w:marBottom w:val="0"/>
      <w:divBdr>
        <w:top w:val="none" w:sz="0" w:space="0" w:color="auto"/>
        <w:left w:val="none" w:sz="0" w:space="0" w:color="auto"/>
        <w:bottom w:val="none" w:sz="0" w:space="0" w:color="auto"/>
        <w:right w:val="none" w:sz="0" w:space="0" w:color="auto"/>
      </w:divBdr>
    </w:div>
    <w:div w:id="856431561">
      <w:bodyDiv w:val="1"/>
      <w:marLeft w:val="0"/>
      <w:marRight w:val="0"/>
      <w:marTop w:val="0"/>
      <w:marBottom w:val="0"/>
      <w:divBdr>
        <w:top w:val="none" w:sz="0" w:space="0" w:color="auto"/>
        <w:left w:val="none" w:sz="0" w:space="0" w:color="auto"/>
        <w:bottom w:val="none" w:sz="0" w:space="0" w:color="auto"/>
        <w:right w:val="none" w:sz="0" w:space="0" w:color="auto"/>
      </w:divBdr>
    </w:div>
    <w:div w:id="916354859">
      <w:bodyDiv w:val="1"/>
      <w:marLeft w:val="0"/>
      <w:marRight w:val="0"/>
      <w:marTop w:val="0"/>
      <w:marBottom w:val="0"/>
      <w:divBdr>
        <w:top w:val="none" w:sz="0" w:space="0" w:color="auto"/>
        <w:left w:val="none" w:sz="0" w:space="0" w:color="auto"/>
        <w:bottom w:val="none" w:sz="0" w:space="0" w:color="auto"/>
        <w:right w:val="none" w:sz="0" w:space="0" w:color="auto"/>
      </w:divBdr>
    </w:div>
    <w:div w:id="933173547">
      <w:bodyDiv w:val="1"/>
      <w:marLeft w:val="0"/>
      <w:marRight w:val="0"/>
      <w:marTop w:val="0"/>
      <w:marBottom w:val="0"/>
      <w:divBdr>
        <w:top w:val="none" w:sz="0" w:space="0" w:color="auto"/>
        <w:left w:val="none" w:sz="0" w:space="0" w:color="auto"/>
        <w:bottom w:val="none" w:sz="0" w:space="0" w:color="auto"/>
        <w:right w:val="none" w:sz="0" w:space="0" w:color="auto"/>
      </w:divBdr>
    </w:div>
    <w:div w:id="968510429">
      <w:bodyDiv w:val="1"/>
      <w:marLeft w:val="0"/>
      <w:marRight w:val="0"/>
      <w:marTop w:val="0"/>
      <w:marBottom w:val="0"/>
      <w:divBdr>
        <w:top w:val="none" w:sz="0" w:space="0" w:color="auto"/>
        <w:left w:val="none" w:sz="0" w:space="0" w:color="auto"/>
        <w:bottom w:val="none" w:sz="0" w:space="0" w:color="auto"/>
        <w:right w:val="none" w:sz="0" w:space="0" w:color="auto"/>
      </w:divBdr>
    </w:div>
    <w:div w:id="983775133">
      <w:bodyDiv w:val="1"/>
      <w:marLeft w:val="0"/>
      <w:marRight w:val="0"/>
      <w:marTop w:val="0"/>
      <w:marBottom w:val="0"/>
      <w:divBdr>
        <w:top w:val="none" w:sz="0" w:space="0" w:color="auto"/>
        <w:left w:val="none" w:sz="0" w:space="0" w:color="auto"/>
        <w:bottom w:val="none" w:sz="0" w:space="0" w:color="auto"/>
        <w:right w:val="none" w:sz="0" w:space="0" w:color="auto"/>
      </w:divBdr>
    </w:div>
    <w:div w:id="1009672592">
      <w:bodyDiv w:val="1"/>
      <w:marLeft w:val="0"/>
      <w:marRight w:val="0"/>
      <w:marTop w:val="0"/>
      <w:marBottom w:val="0"/>
      <w:divBdr>
        <w:top w:val="none" w:sz="0" w:space="0" w:color="auto"/>
        <w:left w:val="none" w:sz="0" w:space="0" w:color="auto"/>
        <w:bottom w:val="none" w:sz="0" w:space="0" w:color="auto"/>
        <w:right w:val="none" w:sz="0" w:space="0" w:color="auto"/>
      </w:divBdr>
    </w:div>
    <w:div w:id="1272594499">
      <w:bodyDiv w:val="1"/>
      <w:marLeft w:val="0"/>
      <w:marRight w:val="0"/>
      <w:marTop w:val="0"/>
      <w:marBottom w:val="0"/>
      <w:divBdr>
        <w:top w:val="none" w:sz="0" w:space="0" w:color="auto"/>
        <w:left w:val="none" w:sz="0" w:space="0" w:color="auto"/>
        <w:bottom w:val="none" w:sz="0" w:space="0" w:color="auto"/>
        <w:right w:val="none" w:sz="0" w:space="0" w:color="auto"/>
      </w:divBdr>
    </w:div>
    <w:div w:id="1281492330">
      <w:bodyDiv w:val="1"/>
      <w:marLeft w:val="0"/>
      <w:marRight w:val="0"/>
      <w:marTop w:val="0"/>
      <w:marBottom w:val="0"/>
      <w:divBdr>
        <w:top w:val="none" w:sz="0" w:space="0" w:color="auto"/>
        <w:left w:val="none" w:sz="0" w:space="0" w:color="auto"/>
        <w:bottom w:val="none" w:sz="0" w:space="0" w:color="auto"/>
        <w:right w:val="none" w:sz="0" w:space="0" w:color="auto"/>
      </w:divBdr>
    </w:div>
    <w:div w:id="1345669609">
      <w:bodyDiv w:val="1"/>
      <w:marLeft w:val="0"/>
      <w:marRight w:val="0"/>
      <w:marTop w:val="0"/>
      <w:marBottom w:val="0"/>
      <w:divBdr>
        <w:top w:val="none" w:sz="0" w:space="0" w:color="auto"/>
        <w:left w:val="none" w:sz="0" w:space="0" w:color="auto"/>
        <w:bottom w:val="none" w:sz="0" w:space="0" w:color="auto"/>
        <w:right w:val="none" w:sz="0" w:space="0" w:color="auto"/>
      </w:divBdr>
    </w:div>
    <w:div w:id="1462112351">
      <w:bodyDiv w:val="1"/>
      <w:marLeft w:val="0"/>
      <w:marRight w:val="0"/>
      <w:marTop w:val="0"/>
      <w:marBottom w:val="0"/>
      <w:divBdr>
        <w:top w:val="none" w:sz="0" w:space="0" w:color="auto"/>
        <w:left w:val="none" w:sz="0" w:space="0" w:color="auto"/>
        <w:bottom w:val="none" w:sz="0" w:space="0" w:color="auto"/>
        <w:right w:val="none" w:sz="0" w:space="0" w:color="auto"/>
      </w:divBdr>
    </w:div>
    <w:div w:id="1521700116">
      <w:bodyDiv w:val="1"/>
      <w:marLeft w:val="0"/>
      <w:marRight w:val="0"/>
      <w:marTop w:val="0"/>
      <w:marBottom w:val="0"/>
      <w:divBdr>
        <w:top w:val="none" w:sz="0" w:space="0" w:color="auto"/>
        <w:left w:val="none" w:sz="0" w:space="0" w:color="auto"/>
        <w:bottom w:val="none" w:sz="0" w:space="0" w:color="auto"/>
        <w:right w:val="none" w:sz="0" w:space="0" w:color="auto"/>
      </w:divBdr>
    </w:div>
    <w:div w:id="1572500848">
      <w:bodyDiv w:val="1"/>
      <w:marLeft w:val="0"/>
      <w:marRight w:val="0"/>
      <w:marTop w:val="0"/>
      <w:marBottom w:val="0"/>
      <w:divBdr>
        <w:top w:val="none" w:sz="0" w:space="0" w:color="auto"/>
        <w:left w:val="none" w:sz="0" w:space="0" w:color="auto"/>
        <w:bottom w:val="none" w:sz="0" w:space="0" w:color="auto"/>
        <w:right w:val="none" w:sz="0" w:space="0" w:color="auto"/>
      </w:divBdr>
    </w:div>
    <w:div w:id="1586063419">
      <w:bodyDiv w:val="1"/>
      <w:marLeft w:val="0"/>
      <w:marRight w:val="0"/>
      <w:marTop w:val="0"/>
      <w:marBottom w:val="0"/>
      <w:divBdr>
        <w:top w:val="none" w:sz="0" w:space="0" w:color="auto"/>
        <w:left w:val="none" w:sz="0" w:space="0" w:color="auto"/>
        <w:bottom w:val="none" w:sz="0" w:space="0" w:color="auto"/>
        <w:right w:val="none" w:sz="0" w:space="0" w:color="auto"/>
      </w:divBdr>
    </w:div>
    <w:div w:id="1633169823">
      <w:bodyDiv w:val="1"/>
      <w:marLeft w:val="0"/>
      <w:marRight w:val="0"/>
      <w:marTop w:val="0"/>
      <w:marBottom w:val="0"/>
      <w:divBdr>
        <w:top w:val="none" w:sz="0" w:space="0" w:color="auto"/>
        <w:left w:val="none" w:sz="0" w:space="0" w:color="auto"/>
        <w:bottom w:val="none" w:sz="0" w:space="0" w:color="auto"/>
        <w:right w:val="none" w:sz="0" w:space="0" w:color="auto"/>
      </w:divBdr>
    </w:div>
    <w:div w:id="1663776387">
      <w:bodyDiv w:val="1"/>
      <w:marLeft w:val="0"/>
      <w:marRight w:val="0"/>
      <w:marTop w:val="0"/>
      <w:marBottom w:val="0"/>
      <w:divBdr>
        <w:top w:val="none" w:sz="0" w:space="0" w:color="auto"/>
        <w:left w:val="none" w:sz="0" w:space="0" w:color="auto"/>
        <w:bottom w:val="none" w:sz="0" w:space="0" w:color="auto"/>
        <w:right w:val="none" w:sz="0" w:space="0" w:color="auto"/>
      </w:divBdr>
    </w:div>
    <w:div w:id="1776553613">
      <w:bodyDiv w:val="1"/>
      <w:marLeft w:val="0"/>
      <w:marRight w:val="0"/>
      <w:marTop w:val="0"/>
      <w:marBottom w:val="0"/>
      <w:divBdr>
        <w:top w:val="none" w:sz="0" w:space="0" w:color="auto"/>
        <w:left w:val="none" w:sz="0" w:space="0" w:color="auto"/>
        <w:bottom w:val="none" w:sz="0" w:space="0" w:color="auto"/>
        <w:right w:val="none" w:sz="0" w:space="0" w:color="auto"/>
      </w:divBdr>
      <w:divsChild>
        <w:div w:id="1613701909">
          <w:marLeft w:val="0"/>
          <w:marRight w:val="0"/>
          <w:marTop w:val="0"/>
          <w:marBottom w:val="138"/>
          <w:divBdr>
            <w:top w:val="none" w:sz="0" w:space="0" w:color="auto"/>
            <w:left w:val="none" w:sz="0" w:space="0" w:color="auto"/>
            <w:bottom w:val="none" w:sz="0" w:space="0" w:color="auto"/>
            <w:right w:val="none" w:sz="0" w:space="0" w:color="auto"/>
          </w:divBdr>
          <w:divsChild>
            <w:div w:id="277878658">
              <w:marLeft w:val="0"/>
              <w:marRight w:val="0"/>
              <w:marTop w:val="0"/>
              <w:marBottom w:val="138"/>
              <w:divBdr>
                <w:top w:val="single" w:sz="6" w:space="0" w:color="EBEBEB"/>
                <w:left w:val="single" w:sz="6" w:space="0" w:color="EBEBEB"/>
                <w:bottom w:val="single" w:sz="6" w:space="0" w:color="EBEBEB"/>
                <w:right w:val="single" w:sz="6" w:space="0" w:color="EBEBEB"/>
              </w:divBdr>
              <w:divsChild>
                <w:div w:id="1704281717">
                  <w:marLeft w:val="0"/>
                  <w:marRight w:val="0"/>
                  <w:marTop w:val="0"/>
                  <w:marBottom w:val="0"/>
                  <w:divBdr>
                    <w:top w:val="none" w:sz="0" w:space="0" w:color="auto"/>
                    <w:left w:val="none" w:sz="0" w:space="0" w:color="auto"/>
                    <w:bottom w:val="none" w:sz="0" w:space="0" w:color="auto"/>
                    <w:right w:val="none" w:sz="0" w:space="0" w:color="auto"/>
                  </w:divBdr>
                  <w:divsChild>
                    <w:div w:id="1406684054">
                      <w:marLeft w:val="0"/>
                      <w:marRight w:val="138"/>
                      <w:marTop w:val="0"/>
                      <w:marBottom w:val="0"/>
                      <w:divBdr>
                        <w:top w:val="none" w:sz="0" w:space="0" w:color="auto"/>
                        <w:left w:val="none" w:sz="0" w:space="0" w:color="auto"/>
                        <w:bottom w:val="none" w:sz="0" w:space="0" w:color="auto"/>
                        <w:right w:val="none" w:sz="0" w:space="0" w:color="auto"/>
                      </w:divBdr>
                      <w:divsChild>
                        <w:div w:id="613441528">
                          <w:marLeft w:val="0"/>
                          <w:marRight w:val="0"/>
                          <w:marTop w:val="0"/>
                          <w:marBottom w:val="0"/>
                          <w:divBdr>
                            <w:top w:val="none" w:sz="0" w:space="0" w:color="auto"/>
                            <w:left w:val="none" w:sz="0" w:space="0" w:color="auto"/>
                            <w:bottom w:val="none" w:sz="0" w:space="0" w:color="auto"/>
                            <w:right w:val="none" w:sz="0" w:space="0" w:color="auto"/>
                          </w:divBdr>
                          <w:divsChild>
                            <w:div w:id="13311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020279">
      <w:bodyDiv w:val="1"/>
      <w:marLeft w:val="0"/>
      <w:marRight w:val="0"/>
      <w:marTop w:val="0"/>
      <w:marBottom w:val="0"/>
      <w:divBdr>
        <w:top w:val="none" w:sz="0" w:space="0" w:color="auto"/>
        <w:left w:val="none" w:sz="0" w:space="0" w:color="auto"/>
        <w:bottom w:val="none" w:sz="0" w:space="0" w:color="auto"/>
        <w:right w:val="none" w:sz="0" w:space="0" w:color="auto"/>
      </w:divBdr>
    </w:div>
    <w:div w:id="1868134230">
      <w:bodyDiv w:val="1"/>
      <w:marLeft w:val="0"/>
      <w:marRight w:val="0"/>
      <w:marTop w:val="0"/>
      <w:marBottom w:val="0"/>
      <w:divBdr>
        <w:top w:val="none" w:sz="0" w:space="0" w:color="auto"/>
        <w:left w:val="none" w:sz="0" w:space="0" w:color="auto"/>
        <w:bottom w:val="none" w:sz="0" w:space="0" w:color="auto"/>
        <w:right w:val="none" w:sz="0" w:space="0" w:color="auto"/>
      </w:divBdr>
    </w:div>
    <w:div w:id="1926836872">
      <w:bodyDiv w:val="1"/>
      <w:marLeft w:val="0"/>
      <w:marRight w:val="0"/>
      <w:marTop w:val="0"/>
      <w:marBottom w:val="0"/>
      <w:divBdr>
        <w:top w:val="none" w:sz="0" w:space="0" w:color="auto"/>
        <w:left w:val="none" w:sz="0" w:space="0" w:color="auto"/>
        <w:bottom w:val="none" w:sz="0" w:space="0" w:color="auto"/>
        <w:right w:val="none" w:sz="0" w:space="0" w:color="auto"/>
      </w:divBdr>
    </w:div>
    <w:div w:id="2024941445">
      <w:bodyDiv w:val="1"/>
      <w:marLeft w:val="0"/>
      <w:marRight w:val="0"/>
      <w:marTop w:val="0"/>
      <w:marBottom w:val="0"/>
      <w:divBdr>
        <w:top w:val="none" w:sz="0" w:space="0" w:color="auto"/>
        <w:left w:val="none" w:sz="0" w:space="0" w:color="auto"/>
        <w:bottom w:val="none" w:sz="0" w:space="0" w:color="auto"/>
        <w:right w:val="none" w:sz="0" w:space="0" w:color="auto"/>
      </w:divBdr>
    </w:div>
    <w:div w:id="21172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2012-02-29T08:00:00+00:00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35F834-E988-42EE-9D0A-F2C4B91AECDF}"/>
</file>

<file path=customXml/itemProps2.xml><?xml version="1.0" encoding="utf-8"?>
<ds:datastoreItem xmlns:ds="http://schemas.openxmlformats.org/officeDocument/2006/customXml" ds:itemID="{132D8843-9E85-4BEA-869C-9ACB53190217}"/>
</file>

<file path=customXml/itemProps3.xml><?xml version="1.0" encoding="utf-8"?>
<ds:datastoreItem xmlns:ds="http://schemas.openxmlformats.org/officeDocument/2006/customXml" ds:itemID="{5760960A-F5ED-4357-9958-56DFE0168973}"/>
</file>

<file path=customXml/itemProps4.xml><?xml version="1.0" encoding="utf-8"?>
<ds:datastoreItem xmlns:ds="http://schemas.openxmlformats.org/officeDocument/2006/customXml" ds:itemID="{468AE84C-1EEC-4E91-B12A-B96DBA01DDDC}"/>
</file>

<file path=customXml/itemProps5.xml><?xml version="1.0" encoding="utf-8"?>
<ds:datastoreItem xmlns:ds="http://schemas.openxmlformats.org/officeDocument/2006/customXml" ds:itemID="{3B60D29E-1CD9-41B4-9106-2B6AB3124B97}"/>
</file>

<file path=docProps/app.xml><?xml version="1.0" encoding="utf-8"?>
<Properties xmlns="http://schemas.openxmlformats.org/officeDocument/2006/extended-properties" xmlns:vt="http://schemas.openxmlformats.org/officeDocument/2006/docPropsVTypes">
  <Template>Normal.dotm</Template>
  <TotalTime>450</TotalTime>
  <Pages>16</Pages>
  <Words>5730</Words>
  <Characters>32664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38318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Ehrbar</dc:creator>
  <cp:keywords/>
  <dc:description/>
  <cp:lastModifiedBy>Avista - Patrick Ehrbar</cp:lastModifiedBy>
  <cp:revision>54</cp:revision>
  <cp:lastPrinted>2012-02-28T20:07:00Z</cp:lastPrinted>
  <dcterms:created xsi:type="dcterms:W3CDTF">2012-02-27T16:10:00Z</dcterms:created>
  <dcterms:modified xsi:type="dcterms:W3CDTF">2012-02-28T20:47:00Z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