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05" w:rsidRDefault="00913105" w:rsidP="00913105">
      <w:pPr>
        <w:ind w:left="720" w:right="600"/>
      </w:pPr>
    </w:p>
    <w:p w:rsidR="00913105" w:rsidRPr="007C301E" w:rsidRDefault="00347378" w:rsidP="00CC4BC2">
      <w:pPr>
        <w:ind w:right="600"/>
        <w:rPr>
          <w:sz w:val="22"/>
          <w:szCs w:val="22"/>
        </w:rPr>
      </w:pPr>
      <w:r>
        <w:rPr>
          <w:sz w:val="22"/>
          <w:szCs w:val="22"/>
        </w:rPr>
        <w:t xml:space="preserve">October </w:t>
      </w:r>
      <w:r w:rsidR="00B465AA">
        <w:rPr>
          <w:sz w:val="22"/>
          <w:szCs w:val="22"/>
        </w:rPr>
        <w:t>25</w:t>
      </w:r>
      <w:r w:rsidR="005C62EF" w:rsidRPr="00347378">
        <w:rPr>
          <w:sz w:val="22"/>
          <w:szCs w:val="22"/>
          <w:vertAlign w:val="superscript"/>
        </w:rPr>
        <w:t>th</w:t>
      </w:r>
      <w:r w:rsidR="005C62EF">
        <w:rPr>
          <w:sz w:val="22"/>
          <w:szCs w:val="22"/>
        </w:rPr>
        <w:t>,</w:t>
      </w:r>
      <w:r w:rsidR="004C036C" w:rsidRPr="007C301E">
        <w:rPr>
          <w:sz w:val="22"/>
          <w:szCs w:val="22"/>
        </w:rPr>
        <w:t xml:space="preserve"> 2018</w:t>
      </w:r>
    </w:p>
    <w:p w:rsidR="004C036C" w:rsidRPr="007C301E" w:rsidRDefault="004C036C" w:rsidP="00913105">
      <w:pPr>
        <w:ind w:left="720" w:right="600"/>
        <w:rPr>
          <w:sz w:val="22"/>
          <w:szCs w:val="22"/>
        </w:rPr>
      </w:pPr>
    </w:p>
    <w:p w:rsidR="004C036C" w:rsidRPr="007C301E" w:rsidRDefault="004C036C" w:rsidP="00CC4BC2">
      <w:pPr>
        <w:ind w:right="600"/>
        <w:rPr>
          <w:sz w:val="22"/>
          <w:szCs w:val="22"/>
        </w:rPr>
      </w:pPr>
      <w:r w:rsidRPr="007C301E">
        <w:rPr>
          <w:sz w:val="22"/>
          <w:szCs w:val="22"/>
        </w:rPr>
        <w:t>Dear Curbside Customer</w:t>
      </w:r>
    </w:p>
    <w:p w:rsidR="00913105" w:rsidRPr="007C301E" w:rsidRDefault="00913105" w:rsidP="006451D1">
      <w:pPr>
        <w:ind w:left="720" w:right="600"/>
        <w:jc w:val="both"/>
        <w:rPr>
          <w:sz w:val="22"/>
          <w:szCs w:val="22"/>
        </w:rPr>
      </w:pPr>
    </w:p>
    <w:p w:rsidR="00CC4BC2" w:rsidRPr="007C301E" w:rsidRDefault="00115F5B" w:rsidP="006451D1">
      <w:pPr>
        <w:pStyle w:val="NoSpacing"/>
        <w:jc w:val="both"/>
        <w:rPr>
          <w:rFonts w:ascii="Times New Roman" w:hAnsi="Times New Roman" w:cs="Times New Roman"/>
        </w:rPr>
      </w:pPr>
      <w:r w:rsidRPr="007C301E">
        <w:rPr>
          <w:rFonts w:ascii="Times New Roman" w:hAnsi="Times New Roman" w:cs="Times New Roman"/>
        </w:rPr>
        <w:t>You are likely aware of recent changes by Whatcom County</w:t>
      </w:r>
      <w:r w:rsidR="00960F32" w:rsidRPr="007C301E">
        <w:rPr>
          <w:rFonts w:ascii="Times New Roman" w:hAnsi="Times New Roman" w:cs="Times New Roman"/>
        </w:rPr>
        <w:t xml:space="preserve"> </w:t>
      </w:r>
      <w:r w:rsidR="007C301E" w:rsidRPr="007C301E">
        <w:rPr>
          <w:rFonts w:ascii="Times New Roman" w:hAnsi="Times New Roman" w:cs="Times New Roman"/>
        </w:rPr>
        <w:t>regarding how</w:t>
      </w:r>
      <w:r w:rsidRPr="007C301E">
        <w:rPr>
          <w:rFonts w:ascii="Times New Roman" w:hAnsi="Times New Roman" w:cs="Times New Roman"/>
        </w:rPr>
        <w:t xml:space="preserve"> you wil</w:t>
      </w:r>
      <w:r w:rsidR="006451D1" w:rsidRPr="007C301E">
        <w:rPr>
          <w:rFonts w:ascii="Times New Roman" w:hAnsi="Times New Roman" w:cs="Times New Roman"/>
        </w:rPr>
        <w:t xml:space="preserve">l be billed for solid waste and </w:t>
      </w:r>
      <w:r w:rsidRPr="007C301E">
        <w:rPr>
          <w:rFonts w:ascii="Times New Roman" w:hAnsi="Times New Roman" w:cs="Times New Roman"/>
        </w:rPr>
        <w:t xml:space="preserve">recycling services beginning in </w:t>
      </w:r>
      <w:r w:rsidR="00CC4BC2" w:rsidRPr="007C301E">
        <w:rPr>
          <w:rFonts w:ascii="Times New Roman" w:hAnsi="Times New Roman" w:cs="Times New Roman"/>
        </w:rPr>
        <w:t xml:space="preserve">January </w:t>
      </w:r>
      <w:r w:rsidRPr="007C301E">
        <w:rPr>
          <w:rFonts w:ascii="Times New Roman" w:hAnsi="Times New Roman" w:cs="Times New Roman"/>
        </w:rPr>
        <w:t>2019. These changes include paying for curbside solid waste and recycling collection as a fee on your annual county tax statement</w:t>
      </w:r>
      <w:r w:rsidR="00795DD5" w:rsidRPr="007C301E">
        <w:rPr>
          <w:rFonts w:ascii="Times New Roman" w:hAnsi="Times New Roman" w:cs="Times New Roman"/>
        </w:rPr>
        <w:t xml:space="preserve"> as approved by County Council</w:t>
      </w:r>
      <w:r w:rsidRPr="007C301E">
        <w:rPr>
          <w:rFonts w:ascii="Times New Roman" w:hAnsi="Times New Roman" w:cs="Times New Roman"/>
        </w:rPr>
        <w:t>. The fee will cover the cost of “</w:t>
      </w:r>
      <w:r w:rsidRPr="007C301E">
        <w:rPr>
          <w:rFonts w:ascii="Times New Roman" w:hAnsi="Times New Roman" w:cs="Times New Roman"/>
          <w:i/>
        </w:rPr>
        <w:t xml:space="preserve">26 annual pickups, to occur at the discretion of the customer, on any day of the </w:t>
      </w:r>
      <w:r w:rsidR="00121768">
        <w:rPr>
          <w:rFonts w:ascii="Times New Roman" w:hAnsi="Times New Roman" w:cs="Times New Roman"/>
          <w:i/>
        </w:rPr>
        <w:t xml:space="preserve">company </w:t>
      </w:r>
      <w:r w:rsidRPr="007C301E">
        <w:rPr>
          <w:rFonts w:ascii="Times New Roman" w:hAnsi="Times New Roman" w:cs="Times New Roman"/>
          <w:i/>
        </w:rPr>
        <w:t>approved every other week garbage collection schedule of a 32 gallon can and three-bin source separated recyclables”</w:t>
      </w:r>
      <w:r w:rsidRPr="007C301E">
        <w:rPr>
          <w:rFonts w:ascii="Times New Roman" w:hAnsi="Times New Roman" w:cs="Times New Roman"/>
        </w:rPr>
        <w:t xml:space="preserve">. For those requiring or requesting additional services, these will be available by direct </w:t>
      </w:r>
      <w:r w:rsidR="00121768">
        <w:rPr>
          <w:rFonts w:ascii="Times New Roman" w:hAnsi="Times New Roman" w:cs="Times New Roman"/>
        </w:rPr>
        <w:t xml:space="preserve">bi monthly </w:t>
      </w:r>
      <w:r w:rsidRPr="007C301E">
        <w:rPr>
          <w:rFonts w:ascii="Times New Roman" w:hAnsi="Times New Roman" w:cs="Times New Roman"/>
        </w:rPr>
        <w:t>billing</w:t>
      </w:r>
      <w:r w:rsidR="00795DD5" w:rsidRPr="007C301E">
        <w:rPr>
          <w:rFonts w:ascii="Times New Roman" w:hAnsi="Times New Roman" w:cs="Times New Roman"/>
        </w:rPr>
        <w:t xml:space="preserve"> by Cando R</w:t>
      </w:r>
      <w:r w:rsidR="00CC4BC2" w:rsidRPr="007C301E">
        <w:rPr>
          <w:rFonts w:ascii="Times New Roman" w:hAnsi="Times New Roman" w:cs="Times New Roman"/>
        </w:rPr>
        <w:t>ecycling and Disposal</w:t>
      </w:r>
      <w:r w:rsidR="00CB087F">
        <w:rPr>
          <w:rFonts w:ascii="Times New Roman" w:hAnsi="Times New Roman" w:cs="Times New Roman"/>
        </w:rPr>
        <w:t xml:space="preserve"> and are outlined below for your reference.</w:t>
      </w:r>
      <w:r w:rsidR="003F2310">
        <w:rPr>
          <w:rFonts w:ascii="Times New Roman" w:hAnsi="Times New Roman" w:cs="Times New Roman"/>
        </w:rPr>
        <w:t xml:space="preserve"> </w:t>
      </w:r>
      <w:r w:rsidR="00101CAD">
        <w:rPr>
          <w:rFonts w:ascii="Times New Roman" w:hAnsi="Times New Roman" w:cs="Times New Roman"/>
        </w:rPr>
        <w:t>For services in excess of the minimum service level, y</w:t>
      </w:r>
      <w:r w:rsidR="003F2310">
        <w:rPr>
          <w:rFonts w:ascii="Times New Roman" w:hAnsi="Times New Roman" w:cs="Times New Roman"/>
        </w:rPr>
        <w:t xml:space="preserve">ou will be billed </w:t>
      </w:r>
      <w:r w:rsidR="00101CAD">
        <w:rPr>
          <w:rFonts w:ascii="Times New Roman" w:hAnsi="Times New Roman" w:cs="Times New Roman"/>
        </w:rPr>
        <w:t xml:space="preserve">bi-monthly </w:t>
      </w:r>
      <w:r w:rsidR="003F2310">
        <w:rPr>
          <w:rFonts w:ascii="Times New Roman" w:hAnsi="Times New Roman" w:cs="Times New Roman"/>
        </w:rPr>
        <w:t>by Cando for the portion not covered by the county fee.</w:t>
      </w:r>
      <w:r w:rsidR="00CC4BC2" w:rsidRPr="007C301E">
        <w:rPr>
          <w:rFonts w:ascii="Times New Roman" w:hAnsi="Times New Roman" w:cs="Times New Roman"/>
        </w:rPr>
        <w:t xml:space="preserve"> The County will also eliminate exemptions to the mandatory collection effective January 1, 2019.</w:t>
      </w:r>
    </w:p>
    <w:p w:rsidR="00CC4BC2" w:rsidRPr="007C301E" w:rsidRDefault="00CC4BC2" w:rsidP="006451D1">
      <w:pPr>
        <w:ind w:left="720" w:right="600"/>
        <w:jc w:val="both"/>
        <w:rPr>
          <w:sz w:val="22"/>
          <w:szCs w:val="22"/>
        </w:rPr>
      </w:pPr>
    </w:p>
    <w:p w:rsidR="00115F5B" w:rsidRPr="007C301E" w:rsidRDefault="00CC4BC2" w:rsidP="006451D1">
      <w:pPr>
        <w:pStyle w:val="NoSpacing"/>
        <w:jc w:val="both"/>
      </w:pPr>
      <w:r w:rsidRPr="007C301E">
        <w:rPr>
          <w:rFonts w:ascii="Times New Roman" w:hAnsi="Times New Roman" w:cs="Times New Roman"/>
        </w:rPr>
        <w:t xml:space="preserve">The result of these changes will </w:t>
      </w:r>
      <w:r w:rsidR="00A31AA0" w:rsidRPr="007C301E">
        <w:rPr>
          <w:rFonts w:ascii="Times New Roman" w:hAnsi="Times New Roman" w:cs="Times New Roman"/>
        </w:rPr>
        <w:t>significantly increase</w:t>
      </w:r>
      <w:r w:rsidRPr="007C301E">
        <w:rPr>
          <w:rFonts w:ascii="Times New Roman" w:hAnsi="Times New Roman" w:cs="Times New Roman"/>
        </w:rPr>
        <w:t xml:space="preserve"> the number of curbside garbage and recycling customers and require the company</w:t>
      </w:r>
      <w:r w:rsidR="00B7131A">
        <w:rPr>
          <w:rFonts w:ascii="Times New Roman" w:hAnsi="Times New Roman" w:cs="Times New Roman"/>
        </w:rPr>
        <w:t xml:space="preserve"> to incur additional labor costs and</w:t>
      </w:r>
      <w:r w:rsidRPr="007C301E">
        <w:rPr>
          <w:rFonts w:ascii="Times New Roman" w:hAnsi="Times New Roman" w:cs="Times New Roman"/>
        </w:rPr>
        <w:t xml:space="preserve"> to invest in equipment to meet the increased needs. </w:t>
      </w:r>
    </w:p>
    <w:p w:rsidR="00CC4BC2" w:rsidRPr="007C301E" w:rsidRDefault="00CC4BC2" w:rsidP="006451D1">
      <w:pPr>
        <w:ind w:left="720" w:right="600"/>
        <w:jc w:val="both"/>
        <w:rPr>
          <w:sz w:val="22"/>
          <w:szCs w:val="22"/>
        </w:rPr>
      </w:pPr>
    </w:p>
    <w:p w:rsidR="00CC4BC2" w:rsidRPr="007C301E" w:rsidRDefault="00CC4BC2" w:rsidP="006451D1">
      <w:pPr>
        <w:ind w:right="600"/>
        <w:jc w:val="both"/>
        <w:rPr>
          <w:sz w:val="22"/>
          <w:szCs w:val="22"/>
        </w:rPr>
      </w:pPr>
      <w:r w:rsidRPr="007C301E">
        <w:rPr>
          <w:sz w:val="22"/>
          <w:szCs w:val="22"/>
        </w:rPr>
        <w:t>The company proposes the following rates to be effective January 1, 2019:</w:t>
      </w:r>
    </w:p>
    <w:p w:rsidR="006451D1" w:rsidRDefault="006451D1" w:rsidP="006451D1">
      <w:pPr>
        <w:ind w:right="600"/>
        <w:jc w:val="both"/>
        <w:rPr>
          <w:sz w:val="22"/>
          <w:szCs w:val="22"/>
        </w:rPr>
      </w:pPr>
    </w:p>
    <w:tbl>
      <w:tblPr>
        <w:tblStyle w:val="TableGrid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0"/>
        <w:gridCol w:w="2430"/>
        <w:gridCol w:w="2700"/>
      </w:tblGrid>
      <w:tr w:rsidR="00347378" w:rsidRPr="00347378" w:rsidTr="00BD18F1">
        <w:trPr>
          <w:trHeight w:val="351"/>
        </w:trPr>
        <w:tc>
          <w:tcPr>
            <w:tcW w:w="4680" w:type="dxa"/>
          </w:tcPr>
          <w:p w:rsidR="00347378" w:rsidRPr="00347378" w:rsidRDefault="00347378" w:rsidP="00347378">
            <w:pPr>
              <w:ind w:right="600"/>
              <w:jc w:val="center"/>
              <w:rPr>
                <w:b/>
              </w:rPr>
            </w:pPr>
            <w:r w:rsidRPr="00347378">
              <w:rPr>
                <w:b/>
              </w:rPr>
              <w:t>Residential Service</w:t>
            </w:r>
            <w:r w:rsidR="00D533D5">
              <w:rPr>
                <w:b/>
              </w:rPr>
              <w:t>s</w:t>
            </w:r>
          </w:p>
        </w:tc>
        <w:tc>
          <w:tcPr>
            <w:tcW w:w="2430" w:type="dxa"/>
          </w:tcPr>
          <w:p w:rsidR="00347378" w:rsidRPr="00347378" w:rsidRDefault="00347378" w:rsidP="00347378">
            <w:pPr>
              <w:ind w:right="600"/>
              <w:jc w:val="center"/>
              <w:rPr>
                <w:b/>
              </w:rPr>
            </w:pPr>
            <w:r w:rsidRPr="00347378">
              <w:rPr>
                <w:b/>
              </w:rPr>
              <w:t>Current Rates</w:t>
            </w:r>
          </w:p>
        </w:tc>
        <w:tc>
          <w:tcPr>
            <w:tcW w:w="2700" w:type="dxa"/>
          </w:tcPr>
          <w:p w:rsidR="00347378" w:rsidRPr="00347378" w:rsidRDefault="00347378" w:rsidP="00347378">
            <w:pPr>
              <w:ind w:right="600"/>
              <w:jc w:val="center"/>
              <w:rPr>
                <w:b/>
              </w:rPr>
            </w:pPr>
            <w:r w:rsidRPr="00347378">
              <w:rPr>
                <w:b/>
              </w:rPr>
              <w:t>Proposed Rates</w:t>
            </w:r>
          </w:p>
        </w:tc>
      </w:tr>
      <w:tr w:rsidR="00101CAD" w:rsidRPr="00347378" w:rsidTr="00BD18F1">
        <w:trPr>
          <w:trHeight w:val="243"/>
        </w:trPr>
        <w:tc>
          <w:tcPr>
            <w:tcW w:w="4680" w:type="dxa"/>
          </w:tcPr>
          <w:p w:rsidR="001421EE" w:rsidRDefault="00101CAD">
            <w:pPr>
              <w:ind w:right="600"/>
            </w:pPr>
            <w:r w:rsidRPr="00B7131A">
              <w:t>32 Gallon Every-Other-</w:t>
            </w:r>
            <w:r w:rsidR="0026722E" w:rsidRPr="0026722E">
              <w:t>Week Garbage</w:t>
            </w:r>
          </w:p>
        </w:tc>
        <w:tc>
          <w:tcPr>
            <w:tcW w:w="2430" w:type="dxa"/>
          </w:tcPr>
          <w:p w:rsidR="00101CAD" w:rsidRPr="00BD18F1" w:rsidRDefault="0026722E" w:rsidP="00B7131A">
            <w:pPr>
              <w:ind w:right="600"/>
              <w:jc w:val="center"/>
            </w:pPr>
            <w:r w:rsidRPr="0026722E">
              <w:t>$10.80</w:t>
            </w:r>
          </w:p>
        </w:tc>
        <w:tc>
          <w:tcPr>
            <w:tcW w:w="2700" w:type="dxa"/>
          </w:tcPr>
          <w:p w:rsidR="00101CAD" w:rsidRPr="00BD18F1" w:rsidRDefault="0026722E">
            <w:pPr>
              <w:ind w:right="600"/>
              <w:jc w:val="center"/>
            </w:pPr>
            <w:r w:rsidRPr="0026722E">
              <w:t>$11.68</w:t>
            </w:r>
          </w:p>
        </w:tc>
      </w:tr>
      <w:tr w:rsidR="00101CAD" w:rsidRPr="00347378" w:rsidTr="00BD18F1">
        <w:trPr>
          <w:trHeight w:val="252"/>
        </w:trPr>
        <w:tc>
          <w:tcPr>
            <w:tcW w:w="4680" w:type="dxa"/>
          </w:tcPr>
          <w:p w:rsidR="001421EE" w:rsidRDefault="0026722E">
            <w:pPr>
              <w:ind w:right="600"/>
            </w:pPr>
            <w:r w:rsidRPr="0026722E">
              <w:t>Every-Other-Week Recycling</w:t>
            </w:r>
            <w:r w:rsidR="00101CAD">
              <w:t xml:space="preserve"> (w/Garb)</w:t>
            </w:r>
          </w:p>
        </w:tc>
        <w:tc>
          <w:tcPr>
            <w:tcW w:w="2430" w:type="dxa"/>
          </w:tcPr>
          <w:p w:rsidR="00101CAD" w:rsidRPr="00BD18F1" w:rsidRDefault="0026722E" w:rsidP="00B7131A">
            <w:pPr>
              <w:ind w:right="600"/>
              <w:jc w:val="center"/>
            </w:pPr>
            <w:r w:rsidRPr="0026722E">
              <w:t>$5.33</w:t>
            </w:r>
          </w:p>
        </w:tc>
        <w:tc>
          <w:tcPr>
            <w:tcW w:w="2700" w:type="dxa"/>
          </w:tcPr>
          <w:p w:rsidR="00101CAD" w:rsidRPr="00BD18F1" w:rsidRDefault="0026722E">
            <w:pPr>
              <w:ind w:right="600"/>
              <w:jc w:val="center"/>
            </w:pPr>
            <w:r w:rsidRPr="0026722E">
              <w:t>$5.28</w:t>
            </w:r>
          </w:p>
        </w:tc>
      </w:tr>
      <w:tr w:rsidR="00347378" w:rsidTr="00BD18F1">
        <w:tc>
          <w:tcPr>
            <w:tcW w:w="4680" w:type="dxa"/>
          </w:tcPr>
          <w:p w:rsidR="00347378" w:rsidRDefault="00347378" w:rsidP="006451D1">
            <w:pPr>
              <w:ind w:right="600"/>
              <w:jc w:val="both"/>
            </w:pPr>
            <w:r>
              <w:t>Mini-Can Every-Other-Week Garbage</w:t>
            </w:r>
          </w:p>
        </w:tc>
        <w:tc>
          <w:tcPr>
            <w:tcW w:w="2430" w:type="dxa"/>
          </w:tcPr>
          <w:p w:rsidR="00347378" w:rsidRDefault="00347378" w:rsidP="00347378">
            <w:pPr>
              <w:ind w:right="600"/>
              <w:jc w:val="center"/>
            </w:pPr>
            <w:r>
              <w:t>$5.63</w:t>
            </w:r>
          </w:p>
        </w:tc>
        <w:tc>
          <w:tcPr>
            <w:tcW w:w="2700" w:type="dxa"/>
          </w:tcPr>
          <w:p w:rsidR="00347378" w:rsidRDefault="00347378" w:rsidP="00347378">
            <w:pPr>
              <w:ind w:right="600"/>
              <w:jc w:val="center"/>
            </w:pPr>
            <w:r>
              <w:t>$11.68</w:t>
            </w:r>
            <w:r w:rsidR="00CB087F">
              <w:t>*</w:t>
            </w:r>
          </w:p>
        </w:tc>
      </w:tr>
      <w:tr w:rsidR="00347378" w:rsidTr="00BD18F1">
        <w:tc>
          <w:tcPr>
            <w:tcW w:w="4680" w:type="dxa"/>
          </w:tcPr>
          <w:p w:rsidR="00347378" w:rsidRDefault="00347378" w:rsidP="006451D1">
            <w:pPr>
              <w:ind w:right="600"/>
              <w:jc w:val="both"/>
            </w:pPr>
            <w:r>
              <w:t>Mini-Can Weekly Garbage</w:t>
            </w:r>
          </w:p>
        </w:tc>
        <w:tc>
          <w:tcPr>
            <w:tcW w:w="2430" w:type="dxa"/>
          </w:tcPr>
          <w:p w:rsidR="00347378" w:rsidRDefault="00347378" w:rsidP="00347378">
            <w:pPr>
              <w:ind w:right="600"/>
              <w:jc w:val="center"/>
            </w:pPr>
            <w:r>
              <w:t>$10.52</w:t>
            </w:r>
          </w:p>
        </w:tc>
        <w:tc>
          <w:tcPr>
            <w:tcW w:w="2700" w:type="dxa"/>
          </w:tcPr>
          <w:p w:rsidR="00347378" w:rsidRDefault="00347378" w:rsidP="00347378">
            <w:pPr>
              <w:ind w:right="600"/>
              <w:jc w:val="center"/>
            </w:pPr>
            <w:r>
              <w:t>$20.85</w:t>
            </w:r>
            <w:r w:rsidR="00CB087F">
              <w:t>*</w:t>
            </w:r>
          </w:p>
        </w:tc>
      </w:tr>
      <w:tr w:rsidR="00347378" w:rsidTr="00BD18F1">
        <w:tc>
          <w:tcPr>
            <w:tcW w:w="4680" w:type="dxa"/>
          </w:tcPr>
          <w:p w:rsidR="00347378" w:rsidRDefault="00347378" w:rsidP="006451D1">
            <w:pPr>
              <w:ind w:right="600"/>
              <w:jc w:val="both"/>
            </w:pPr>
            <w:r>
              <w:t>32 Gallon Weekly Garbage</w:t>
            </w:r>
          </w:p>
        </w:tc>
        <w:tc>
          <w:tcPr>
            <w:tcW w:w="2430" w:type="dxa"/>
          </w:tcPr>
          <w:p w:rsidR="00347378" w:rsidRDefault="00347378" w:rsidP="00347378">
            <w:pPr>
              <w:ind w:right="600"/>
              <w:jc w:val="center"/>
            </w:pPr>
            <w:r>
              <w:t>$20.90</w:t>
            </w:r>
          </w:p>
        </w:tc>
        <w:tc>
          <w:tcPr>
            <w:tcW w:w="2700" w:type="dxa"/>
          </w:tcPr>
          <w:p w:rsidR="00347378" w:rsidRDefault="00347378" w:rsidP="00347378">
            <w:pPr>
              <w:ind w:right="600"/>
              <w:jc w:val="center"/>
            </w:pPr>
            <w:r>
              <w:t>$22.60</w:t>
            </w:r>
          </w:p>
        </w:tc>
      </w:tr>
      <w:tr w:rsidR="00347378" w:rsidTr="00BD18F1">
        <w:tc>
          <w:tcPr>
            <w:tcW w:w="4680" w:type="dxa"/>
          </w:tcPr>
          <w:p w:rsidR="00347378" w:rsidRDefault="00347378" w:rsidP="006451D1">
            <w:pPr>
              <w:ind w:right="600"/>
              <w:jc w:val="both"/>
            </w:pPr>
            <w:r>
              <w:t>Extra or Oversize/</w:t>
            </w:r>
            <w:r w:rsidR="00D533D5">
              <w:t>over</w:t>
            </w:r>
            <w:r>
              <w:t>full</w:t>
            </w:r>
            <w:r w:rsidR="00D533D5">
              <w:t xml:space="preserve"> 32 Gal. Can</w:t>
            </w:r>
          </w:p>
        </w:tc>
        <w:tc>
          <w:tcPr>
            <w:tcW w:w="2430" w:type="dxa"/>
          </w:tcPr>
          <w:p w:rsidR="00347378" w:rsidRDefault="00D533D5" w:rsidP="00347378">
            <w:pPr>
              <w:ind w:right="600"/>
              <w:jc w:val="center"/>
            </w:pPr>
            <w:r>
              <w:t>$4.62</w:t>
            </w:r>
          </w:p>
        </w:tc>
        <w:tc>
          <w:tcPr>
            <w:tcW w:w="2700" w:type="dxa"/>
          </w:tcPr>
          <w:p w:rsidR="00347378" w:rsidRDefault="00D533D5" w:rsidP="00347378">
            <w:pPr>
              <w:ind w:right="600"/>
              <w:jc w:val="center"/>
            </w:pPr>
            <w:r>
              <w:t>$4.99</w:t>
            </w:r>
          </w:p>
        </w:tc>
      </w:tr>
      <w:tr w:rsidR="00D533D5" w:rsidTr="00BD18F1">
        <w:tc>
          <w:tcPr>
            <w:tcW w:w="4680" w:type="dxa"/>
          </w:tcPr>
          <w:p w:rsidR="00D533D5" w:rsidRDefault="00D533D5" w:rsidP="006451D1">
            <w:pPr>
              <w:ind w:right="600"/>
              <w:jc w:val="both"/>
            </w:pPr>
            <w:r>
              <w:t>Extra or Oversize/overfull Mini-Can</w:t>
            </w:r>
          </w:p>
        </w:tc>
        <w:tc>
          <w:tcPr>
            <w:tcW w:w="2430" w:type="dxa"/>
          </w:tcPr>
          <w:p w:rsidR="00D533D5" w:rsidRDefault="00D533D5" w:rsidP="00347378">
            <w:pPr>
              <w:ind w:right="600"/>
              <w:jc w:val="center"/>
            </w:pPr>
            <w:r>
              <w:t>$3.64</w:t>
            </w:r>
          </w:p>
        </w:tc>
        <w:tc>
          <w:tcPr>
            <w:tcW w:w="2700" w:type="dxa"/>
          </w:tcPr>
          <w:p w:rsidR="00D533D5" w:rsidRDefault="00D533D5" w:rsidP="00347378">
            <w:pPr>
              <w:ind w:right="600"/>
              <w:jc w:val="center"/>
            </w:pPr>
            <w:r>
              <w:t>$3.94</w:t>
            </w:r>
          </w:p>
        </w:tc>
      </w:tr>
      <w:tr w:rsidR="00CB087F" w:rsidTr="00BD18F1">
        <w:tc>
          <w:tcPr>
            <w:tcW w:w="4680" w:type="dxa"/>
          </w:tcPr>
          <w:p w:rsidR="00CB087F" w:rsidRDefault="00CB087F" w:rsidP="006451D1">
            <w:pPr>
              <w:ind w:right="600"/>
              <w:jc w:val="both"/>
            </w:pPr>
            <w:r>
              <w:t xml:space="preserve">32 Gal. On-Call </w:t>
            </w:r>
            <w:proofErr w:type="spellStart"/>
            <w:r>
              <w:t>Inf</w:t>
            </w:r>
            <w:proofErr w:type="spellEnd"/>
            <w:r>
              <w:t xml:space="preserve"> Paid (Tags)</w:t>
            </w:r>
          </w:p>
        </w:tc>
        <w:tc>
          <w:tcPr>
            <w:tcW w:w="2430" w:type="dxa"/>
          </w:tcPr>
          <w:p w:rsidR="00CB087F" w:rsidRDefault="00CB087F" w:rsidP="00347378">
            <w:pPr>
              <w:ind w:right="600"/>
              <w:jc w:val="center"/>
            </w:pPr>
            <w:r>
              <w:t>$6.15</w:t>
            </w:r>
          </w:p>
        </w:tc>
        <w:tc>
          <w:tcPr>
            <w:tcW w:w="2700" w:type="dxa"/>
          </w:tcPr>
          <w:p w:rsidR="00CB087F" w:rsidRDefault="00CB087F" w:rsidP="00347378">
            <w:pPr>
              <w:ind w:right="600"/>
              <w:jc w:val="center"/>
            </w:pPr>
            <w:r>
              <w:t>$6.65</w:t>
            </w:r>
          </w:p>
        </w:tc>
      </w:tr>
      <w:tr w:rsidR="005C62EF" w:rsidTr="00BD18F1">
        <w:tc>
          <w:tcPr>
            <w:tcW w:w="4680" w:type="dxa"/>
          </w:tcPr>
          <w:p w:rsidR="005C62EF" w:rsidRDefault="00CB087F" w:rsidP="006451D1">
            <w:pPr>
              <w:ind w:right="600"/>
              <w:jc w:val="both"/>
            </w:pPr>
            <w:r>
              <w:t xml:space="preserve">Mini-Can On-Call </w:t>
            </w:r>
            <w:proofErr w:type="spellStart"/>
            <w:r>
              <w:t>Inf</w:t>
            </w:r>
            <w:proofErr w:type="spellEnd"/>
            <w:r>
              <w:t xml:space="preserve"> Paid (Tags)</w:t>
            </w:r>
          </w:p>
        </w:tc>
        <w:tc>
          <w:tcPr>
            <w:tcW w:w="2430" w:type="dxa"/>
          </w:tcPr>
          <w:p w:rsidR="005C62EF" w:rsidRDefault="00CB087F" w:rsidP="00347378">
            <w:pPr>
              <w:ind w:right="600"/>
              <w:jc w:val="center"/>
            </w:pPr>
            <w:r>
              <w:t>$3.64</w:t>
            </w:r>
          </w:p>
        </w:tc>
        <w:tc>
          <w:tcPr>
            <w:tcW w:w="2700" w:type="dxa"/>
          </w:tcPr>
          <w:p w:rsidR="005C62EF" w:rsidRDefault="00CB087F" w:rsidP="00347378">
            <w:pPr>
              <w:ind w:right="600"/>
              <w:jc w:val="center"/>
            </w:pPr>
            <w:r>
              <w:t>$4.90</w:t>
            </w:r>
          </w:p>
        </w:tc>
      </w:tr>
      <w:tr w:rsidR="00D533D5" w:rsidTr="00BD18F1">
        <w:tc>
          <w:tcPr>
            <w:tcW w:w="4680" w:type="dxa"/>
          </w:tcPr>
          <w:p w:rsidR="00D533D5" w:rsidRDefault="00D533D5" w:rsidP="006451D1">
            <w:pPr>
              <w:ind w:right="600"/>
              <w:jc w:val="both"/>
            </w:pPr>
            <w:r>
              <w:t>Recycling Only</w:t>
            </w:r>
          </w:p>
        </w:tc>
        <w:tc>
          <w:tcPr>
            <w:tcW w:w="2430" w:type="dxa"/>
          </w:tcPr>
          <w:p w:rsidR="00D533D5" w:rsidRDefault="00D533D5" w:rsidP="00347378">
            <w:pPr>
              <w:ind w:right="600"/>
              <w:jc w:val="center"/>
            </w:pPr>
            <w:r>
              <w:t>$7.16</w:t>
            </w:r>
          </w:p>
        </w:tc>
        <w:tc>
          <w:tcPr>
            <w:tcW w:w="2700" w:type="dxa"/>
          </w:tcPr>
          <w:p w:rsidR="00D533D5" w:rsidRDefault="003B1EA8" w:rsidP="00347378">
            <w:pPr>
              <w:ind w:right="600"/>
              <w:jc w:val="center"/>
            </w:pPr>
            <w:r>
              <w:t>$5.28</w:t>
            </w:r>
          </w:p>
        </w:tc>
      </w:tr>
      <w:tr w:rsidR="00D533D5" w:rsidTr="00BD18F1">
        <w:tc>
          <w:tcPr>
            <w:tcW w:w="4680" w:type="dxa"/>
          </w:tcPr>
          <w:p w:rsidR="00D533D5" w:rsidRDefault="00D533D5" w:rsidP="006451D1">
            <w:pPr>
              <w:ind w:right="600"/>
              <w:jc w:val="both"/>
            </w:pPr>
          </w:p>
        </w:tc>
        <w:tc>
          <w:tcPr>
            <w:tcW w:w="2430" w:type="dxa"/>
          </w:tcPr>
          <w:p w:rsidR="00D533D5" w:rsidRDefault="00D533D5" w:rsidP="00347378">
            <w:pPr>
              <w:ind w:right="600"/>
              <w:jc w:val="center"/>
            </w:pPr>
          </w:p>
        </w:tc>
        <w:tc>
          <w:tcPr>
            <w:tcW w:w="2700" w:type="dxa"/>
          </w:tcPr>
          <w:p w:rsidR="00D533D5" w:rsidRDefault="00D533D5" w:rsidP="00347378">
            <w:pPr>
              <w:ind w:right="600"/>
              <w:jc w:val="center"/>
            </w:pPr>
          </w:p>
        </w:tc>
      </w:tr>
      <w:tr w:rsidR="00D533D5" w:rsidTr="00BD18F1">
        <w:trPr>
          <w:trHeight w:val="429"/>
        </w:trPr>
        <w:tc>
          <w:tcPr>
            <w:tcW w:w="4680" w:type="dxa"/>
          </w:tcPr>
          <w:p w:rsidR="00D533D5" w:rsidRPr="00D533D5" w:rsidRDefault="00D533D5" w:rsidP="00D533D5">
            <w:pPr>
              <w:ind w:right="600"/>
              <w:jc w:val="center"/>
              <w:rPr>
                <w:b/>
              </w:rPr>
            </w:pPr>
            <w:r w:rsidRPr="00D533D5">
              <w:rPr>
                <w:b/>
              </w:rPr>
              <w:t>Roll-off Services</w:t>
            </w:r>
          </w:p>
        </w:tc>
        <w:tc>
          <w:tcPr>
            <w:tcW w:w="2430" w:type="dxa"/>
          </w:tcPr>
          <w:p w:rsidR="00D533D5" w:rsidRDefault="00D533D5" w:rsidP="00347378">
            <w:pPr>
              <w:ind w:right="600"/>
              <w:jc w:val="center"/>
            </w:pPr>
            <w:r w:rsidRPr="00347378">
              <w:rPr>
                <w:b/>
              </w:rPr>
              <w:t>Current Rates</w:t>
            </w:r>
          </w:p>
        </w:tc>
        <w:tc>
          <w:tcPr>
            <w:tcW w:w="2700" w:type="dxa"/>
          </w:tcPr>
          <w:p w:rsidR="00D533D5" w:rsidRDefault="00D533D5" w:rsidP="00347378">
            <w:pPr>
              <w:ind w:right="600"/>
              <w:jc w:val="center"/>
            </w:pPr>
            <w:r w:rsidRPr="00347378">
              <w:rPr>
                <w:b/>
              </w:rPr>
              <w:t>Proposed Rates</w:t>
            </w:r>
          </w:p>
        </w:tc>
      </w:tr>
      <w:tr w:rsidR="00D533D5" w:rsidTr="00BD18F1">
        <w:trPr>
          <w:trHeight w:val="279"/>
        </w:trPr>
        <w:tc>
          <w:tcPr>
            <w:tcW w:w="4680" w:type="dxa"/>
          </w:tcPr>
          <w:p w:rsidR="00D533D5" w:rsidRPr="00D533D5" w:rsidRDefault="00D533D5" w:rsidP="00D533D5">
            <w:pPr>
              <w:ind w:right="600"/>
            </w:pPr>
            <w:r>
              <w:t>12 Yard Daily Rent</w:t>
            </w:r>
          </w:p>
        </w:tc>
        <w:tc>
          <w:tcPr>
            <w:tcW w:w="2430" w:type="dxa"/>
          </w:tcPr>
          <w:p w:rsidR="005C62EF" w:rsidRPr="005C62EF" w:rsidRDefault="005C62EF" w:rsidP="005C62EF">
            <w:pPr>
              <w:ind w:right="600"/>
              <w:jc w:val="center"/>
            </w:pPr>
            <w:r w:rsidRPr="005C62EF">
              <w:t>$1.50</w:t>
            </w:r>
          </w:p>
        </w:tc>
        <w:tc>
          <w:tcPr>
            <w:tcW w:w="2700" w:type="dxa"/>
          </w:tcPr>
          <w:p w:rsidR="00D533D5" w:rsidRPr="005C62EF" w:rsidRDefault="005C62EF" w:rsidP="00347378">
            <w:pPr>
              <w:ind w:right="600"/>
              <w:jc w:val="center"/>
            </w:pPr>
            <w:r w:rsidRPr="005C62EF">
              <w:t>$1.62</w:t>
            </w:r>
          </w:p>
        </w:tc>
      </w:tr>
      <w:tr w:rsidR="00D533D5" w:rsidTr="00BD18F1">
        <w:trPr>
          <w:trHeight w:val="279"/>
        </w:trPr>
        <w:tc>
          <w:tcPr>
            <w:tcW w:w="4680" w:type="dxa"/>
          </w:tcPr>
          <w:p w:rsidR="00D533D5" w:rsidRDefault="00D533D5" w:rsidP="00D533D5">
            <w:pPr>
              <w:ind w:right="600"/>
            </w:pPr>
            <w:r>
              <w:t>12 Yard Rent Per Month</w:t>
            </w:r>
          </w:p>
        </w:tc>
        <w:tc>
          <w:tcPr>
            <w:tcW w:w="2430" w:type="dxa"/>
          </w:tcPr>
          <w:p w:rsidR="00D533D5" w:rsidRPr="005C62EF" w:rsidRDefault="005C62EF" w:rsidP="00347378">
            <w:pPr>
              <w:ind w:right="600"/>
              <w:jc w:val="center"/>
            </w:pPr>
            <w:r>
              <w:t>$45.00</w:t>
            </w:r>
          </w:p>
        </w:tc>
        <w:tc>
          <w:tcPr>
            <w:tcW w:w="2700" w:type="dxa"/>
          </w:tcPr>
          <w:p w:rsidR="00D533D5" w:rsidRPr="005C62EF" w:rsidRDefault="005C62EF" w:rsidP="00347378">
            <w:pPr>
              <w:ind w:right="600"/>
              <w:jc w:val="center"/>
            </w:pPr>
            <w:r w:rsidRPr="005C62EF">
              <w:t>$48.60</w:t>
            </w:r>
          </w:p>
        </w:tc>
      </w:tr>
      <w:tr w:rsidR="00D533D5" w:rsidTr="00BD18F1">
        <w:trPr>
          <w:trHeight w:val="279"/>
        </w:trPr>
        <w:tc>
          <w:tcPr>
            <w:tcW w:w="4680" w:type="dxa"/>
          </w:tcPr>
          <w:p w:rsidR="00D533D5" w:rsidRDefault="00D533D5" w:rsidP="00D533D5">
            <w:pPr>
              <w:ind w:right="600"/>
            </w:pPr>
            <w:r>
              <w:t>12 Yard Pick Up Rate</w:t>
            </w:r>
          </w:p>
        </w:tc>
        <w:tc>
          <w:tcPr>
            <w:tcW w:w="2430" w:type="dxa"/>
          </w:tcPr>
          <w:p w:rsidR="00D533D5" w:rsidRPr="005C62EF" w:rsidRDefault="005C62EF" w:rsidP="00347378">
            <w:pPr>
              <w:ind w:right="600"/>
              <w:jc w:val="center"/>
            </w:pPr>
            <w:r>
              <w:t>$45.00</w:t>
            </w:r>
          </w:p>
        </w:tc>
        <w:tc>
          <w:tcPr>
            <w:tcW w:w="2700" w:type="dxa"/>
          </w:tcPr>
          <w:p w:rsidR="00D533D5" w:rsidRPr="005C62EF" w:rsidRDefault="005C62EF" w:rsidP="00347378">
            <w:pPr>
              <w:ind w:right="600"/>
              <w:jc w:val="center"/>
            </w:pPr>
            <w:r w:rsidRPr="005C62EF">
              <w:t>$48.65</w:t>
            </w:r>
          </w:p>
        </w:tc>
      </w:tr>
      <w:tr w:rsidR="00D533D5" w:rsidTr="00BD18F1">
        <w:trPr>
          <w:trHeight w:val="279"/>
        </w:trPr>
        <w:tc>
          <w:tcPr>
            <w:tcW w:w="4680" w:type="dxa"/>
          </w:tcPr>
          <w:p w:rsidR="00D533D5" w:rsidRDefault="00D533D5" w:rsidP="00D533D5">
            <w:pPr>
              <w:ind w:right="600"/>
            </w:pPr>
            <w:r>
              <w:t>16 Yard Daily Rent</w:t>
            </w:r>
          </w:p>
        </w:tc>
        <w:tc>
          <w:tcPr>
            <w:tcW w:w="2430" w:type="dxa"/>
          </w:tcPr>
          <w:p w:rsidR="00D533D5" w:rsidRPr="005C62EF" w:rsidRDefault="005C62EF" w:rsidP="00347378">
            <w:pPr>
              <w:ind w:right="600"/>
              <w:jc w:val="center"/>
            </w:pPr>
            <w:r w:rsidRPr="005C62EF">
              <w:t>$2.50</w:t>
            </w:r>
          </w:p>
        </w:tc>
        <w:tc>
          <w:tcPr>
            <w:tcW w:w="2700" w:type="dxa"/>
          </w:tcPr>
          <w:p w:rsidR="00D533D5" w:rsidRPr="005C62EF" w:rsidRDefault="005C62EF" w:rsidP="00347378">
            <w:pPr>
              <w:ind w:right="600"/>
              <w:jc w:val="center"/>
            </w:pPr>
            <w:r>
              <w:t>$2.70</w:t>
            </w:r>
          </w:p>
        </w:tc>
      </w:tr>
      <w:tr w:rsidR="00D533D5" w:rsidTr="00BD18F1">
        <w:trPr>
          <w:trHeight w:val="279"/>
        </w:trPr>
        <w:tc>
          <w:tcPr>
            <w:tcW w:w="4680" w:type="dxa"/>
          </w:tcPr>
          <w:p w:rsidR="00D533D5" w:rsidRDefault="00D533D5" w:rsidP="00F567C2">
            <w:pPr>
              <w:ind w:right="600"/>
            </w:pPr>
            <w:r>
              <w:t>16 Yard Rent Per Month</w:t>
            </w:r>
          </w:p>
        </w:tc>
        <w:tc>
          <w:tcPr>
            <w:tcW w:w="2430" w:type="dxa"/>
          </w:tcPr>
          <w:p w:rsidR="00D533D5" w:rsidRPr="005C62EF" w:rsidRDefault="005C62EF" w:rsidP="00347378">
            <w:pPr>
              <w:ind w:right="600"/>
              <w:jc w:val="center"/>
            </w:pPr>
            <w:r w:rsidRPr="005C62EF">
              <w:t>$75.00</w:t>
            </w:r>
          </w:p>
        </w:tc>
        <w:tc>
          <w:tcPr>
            <w:tcW w:w="2700" w:type="dxa"/>
          </w:tcPr>
          <w:p w:rsidR="00D533D5" w:rsidRPr="005C62EF" w:rsidRDefault="005C62EF" w:rsidP="00347378">
            <w:pPr>
              <w:ind w:right="600"/>
              <w:jc w:val="center"/>
            </w:pPr>
            <w:r>
              <w:t>$81.09</w:t>
            </w:r>
          </w:p>
        </w:tc>
      </w:tr>
      <w:tr w:rsidR="00D533D5" w:rsidTr="00BD18F1">
        <w:trPr>
          <w:trHeight w:val="279"/>
        </w:trPr>
        <w:tc>
          <w:tcPr>
            <w:tcW w:w="4680" w:type="dxa"/>
          </w:tcPr>
          <w:p w:rsidR="00D533D5" w:rsidRDefault="00D533D5" w:rsidP="00F567C2">
            <w:pPr>
              <w:ind w:right="600"/>
            </w:pPr>
            <w:r>
              <w:t>16 Yard Pick Up Rate</w:t>
            </w:r>
          </w:p>
        </w:tc>
        <w:tc>
          <w:tcPr>
            <w:tcW w:w="2430" w:type="dxa"/>
          </w:tcPr>
          <w:p w:rsidR="00D533D5" w:rsidRPr="005C62EF" w:rsidRDefault="005C62EF" w:rsidP="00F567C2">
            <w:pPr>
              <w:ind w:right="600"/>
              <w:jc w:val="center"/>
            </w:pPr>
            <w:r w:rsidRPr="005C62EF">
              <w:t>$45.00</w:t>
            </w:r>
          </w:p>
        </w:tc>
        <w:tc>
          <w:tcPr>
            <w:tcW w:w="2700" w:type="dxa"/>
          </w:tcPr>
          <w:p w:rsidR="00D533D5" w:rsidRPr="005C62EF" w:rsidRDefault="005C62EF" w:rsidP="00F567C2">
            <w:pPr>
              <w:ind w:right="600"/>
              <w:jc w:val="center"/>
            </w:pPr>
            <w:r>
              <w:t>$48.65</w:t>
            </w:r>
          </w:p>
        </w:tc>
      </w:tr>
      <w:tr w:rsidR="00D533D5" w:rsidTr="00BD18F1">
        <w:trPr>
          <w:trHeight w:val="279"/>
        </w:trPr>
        <w:tc>
          <w:tcPr>
            <w:tcW w:w="4680" w:type="dxa"/>
          </w:tcPr>
          <w:p w:rsidR="00D533D5" w:rsidRPr="00D533D5" w:rsidRDefault="005C62EF" w:rsidP="00F567C2">
            <w:pPr>
              <w:ind w:right="600"/>
            </w:pPr>
            <w:r>
              <w:t>20</w:t>
            </w:r>
            <w:r w:rsidR="00D533D5">
              <w:t xml:space="preserve"> Yard Daily Rent</w:t>
            </w:r>
          </w:p>
        </w:tc>
        <w:tc>
          <w:tcPr>
            <w:tcW w:w="2430" w:type="dxa"/>
          </w:tcPr>
          <w:p w:rsidR="005C62EF" w:rsidRPr="005C62EF" w:rsidRDefault="005C62EF" w:rsidP="005C62EF">
            <w:pPr>
              <w:ind w:right="600"/>
              <w:jc w:val="center"/>
            </w:pPr>
            <w:r>
              <w:t>$3.50</w:t>
            </w:r>
          </w:p>
        </w:tc>
        <w:tc>
          <w:tcPr>
            <w:tcW w:w="2700" w:type="dxa"/>
          </w:tcPr>
          <w:p w:rsidR="00D533D5" w:rsidRPr="005C62EF" w:rsidRDefault="005C62EF" w:rsidP="00F567C2">
            <w:pPr>
              <w:ind w:right="600"/>
              <w:jc w:val="center"/>
            </w:pPr>
            <w:r>
              <w:t>$3.78</w:t>
            </w:r>
          </w:p>
        </w:tc>
      </w:tr>
      <w:tr w:rsidR="00D533D5" w:rsidTr="00BD18F1">
        <w:trPr>
          <w:trHeight w:val="279"/>
        </w:trPr>
        <w:tc>
          <w:tcPr>
            <w:tcW w:w="4680" w:type="dxa"/>
          </w:tcPr>
          <w:p w:rsidR="00D533D5" w:rsidRDefault="005C62EF" w:rsidP="00F567C2">
            <w:pPr>
              <w:ind w:right="600"/>
            </w:pPr>
            <w:r>
              <w:t>20</w:t>
            </w:r>
            <w:r w:rsidR="00D533D5">
              <w:t xml:space="preserve"> Yard Rent Per Month</w:t>
            </w:r>
          </w:p>
        </w:tc>
        <w:tc>
          <w:tcPr>
            <w:tcW w:w="2430" w:type="dxa"/>
          </w:tcPr>
          <w:p w:rsidR="00D533D5" w:rsidRPr="005C62EF" w:rsidRDefault="005C62EF" w:rsidP="00F567C2">
            <w:pPr>
              <w:ind w:right="600"/>
              <w:jc w:val="center"/>
            </w:pPr>
            <w:r>
              <w:t>$105.00</w:t>
            </w:r>
          </w:p>
        </w:tc>
        <w:tc>
          <w:tcPr>
            <w:tcW w:w="2700" w:type="dxa"/>
          </w:tcPr>
          <w:p w:rsidR="00D533D5" w:rsidRPr="005C62EF" w:rsidRDefault="005C62EF" w:rsidP="00F567C2">
            <w:pPr>
              <w:ind w:right="600"/>
              <w:jc w:val="center"/>
            </w:pPr>
            <w:r>
              <w:t>$113.52</w:t>
            </w:r>
          </w:p>
        </w:tc>
      </w:tr>
      <w:tr w:rsidR="00D533D5" w:rsidTr="00BD18F1">
        <w:trPr>
          <w:trHeight w:val="279"/>
        </w:trPr>
        <w:tc>
          <w:tcPr>
            <w:tcW w:w="4680" w:type="dxa"/>
          </w:tcPr>
          <w:p w:rsidR="00D533D5" w:rsidRDefault="005C62EF" w:rsidP="00F567C2">
            <w:pPr>
              <w:ind w:right="600"/>
            </w:pPr>
            <w:r>
              <w:t>20</w:t>
            </w:r>
            <w:r w:rsidR="00D533D5">
              <w:t xml:space="preserve"> Yard Pick Up Rate</w:t>
            </w:r>
          </w:p>
        </w:tc>
        <w:tc>
          <w:tcPr>
            <w:tcW w:w="2430" w:type="dxa"/>
          </w:tcPr>
          <w:p w:rsidR="00D533D5" w:rsidRPr="005C62EF" w:rsidRDefault="005C62EF" w:rsidP="00F567C2">
            <w:pPr>
              <w:ind w:right="600"/>
              <w:jc w:val="center"/>
            </w:pPr>
            <w:r>
              <w:t>$45.00</w:t>
            </w:r>
          </w:p>
        </w:tc>
        <w:tc>
          <w:tcPr>
            <w:tcW w:w="2700" w:type="dxa"/>
          </w:tcPr>
          <w:p w:rsidR="00D533D5" w:rsidRPr="005C62EF" w:rsidRDefault="005C62EF" w:rsidP="00F567C2">
            <w:pPr>
              <w:ind w:right="600"/>
              <w:jc w:val="center"/>
            </w:pPr>
            <w:r>
              <w:t>$48.65</w:t>
            </w:r>
          </w:p>
        </w:tc>
      </w:tr>
      <w:tr w:rsidR="00D533D5" w:rsidTr="00BD18F1">
        <w:trPr>
          <w:trHeight w:val="279"/>
        </w:trPr>
        <w:tc>
          <w:tcPr>
            <w:tcW w:w="4680" w:type="dxa"/>
          </w:tcPr>
          <w:p w:rsidR="00D533D5" w:rsidRDefault="00D533D5" w:rsidP="00D533D5">
            <w:pPr>
              <w:ind w:right="600"/>
            </w:pPr>
            <w:r>
              <w:lastRenderedPageBreak/>
              <w:t>Initial Delivery</w:t>
            </w:r>
            <w:r w:rsidR="005C62EF">
              <w:t xml:space="preserve"> Rate</w:t>
            </w:r>
          </w:p>
        </w:tc>
        <w:tc>
          <w:tcPr>
            <w:tcW w:w="2430" w:type="dxa"/>
          </w:tcPr>
          <w:p w:rsidR="00D533D5" w:rsidRPr="005C62EF" w:rsidRDefault="005C62EF" w:rsidP="00347378">
            <w:pPr>
              <w:ind w:right="600"/>
              <w:jc w:val="center"/>
            </w:pPr>
            <w:r>
              <w:t>$25.00</w:t>
            </w:r>
          </w:p>
        </w:tc>
        <w:tc>
          <w:tcPr>
            <w:tcW w:w="2700" w:type="dxa"/>
          </w:tcPr>
          <w:p w:rsidR="00D533D5" w:rsidRPr="005C62EF" w:rsidRDefault="005C62EF" w:rsidP="00347378">
            <w:pPr>
              <w:ind w:right="600"/>
              <w:jc w:val="center"/>
            </w:pPr>
            <w:r>
              <w:t>$27.03</w:t>
            </w:r>
          </w:p>
        </w:tc>
      </w:tr>
      <w:tr w:rsidR="00D533D5" w:rsidTr="00BD18F1">
        <w:trPr>
          <w:trHeight w:val="279"/>
        </w:trPr>
        <w:tc>
          <w:tcPr>
            <w:tcW w:w="4680" w:type="dxa"/>
          </w:tcPr>
          <w:p w:rsidR="00D533D5" w:rsidRDefault="00D533D5" w:rsidP="00D533D5">
            <w:pPr>
              <w:ind w:right="600"/>
            </w:pPr>
            <w:r>
              <w:t xml:space="preserve">Re-delivery </w:t>
            </w:r>
            <w:r w:rsidR="005C62EF">
              <w:t>Rate</w:t>
            </w:r>
          </w:p>
        </w:tc>
        <w:tc>
          <w:tcPr>
            <w:tcW w:w="2430" w:type="dxa"/>
          </w:tcPr>
          <w:p w:rsidR="00D533D5" w:rsidRPr="005C62EF" w:rsidRDefault="005C62EF" w:rsidP="00347378">
            <w:pPr>
              <w:ind w:right="600"/>
              <w:jc w:val="center"/>
            </w:pPr>
            <w:r>
              <w:t>$25.00</w:t>
            </w:r>
          </w:p>
        </w:tc>
        <w:tc>
          <w:tcPr>
            <w:tcW w:w="2700" w:type="dxa"/>
          </w:tcPr>
          <w:p w:rsidR="00D533D5" w:rsidRPr="005C62EF" w:rsidRDefault="005C62EF" w:rsidP="00347378">
            <w:pPr>
              <w:ind w:right="600"/>
              <w:jc w:val="center"/>
            </w:pPr>
            <w:r>
              <w:t>$27.03</w:t>
            </w:r>
          </w:p>
        </w:tc>
      </w:tr>
    </w:tbl>
    <w:p w:rsidR="005C62EF" w:rsidRDefault="00CB087F" w:rsidP="006451D1">
      <w:pPr>
        <w:jc w:val="both"/>
        <w:rPr>
          <w:sz w:val="22"/>
          <w:szCs w:val="22"/>
        </w:rPr>
      </w:pPr>
      <w:r>
        <w:rPr>
          <w:sz w:val="22"/>
          <w:szCs w:val="22"/>
        </w:rPr>
        <w:t>*The mini-can rates are increasing more significantly because they do not meet the county’s established minimum service level and therefore cannot be priced lower than the minimum services.</w:t>
      </w:r>
    </w:p>
    <w:p w:rsidR="00BD18F1" w:rsidRDefault="00BD18F1" w:rsidP="006451D1">
      <w:pPr>
        <w:jc w:val="both"/>
        <w:rPr>
          <w:sz w:val="22"/>
          <w:szCs w:val="22"/>
        </w:rPr>
      </w:pPr>
    </w:p>
    <w:p w:rsidR="00BD18F1" w:rsidRDefault="00BD18F1" w:rsidP="006451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Other rates not listed on this table </w:t>
      </w:r>
      <w:r w:rsidR="00E01042">
        <w:rPr>
          <w:sz w:val="22"/>
          <w:szCs w:val="22"/>
        </w:rPr>
        <w:t>are proposed to increase</w:t>
      </w:r>
      <w:r>
        <w:rPr>
          <w:sz w:val="22"/>
          <w:szCs w:val="22"/>
        </w:rPr>
        <w:t xml:space="preserve"> as well</w:t>
      </w:r>
      <w:r w:rsidR="00E01042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B1EA8">
        <w:rPr>
          <w:sz w:val="22"/>
          <w:szCs w:val="22"/>
        </w:rPr>
        <w:t xml:space="preserve">from </w:t>
      </w:r>
      <w:r w:rsidR="00E01042">
        <w:rPr>
          <w:sz w:val="22"/>
          <w:szCs w:val="22"/>
        </w:rPr>
        <w:t xml:space="preserve">a range of </w:t>
      </w:r>
      <w:r w:rsidR="003B1EA8">
        <w:rPr>
          <w:sz w:val="22"/>
          <w:szCs w:val="22"/>
        </w:rPr>
        <w:t>4 to 21 percent</w:t>
      </w:r>
      <w:r w:rsidR="00E01042">
        <w:rPr>
          <w:sz w:val="22"/>
          <w:szCs w:val="22"/>
        </w:rPr>
        <w:t>.</w:t>
      </w:r>
    </w:p>
    <w:p w:rsidR="00CB087F" w:rsidRDefault="00CB087F" w:rsidP="006451D1">
      <w:pPr>
        <w:jc w:val="both"/>
        <w:rPr>
          <w:sz w:val="22"/>
          <w:szCs w:val="22"/>
        </w:rPr>
      </w:pPr>
    </w:p>
    <w:p w:rsidR="006451D1" w:rsidRPr="007C301E" w:rsidRDefault="006451D1" w:rsidP="006451D1">
      <w:pPr>
        <w:jc w:val="both"/>
        <w:rPr>
          <w:sz w:val="22"/>
          <w:szCs w:val="22"/>
        </w:rPr>
      </w:pPr>
      <w:r w:rsidRPr="007C301E">
        <w:rPr>
          <w:sz w:val="22"/>
          <w:szCs w:val="22"/>
        </w:rPr>
        <w:t>If you have questions about the proposed rates and how this may affect you, please call Cando Recycling and Disposal at (360) 945-2636</w:t>
      </w:r>
    </w:p>
    <w:p w:rsidR="006451D1" w:rsidRPr="007C301E" w:rsidRDefault="006451D1" w:rsidP="006451D1">
      <w:pPr>
        <w:jc w:val="both"/>
        <w:rPr>
          <w:sz w:val="22"/>
          <w:szCs w:val="22"/>
        </w:rPr>
      </w:pPr>
    </w:p>
    <w:p w:rsidR="006451D1" w:rsidRPr="007C301E" w:rsidRDefault="007C301E" w:rsidP="006451D1">
      <w:pPr>
        <w:jc w:val="both"/>
        <w:rPr>
          <w:sz w:val="22"/>
          <w:szCs w:val="22"/>
        </w:rPr>
      </w:pPr>
      <w:r>
        <w:rPr>
          <w:sz w:val="22"/>
          <w:szCs w:val="22"/>
        </w:rPr>
        <w:t>The C</w:t>
      </w:r>
      <w:r w:rsidR="006451D1" w:rsidRPr="007C301E">
        <w:rPr>
          <w:sz w:val="22"/>
          <w:szCs w:val="22"/>
        </w:rPr>
        <w:t xml:space="preserve">ommission has the authority to set final rates that may be either lower or higher from the company’s request, depending on the results of its investigation. Commission staff will make a recommendation to the commissioners at an open meeting in Olympia, which is scheduled for 9:30 a.m. on </w:t>
      </w:r>
      <w:r w:rsidR="000B0B93">
        <w:rPr>
          <w:sz w:val="22"/>
          <w:szCs w:val="22"/>
        </w:rPr>
        <w:t>November 30</w:t>
      </w:r>
      <w:r w:rsidR="006451D1" w:rsidRPr="007C301E">
        <w:rPr>
          <w:sz w:val="22"/>
          <w:szCs w:val="22"/>
        </w:rPr>
        <w:t>, 2018. You will have an opportunity to comment in person at this meeting.</w:t>
      </w:r>
    </w:p>
    <w:p w:rsidR="006451D1" w:rsidRPr="007C301E" w:rsidRDefault="006451D1" w:rsidP="006451D1">
      <w:pPr>
        <w:jc w:val="both"/>
        <w:rPr>
          <w:sz w:val="22"/>
          <w:szCs w:val="22"/>
        </w:rPr>
      </w:pPr>
    </w:p>
    <w:p w:rsidR="006451D1" w:rsidRPr="007C301E" w:rsidRDefault="006451D1" w:rsidP="006451D1">
      <w:pPr>
        <w:jc w:val="both"/>
        <w:rPr>
          <w:sz w:val="22"/>
          <w:szCs w:val="22"/>
        </w:rPr>
      </w:pPr>
      <w:r w:rsidRPr="007C301E">
        <w:rPr>
          <w:sz w:val="22"/>
          <w:szCs w:val="22"/>
        </w:rPr>
        <w:t>If you are unable t</w:t>
      </w:r>
      <w:r w:rsidR="007C301E">
        <w:rPr>
          <w:sz w:val="22"/>
          <w:szCs w:val="22"/>
        </w:rPr>
        <w:t>o attend the open meeting, the C</w:t>
      </w:r>
      <w:r w:rsidRPr="007C301E">
        <w:rPr>
          <w:sz w:val="22"/>
          <w:szCs w:val="22"/>
        </w:rPr>
        <w:t>ommission has a bridge line which enables you to participate or listen by telephone. Call 360-664-1234 for instructions the day before the open meeting. You can also comment by using the “</w:t>
      </w:r>
      <w:r w:rsidR="007C301E">
        <w:rPr>
          <w:sz w:val="22"/>
          <w:szCs w:val="22"/>
        </w:rPr>
        <w:t>Public Comment” feature at the C</w:t>
      </w:r>
      <w:r w:rsidRPr="007C301E">
        <w:rPr>
          <w:sz w:val="22"/>
          <w:szCs w:val="22"/>
        </w:rPr>
        <w:t xml:space="preserve">ommission’s Web site at </w:t>
      </w:r>
      <w:hyperlink r:id="rId7" w:history="1">
        <w:r w:rsidRPr="007C301E">
          <w:rPr>
            <w:rStyle w:val="Hyperlink"/>
            <w:sz w:val="22"/>
            <w:szCs w:val="22"/>
          </w:rPr>
          <w:t>utc.wa.gov</w:t>
        </w:r>
      </w:hyperlink>
      <w:r w:rsidRPr="007C301E">
        <w:rPr>
          <w:sz w:val="22"/>
          <w:szCs w:val="22"/>
        </w:rPr>
        <w:t xml:space="preserve"> or by using the contact information below.</w:t>
      </w:r>
    </w:p>
    <w:p w:rsidR="006451D1" w:rsidRPr="007C301E" w:rsidRDefault="006451D1" w:rsidP="006451D1">
      <w:pPr>
        <w:jc w:val="both"/>
        <w:rPr>
          <w:sz w:val="22"/>
          <w:szCs w:val="22"/>
        </w:rPr>
      </w:pPr>
    </w:p>
    <w:p w:rsidR="006451D1" w:rsidRPr="007C301E" w:rsidRDefault="006451D1" w:rsidP="006451D1">
      <w:pPr>
        <w:rPr>
          <w:sz w:val="22"/>
          <w:szCs w:val="22"/>
        </w:rPr>
      </w:pPr>
      <w:r w:rsidRPr="007C301E">
        <w:rPr>
          <w:sz w:val="22"/>
          <w:szCs w:val="22"/>
        </w:rPr>
        <w:t>Washington Utilities and Transportation Commission</w:t>
      </w:r>
    </w:p>
    <w:p w:rsidR="006451D1" w:rsidRPr="007C301E" w:rsidRDefault="006451D1" w:rsidP="006451D1">
      <w:pPr>
        <w:rPr>
          <w:sz w:val="22"/>
          <w:szCs w:val="22"/>
        </w:rPr>
      </w:pPr>
      <w:r w:rsidRPr="007C301E">
        <w:rPr>
          <w:sz w:val="22"/>
          <w:szCs w:val="22"/>
        </w:rPr>
        <w:t>1300 S. Evergreen Park Drive SW</w:t>
      </w:r>
    </w:p>
    <w:p w:rsidR="006451D1" w:rsidRPr="007C301E" w:rsidRDefault="006451D1" w:rsidP="006451D1">
      <w:pPr>
        <w:rPr>
          <w:sz w:val="22"/>
          <w:szCs w:val="22"/>
        </w:rPr>
      </w:pPr>
      <w:r w:rsidRPr="007C301E">
        <w:rPr>
          <w:sz w:val="22"/>
          <w:szCs w:val="22"/>
        </w:rPr>
        <w:t xml:space="preserve">P.O. Box 47250, Olympia, WA  98504-7250  </w:t>
      </w:r>
    </w:p>
    <w:p w:rsidR="006451D1" w:rsidRPr="007C301E" w:rsidRDefault="006451D1" w:rsidP="006451D1">
      <w:pPr>
        <w:rPr>
          <w:color w:val="0000FF"/>
          <w:sz w:val="22"/>
          <w:szCs w:val="22"/>
          <w:u w:val="single"/>
        </w:rPr>
      </w:pPr>
      <w:r w:rsidRPr="007C301E">
        <w:rPr>
          <w:sz w:val="22"/>
          <w:szCs w:val="22"/>
        </w:rPr>
        <w:t xml:space="preserve">E-mail:  </w:t>
      </w:r>
      <w:hyperlink r:id="rId8" w:history="1">
        <w:r w:rsidRPr="007C301E">
          <w:rPr>
            <w:rStyle w:val="Hyperlink"/>
            <w:sz w:val="22"/>
            <w:szCs w:val="22"/>
          </w:rPr>
          <w:t>comments@utc.wa.gov</w:t>
        </w:r>
      </w:hyperlink>
    </w:p>
    <w:p w:rsidR="006451D1" w:rsidRPr="007C301E" w:rsidRDefault="006451D1" w:rsidP="006451D1">
      <w:pPr>
        <w:rPr>
          <w:sz w:val="22"/>
          <w:szCs w:val="22"/>
        </w:rPr>
      </w:pPr>
      <w:r w:rsidRPr="007C301E">
        <w:rPr>
          <w:sz w:val="22"/>
          <w:szCs w:val="22"/>
        </w:rPr>
        <w:t>Telephone:  1-888-333-WUTC (9882)</w:t>
      </w:r>
    </w:p>
    <w:p w:rsidR="006451D1" w:rsidRPr="007C301E" w:rsidRDefault="006451D1" w:rsidP="006451D1">
      <w:pPr>
        <w:rPr>
          <w:sz w:val="22"/>
          <w:szCs w:val="22"/>
        </w:rPr>
      </w:pPr>
    </w:p>
    <w:p w:rsidR="006451D1" w:rsidRPr="007C301E" w:rsidRDefault="007C301E" w:rsidP="007C301E">
      <w:pPr>
        <w:jc w:val="both"/>
        <w:rPr>
          <w:sz w:val="22"/>
          <w:szCs w:val="22"/>
        </w:rPr>
      </w:pPr>
      <w:r>
        <w:rPr>
          <w:sz w:val="22"/>
          <w:szCs w:val="22"/>
        </w:rPr>
        <w:t>The C</w:t>
      </w:r>
      <w:r w:rsidR="006451D1" w:rsidRPr="007C301E">
        <w:rPr>
          <w:sz w:val="22"/>
          <w:szCs w:val="22"/>
        </w:rPr>
        <w:t>ommission regulates the company’s rates and customer service for curbside solid waste and recycling service. Comments or questions about the tra</w:t>
      </w:r>
      <w:r w:rsidR="00626141">
        <w:rPr>
          <w:sz w:val="22"/>
          <w:szCs w:val="22"/>
        </w:rPr>
        <w:t>nsfer station, county ordinance</w:t>
      </w:r>
      <w:r w:rsidR="006451D1" w:rsidRPr="007C301E">
        <w:rPr>
          <w:sz w:val="22"/>
          <w:szCs w:val="22"/>
        </w:rPr>
        <w:t xml:space="preserve"> </w:t>
      </w:r>
      <w:r w:rsidR="00626141" w:rsidRPr="007C301E">
        <w:rPr>
          <w:sz w:val="22"/>
          <w:szCs w:val="22"/>
        </w:rPr>
        <w:t>and levels</w:t>
      </w:r>
      <w:r w:rsidR="006451D1" w:rsidRPr="007C301E">
        <w:rPr>
          <w:sz w:val="22"/>
          <w:szCs w:val="22"/>
        </w:rPr>
        <w:t xml:space="preserve"> of solid waste or recycling services should be directed to the comp</w:t>
      </w:r>
      <w:r>
        <w:rPr>
          <w:sz w:val="22"/>
          <w:szCs w:val="22"/>
        </w:rPr>
        <w:t>any or the C</w:t>
      </w:r>
      <w:r w:rsidR="006451D1" w:rsidRPr="007C301E">
        <w:rPr>
          <w:sz w:val="22"/>
          <w:szCs w:val="22"/>
        </w:rPr>
        <w:t>ounty.</w:t>
      </w:r>
    </w:p>
    <w:sectPr w:rsidR="006451D1" w:rsidRPr="007C301E" w:rsidSect="000B0B93">
      <w:headerReference w:type="default" r:id="rId9"/>
      <w:headerReference w:type="first" r:id="rId10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6EC" w:rsidRDefault="007B76EC" w:rsidP="004C036C">
      <w:r>
        <w:separator/>
      </w:r>
    </w:p>
  </w:endnote>
  <w:endnote w:type="continuationSeparator" w:id="0">
    <w:p w:rsidR="007B76EC" w:rsidRDefault="007B76EC" w:rsidP="004C0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6EC" w:rsidRDefault="007B76EC" w:rsidP="004C036C">
      <w:r>
        <w:separator/>
      </w:r>
    </w:p>
  </w:footnote>
  <w:footnote w:type="continuationSeparator" w:id="0">
    <w:p w:rsidR="007B76EC" w:rsidRDefault="007B76EC" w:rsidP="004C0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036C" w:rsidRDefault="004C036C" w:rsidP="004C036C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B93" w:rsidRDefault="000B0B93" w:rsidP="000B0B93">
    <w:pPr>
      <w:pStyle w:val="NoSpacing"/>
      <w:jc w:val="center"/>
      <w:rPr>
        <w:sz w:val="32"/>
        <w:szCs w:val="32"/>
      </w:rPr>
    </w:pPr>
    <w:r w:rsidRPr="003715F9">
      <w:rPr>
        <w:sz w:val="32"/>
        <w:szCs w:val="32"/>
      </w:rPr>
      <w:t>Freedom 2000, LLC</w:t>
    </w:r>
  </w:p>
  <w:p w:rsidR="000B0B93" w:rsidRDefault="000B0B93" w:rsidP="000B0B93">
    <w:pPr>
      <w:pStyle w:val="NoSpacing"/>
      <w:jc w:val="center"/>
      <w:rPr>
        <w:sz w:val="32"/>
        <w:szCs w:val="32"/>
      </w:rPr>
    </w:pPr>
    <w:r>
      <w:rPr>
        <w:sz w:val="32"/>
        <w:szCs w:val="32"/>
      </w:rPr>
      <w:t>DBA Cando Recycling and Disposal</w:t>
    </w:r>
  </w:p>
  <w:p w:rsidR="000B0B93" w:rsidRDefault="000B0B93" w:rsidP="000B0B93">
    <w:pPr>
      <w:pStyle w:val="NoSpacing"/>
      <w:jc w:val="center"/>
      <w:rPr>
        <w:sz w:val="32"/>
        <w:szCs w:val="32"/>
      </w:rPr>
    </w:pPr>
    <w:r>
      <w:rPr>
        <w:sz w:val="32"/>
        <w:szCs w:val="32"/>
      </w:rPr>
      <w:t>2005 Johnson Road, PO Box 865</w:t>
    </w:r>
  </w:p>
  <w:p w:rsidR="000B0B93" w:rsidRPr="003715F9" w:rsidRDefault="000B0B93" w:rsidP="000B0B93">
    <w:pPr>
      <w:pStyle w:val="NoSpacing"/>
      <w:jc w:val="center"/>
      <w:rPr>
        <w:sz w:val="32"/>
        <w:szCs w:val="32"/>
      </w:rPr>
    </w:pPr>
    <w:r>
      <w:rPr>
        <w:sz w:val="32"/>
        <w:szCs w:val="32"/>
      </w:rPr>
      <w:t>Point Roberts, WA 98281</w:t>
    </w:r>
  </w:p>
  <w:p w:rsidR="00CB087F" w:rsidRPr="000B0B93" w:rsidRDefault="00CB087F" w:rsidP="000B0B9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D735C"/>
    <w:multiLevelType w:val="hybridMultilevel"/>
    <w:tmpl w:val="AE86D8A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0856C11"/>
    <w:multiLevelType w:val="hybridMultilevel"/>
    <w:tmpl w:val="0E32E1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DE7CDE"/>
    <w:multiLevelType w:val="hybridMultilevel"/>
    <w:tmpl w:val="29D2C8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oung, Mike (UTC)">
    <w15:presenceInfo w15:providerId="AD" w15:userId="S-1-5-21-1844237615-1844823847-839522115-11996"/>
  </w15:person>
  <w15:person w15:author="Cupp, John (UTC)">
    <w15:presenceInfo w15:providerId="AD" w15:userId="S-1-5-21-1844237615-1844823847-839522115-11958"/>
  </w15:person>
  <w15:person w15:author="Hammond, Greg (UTC)">
    <w15:presenceInfo w15:providerId="AD" w15:userId="S-1-5-21-1844237615-1844823847-839522115-4638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3105"/>
    <w:rsid w:val="00007DD9"/>
    <w:rsid w:val="0002613B"/>
    <w:rsid w:val="0004581C"/>
    <w:rsid w:val="00055186"/>
    <w:rsid w:val="00055C66"/>
    <w:rsid w:val="000B0B93"/>
    <w:rsid w:val="000E0EE3"/>
    <w:rsid w:val="00101CAD"/>
    <w:rsid w:val="00115F5B"/>
    <w:rsid w:val="00121768"/>
    <w:rsid w:val="001421EE"/>
    <w:rsid w:val="00162831"/>
    <w:rsid w:val="0026722E"/>
    <w:rsid w:val="002E3F60"/>
    <w:rsid w:val="00334B88"/>
    <w:rsid w:val="00347378"/>
    <w:rsid w:val="003602B7"/>
    <w:rsid w:val="003B1EA8"/>
    <w:rsid w:val="003C145E"/>
    <w:rsid w:val="003F2310"/>
    <w:rsid w:val="004C036C"/>
    <w:rsid w:val="00512510"/>
    <w:rsid w:val="005C62EF"/>
    <w:rsid w:val="00626141"/>
    <w:rsid w:val="006451D1"/>
    <w:rsid w:val="00795DD5"/>
    <w:rsid w:val="007A4A1C"/>
    <w:rsid w:val="007A6747"/>
    <w:rsid w:val="007B76EC"/>
    <w:rsid w:val="007C301E"/>
    <w:rsid w:val="0087720A"/>
    <w:rsid w:val="00913105"/>
    <w:rsid w:val="00960F32"/>
    <w:rsid w:val="00A31AA0"/>
    <w:rsid w:val="00A609B9"/>
    <w:rsid w:val="00AA21E8"/>
    <w:rsid w:val="00B465AA"/>
    <w:rsid w:val="00B7131A"/>
    <w:rsid w:val="00B91AD1"/>
    <w:rsid w:val="00BC0638"/>
    <w:rsid w:val="00BD18F1"/>
    <w:rsid w:val="00CB087F"/>
    <w:rsid w:val="00CC4BC2"/>
    <w:rsid w:val="00D04031"/>
    <w:rsid w:val="00D533D5"/>
    <w:rsid w:val="00E01042"/>
    <w:rsid w:val="00F210C0"/>
    <w:rsid w:val="00F82E84"/>
    <w:rsid w:val="00FF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913105"/>
    <w:pPr>
      <w:tabs>
        <w:tab w:val="left" w:pos="360"/>
      </w:tabs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91310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91310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C03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03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4C03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036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4C03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4B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0F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F32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347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F2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23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2310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310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nts@utc.wa.gov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utc.wa.gov" TargetMode="External"/><Relationship Id="rId12" Type="http://schemas.openxmlformats.org/officeDocument/2006/relationships/theme" Target="theme/theme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TG</Prefix>
    <DocumentSetType xmlns="dc463f71-b30c-4ab2-9473-d307f9d35888">Document</DocumentSetType>
    <Visibility xmlns="dc463f71-b30c-4ab2-9473-d307f9d35888">Full Visibility</Visibility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227</IndustryCode>
    <CaseStatus xmlns="dc463f71-b30c-4ab2-9473-d307f9d35888">Closed</CaseStatus>
    <OpenedDate xmlns="dc463f71-b30c-4ab2-9473-d307f9d35888">2018-09-14T07:00:00+00:00</OpenedDate>
    <SignificantOrder xmlns="dc463f71-b30c-4ab2-9473-d307f9d35888">false</SignificantOrder>
    <Date1 xmlns="dc463f71-b30c-4ab2-9473-d307f9d35888">2018-10-26T07:00:00+00:00</Date1>
    <IsDocumentOrder xmlns="dc463f71-b30c-4ab2-9473-d307f9d35888">false</IsDocumentOrder>
    <IsHighlyConfidential xmlns="dc463f71-b30c-4ab2-9473-d307f9d35888">false</IsHighlyConfidential>
    <CaseCompanyNames xmlns="dc463f71-b30c-4ab2-9473-d307f9d35888">Freedom 2000, LLC</CaseCompanyNames>
    <Nickname xmlns="http://schemas.microsoft.com/sharepoint/v3" xsi:nil="true"/>
    <DocketNumber xmlns="dc463f71-b30c-4ab2-9473-d307f9d35888">180782</DocketNumber>
    <DelegatedOrder xmlns="dc463f71-b30c-4ab2-9473-d307f9d35888">false</DelegatedOrd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A99DA38EAF13C4C9ECCD5992B8BCAE8" ma:contentTypeVersion="76" ma:contentTypeDescription="" ma:contentTypeScope="" ma:versionID="6d86b80ee1df0f851e89b6912d52be2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a924c8152a3ca6d41f5defb10cfa585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E0FBCB-9805-46EE-A4CB-D4600DCE03D0}"/>
</file>

<file path=customXml/itemProps2.xml><?xml version="1.0" encoding="utf-8"?>
<ds:datastoreItem xmlns:ds="http://schemas.openxmlformats.org/officeDocument/2006/customXml" ds:itemID="{7EF11BA1-D8EE-4C9E-A5C5-6EEE67922B53}"/>
</file>

<file path=customXml/itemProps3.xml><?xml version="1.0" encoding="utf-8"?>
<ds:datastoreItem xmlns:ds="http://schemas.openxmlformats.org/officeDocument/2006/customXml" ds:itemID="{E0F97FA6-59A9-473C-83F8-31976540FED5}"/>
</file>

<file path=customXml/itemProps4.xml><?xml version="1.0" encoding="utf-8"?>
<ds:datastoreItem xmlns:ds="http://schemas.openxmlformats.org/officeDocument/2006/customXml" ds:itemID="{F9C612D6-2E90-437F-BBB3-E877CF7569F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2018-09-10T16:39:00Z</cp:lastPrinted>
  <dcterms:created xsi:type="dcterms:W3CDTF">2018-10-25T21:29:00Z</dcterms:created>
  <dcterms:modified xsi:type="dcterms:W3CDTF">2018-10-26T12:59:00Z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0x0101006E56B4D1795A2E4DB2F0B01679ED314A00FA99DA38EAF13C4C9ECCD5992B8BCAE8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