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5D57D" w14:textId="77777777" w:rsidR="00A11CA7" w:rsidRPr="00B36BDF" w:rsidRDefault="00AB4CD3" w:rsidP="00A714A2">
      <w:pPr>
        <w:spacing w:line="264" w:lineRule="auto"/>
        <w:jc w:val="center"/>
        <w:rPr>
          <w:b/>
          <w:bCs/>
        </w:rPr>
      </w:pPr>
      <w:bookmarkStart w:id="0" w:name="_GoBack"/>
      <w:bookmarkEnd w:id="0"/>
      <w:r w:rsidRPr="00B36BDF">
        <w:rPr>
          <w:b/>
          <w:bCs/>
        </w:rPr>
        <w:t>BEFORE THE WASHINGTON</w:t>
      </w:r>
    </w:p>
    <w:p w14:paraId="19E5D57E" w14:textId="77777777" w:rsidR="00AB4CD3" w:rsidRPr="00B36BDF" w:rsidRDefault="00AB4CD3" w:rsidP="00A11CA7">
      <w:pPr>
        <w:spacing w:line="264" w:lineRule="auto"/>
        <w:jc w:val="center"/>
        <w:rPr>
          <w:bCs/>
        </w:rPr>
      </w:pPr>
      <w:r w:rsidRPr="00B36BDF">
        <w:rPr>
          <w:b/>
          <w:bCs/>
        </w:rPr>
        <w:t>UTILITIES AND TRANSPORTATION COMMISSION</w:t>
      </w:r>
    </w:p>
    <w:p w14:paraId="19E5D57F" w14:textId="77777777" w:rsidR="00AB4CD3" w:rsidRPr="00B36BDF" w:rsidRDefault="00AB4CD3" w:rsidP="0089650D">
      <w:pPr>
        <w:spacing w:line="264" w:lineRule="auto"/>
        <w:rPr>
          <w:bCs/>
        </w:rPr>
      </w:pPr>
    </w:p>
    <w:tbl>
      <w:tblPr>
        <w:tblW w:w="0" w:type="auto"/>
        <w:tblLook w:val="0000" w:firstRow="0" w:lastRow="0" w:firstColumn="0" w:lastColumn="0" w:noHBand="0" w:noVBand="0"/>
      </w:tblPr>
      <w:tblGrid>
        <w:gridCol w:w="4248"/>
        <w:gridCol w:w="360"/>
        <w:gridCol w:w="3888"/>
      </w:tblGrid>
      <w:tr w:rsidR="00C929E0" w:rsidRPr="00B36BDF" w14:paraId="19E5D583" w14:textId="77777777" w:rsidTr="00C929E0">
        <w:tc>
          <w:tcPr>
            <w:tcW w:w="4248" w:type="dxa"/>
          </w:tcPr>
          <w:p w14:paraId="19E5D580" w14:textId="77777777" w:rsidR="00C929E0" w:rsidRPr="00B36BDF" w:rsidRDefault="00C929E0" w:rsidP="00C929E0"/>
        </w:tc>
        <w:tc>
          <w:tcPr>
            <w:tcW w:w="360" w:type="dxa"/>
          </w:tcPr>
          <w:p w14:paraId="19E5D581" w14:textId="77777777" w:rsidR="00C929E0" w:rsidRPr="00B36BDF" w:rsidRDefault="00C929E0" w:rsidP="00C929E0"/>
        </w:tc>
        <w:tc>
          <w:tcPr>
            <w:tcW w:w="3888" w:type="dxa"/>
          </w:tcPr>
          <w:p w14:paraId="19E5D582" w14:textId="77777777" w:rsidR="00C929E0" w:rsidRPr="00B36BDF" w:rsidRDefault="00C929E0" w:rsidP="00C929E0"/>
        </w:tc>
      </w:tr>
      <w:tr w:rsidR="00C929E0" w:rsidRPr="00B36BDF" w14:paraId="19E5D5A3" w14:textId="77777777" w:rsidTr="00C929E0">
        <w:tc>
          <w:tcPr>
            <w:tcW w:w="4248" w:type="dxa"/>
          </w:tcPr>
          <w:p w14:paraId="19E5D584" w14:textId="77777777" w:rsidR="00C929E0" w:rsidRPr="00B36BDF" w:rsidRDefault="00C929E0" w:rsidP="00C929E0">
            <w:r w:rsidRPr="00B36BDF">
              <w:t xml:space="preserve">In the </w:t>
            </w:r>
            <w:r w:rsidR="00A11CA7" w:rsidRPr="00B36BDF">
              <w:t>M</w:t>
            </w:r>
            <w:r w:rsidRPr="00B36BDF">
              <w:t>atter of</w:t>
            </w:r>
          </w:p>
          <w:p w14:paraId="19E5D585" w14:textId="77777777" w:rsidR="00C929E0" w:rsidRDefault="00C929E0" w:rsidP="00C929E0"/>
          <w:p w14:paraId="19E5D586" w14:textId="77777777" w:rsidR="00980AF7" w:rsidRDefault="00980AF7" w:rsidP="00C929E0"/>
          <w:p w14:paraId="19E5D587" w14:textId="77777777" w:rsidR="002352F3" w:rsidRPr="00B36BDF" w:rsidRDefault="002352F3" w:rsidP="00C929E0"/>
          <w:p w14:paraId="19E5D588" w14:textId="77777777" w:rsidR="00C929E0" w:rsidRDefault="002352F3" w:rsidP="00C929E0">
            <w:r>
              <w:t>PUGET SOUND ENERGY</w:t>
            </w:r>
          </w:p>
          <w:p w14:paraId="19E5D589" w14:textId="77777777" w:rsidR="002352F3" w:rsidRPr="00B36BDF" w:rsidRDefault="002352F3" w:rsidP="00C929E0"/>
          <w:p w14:paraId="19E5D58A" w14:textId="77777777" w:rsidR="00C929E0" w:rsidRDefault="00C929E0" w:rsidP="00C929E0"/>
          <w:p w14:paraId="19E5D58B" w14:textId="77777777" w:rsidR="002352F3" w:rsidRPr="00B36BDF" w:rsidRDefault="002352F3" w:rsidP="00C929E0"/>
          <w:p w14:paraId="19E5D58C" w14:textId="77777777" w:rsidR="00980AF7" w:rsidRPr="00B36BDF" w:rsidRDefault="00C929E0" w:rsidP="00C929E0">
            <w:r w:rsidRPr="00B36BDF">
              <w:t xml:space="preserve">Report Identifying Its </w:t>
            </w:r>
            <w:r w:rsidRPr="00352140">
              <w:t>201</w:t>
            </w:r>
            <w:r w:rsidR="00B36BDF" w:rsidRPr="00352140">
              <w:t>6</w:t>
            </w:r>
            <w:r w:rsidRPr="00352140">
              <w:t>-202</w:t>
            </w:r>
            <w:r w:rsidR="00B36BDF" w:rsidRPr="00352140">
              <w:t>5</w:t>
            </w:r>
            <w:r w:rsidRPr="00B36BDF">
              <w:t xml:space="preserve"> Ten-Year Achievable Electric Conservation Potential and Its 201</w:t>
            </w:r>
            <w:r w:rsidR="00B36BDF" w:rsidRPr="00B36BDF">
              <w:t>6</w:t>
            </w:r>
            <w:r w:rsidRPr="00B36BDF">
              <w:t>-201</w:t>
            </w:r>
            <w:r w:rsidR="00B36BDF" w:rsidRPr="00B36BDF">
              <w:t>7</w:t>
            </w:r>
            <w:r w:rsidRPr="00B36BDF">
              <w:t xml:space="preserve"> Electric Biennial Conservation Target Under RCW 19.285.040 and WAC 480-109-010</w:t>
            </w:r>
          </w:p>
          <w:p w14:paraId="19E5D58D" w14:textId="77777777" w:rsidR="00C929E0" w:rsidRPr="00B36BDF" w:rsidRDefault="00C929E0" w:rsidP="00C929E0">
            <w:r w:rsidRPr="00B36BDF">
              <w:t xml:space="preserve">. . . . . . . . . . . . . . . . . . . . . . . . . . . . . . </w:t>
            </w:r>
          </w:p>
        </w:tc>
        <w:tc>
          <w:tcPr>
            <w:tcW w:w="360" w:type="dxa"/>
          </w:tcPr>
          <w:p w14:paraId="19E5D58E" w14:textId="77777777" w:rsidR="00C929E0" w:rsidRPr="00B36BDF" w:rsidRDefault="00C929E0" w:rsidP="00C929E0">
            <w:r w:rsidRPr="00B36BDF">
              <w:t>)</w:t>
            </w:r>
          </w:p>
          <w:p w14:paraId="19E5D58F" w14:textId="77777777" w:rsidR="00C929E0" w:rsidRPr="00B36BDF" w:rsidRDefault="00C929E0" w:rsidP="00C929E0">
            <w:r w:rsidRPr="00B36BDF">
              <w:t>)</w:t>
            </w:r>
          </w:p>
          <w:p w14:paraId="19E5D590" w14:textId="77777777" w:rsidR="00C929E0" w:rsidRPr="00B36BDF" w:rsidRDefault="00C929E0" w:rsidP="00C929E0">
            <w:r w:rsidRPr="00B36BDF">
              <w:t>)</w:t>
            </w:r>
          </w:p>
          <w:p w14:paraId="19E5D591" w14:textId="77777777" w:rsidR="00C929E0" w:rsidRPr="00B36BDF" w:rsidRDefault="00C929E0" w:rsidP="00C929E0">
            <w:r w:rsidRPr="00B36BDF">
              <w:t>)</w:t>
            </w:r>
          </w:p>
          <w:p w14:paraId="19E5D592" w14:textId="77777777" w:rsidR="00C929E0" w:rsidRPr="00B36BDF" w:rsidRDefault="00C929E0" w:rsidP="00C929E0">
            <w:r w:rsidRPr="00B36BDF">
              <w:t>)</w:t>
            </w:r>
          </w:p>
          <w:p w14:paraId="19E5D593" w14:textId="77777777" w:rsidR="00C929E0" w:rsidRPr="00B36BDF" w:rsidRDefault="00C929E0" w:rsidP="00C929E0">
            <w:r w:rsidRPr="00B36BDF">
              <w:t>)</w:t>
            </w:r>
          </w:p>
          <w:p w14:paraId="19E5D594" w14:textId="77777777" w:rsidR="00C929E0" w:rsidRPr="00B36BDF" w:rsidRDefault="00C929E0" w:rsidP="00C929E0">
            <w:r w:rsidRPr="00B36BDF">
              <w:t>)</w:t>
            </w:r>
          </w:p>
          <w:p w14:paraId="19E5D595" w14:textId="77777777" w:rsidR="00C929E0" w:rsidRPr="00B36BDF" w:rsidRDefault="00C929E0" w:rsidP="00C929E0">
            <w:r w:rsidRPr="00B36BDF">
              <w:t>)</w:t>
            </w:r>
          </w:p>
          <w:p w14:paraId="19E5D596" w14:textId="77777777" w:rsidR="00C929E0" w:rsidRPr="00B36BDF" w:rsidRDefault="00C929E0" w:rsidP="00C929E0">
            <w:r w:rsidRPr="00B36BDF">
              <w:t>)</w:t>
            </w:r>
          </w:p>
          <w:p w14:paraId="19E5D597" w14:textId="77777777" w:rsidR="00C929E0" w:rsidRPr="00B36BDF" w:rsidRDefault="00C929E0" w:rsidP="00C929E0">
            <w:r w:rsidRPr="00B36BDF">
              <w:t>)</w:t>
            </w:r>
          </w:p>
          <w:p w14:paraId="19E5D598" w14:textId="77777777" w:rsidR="00B95B34" w:rsidRDefault="00C929E0" w:rsidP="00C929E0">
            <w:r w:rsidRPr="00B36BDF">
              <w:t>)</w:t>
            </w:r>
          </w:p>
          <w:p w14:paraId="19E5D599" w14:textId="77777777" w:rsidR="002352F3" w:rsidRDefault="002352F3" w:rsidP="00C929E0">
            <w:r>
              <w:t>)</w:t>
            </w:r>
          </w:p>
          <w:p w14:paraId="19E5D59A" w14:textId="77777777" w:rsidR="002352F3" w:rsidRDefault="002352F3" w:rsidP="00C929E0">
            <w:r>
              <w:t>)</w:t>
            </w:r>
          </w:p>
          <w:p w14:paraId="19E5D59B" w14:textId="77777777" w:rsidR="00980AF7" w:rsidRPr="00B36BDF" w:rsidRDefault="00980AF7" w:rsidP="00C929E0">
            <w:r>
              <w:t>)</w:t>
            </w:r>
          </w:p>
        </w:tc>
        <w:tc>
          <w:tcPr>
            <w:tcW w:w="3888" w:type="dxa"/>
          </w:tcPr>
          <w:p w14:paraId="19E5D59C" w14:textId="77777777" w:rsidR="00C929E0" w:rsidRPr="00B36BDF" w:rsidRDefault="00C929E0" w:rsidP="00C929E0">
            <w:r w:rsidRPr="00B36BDF">
              <w:t xml:space="preserve">DOCKET </w:t>
            </w:r>
            <w:r w:rsidRPr="00B36BDF">
              <w:rPr>
                <w:bCs/>
              </w:rPr>
              <w:t>UE-1</w:t>
            </w:r>
            <w:r w:rsidR="00B36BDF" w:rsidRPr="00B36BDF">
              <w:rPr>
                <w:bCs/>
              </w:rPr>
              <w:t>520</w:t>
            </w:r>
            <w:r w:rsidR="002352F3">
              <w:rPr>
                <w:bCs/>
              </w:rPr>
              <w:t>58</w:t>
            </w:r>
            <w:r w:rsidR="009F3191">
              <w:rPr>
                <w:bCs/>
              </w:rPr>
              <w:t xml:space="preserve"> and</w:t>
            </w:r>
            <w:r w:rsidR="002352F3">
              <w:rPr>
                <w:bCs/>
              </w:rPr>
              <w:br/>
              <w:t>DOCKET UE-152042</w:t>
            </w:r>
          </w:p>
          <w:p w14:paraId="19E5D59D" w14:textId="77777777" w:rsidR="00C929E0" w:rsidRPr="00B36BDF" w:rsidRDefault="00C929E0" w:rsidP="00C929E0"/>
          <w:p w14:paraId="19E5D59E" w14:textId="77777777" w:rsidR="00C929E0" w:rsidRPr="00B36BDF" w:rsidRDefault="00C929E0" w:rsidP="00C929E0">
            <w:r w:rsidRPr="00B36BDF">
              <w:t>ORDER 0</w:t>
            </w:r>
            <w:r w:rsidRPr="00B36BDF">
              <w:rPr>
                <w:bCs/>
              </w:rPr>
              <w:t>1</w:t>
            </w:r>
          </w:p>
          <w:p w14:paraId="19E5D59F" w14:textId="77777777" w:rsidR="00C929E0" w:rsidRPr="00B36BDF" w:rsidRDefault="00C929E0" w:rsidP="00C929E0"/>
          <w:p w14:paraId="19E5D5A0" w14:textId="77777777" w:rsidR="00C929E0" w:rsidRPr="00B36BDF" w:rsidRDefault="00C929E0" w:rsidP="00C929E0">
            <w:r w:rsidRPr="00B36BDF">
              <w:t xml:space="preserve">ORDER APPROVING </w:t>
            </w:r>
            <w:r w:rsidR="002352F3">
              <w:t>PUGET SOUND ENERGY</w:t>
            </w:r>
            <w:r w:rsidRPr="00B36BDF">
              <w:t>’S 201</w:t>
            </w:r>
            <w:r w:rsidR="00352140">
              <w:t>6</w:t>
            </w:r>
            <w:r w:rsidRPr="00B36BDF">
              <w:t>-202</w:t>
            </w:r>
            <w:r w:rsidR="00352140">
              <w:t xml:space="preserve">5 </w:t>
            </w:r>
            <w:r w:rsidRPr="00B36BDF">
              <w:t>ACHIEVABLE CONSERVATION POTEN</w:t>
            </w:r>
            <w:r w:rsidR="00C13AA5" w:rsidRPr="00B36BDF">
              <w:t>T</w:t>
            </w:r>
            <w:r w:rsidRPr="00B36BDF">
              <w:t>IAL AND ITS 201</w:t>
            </w:r>
            <w:r w:rsidR="00352140">
              <w:t>6</w:t>
            </w:r>
            <w:r w:rsidRPr="00B36BDF">
              <w:t>-201</w:t>
            </w:r>
            <w:r w:rsidR="00352140">
              <w:t>7</w:t>
            </w:r>
            <w:r w:rsidRPr="00B36BDF">
              <w:t xml:space="preserve"> BIENNIAL CONSERVATION TARGET SUBJECT TO CONDITIONS</w:t>
            </w:r>
            <w:r w:rsidR="002352F3">
              <w:t>; ALLOWING TARIFF REVISIONS</w:t>
            </w:r>
            <w:r w:rsidR="00A448C1">
              <w:t xml:space="preserve"> TO GO INTO EFFECT BY OPERATION OF LAW</w:t>
            </w:r>
          </w:p>
          <w:p w14:paraId="19E5D5A1" w14:textId="77777777" w:rsidR="00C929E0" w:rsidRPr="00B36BDF" w:rsidRDefault="00C929E0" w:rsidP="00C929E0"/>
          <w:p w14:paraId="19E5D5A2" w14:textId="77777777" w:rsidR="00C929E0" w:rsidRPr="00B36BDF" w:rsidRDefault="00C929E0" w:rsidP="00C929E0">
            <w:pPr>
              <w:pStyle w:val="Header"/>
              <w:tabs>
                <w:tab w:val="clear" w:pos="4320"/>
                <w:tab w:val="clear" w:pos="8640"/>
              </w:tabs>
              <w:rPr>
                <w:lang w:val="en-US" w:eastAsia="en-US"/>
              </w:rPr>
            </w:pPr>
          </w:p>
        </w:tc>
      </w:tr>
    </w:tbl>
    <w:p w14:paraId="19E5D5A4" w14:textId="77777777" w:rsidR="00C97714" w:rsidRPr="00726F75" w:rsidRDefault="00C97714" w:rsidP="00C97714">
      <w:pPr>
        <w:spacing w:after="240" w:line="288" w:lineRule="auto"/>
        <w:jc w:val="center"/>
        <w:rPr>
          <w:b/>
        </w:rPr>
      </w:pPr>
      <w:r w:rsidRPr="00726F75">
        <w:rPr>
          <w:b/>
        </w:rPr>
        <w:t>BACKGROUND</w:t>
      </w:r>
    </w:p>
    <w:p w14:paraId="19E5D5A5" w14:textId="77777777" w:rsidR="00AB4CD3" w:rsidRPr="00726F75" w:rsidRDefault="00844847" w:rsidP="000677D7">
      <w:pPr>
        <w:numPr>
          <w:ilvl w:val="0"/>
          <w:numId w:val="1"/>
        </w:numPr>
        <w:tabs>
          <w:tab w:val="clear" w:pos="720"/>
          <w:tab w:val="left" w:pos="0"/>
        </w:tabs>
        <w:spacing w:after="240" w:line="288" w:lineRule="auto"/>
        <w:ind w:left="0"/>
      </w:pPr>
      <w:r w:rsidRPr="00726F75">
        <w:t>Electric utilities with 25,000 or more customers are required under t</w:t>
      </w:r>
      <w:r w:rsidR="00AB4CD3" w:rsidRPr="00726F75">
        <w:t>he Energy Independence Act</w:t>
      </w:r>
      <w:r w:rsidRPr="00726F75">
        <w:t xml:space="preserve"> (EIA</w:t>
      </w:r>
      <w:r w:rsidR="00EF31C8" w:rsidRPr="00726F75">
        <w:t xml:space="preserve"> or Act</w:t>
      </w:r>
      <w:r w:rsidRPr="00726F75">
        <w:t xml:space="preserve">) </w:t>
      </w:r>
      <w:r w:rsidR="00AB4CD3" w:rsidRPr="00726F75">
        <w:t>to set and meet energy conservation targets</w:t>
      </w:r>
      <w:r w:rsidR="00B315B4">
        <w:t xml:space="preserve"> every two years</w:t>
      </w:r>
      <w:r w:rsidR="00AB4CD3" w:rsidRPr="00726F75">
        <w:t>.</w:t>
      </w:r>
      <w:r w:rsidRPr="00726F75">
        <w:rPr>
          <w:rStyle w:val="FootnoteReference"/>
        </w:rPr>
        <w:footnoteReference w:id="2"/>
      </w:r>
      <w:r w:rsidR="00AB4CD3" w:rsidRPr="00726F75">
        <w:t xml:space="preserve"> </w:t>
      </w:r>
      <w:r w:rsidR="00744E7F" w:rsidRPr="00726F75">
        <w:t xml:space="preserve">The Washington Utilities and Transportation </w:t>
      </w:r>
      <w:r w:rsidRPr="00726F75">
        <w:t xml:space="preserve">Commission </w:t>
      </w:r>
      <w:r w:rsidR="00744E7F" w:rsidRPr="00726F75">
        <w:t xml:space="preserve">(Commission) promulgated </w:t>
      </w:r>
      <w:r w:rsidRPr="00726F75">
        <w:t>rules implementing the EIA</w:t>
      </w:r>
      <w:r w:rsidR="00744E7F" w:rsidRPr="00726F75">
        <w:t>. These rules</w:t>
      </w:r>
      <w:r w:rsidRPr="00726F75">
        <w:t xml:space="preserve"> </w:t>
      </w:r>
      <w:r w:rsidR="00A37555" w:rsidRPr="00726F75">
        <w:t xml:space="preserve">further </w:t>
      </w:r>
      <w:r w:rsidRPr="00726F75">
        <w:t xml:space="preserve">require </w:t>
      </w:r>
      <w:r w:rsidR="00AB4CD3" w:rsidRPr="00726F75">
        <w:t>that</w:t>
      </w:r>
      <w:r w:rsidR="00B315B4">
        <w:t xml:space="preserve"> </w:t>
      </w:r>
      <w:r w:rsidR="00AB4CD3" w:rsidRPr="00726F75">
        <w:t>each utilit</w:t>
      </w:r>
      <w:r w:rsidR="00B315B4">
        <w:t>y must file a report with the C</w:t>
      </w:r>
      <w:r w:rsidR="00AB4CD3" w:rsidRPr="00726F75">
        <w:t>ommission identifying its ten-year achievable conservation potential and its biennial conservation target</w:t>
      </w:r>
      <w:r w:rsidR="00B315B4">
        <w:t xml:space="preserve"> every two years</w:t>
      </w:r>
      <w:r w:rsidR="00AB4CD3" w:rsidRPr="00726F75">
        <w:t>.</w:t>
      </w:r>
      <w:r w:rsidRPr="00726F75">
        <w:rPr>
          <w:rStyle w:val="FootnoteReference"/>
        </w:rPr>
        <w:footnoteReference w:id="3"/>
      </w:r>
      <w:r w:rsidR="00AB4CD3" w:rsidRPr="00726F75">
        <w:t xml:space="preserve"> </w:t>
      </w:r>
    </w:p>
    <w:p w14:paraId="19E5D5A6" w14:textId="77777777" w:rsidR="00FD5EDE" w:rsidRDefault="00AB4CD3" w:rsidP="000677D7">
      <w:pPr>
        <w:numPr>
          <w:ilvl w:val="0"/>
          <w:numId w:val="1"/>
        </w:numPr>
        <w:tabs>
          <w:tab w:val="clear" w:pos="720"/>
          <w:tab w:val="left" w:pos="0"/>
        </w:tabs>
        <w:spacing w:after="240" w:line="288" w:lineRule="auto"/>
        <w:ind w:left="0"/>
      </w:pPr>
      <w:r w:rsidRPr="00B36BDF">
        <w:lastRenderedPageBreak/>
        <w:t xml:space="preserve">On </w:t>
      </w:r>
      <w:r w:rsidR="00B36BDF" w:rsidRPr="00B36BDF">
        <w:t xml:space="preserve">October </w:t>
      </w:r>
      <w:r w:rsidR="002352F3">
        <w:t>29</w:t>
      </w:r>
      <w:r w:rsidRPr="00B36BDF">
        <w:t>, 201</w:t>
      </w:r>
      <w:r w:rsidR="00B36BDF" w:rsidRPr="00B36BDF">
        <w:t>5</w:t>
      </w:r>
      <w:r w:rsidRPr="00B36BDF">
        <w:t xml:space="preserve">, </w:t>
      </w:r>
      <w:r w:rsidR="002352F3">
        <w:t>Puget Sound Energy</w:t>
      </w:r>
      <w:r w:rsidRPr="00B36BDF">
        <w:t xml:space="preserve"> </w:t>
      </w:r>
      <w:r w:rsidR="00B315B4">
        <w:t>(</w:t>
      </w:r>
      <w:r w:rsidR="002352F3">
        <w:t>PSE</w:t>
      </w:r>
      <w:r w:rsidR="00B315B4">
        <w:t xml:space="preserve"> or Company) </w:t>
      </w:r>
      <w:r w:rsidRPr="00B36BDF">
        <w:t>fil</w:t>
      </w:r>
      <w:r w:rsidR="00A37555" w:rsidRPr="00B36BDF">
        <w:t>ed</w:t>
      </w:r>
      <w:r w:rsidRPr="00B36BDF">
        <w:t xml:space="preserve"> </w:t>
      </w:r>
      <w:r w:rsidR="00A37555" w:rsidRPr="00B36BDF">
        <w:t>its B</w:t>
      </w:r>
      <w:r w:rsidR="00744E7F" w:rsidRPr="00B36BDF">
        <w:t xml:space="preserve">iennial </w:t>
      </w:r>
      <w:r w:rsidR="00A37555" w:rsidRPr="00B36BDF">
        <w:t>C</w:t>
      </w:r>
      <w:r w:rsidR="00744E7F" w:rsidRPr="00B36BDF">
        <w:t xml:space="preserve">onservation </w:t>
      </w:r>
      <w:r w:rsidR="00A37555" w:rsidRPr="00B36BDF">
        <w:t>P</w:t>
      </w:r>
      <w:r w:rsidR="00744E7F" w:rsidRPr="00B36BDF">
        <w:t>lan (BCP)</w:t>
      </w:r>
      <w:r w:rsidRPr="00B36BDF">
        <w:t xml:space="preserve"> identifying </w:t>
      </w:r>
      <w:r w:rsidR="00744E7F" w:rsidRPr="00B36BDF">
        <w:t>a</w:t>
      </w:r>
      <w:r w:rsidRPr="00B36BDF">
        <w:t xml:space="preserve"> </w:t>
      </w:r>
      <w:r w:rsidRPr="00352140">
        <w:t>201</w:t>
      </w:r>
      <w:r w:rsidR="00B36BDF" w:rsidRPr="00352140">
        <w:t>6</w:t>
      </w:r>
      <w:r w:rsidRPr="00352140">
        <w:t>-202</w:t>
      </w:r>
      <w:r w:rsidR="00B36BDF" w:rsidRPr="00352140">
        <w:t>5</w:t>
      </w:r>
      <w:r w:rsidR="00744E7F" w:rsidRPr="00B36BDF">
        <w:t xml:space="preserve"> ten-year achievable conservation p</w:t>
      </w:r>
      <w:r w:rsidRPr="00B36BDF">
        <w:t xml:space="preserve">otential </w:t>
      </w:r>
      <w:r w:rsidR="00744E7F" w:rsidRPr="00B36BDF">
        <w:t xml:space="preserve">of </w:t>
      </w:r>
      <w:r w:rsidR="002352F3">
        <w:t xml:space="preserve">2,715,486 </w:t>
      </w:r>
      <w:r w:rsidR="00744E7F" w:rsidRPr="00B36BDF">
        <w:t xml:space="preserve">megawatt-hours (MWh) </w:t>
      </w:r>
      <w:r w:rsidRPr="00B36BDF">
        <w:t xml:space="preserve">and </w:t>
      </w:r>
      <w:r w:rsidR="00744E7F" w:rsidRPr="00B36BDF">
        <w:t>a</w:t>
      </w:r>
      <w:r w:rsidRPr="00B36BDF">
        <w:t xml:space="preserve"> 201</w:t>
      </w:r>
      <w:r w:rsidR="00B36BDF" w:rsidRPr="00B36BDF">
        <w:t>6</w:t>
      </w:r>
      <w:r w:rsidRPr="00B36BDF">
        <w:t>-201</w:t>
      </w:r>
      <w:r w:rsidR="00B36BDF" w:rsidRPr="00B36BDF">
        <w:t>7</w:t>
      </w:r>
      <w:r w:rsidR="00744E7F" w:rsidRPr="00B36BDF">
        <w:t xml:space="preserve"> biennial c</w:t>
      </w:r>
      <w:r w:rsidRPr="00B36BDF">
        <w:t xml:space="preserve">onservation </w:t>
      </w:r>
      <w:r w:rsidR="00744E7F" w:rsidRPr="00B36BDF">
        <w:t>t</w:t>
      </w:r>
      <w:r w:rsidRPr="00B36BDF">
        <w:t>arget</w:t>
      </w:r>
      <w:r w:rsidR="00744E7F" w:rsidRPr="00B36BDF">
        <w:t xml:space="preserve"> of </w:t>
      </w:r>
      <w:r w:rsidR="002352F3">
        <w:t>537,078</w:t>
      </w:r>
      <w:r w:rsidR="002352F3" w:rsidRPr="00CD74CC">
        <w:t xml:space="preserve"> </w:t>
      </w:r>
      <w:r w:rsidR="00744E7F" w:rsidRPr="00B36BDF">
        <w:t>MWh</w:t>
      </w:r>
      <w:r w:rsidRPr="00B36BDF">
        <w:t>.</w:t>
      </w:r>
      <w:r w:rsidR="00FD5EDE">
        <w:t xml:space="preserve"> </w:t>
      </w:r>
    </w:p>
    <w:p w14:paraId="19E5D5A7" w14:textId="77777777" w:rsidR="002352F3" w:rsidRDefault="002352F3" w:rsidP="000677D7">
      <w:pPr>
        <w:numPr>
          <w:ilvl w:val="0"/>
          <w:numId w:val="1"/>
        </w:numPr>
        <w:tabs>
          <w:tab w:val="clear" w:pos="720"/>
          <w:tab w:val="left" w:pos="0"/>
        </w:tabs>
        <w:spacing w:after="240" w:line="288" w:lineRule="auto"/>
        <w:ind w:left="0" w:right="90"/>
      </w:pPr>
      <w:r>
        <w:t>Also on October 27, 2015</w:t>
      </w:r>
      <w:r w:rsidR="00980AF7">
        <w:t xml:space="preserve">, PSE filed proposed tariff revisions in </w:t>
      </w:r>
      <w:r>
        <w:t xml:space="preserve">Docket UE-152042 </w:t>
      </w:r>
      <w:r w:rsidR="00980AF7">
        <w:t>that would continue</w:t>
      </w:r>
      <w:r>
        <w:t xml:space="preserve"> PSE’s electric conservation programs, which are set to expire on December 31, 2015. The tariff changes make minor programmatic changes, but do not </w:t>
      </w:r>
      <w:r w:rsidR="00980AF7">
        <w:t>impact</w:t>
      </w:r>
      <w:r>
        <w:t xml:space="preserve"> rates.</w:t>
      </w:r>
    </w:p>
    <w:p w14:paraId="19E5D5A8" w14:textId="77777777" w:rsidR="00D14D06" w:rsidRDefault="00B70F89" w:rsidP="000677D7">
      <w:pPr>
        <w:numPr>
          <w:ilvl w:val="0"/>
          <w:numId w:val="1"/>
        </w:numPr>
        <w:tabs>
          <w:tab w:val="clear" w:pos="720"/>
          <w:tab w:val="left" w:pos="0"/>
        </w:tabs>
        <w:spacing w:after="240" w:line="264" w:lineRule="auto"/>
        <w:ind w:left="0" w:right="720"/>
      </w:pPr>
      <w:r>
        <w:rPr>
          <w:b/>
        </w:rPr>
        <w:t xml:space="preserve">Biennial Conservation Plan. </w:t>
      </w:r>
      <w:r w:rsidR="00FD5EDE">
        <w:t xml:space="preserve">Table 1 summarizes the derivation of </w:t>
      </w:r>
      <w:r w:rsidR="002352F3">
        <w:t>PSE</w:t>
      </w:r>
      <w:r w:rsidR="00FD5EDE">
        <w:t>’s biennial target</w:t>
      </w:r>
      <w:r w:rsidR="00FB7A34">
        <w:rPr>
          <w:rStyle w:val="FootnoteReference"/>
        </w:rPr>
        <w:footnoteReference w:id="4"/>
      </w:r>
      <w:r w:rsidR="00FD5EDE">
        <w:t>:</w:t>
      </w:r>
    </w:p>
    <w:p w14:paraId="19E5D5A9" w14:textId="77777777" w:rsidR="00FB7A34" w:rsidRPr="00B36BDF" w:rsidRDefault="00FB7A34" w:rsidP="00FB7A34">
      <w:pPr>
        <w:spacing w:after="240" w:line="264" w:lineRule="auto"/>
        <w:ind w:right="720"/>
        <w:rPr>
          <w:b/>
        </w:rPr>
      </w:pPr>
      <w:r w:rsidRPr="00B36BDF">
        <w:rPr>
          <w:b/>
        </w:rPr>
        <w:t xml:space="preserve">Table 1. Development of </w:t>
      </w:r>
      <w:r>
        <w:rPr>
          <w:b/>
        </w:rPr>
        <w:t>PSE</w:t>
      </w:r>
      <w:r w:rsidRPr="00B36BDF">
        <w:rPr>
          <w:b/>
        </w:rPr>
        <w:t xml:space="preserve">’s </w:t>
      </w:r>
      <w:r w:rsidRPr="00084184">
        <w:rPr>
          <w:b/>
        </w:rPr>
        <w:t>201</w:t>
      </w:r>
      <w:r>
        <w:rPr>
          <w:b/>
        </w:rPr>
        <w:t>6-2017</w:t>
      </w:r>
      <w:r w:rsidRPr="00084184">
        <w:rPr>
          <w:b/>
        </w:rPr>
        <w:t xml:space="preserve"> </w:t>
      </w:r>
      <w:r w:rsidRPr="00B36BDF">
        <w:rPr>
          <w:b/>
        </w:rPr>
        <w:t xml:space="preserve">Biennial Conservation Target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5"/>
        <w:gridCol w:w="2430"/>
      </w:tblGrid>
      <w:tr w:rsidR="00FB7A34" w:rsidRPr="00B36BDF" w14:paraId="19E5D5AC" w14:textId="77777777" w:rsidTr="009554A3">
        <w:trPr>
          <w:trHeight w:val="379"/>
        </w:trPr>
        <w:tc>
          <w:tcPr>
            <w:tcW w:w="5605" w:type="dxa"/>
            <w:tcMar>
              <w:top w:w="0" w:type="dxa"/>
              <w:left w:w="108" w:type="dxa"/>
              <w:bottom w:w="0" w:type="dxa"/>
              <w:right w:w="108" w:type="dxa"/>
            </w:tcMar>
            <w:vAlign w:val="bottom"/>
            <w:hideMark/>
          </w:tcPr>
          <w:p w14:paraId="19E5D5AA" w14:textId="77777777" w:rsidR="00FB7A34" w:rsidRPr="009355D6" w:rsidRDefault="00FB7A34" w:rsidP="009554A3">
            <w:pPr>
              <w:spacing w:line="264" w:lineRule="auto"/>
              <w:ind w:right="720"/>
              <w:rPr>
                <w:b/>
                <w:bCs/>
              </w:rPr>
            </w:pPr>
            <w:r>
              <w:rPr>
                <w:b/>
                <w:bCs/>
              </w:rPr>
              <w:t xml:space="preserve">Savings </w:t>
            </w:r>
            <w:r w:rsidRPr="009355D6">
              <w:rPr>
                <w:b/>
                <w:bCs/>
              </w:rPr>
              <w:t>Category</w:t>
            </w:r>
          </w:p>
        </w:tc>
        <w:tc>
          <w:tcPr>
            <w:tcW w:w="2430" w:type="dxa"/>
            <w:tcMar>
              <w:top w:w="0" w:type="dxa"/>
              <w:left w:w="108" w:type="dxa"/>
              <w:bottom w:w="0" w:type="dxa"/>
              <w:right w:w="108" w:type="dxa"/>
            </w:tcMar>
            <w:hideMark/>
          </w:tcPr>
          <w:p w14:paraId="19E5D5AB" w14:textId="77777777" w:rsidR="00FB7A34" w:rsidRPr="009355D6" w:rsidRDefault="00FB7A34" w:rsidP="009554A3">
            <w:pPr>
              <w:spacing w:line="264" w:lineRule="auto"/>
              <w:ind w:right="720"/>
              <w:jc w:val="right"/>
              <w:rPr>
                <w:b/>
                <w:bCs/>
              </w:rPr>
            </w:pPr>
            <w:r>
              <w:rPr>
                <w:b/>
                <w:bCs/>
              </w:rPr>
              <w:t>Savings</w:t>
            </w:r>
            <w:r w:rsidRPr="009355D6">
              <w:rPr>
                <w:b/>
                <w:bCs/>
              </w:rPr>
              <w:t xml:space="preserve"> (MWh)</w:t>
            </w:r>
          </w:p>
        </w:tc>
      </w:tr>
      <w:tr w:rsidR="00FB7A34" w:rsidRPr="00B36BDF" w14:paraId="19E5D5AF" w14:textId="77777777" w:rsidTr="009554A3">
        <w:trPr>
          <w:trHeight w:val="269"/>
        </w:trPr>
        <w:tc>
          <w:tcPr>
            <w:tcW w:w="5605" w:type="dxa"/>
            <w:tcMar>
              <w:top w:w="0" w:type="dxa"/>
              <w:left w:w="108" w:type="dxa"/>
              <w:bottom w:w="0" w:type="dxa"/>
              <w:right w:w="108" w:type="dxa"/>
            </w:tcMar>
            <w:hideMark/>
          </w:tcPr>
          <w:p w14:paraId="19E5D5AD" w14:textId="77777777" w:rsidR="00FB7A34" w:rsidRPr="009355D6" w:rsidRDefault="00FB7A34" w:rsidP="009554A3">
            <w:pPr>
              <w:spacing w:line="264" w:lineRule="auto"/>
              <w:ind w:right="720"/>
            </w:pPr>
            <w:r>
              <w:t xml:space="preserve">End-Use </w:t>
            </w:r>
            <w:r w:rsidRPr="009355D6">
              <w:t>Efficiency</w:t>
            </w:r>
            <w:r>
              <w:t xml:space="preserve"> Measures</w:t>
            </w:r>
            <w:r w:rsidRPr="009355D6">
              <w:t xml:space="preserve"> (CPA)</w:t>
            </w:r>
          </w:p>
        </w:tc>
        <w:tc>
          <w:tcPr>
            <w:tcW w:w="2430" w:type="dxa"/>
            <w:tcMar>
              <w:top w:w="0" w:type="dxa"/>
              <w:left w:w="108" w:type="dxa"/>
              <w:bottom w:w="0" w:type="dxa"/>
              <w:right w:w="108" w:type="dxa"/>
            </w:tcMar>
            <w:hideMark/>
          </w:tcPr>
          <w:p w14:paraId="19E5D5AE" w14:textId="77777777" w:rsidR="00FB7A34" w:rsidRPr="009355D6" w:rsidRDefault="00FB7A34" w:rsidP="009554A3">
            <w:pPr>
              <w:spacing w:line="264" w:lineRule="auto"/>
              <w:ind w:right="720"/>
              <w:jc w:val="right"/>
            </w:pPr>
            <w:r>
              <w:t>554,132</w:t>
            </w:r>
          </w:p>
        </w:tc>
      </w:tr>
      <w:tr w:rsidR="00FB7A34" w:rsidRPr="00B36BDF" w14:paraId="19E5D5B2" w14:textId="77777777" w:rsidTr="009554A3">
        <w:trPr>
          <w:trHeight w:val="314"/>
        </w:trPr>
        <w:tc>
          <w:tcPr>
            <w:tcW w:w="5605" w:type="dxa"/>
            <w:tcMar>
              <w:top w:w="0" w:type="dxa"/>
              <w:left w:w="108" w:type="dxa"/>
              <w:bottom w:w="0" w:type="dxa"/>
              <w:right w:w="108" w:type="dxa"/>
            </w:tcMar>
            <w:hideMark/>
          </w:tcPr>
          <w:p w14:paraId="19E5D5B0" w14:textId="77777777" w:rsidR="00FB7A34" w:rsidRPr="009355D6" w:rsidRDefault="00FB7A34" w:rsidP="009554A3">
            <w:pPr>
              <w:spacing w:line="264" w:lineRule="auto"/>
              <w:ind w:right="720"/>
            </w:pPr>
            <w:r w:rsidRPr="009355D6">
              <w:t>Less NEEA</w:t>
            </w:r>
          </w:p>
        </w:tc>
        <w:tc>
          <w:tcPr>
            <w:tcW w:w="2430" w:type="dxa"/>
            <w:tcMar>
              <w:top w:w="0" w:type="dxa"/>
              <w:left w:w="108" w:type="dxa"/>
              <w:bottom w:w="0" w:type="dxa"/>
              <w:right w:w="108" w:type="dxa"/>
            </w:tcMar>
            <w:hideMark/>
          </w:tcPr>
          <w:p w14:paraId="19E5D5B1" w14:textId="77777777" w:rsidR="00FB7A34" w:rsidRPr="009355D6" w:rsidRDefault="00FB7A34" w:rsidP="009554A3">
            <w:pPr>
              <w:spacing w:line="264" w:lineRule="auto"/>
              <w:ind w:right="720"/>
              <w:jc w:val="right"/>
            </w:pPr>
            <w:r>
              <w:t>(22,776)</w:t>
            </w:r>
          </w:p>
        </w:tc>
      </w:tr>
      <w:tr w:rsidR="00FB7A34" w:rsidRPr="00B36BDF" w14:paraId="19E5D5B5" w14:textId="77777777" w:rsidTr="009554A3">
        <w:trPr>
          <w:trHeight w:val="269"/>
        </w:trPr>
        <w:tc>
          <w:tcPr>
            <w:tcW w:w="5605" w:type="dxa"/>
            <w:tcMar>
              <w:top w:w="0" w:type="dxa"/>
              <w:left w:w="108" w:type="dxa"/>
              <w:bottom w:w="0" w:type="dxa"/>
              <w:right w:w="108" w:type="dxa"/>
            </w:tcMar>
            <w:hideMark/>
          </w:tcPr>
          <w:p w14:paraId="19E5D5B3" w14:textId="77777777" w:rsidR="00FB7A34" w:rsidRPr="00125C1B" w:rsidRDefault="00FB7A34" w:rsidP="009554A3">
            <w:pPr>
              <w:spacing w:line="264" w:lineRule="auto"/>
              <w:ind w:right="720"/>
            </w:pPr>
            <w:r w:rsidRPr="00125C1B">
              <w:t xml:space="preserve">Plus </w:t>
            </w:r>
            <w:r>
              <w:t>Existing Home Energy Reports</w:t>
            </w:r>
          </w:p>
        </w:tc>
        <w:tc>
          <w:tcPr>
            <w:tcW w:w="2430" w:type="dxa"/>
            <w:tcMar>
              <w:top w:w="0" w:type="dxa"/>
              <w:left w:w="108" w:type="dxa"/>
              <w:bottom w:w="0" w:type="dxa"/>
              <w:right w:w="108" w:type="dxa"/>
            </w:tcMar>
            <w:hideMark/>
          </w:tcPr>
          <w:p w14:paraId="19E5D5B4" w14:textId="77777777" w:rsidR="00FB7A34" w:rsidRPr="009355D6" w:rsidRDefault="00FB7A34" w:rsidP="009554A3">
            <w:pPr>
              <w:spacing w:line="264" w:lineRule="auto"/>
              <w:ind w:right="720"/>
              <w:jc w:val="right"/>
            </w:pPr>
            <w:r>
              <w:t>5,722</w:t>
            </w:r>
          </w:p>
        </w:tc>
      </w:tr>
      <w:tr w:rsidR="00FB7A34" w:rsidRPr="00B36BDF" w14:paraId="19E5D5B8" w14:textId="77777777" w:rsidTr="009554A3">
        <w:trPr>
          <w:trHeight w:val="305"/>
        </w:trPr>
        <w:tc>
          <w:tcPr>
            <w:tcW w:w="5605" w:type="dxa"/>
            <w:tcMar>
              <w:top w:w="0" w:type="dxa"/>
              <w:left w:w="108" w:type="dxa"/>
              <w:bottom w:w="0" w:type="dxa"/>
              <w:right w:w="108" w:type="dxa"/>
            </w:tcMar>
            <w:hideMark/>
          </w:tcPr>
          <w:p w14:paraId="19E5D5B6" w14:textId="77777777" w:rsidR="00FB7A34" w:rsidRPr="009355D6" w:rsidRDefault="00FB7A34" w:rsidP="009554A3">
            <w:pPr>
              <w:spacing w:line="264" w:lineRule="auto"/>
              <w:ind w:right="720"/>
              <w:rPr>
                <w:b/>
                <w:bCs/>
              </w:rPr>
            </w:pPr>
            <w:r>
              <w:rPr>
                <w:b/>
                <w:bCs/>
              </w:rPr>
              <w:t>2016-2017</w:t>
            </w:r>
            <w:r w:rsidRPr="009355D6">
              <w:rPr>
                <w:b/>
                <w:bCs/>
              </w:rPr>
              <w:t xml:space="preserve"> </w:t>
            </w:r>
            <w:r>
              <w:rPr>
                <w:b/>
                <w:bCs/>
              </w:rPr>
              <w:t>Biennial Conservation</w:t>
            </w:r>
            <w:r w:rsidRPr="009355D6">
              <w:rPr>
                <w:b/>
                <w:bCs/>
              </w:rPr>
              <w:t xml:space="preserve"> Target</w:t>
            </w:r>
          </w:p>
        </w:tc>
        <w:tc>
          <w:tcPr>
            <w:tcW w:w="2430" w:type="dxa"/>
            <w:tcMar>
              <w:top w:w="0" w:type="dxa"/>
              <w:left w:w="108" w:type="dxa"/>
              <w:bottom w:w="0" w:type="dxa"/>
              <w:right w:w="108" w:type="dxa"/>
            </w:tcMar>
            <w:hideMark/>
          </w:tcPr>
          <w:p w14:paraId="19E5D5B7" w14:textId="77777777" w:rsidR="00FB7A34" w:rsidRPr="009355D6" w:rsidRDefault="00FB7A34" w:rsidP="009554A3">
            <w:pPr>
              <w:spacing w:line="264" w:lineRule="auto"/>
              <w:ind w:right="720"/>
              <w:jc w:val="right"/>
              <w:rPr>
                <w:b/>
                <w:bCs/>
              </w:rPr>
            </w:pPr>
            <w:r>
              <w:rPr>
                <w:b/>
                <w:bCs/>
              </w:rPr>
              <w:t>537,078</w:t>
            </w:r>
          </w:p>
        </w:tc>
      </w:tr>
      <w:tr w:rsidR="00FB7A34" w:rsidRPr="00B36BDF" w14:paraId="19E5D5BB" w14:textId="77777777" w:rsidTr="009554A3">
        <w:trPr>
          <w:trHeight w:val="305"/>
        </w:trPr>
        <w:tc>
          <w:tcPr>
            <w:tcW w:w="5605" w:type="dxa"/>
            <w:tcMar>
              <w:top w:w="0" w:type="dxa"/>
              <w:left w:w="108" w:type="dxa"/>
              <w:bottom w:w="0" w:type="dxa"/>
              <w:right w:w="108" w:type="dxa"/>
            </w:tcMar>
          </w:tcPr>
          <w:p w14:paraId="19E5D5B9" w14:textId="77777777" w:rsidR="00FB7A34" w:rsidRPr="00BE498D" w:rsidRDefault="00FB7A34" w:rsidP="009554A3">
            <w:pPr>
              <w:spacing w:line="264" w:lineRule="auto"/>
              <w:ind w:right="720"/>
              <w:rPr>
                <w:bCs/>
              </w:rPr>
            </w:pPr>
            <w:r>
              <w:rPr>
                <w:bCs/>
              </w:rPr>
              <w:t xml:space="preserve">Plus </w:t>
            </w:r>
            <w:r w:rsidRPr="00BE498D">
              <w:rPr>
                <w:bCs/>
              </w:rPr>
              <w:t>Decoupling Commitment (</w:t>
            </w:r>
            <w:r>
              <w:rPr>
                <w:bCs/>
              </w:rPr>
              <w:t>5%)</w:t>
            </w:r>
          </w:p>
        </w:tc>
        <w:tc>
          <w:tcPr>
            <w:tcW w:w="2430" w:type="dxa"/>
            <w:tcMar>
              <w:top w:w="0" w:type="dxa"/>
              <w:left w:w="108" w:type="dxa"/>
              <w:bottom w:w="0" w:type="dxa"/>
              <w:right w:w="108" w:type="dxa"/>
            </w:tcMar>
          </w:tcPr>
          <w:p w14:paraId="19E5D5BA" w14:textId="77777777" w:rsidR="00FB7A34" w:rsidRPr="00BE498D" w:rsidRDefault="00FB7A34" w:rsidP="009554A3">
            <w:pPr>
              <w:spacing w:line="264" w:lineRule="auto"/>
              <w:ind w:right="720"/>
              <w:jc w:val="right"/>
              <w:rPr>
                <w:bCs/>
              </w:rPr>
            </w:pPr>
            <w:r>
              <w:rPr>
                <w:bCs/>
              </w:rPr>
              <w:t>27,993</w:t>
            </w:r>
          </w:p>
        </w:tc>
      </w:tr>
      <w:tr w:rsidR="00FB7A34" w:rsidRPr="00B36BDF" w14:paraId="19E5D5BE" w14:textId="77777777" w:rsidTr="009554A3">
        <w:trPr>
          <w:trHeight w:val="99"/>
        </w:trPr>
        <w:tc>
          <w:tcPr>
            <w:tcW w:w="5605" w:type="dxa"/>
            <w:tcMar>
              <w:top w:w="0" w:type="dxa"/>
              <w:left w:w="108" w:type="dxa"/>
              <w:bottom w:w="0" w:type="dxa"/>
              <w:right w:w="108" w:type="dxa"/>
            </w:tcMar>
            <w:hideMark/>
          </w:tcPr>
          <w:p w14:paraId="19E5D5BC" w14:textId="77777777" w:rsidR="00FB7A34" w:rsidRDefault="00FB7A34" w:rsidP="009554A3">
            <w:pPr>
              <w:spacing w:line="264" w:lineRule="auto"/>
              <w:ind w:right="720"/>
              <w:rPr>
                <w:bCs/>
              </w:rPr>
            </w:pPr>
            <w:r>
              <w:rPr>
                <w:bCs/>
              </w:rPr>
              <w:t>Plus NEEA</w:t>
            </w:r>
          </w:p>
        </w:tc>
        <w:tc>
          <w:tcPr>
            <w:tcW w:w="2430" w:type="dxa"/>
            <w:tcMar>
              <w:top w:w="0" w:type="dxa"/>
              <w:left w:w="108" w:type="dxa"/>
              <w:bottom w:w="0" w:type="dxa"/>
              <w:right w:w="108" w:type="dxa"/>
            </w:tcMar>
            <w:hideMark/>
          </w:tcPr>
          <w:p w14:paraId="19E5D5BD" w14:textId="77777777" w:rsidR="00FB7A34" w:rsidRDefault="00FB7A34" w:rsidP="009554A3">
            <w:pPr>
              <w:spacing w:line="264" w:lineRule="auto"/>
              <w:ind w:right="720"/>
              <w:jc w:val="right"/>
              <w:rPr>
                <w:bCs/>
              </w:rPr>
            </w:pPr>
            <w:r>
              <w:rPr>
                <w:bCs/>
              </w:rPr>
              <w:t>22,776</w:t>
            </w:r>
          </w:p>
        </w:tc>
      </w:tr>
      <w:tr w:rsidR="00FB7A34" w:rsidRPr="00B36BDF" w14:paraId="19E5D5C1" w14:textId="77777777" w:rsidTr="009554A3">
        <w:trPr>
          <w:trHeight w:val="99"/>
        </w:trPr>
        <w:tc>
          <w:tcPr>
            <w:tcW w:w="5605" w:type="dxa"/>
            <w:tcMar>
              <w:top w:w="0" w:type="dxa"/>
              <w:left w:w="108" w:type="dxa"/>
              <w:bottom w:w="0" w:type="dxa"/>
              <w:right w:w="108" w:type="dxa"/>
            </w:tcMar>
          </w:tcPr>
          <w:p w14:paraId="19E5D5BF" w14:textId="77777777" w:rsidR="00FB7A34" w:rsidRDefault="00FB7A34" w:rsidP="009554A3">
            <w:pPr>
              <w:spacing w:line="264" w:lineRule="auto"/>
              <w:ind w:right="720"/>
              <w:rPr>
                <w:bCs/>
              </w:rPr>
            </w:pPr>
            <w:r>
              <w:rPr>
                <w:bCs/>
              </w:rPr>
              <w:t>Plus Home Energy Reports pilots</w:t>
            </w:r>
          </w:p>
        </w:tc>
        <w:tc>
          <w:tcPr>
            <w:tcW w:w="2430" w:type="dxa"/>
            <w:tcMar>
              <w:top w:w="0" w:type="dxa"/>
              <w:left w:w="108" w:type="dxa"/>
              <w:bottom w:w="0" w:type="dxa"/>
              <w:right w:w="108" w:type="dxa"/>
            </w:tcMar>
          </w:tcPr>
          <w:p w14:paraId="19E5D5C0" w14:textId="77777777" w:rsidR="00FB7A34" w:rsidRDefault="00FB7A34" w:rsidP="009554A3">
            <w:pPr>
              <w:spacing w:line="264" w:lineRule="auto"/>
              <w:ind w:right="720"/>
              <w:jc w:val="right"/>
              <w:rPr>
                <w:bCs/>
              </w:rPr>
            </w:pPr>
            <w:r>
              <w:rPr>
                <w:bCs/>
              </w:rPr>
              <w:t>17,347</w:t>
            </w:r>
          </w:p>
        </w:tc>
      </w:tr>
      <w:tr w:rsidR="00FB7A34" w:rsidRPr="00B36BDF" w14:paraId="19E5D5C4" w14:textId="77777777" w:rsidTr="009554A3">
        <w:trPr>
          <w:trHeight w:val="99"/>
        </w:trPr>
        <w:tc>
          <w:tcPr>
            <w:tcW w:w="5605" w:type="dxa"/>
            <w:tcMar>
              <w:top w:w="0" w:type="dxa"/>
              <w:left w:w="108" w:type="dxa"/>
              <w:bottom w:w="0" w:type="dxa"/>
              <w:right w:w="108" w:type="dxa"/>
            </w:tcMar>
          </w:tcPr>
          <w:p w14:paraId="19E5D5C2" w14:textId="77777777" w:rsidR="00FB7A34" w:rsidRPr="00BE498D" w:rsidRDefault="00FB7A34" w:rsidP="009554A3">
            <w:pPr>
              <w:spacing w:line="264" w:lineRule="auto"/>
              <w:ind w:right="720"/>
              <w:rPr>
                <w:b/>
                <w:bCs/>
              </w:rPr>
            </w:pPr>
            <w:r>
              <w:rPr>
                <w:b/>
                <w:bCs/>
              </w:rPr>
              <w:t>2016-2017 Total Portfolio Savings</w:t>
            </w:r>
          </w:p>
        </w:tc>
        <w:tc>
          <w:tcPr>
            <w:tcW w:w="2430" w:type="dxa"/>
            <w:tcMar>
              <w:top w:w="0" w:type="dxa"/>
              <w:left w:w="108" w:type="dxa"/>
              <w:bottom w:w="0" w:type="dxa"/>
              <w:right w:w="108" w:type="dxa"/>
            </w:tcMar>
          </w:tcPr>
          <w:p w14:paraId="19E5D5C3" w14:textId="77777777" w:rsidR="00FB7A34" w:rsidRPr="00BE498D" w:rsidRDefault="00FB7A34" w:rsidP="009554A3">
            <w:pPr>
              <w:spacing w:line="264" w:lineRule="auto"/>
              <w:ind w:right="720"/>
              <w:jc w:val="right"/>
              <w:rPr>
                <w:b/>
                <w:bCs/>
              </w:rPr>
            </w:pPr>
            <w:r>
              <w:rPr>
                <w:b/>
                <w:bCs/>
              </w:rPr>
              <w:t>605,194</w:t>
            </w:r>
          </w:p>
        </w:tc>
      </w:tr>
    </w:tbl>
    <w:p w14:paraId="19E5D5C5" w14:textId="77777777" w:rsidR="00FB7A34" w:rsidRDefault="00FB7A34" w:rsidP="00FB7A34">
      <w:pPr>
        <w:spacing w:after="240" w:line="264" w:lineRule="auto"/>
        <w:ind w:right="720"/>
      </w:pPr>
    </w:p>
    <w:p w14:paraId="19E5D5C6" w14:textId="0BA41746" w:rsidR="002352F3" w:rsidRPr="00FB7A34" w:rsidRDefault="002352F3" w:rsidP="000677D7">
      <w:pPr>
        <w:numPr>
          <w:ilvl w:val="0"/>
          <w:numId w:val="1"/>
        </w:numPr>
        <w:tabs>
          <w:tab w:val="clear" w:pos="720"/>
          <w:tab w:val="left" w:pos="0"/>
        </w:tabs>
        <w:spacing w:after="240" w:line="264" w:lineRule="auto"/>
        <w:ind w:left="0" w:right="720"/>
        <w:rPr>
          <w:b/>
        </w:rPr>
      </w:pPr>
      <w:r>
        <w:t xml:space="preserve">The BCP provides budget details regarding PSE’s plan for achieving the savings identified in its biennial conservation target and total portfolio. Table 2, below, is a summary of those details. PSE’s 2016-2017 budget is </w:t>
      </w:r>
      <w:r w:rsidRPr="00433A8C">
        <w:t>$</w:t>
      </w:r>
      <w:r>
        <w:t xml:space="preserve">198,985,000, approximately </w:t>
      </w:r>
      <w:r>
        <w:lastRenderedPageBreak/>
        <w:t>five percent greater than its budget for the 2014-2015 biennium. PSE’s expected total portfolio savings for 2016-2017 is lower than the 2014-2015 biennium</w:t>
      </w:r>
      <w:r w:rsidR="00980AF7">
        <w:t>, but its</w:t>
      </w:r>
      <w:r>
        <w:t xml:space="preserve"> biennial target is greater due to a decrease in expected NEEA savings, which are removed from the penalty target. PSE expects its portfolio to achieve a T</w:t>
      </w:r>
      <w:r w:rsidR="00D14B6C">
        <w:t>otal Resource Cost ratio of 1.7</w:t>
      </w:r>
      <w:r>
        <w:t xml:space="preserve"> and </w:t>
      </w:r>
      <w:r w:rsidR="00D14B6C">
        <w:t>a Utility Cost Test ratio of 2.</w:t>
      </w:r>
      <w:r>
        <w:t xml:space="preserve">2, indicating that the portfolio is still cost-effective. </w:t>
      </w:r>
      <w:r w:rsidR="00FB7A34">
        <w:br/>
      </w:r>
      <w:r w:rsidR="00352140">
        <w:br/>
      </w:r>
      <w:r w:rsidRPr="00FB7A34">
        <w:rPr>
          <w:b/>
        </w:rPr>
        <w:t>Table 2. Savings and Budgets from PSE’s 2014-2015 and 2016-2017 BCPs.</w:t>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3"/>
        <w:gridCol w:w="1534"/>
        <w:gridCol w:w="1603"/>
        <w:gridCol w:w="1552"/>
        <w:gridCol w:w="1585"/>
      </w:tblGrid>
      <w:tr w:rsidR="004D0016" w:rsidRPr="009355D6" w14:paraId="19E5D5CE" w14:textId="77777777" w:rsidTr="004D0016">
        <w:tc>
          <w:tcPr>
            <w:tcW w:w="2383" w:type="dxa"/>
            <w:shd w:val="clear" w:color="auto" w:fill="auto"/>
            <w:vAlign w:val="bottom"/>
          </w:tcPr>
          <w:p w14:paraId="19E5D5C7" w14:textId="77777777" w:rsidR="002352F3" w:rsidRPr="004D0016" w:rsidRDefault="002352F3" w:rsidP="009554A3">
            <w:pPr>
              <w:rPr>
                <w:b/>
              </w:rPr>
            </w:pPr>
            <w:r w:rsidRPr="004D0016">
              <w:rPr>
                <w:b/>
              </w:rPr>
              <w:t>Program</w:t>
            </w:r>
          </w:p>
        </w:tc>
        <w:tc>
          <w:tcPr>
            <w:tcW w:w="1620" w:type="dxa"/>
            <w:shd w:val="clear" w:color="auto" w:fill="auto"/>
            <w:vAlign w:val="bottom"/>
          </w:tcPr>
          <w:p w14:paraId="19E5D5C8" w14:textId="77777777" w:rsidR="002352F3" w:rsidRPr="004D0016" w:rsidRDefault="002352F3" w:rsidP="004D0016">
            <w:pPr>
              <w:jc w:val="center"/>
              <w:rPr>
                <w:b/>
              </w:rPr>
            </w:pPr>
            <w:r w:rsidRPr="004D0016">
              <w:rPr>
                <w:b/>
              </w:rPr>
              <w:t>2014-2015</w:t>
            </w:r>
          </w:p>
          <w:p w14:paraId="19E5D5C9" w14:textId="77777777" w:rsidR="002352F3" w:rsidRPr="004D0016" w:rsidRDefault="002352F3" w:rsidP="004D0016">
            <w:pPr>
              <w:jc w:val="center"/>
              <w:rPr>
                <w:b/>
              </w:rPr>
            </w:pPr>
            <w:r w:rsidRPr="004D0016">
              <w:rPr>
                <w:b/>
              </w:rPr>
              <w:t>Projected Savings (MWh)</w:t>
            </w:r>
          </w:p>
        </w:tc>
        <w:tc>
          <w:tcPr>
            <w:tcW w:w="1620" w:type="dxa"/>
            <w:shd w:val="clear" w:color="auto" w:fill="auto"/>
            <w:vAlign w:val="bottom"/>
          </w:tcPr>
          <w:p w14:paraId="19E5D5CA" w14:textId="77777777" w:rsidR="002352F3" w:rsidRPr="004D0016" w:rsidRDefault="002352F3" w:rsidP="004D0016">
            <w:pPr>
              <w:jc w:val="center"/>
              <w:rPr>
                <w:b/>
              </w:rPr>
            </w:pPr>
            <w:r w:rsidRPr="004D0016">
              <w:rPr>
                <w:b/>
              </w:rPr>
              <w:t>2014-2015 Budget</w:t>
            </w:r>
          </w:p>
        </w:tc>
        <w:tc>
          <w:tcPr>
            <w:tcW w:w="1642" w:type="dxa"/>
            <w:shd w:val="clear" w:color="auto" w:fill="auto"/>
            <w:vAlign w:val="bottom"/>
          </w:tcPr>
          <w:p w14:paraId="19E5D5CB" w14:textId="77777777" w:rsidR="002352F3" w:rsidRPr="004D0016" w:rsidRDefault="002352F3" w:rsidP="004D0016">
            <w:pPr>
              <w:jc w:val="center"/>
              <w:rPr>
                <w:b/>
              </w:rPr>
            </w:pPr>
            <w:r w:rsidRPr="004D0016">
              <w:rPr>
                <w:b/>
              </w:rPr>
              <w:t>2016-2017</w:t>
            </w:r>
          </w:p>
          <w:p w14:paraId="19E5D5CC" w14:textId="77777777" w:rsidR="002352F3" w:rsidRPr="004D0016" w:rsidRDefault="002352F3" w:rsidP="004D0016">
            <w:pPr>
              <w:jc w:val="center"/>
              <w:rPr>
                <w:b/>
              </w:rPr>
            </w:pPr>
            <w:r w:rsidRPr="004D0016">
              <w:rPr>
                <w:b/>
              </w:rPr>
              <w:t>Projected Savings (MWh)</w:t>
            </w:r>
          </w:p>
        </w:tc>
        <w:tc>
          <w:tcPr>
            <w:tcW w:w="1598" w:type="dxa"/>
            <w:shd w:val="clear" w:color="auto" w:fill="auto"/>
            <w:vAlign w:val="bottom"/>
          </w:tcPr>
          <w:p w14:paraId="19E5D5CD" w14:textId="77777777" w:rsidR="002352F3" w:rsidRPr="004D0016" w:rsidRDefault="002352F3" w:rsidP="004D0016">
            <w:pPr>
              <w:jc w:val="center"/>
              <w:rPr>
                <w:b/>
              </w:rPr>
            </w:pPr>
            <w:r w:rsidRPr="004D0016">
              <w:rPr>
                <w:b/>
              </w:rPr>
              <w:t>2016-2017 Budget</w:t>
            </w:r>
          </w:p>
        </w:tc>
      </w:tr>
      <w:tr w:rsidR="004D0016" w:rsidRPr="009355D6" w14:paraId="19E5D5D4" w14:textId="77777777" w:rsidTr="004D0016">
        <w:tc>
          <w:tcPr>
            <w:tcW w:w="2383" w:type="dxa"/>
            <w:shd w:val="clear" w:color="auto" w:fill="auto"/>
          </w:tcPr>
          <w:p w14:paraId="19E5D5CF" w14:textId="77777777" w:rsidR="002352F3" w:rsidRPr="004D0016" w:rsidRDefault="002352F3" w:rsidP="009554A3">
            <w:pPr>
              <w:rPr>
                <w:i/>
              </w:rPr>
            </w:pPr>
            <w:r w:rsidRPr="004D0016">
              <w:rPr>
                <w:i/>
              </w:rPr>
              <w:t>Residential</w:t>
            </w:r>
          </w:p>
        </w:tc>
        <w:tc>
          <w:tcPr>
            <w:tcW w:w="1620" w:type="dxa"/>
            <w:shd w:val="clear" w:color="auto" w:fill="auto"/>
            <w:vAlign w:val="bottom"/>
          </w:tcPr>
          <w:p w14:paraId="19E5D5D0" w14:textId="77777777" w:rsidR="002352F3" w:rsidRPr="004D0016" w:rsidRDefault="002352F3" w:rsidP="004D0016">
            <w:pPr>
              <w:jc w:val="right"/>
              <w:rPr>
                <w:i/>
              </w:rPr>
            </w:pPr>
          </w:p>
        </w:tc>
        <w:tc>
          <w:tcPr>
            <w:tcW w:w="1620" w:type="dxa"/>
            <w:shd w:val="clear" w:color="auto" w:fill="auto"/>
            <w:vAlign w:val="bottom"/>
          </w:tcPr>
          <w:p w14:paraId="19E5D5D1" w14:textId="77777777" w:rsidR="002352F3" w:rsidRPr="004D0016" w:rsidRDefault="002352F3" w:rsidP="004D0016">
            <w:pPr>
              <w:jc w:val="right"/>
              <w:rPr>
                <w:i/>
              </w:rPr>
            </w:pPr>
            <w:r w:rsidRPr="004D0016">
              <w:rPr>
                <w:i/>
              </w:rPr>
              <w:t>$85,200,200</w:t>
            </w:r>
          </w:p>
        </w:tc>
        <w:tc>
          <w:tcPr>
            <w:tcW w:w="1642" w:type="dxa"/>
            <w:shd w:val="clear" w:color="auto" w:fill="auto"/>
            <w:vAlign w:val="bottom"/>
          </w:tcPr>
          <w:p w14:paraId="19E5D5D2" w14:textId="77777777" w:rsidR="002352F3" w:rsidRPr="004D0016" w:rsidRDefault="002352F3" w:rsidP="004D0016">
            <w:pPr>
              <w:jc w:val="right"/>
              <w:rPr>
                <w:i/>
              </w:rPr>
            </w:pPr>
            <w:r w:rsidRPr="004D0016">
              <w:rPr>
                <w:i/>
              </w:rPr>
              <w:t>252,844</w:t>
            </w:r>
          </w:p>
        </w:tc>
        <w:tc>
          <w:tcPr>
            <w:tcW w:w="1598" w:type="dxa"/>
            <w:shd w:val="clear" w:color="auto" w:fill="auto"/>
            <w:vAlign w:val="bottom"/>
          </w:tcPr>
          <w:p w14:paraId="19E5D5D3" w14:textId="77777777" w:rsidR="002352F3" w:rsidRPr="004D0016" w:rsidRDefault="002352F3" w:rsidP="004D0016">
            <w:pPr>
              <w:jc w:val="right"/>
              <w:rPr>
                <w:i/>
              </w:rPr>
            </w:pPr>
            <w:r w:rsidRPr="004D0016">
              <w:rPr>
                <w:i/>
              </w:rPr>
              <w:t>$84,168,816</w:t>
            </w:r>
          </w:p>
        </w:tc>
      </w:tr>
      <w:tr w:rsidR="004D0016" w:rsidRPr="009355D6" w14:paraId="19E5D5DA" w14:textId="77777777" w:rsidTr="004D0016">
        <w:tc>
          <w:tcPr>
            <w:tcW w:w="2383" w:type="dxa"/>
            <w:shd w:val="clear" w:color="auto" w:fill="auto"/>
          </w:tcPr>
          <w:p w14:paraId="19E5D5D5" w14:textId="77777777" w:rsidR="002352F3" w:rsidRPr="004D0016" w:rsidRDefault="002352F3" w:rsidP="009554A3">
            <w:pPr>
              <w:rPr>
                <w:i/>
              </w:rPr>
            </w:pPr>
            <w:r w:rsidRPr="004D0016">
              <w:rPr>
                <w:i/>
              </w:rPr>
              <w:t>Low-income</w:t>
            </w:r>
          </w:p>
        </w:tc>
        <w:tc>
          <w:tcPr>
            <w:tcW w:w="1620" w:type="dxa"/>
            <w:shd w:val="clear" w:color="auto" w:fill="auto"/>
            <w:vAlign w:val="bottom"/>
          </w:tcPr>
          <w:p w14:paraId="19E5D5D6" w14:textId="77777777" w:rsidR="002352F3" w:rsidRPr="004D0016" w:rsidRDefault="002352F3" w:rsidP="004D0016">
            <w:pPr>
              <w:jc w:val="right"/>
              <w:rPr>
                <w:i/>
              </w:rPr>
            </w:pPr>
            <w:r w:rsidRPr="004D0016">
              <w:rPr>
                <w:i/>
              </w:rPr>
              <w:t>3,140</w:t>
            </w:r>
          </w:p>
        </w:tc>
        <w:tc>
          <w:tcPr>
            <w:tcW w:w="1620" w:type="dxa"/>
            <w:shd w:val="clear" w:color="auto" w:fill="auto"/>
            <w:vAlign w:val="bottom"/>
          </w:tcPr>
          <w:p w14:paraId="19E5D5D7" w14:textId="77777777" w:rsidR="002352F3" w:rsidRPr="004D0016" w:rsidRDefault="002352F3" w:rsidP="004D0016">
            <w:pPr>
              <w:jc w:val="right"/>
              <w:rPr>
                <w:i/>
              </w:rPr>
            </w:pPr>
            <w:r w:rsidRPr="004D0016">
              <w:rPr>
                <w:i/>
              </w:rPr>
              <w:t>$6,198,000</w:t>
            </w:r>
          </w:p>
        </w:tc>
        <w:tc>
          <w:tcPr>
            <w:tcW w:w="1642" w:type="dxa"/>
            <w:shd w:val="clear" w:color="auto" w:fill="auto"/>
            <w:vAlign w:val="bottom"/>
          </w:tcPr>
          <w:p w14:paraId="19E5D5D8" w14:textId="77777777" w:rsidR="002352F3" w:rsidRPr="004D0016" w:rsidRDefault="002352F3" w:rsidP="004D0016">
            <w:pPr>
              <w:jc w:val="right"/>
              <w:rPr>
                <w:i/>
              </w:rPr>
            </w:pPr>
            <w:r w:rsidRPr="004D0016">
              <w:rPr>
                <w:i/>
              </w:rPr>
              <w:t>3,120</w:t>
            </w:r>
          </w:p>
        </w:tc>
        <w:tc>
          <w:tcPr>
            <w:tcW w:w="1598" w:type="dxa"/>
            <w:shd w:val="clear" w:color="auto" w:fill="auto"/>
            <w:vAlign w:val="bottom"/>
          </w:tcPr>
          <w:p w14:paraId="19E5D5D9" w14:textId="77777777" w:rsidR="002352F3" w:rsidRPr="004D0016" w:rsidRDefault="002352F3" w:rsidP="004D0016">
            <w:pPr>
              <w:jc w:val="right"/>
              <w:rPr>
                <w:i/>
              </w:rPr>
            </w:pPr>
            <w:r w:rsidRPr="004D0016">
              <w:rPr>
                <w:i/>
              </w:rPr>
              <w:t>$6,761,963</w:t>
            </w:r>
          </w:p>
        </w:tc>
      </w:tr>
      <w:tr w:rsidR="004D0016" w:rsidRPr="009355D6" w14:paraId="19E5D5E0" w14:textId="77777777" w:rsidTr="004D0016">
        <w:tc>
          <w:tcPr>
            <w:tcW w:w="2383" w:type="dxa"/>
            <w:shd w:val="clear" w:color="auto" w:fill="auto"/>
          </w:tcPr>
          <w:p w14:paraId="19E5D5DB" w14:textId="77777777" w:rsidR="002352F3" w:rsidRPr="004D0016" w:rsidRDefault="002352F3" w:rsidP="009554A3">
            <w:pPr>
              <w:rPr>
                <w:i/>
              </w:rPr>
            </w:pPr>
            <w:r w:rsidRPr="004D0016">
              <w:rPr>
                <w:i/>
              </w:rPr>
              <w:t>Home Energy Reports</w:t>
            </w:r>
            <w:r w:rsidRPr="004D0016">
              <w:rPr>
                <w:rStyle w:val="FootnoteReference"/>
                <w:i/>
              </w:rPr>
              <w:footnoteReference w:id="5"/>
            </w:r>
          </w:p>
        </w:tc>
        <w:tc>
          <w:tcPr>
            <w:tcW w:w="1620" w:type="dxa"/>
            <w:shd w:val="clear" w:color="auto" w:fill="auto"/>
            <w:vAlign w:val="bottom"/>
          </w:tcPr>
          <w:p w14:paraId="19E5D5DC" w14:textId="77777777" w:rsidR="002352F3" w:rsidRPr="004D0016" w:rsidRDefault="002352F3" w:rsidP="004D0016">
            <w:pPr>
              <w:jc w:val="right"/>
              <w:rPr>
                <w:i/>
              </w:rPr>
            </w:pPr>
            <w:r w:rsidRPr="004D0016">
              <w:rPr>
                <w:i/>
              </w:rPr>
              <w:t>6,420</w:t>
            </w:r>
          </w:p>
        </w:tc>
        <w:tc>
          <w:tcPr>
            <w:tcW w:w="1620" w:type="dxa"/>
            <w:shd w:val="clear" w:color="auto" w:fill="auto"/>
            <w:vAlign w:val="bottom"/>
          </w:tcPr>
          <w:p w14:paraId="19E5D5DD" w14:textId="77777777" w:rsidR="002352F3" w:rsidRPr="004D0016" w:rsidRDefault="002352F3" w:rsidP="004D0016">
            <w:pPr>
              <w:jc w:val="right"/>
              <w:rPr>
                <w:i/>
              </w:rPr>
            </w:pPr>
            <w:r w:rsidRPr="004D0016">
              <w:rPr>
                <w:i/>
              </w:rPr>
              <w:t>$320,300</w:t>
            </w:r>
          </w:p>
        </w:tc>
        <w:tc>
          <w:tcPr>
            <w:tcW w:w="1642" w:type="dxa"/>
            <w:shd w:val="clear" w:color="auto" w:fill="auto"/>
            <w:vAlign w:val="bottom"/>
          </w:tcPr>
          <w:p w14:paraId="19E5D5DE" w14:textId="77777777" w:rsidR="002352F3" w:rsidRPr="004D0016" w:rsidRDefault="002352F3" w:rsidP="004D0016">
            <w:pPr>
              <w:jc w:val="right"/>
              <w:rPr>
                <w:i/>
              </w:rPr>
            </w:pPr>
            <w:r w:rsidRPr="004D0016">
              <w:rPr>
                <w:i/>
              </w:rPr>
              <w:t>5,722</w:t>
            </w:r>
          </w:p>
        </w:tc>
        <w:tc>
          <w:tcPr>
            <w:tcW w:w="1598" w:type="dxa"/>
            <w:shd w:val="clear" w:color="auto" w:fill="auto"/>
            <w:vAlign w:val="bottom"/>
          </w:tcPr>
          <w:p w14:paraId="19E5D5DF" w14:textId="77777777" w:rsidR="002352F3" w:rsidRPr="004D0016" w:rsidRDefault="002352F3" w:rsidP="004D0016">
            <w:pPr>
              <w:jc w:val="right"/>
              <w:rPr>
                <w:i/>
              </w:rPr>
            </w:pPr>
            <w:r w:rsidRPr="004D0016">
              <w:rPr>
                <w:i/>
              </w:rPr>
              <w:t>$229,221</w:t>
            </w:r>
          </w:p>
        </w:tc>
      </w:tr>
      <w:tr w:rsidR="004D0016" w:rsidRPr="009355D6" w14:paraId="19E5D5E6" w14:textId="77777777" w:rsidTr="004D0016">
        <w:tc>
          <w:tcPr>
            <w:tcW w:w="2383" w:type="dxa"/>
            <w:shd w:val="clear" w:color="auto" w:fill="auto"/>
          </w:tcPr>
          <w:p w14:paraId="19E5D5E1" w14:textId="77777777" w:rsidR="002352F3" w:rsidRPr="004D0016" w:rsidRDefault="002352F3" w:rsidP="009554A3">
            <w:pPr>
              <w:rPr>
                <w:b/>
              </w:rPr>
            </w:pPr>
            <w:r w:rsidRPr="004D0016">
              <w:rPr>
                <w:b/>
              </w:rPr>
              <w:t>Residential Total</w:t>
            </w:r>
          </w:p>
        </w:tc>
        <w:tc>
          <w:tcPr>
            <w:tcW w:w="1620" w:type="dxa"/>
            <w:shd w:val="clear" w:color="auto" w:fill="auto"/>
            <w:vAlign w:val="bottom"/>
          </w:tcPr>
          <w:p w14:paraId="19E5D5E2" w14:textId="77777777" w:rsidR="002352F3" w:rsidRPr="004D0016" w:rsidRDefault="002352F3" w:rsidP="004D0016">
            <w:pPr>
              <w:jc w:val="right"/>
              <w:rPr>
                <w:b/>
              </w:rPr>
            </w:pPr>
            <w:r w:rsidRPr="004D0016">
              <w:rPr>
                <w:b/>
              </w:rPr>
              <w:t>263,930</w:t>
            </w:r>
          </w:p>
        </w:tc>
        <w:tc>
          <w:tcPr>
            <w:tcW w:w="1620" w:type="dxa"/>
            <w:shd w:val="clear" w:color="auto" w:fill="auto"/>
            <w:vAlign w:val="bottom"/>
          </w:tcPr>
          <w:p w14:paraId="19E5D5E3" w14:textId="77777777" w:rsidR="002352F3" w:rsidRPr="004D0016" w:rsidRDefault="002352F3" w:rsidP="004D0016">
            <w:pPr>
              <w:jc w:val="right"/>
              <w:rPr>
                <w:b/>
              </w:rPr>
            </w:pPr>
            <w:r w:rsidRPr="004D0016">
              <w:rPr>
                <w:b/>
              </w:rPr>
              <w:t>$91,718,500</w:t>
            </w:r>
          </w:p>
        </w:tc>
        <w:tc>
          <w:tcPr>
            <w:tcW w:w="1642" w:type="dxa"/>
            <w:shd w:val="clear" w:color="auto" w:fill="auto"/>
            <w:vAlign w:val="bottom"/>
          </w:tcPr>
          <w:p w14:paraId="19E5D5E4" w14:textId="77777777" w:rsidR="002352F3" w:rsidRPr="004D0016" w:rsidRDefault="002352F3" w:rsidP="004D0016">
            <w:pPr>
              <w:jc w:val="right"/>
              <w:rPr>
                <w:b/>
              </w:rPr>
            </w:pPr>
            <w:r w:rsidRPr="004D0016">
              <w:rPr>
                <w:b/>
              </w:rPr>
              <w:t>261,686</w:t>
            </w:r>
          </w:p>
        </w:tc>
        <w:tc>
          <w:tcPr>
            <w:tcW w:w="1598" w:type="dxa"/>
            <w:shd w:val="clear" w:color="auto" w:fill="auto"/>
            <w:vAlign w:val="bottom"/>
          </w:tcPr>
          <w:p w14:paraId="19E5D5E5" w14:textId="77777777" w:rsidR="002352F3" w:rsidRPr="004D0016" w:rsidRDefault="002352F3" w:rsidP="004D0016">
            <w:pPr>
              <w:jc w:val="right"/>
              <w:rPr>
                <w:b/>
              </w:rPr>
            </w:pPr>
            <w:r w:rsidRPr="004D0016">
              <w:rPr>
                <w:b/>
              </w:rPr>
              <w:t>$91,160,000</w:t>
            </w:r>
          </w:p>
        </w:tc>
      </w:tr>
      <w:tr w:rsidR="004D0016" w:rsidRPr="009355D6" w14:paraId="19E5D5EC" w14:textId="77777777" w:rsidTr="004D0016">
        <w:tc>
          <w:tcPr>
            <w:tcW w:w="2383" w:type="dxa"/>
            <w:shd w:val="clear" w:color="auto" w:fill="auto"/>
          </w:tcPr>
          <w:p w14:paraId="19E5D5E7" w14:textId="77777777" w:rsidR="002352F3" w:rsidRPr="009355D6" w:rsidRDefault="002352F3" w:rsidP="009554A3">
            <w:r w:rsidRPr="009355D6">
              <w:t>Non-Residential</w:t>
            </w:r>
          </w:p>
        </w:tc>
        <w:tc>
          <w:tcPr>
            <w:tcW w:w="1620" w:type="dxa"/>
            <w:shd w:val="clear" w:color="auto" w:fill="auto"/>
            <w:vAlign w:val="bottom"/>
          </w:tcPr>
          <w:p w14:paraId="19E5D5E8" w14:textId="77777777" w:rsidR="002352F3" w:rsidRPr="009355D6" w:rsidRDefault="002352F3" w:rsidP="004D0016">
            <w:pPr>
              <w:jc w:val="right"/>
            </w:pPr>
            <w:r>
              <w:t>243,130</w:t>
            </w:r>
          </w:p>
        </w:tc>
        <w:tc>
          <w:tcPr>
            <w:tcW w:w="1620" w:type="dxa"/>
            <w:shd w:val="clear" w:color="auto" w:fill="auto"/>
            <w:vAlign w:val="bottom"/>
          </w:tcPr>
          <w:p w14:paraId="19E5D5E9" w14:textId="77777777" w:rsidR="002352F3" w:rsidRPr="009355D6" w:rsidRDefault="002352F3" w:rsidP="004D0016">
            <w:pPr>
              <w:jc w:val="right"/>
            </w:pPr>
            <w:r>
              <w:t>$68,414,800</w:t>
            </w:r>
          </w:p>
        </w:tc>
        <w:tc>
          <w:tcPr>
            <w:tcW w:w="1642" w:type="dxa"/>
            <w:shd w:val="clear" w:color="auto" w:fill="auto"/>
            <w:vAlign w:val="bottom"/>
          </w:tcPr>
          <w:p w14:paraId="19E5D5EA" w14:textId="77777777" w:rsidR="002352F3" w:rsidRPr="009355D6" w:rsidRDefault="002352F3" w:rsidP="004D0016">
            <w:pPr>
              <w:jc w:val="right"/>
            </w:pPr>
            <w:r>
              <w:t>300,103</w:t>
            </w:r>
          </w:p>
        </w:tc>
        <w:tc>
          <w:tcPr>
            <w:tcW w:w="1598" w:type="dxa"/>
            <w:shd w:val="clear" w:color="auto" w:fill="auto"/>
            <w:vAlign w:val="bottom"/>
          </w:tcPr>
          <w:p w14:paraId="19E5D5EB" w14:textId="77777777" w:rsidR="002352F3" w:rsidRPr="009355D6" w:rsidRDefault="002352F3" w:rsidP="004D0016">
            <w:pPr>
              <w:jc w:val="right"/>
            </w:pPr>
            <w:r>
              <w:t>$75,632,000</w:t>
            </w:r>
          </w:p>
        </w:tc>
      </w:tr>
      <w:tr w:rsidR="004D0016" w:rsidRPr="009355D6" w14:paraId="19E5D5F2" w14:textId="77777777" w:rsidTr="004D0016">
        <w:tc>
          <w:tcPr>
            <w:tcW w:w="2383" w:type="dxa"/>
            <w:shd w:val="clear" w:color="auto" w:fill="auto"/>
          </w:tcPr>
          <w:p w14:paraId="19E5D5ED" w14:textId="77777777" w:rsidR="002352F3" w:rsidRPr="009355D6" w:rsidRDefault="002352F3" w:rsidP="009554A3">
            <w:r w:rsidRPr="009355D6">
              <w:t>Pilots</w:t>
            </w:r>
            <w:r>
              <w:rPr>
                <w:rStyle w:val="FootnoteReference"/>
              </w:rPr>
              <w:footnoteReference w:id="6"/>
            </w:r>
          </w:p>
        </w:tc>
        <w:tc>
          <w:tcPr>
            <w:tcW w:w="1620" w:type="dxa"/>
            <w:shd w:val="clear" w:color="auto" w:fill="auto"/>
            <w:vAlign w:val="bottom"/>
          </w:tcPr>
          <w:p w14:paraId="19E5D5EE" w14:textId="77777777" w:rsidR="002352F3" w:rsidRPr="009355D6" w:rsidRDefault="002352F3" w:rsidP="004D0016">
            <w:pPr>
              <w:jc w:val="right"/>
            </w:pPr>
            <w:r>
              <w:t>35,330</w:t>
            </w:r>
          </w:p>
        </w:tc>
        <w:tc>
          <w:tcPr>
            <w:tcW w:w="1620" w:type="dxa"/>
            <w:shd w:val="clear" w:color="auto" w:fill="auto"/>
            <w:vAlign w:val="bottom"/>
          </w:tcPr>
          <w:p w14:paraId="19E5D5EF" w14:textId="77777777" w:rsidR="002352F3" w:rsidRPr="009355D6" w:rsidRDefault="002352F3" w:rsidP="004D0016">
            <w:pPr>
              <w:jc w:val="right"/>
            </w:pPr>
            <w:r>
              <w:t>$2,870,100</w:t>
            </w:r>
          </w:p>
        </w:tc>
        <w:tc>
          <w:tcPr>
            <w:tcW w:w="1642" w:type="dxa"/>
            <w:shd w:val="clear" w:color="auto" w:fill="auto"/>
            <w:vAlign w:val="bottom"/>
          </w:tcPr>
          <w:p w14:paraId="19E5D5F0" w14:textId="77777777" w:rsidR="002352F3" w:rsidRPr="009355D6" w:rsidRDefault="002352F3" w:rsidP="004D0016">
            <w:pPr>
              <w:jc w:val="right"/>
            </w:pPr>
            <w:r>
              <w:t>17,347</w:t>
            </w:r>
          </w:p>
        </w:tc>
        <w:tc>
          <w:tcPr>
            <w:tcW w:w="1598" w:type="dxa"/>
            <w:shd w:val="clear" w:color="auto" w:fill="auto"/>
            <w:vAlign w:val="bottom"/>
          </w:tcPr>
          <w:p w14:paraId="19E5D5F1" w14:textId="77777777" w:rsidR="002352F3" w:rsidRPr="009355D6" w:rsidRDefault="002352F3" w:rsidP="004D0016">
            <w:pPr>
              <w:jc w:val="right"/>
            </w:pPr>
            <w:r>
              <w:t>$977,000</w:t>
            </w:r>
          </w:p>
        </w:tc>
      </w:tr>
      <w:tr w:rsidR="004D0016" w:rsidRPr="009355D6" w14:paraId="19E5D5F8" w14:textId="77777777" w:rsidTr="004D0016">
        <w:tc>
          <w:tcPr>
            <w:tcW w:w="2383" w:type="dxa"/>
            <w:shd w:val="clear" w:color="auto" w:fill="auto"/>
          </w:tcPr>
          <w:p w14:paraId="19E5D5F3" w14:textId="77777777" w:rsidR="002352F3" w:rsidRPr="009355D6" w:rsidRDefault="002352F3" w:rsidP="009554A3">
            <w:r>
              <w:t>Regional</w:t>
            </w:r>
            <w:r>
              <w:rPr>
                <w:rStyle w:val="FootnoteReference"/>
              </w:rPr>
              <w:footnoteReference w:id="7"/>
            </w:r>
          </w:p>
        </w:tc>
        <w:tc>
          <w:tcPr>
            <w:tcW w:w="1620" w:type="dxa"/>
            <w:shd w:val="clear" w:color="auto" w:fill="auto"/>
            <w:vAlign w:val="bottom"/>
          </w:tcPr>
          <w:p w14:paraId="19E5D5F4" w14:textId="77777777" w:rsidR="002352F3" w:rsidRPr="009355D6" w:rsidRDefault="002352F3" w:rsidP="004D0016">
            <w:pPr>
              <w:jc w:val="right"/>
            </w:pPr>
            <w:r>
              <w:t>78,730</w:t>
            </w:r>
          </w:p>
        </w:tc>
        <w:tc>
          <w:tcPr>
            <w:tcW w:w="1620" w:type="dxa"/>
            <w:shd w:val="clear" w:color="auto" w:fill="auto"/>
            <w:vAlign w:val="bottom"/>
          </w:tcPr>
          <w:p w14:paraId="19E5D5F5" w14:textId="77777777" w:rsidR="002352F3" w:rsidRPr="009355D6" w:rsidRDefault="002352F3" w:rsidP="004D0016">
            <w:pPr>
              <w:jc w:val="right"/>
            </w:pPr>
            <w:r>
              <w:t>$10,843,100</w:t>
            </w:r>
          </w:p>
        </w:tc>
        <w:tc>
          <w:tcPr>
            <w:tcW w:w="1642" w:type="dxa"/>
            <w:shd w:val="clear" w:color="auto" w:fill="auto"/>
            <w:vAlign w:val="bottom"/>
          </w:tcPr>
          <w:p w14:paraId="19E5D5F6" w14:textId="77777777" w:rsidR="002352F3" w:rsidRPr="009355D6" w:rsidRDefault="002352F3" w:rsidP="004D0016">
            <w:pPr>
              <w:jc w:val="right"/>
            </w:pPr>
            <w:r>
              <w:t>26,057</w:t>
            </w:r>
          </w:p>
        </w:tc>
        <w:tc>
          <w:tcPr>
            <w:tcW w:w="1598" w:type="dxa"/>
            <w:shd w:val="clear" w:color="auto" w:fill="auto"/>
            <w:vAlign w:val="bottom"/>
          </w:tcPr>
          <w:p w14:paraId="19E5D5F7" w14:textId="77777777" w:rsidR="002352F3" w:rsidRPr="009355D6" w:rsidRDefault="002352F3" w:rsidP="004D0016">
            <w:pPr>
              <w:jc w:val="right"/>
            </w:pPr>
            <w:r>
              <w:t>$10,400,000</w:t>
            </w:r>
          </w:p>
        </w:tc>
      </w:tr>
      <w:tr w:rsidR="004D0016" w:rsidRPr="009355D6" w14:paraId="19E5D5FE" w14:textId="77777777" w:rsidTr="004D0016">
        <w:tc>
          <w:tcPr>
            <w:tcW w:w="2383" w:type="dxa"/>
            <w:shd w:val="clear" w:color="auto" w:fill="auto"/>
          </w:tcPr>
          <w:p w14:paraId="19E5D5F9" w14:textId="77777777" w:rsidR="002352F3" w:rsidRPr="00810777" w:rsidRDefault="002352F3" w:rsidP="009554A3">
            <w:r>
              <w:t>A</w:t>
            </w:r>
            <w:r w:rsidRPr="00810777">
              <w:t>dmin</w:t>
            </w:r>
            <w:r>
              <w:t>istration/Other</w:t>
            </w:r>
          </w:p>
        </w:tc>
        <w:tc>
          <w:tcPr>
            <w:tcW w:w="1620" w:type="dxa"/>
            <w:shd w:val="clear" w:color="auto" w:fill="auto"/>
            <w:vAlign w:val="bottom"/>
          </w:tcPr>
          <w:p w14:paraId="19E5D5FA" w14:textId="77777777" w:rsidR="002352F3" w:rsidRPr="009355D6" w:rsidRDefault="002352F3" w:rsidP="004D0016">
            <w:pPr>
              <w:jc w:val="right"/>
            </w:pPr>
            <w:r>
              <w:t>-</w:t>
            </w:r>
          </w:p>
        </w:tc>
        <w:tc>
          <w:tcPr>
            <w:tcW w:w="1620" w:type="dxa"/>
            <w:shd w:val="clear" w:color="auto" w:fill="auto"/>
            <w:vAlign w:val="bottom"/>
          </w:tcPr>
          <w:p w14:paraId="19E5D5FB" w14:textId="77777777" w:rsidR="002352F3" w:rsidRPr="009355D6" w:rsidRDefault="002352F3" w:rsidP="004D0016">
            <w:pPr>
              <w:jc w:val="right"/>
            </w:pPr>
            <w:r>
              <w:t>$14,937,600</w:t>
            </w:r>
          </w:p>
        </w:tc>
        <w:tc>
          <w:tcPr>
            <w:tcW w:w="1642" w:type="dxa"/>
            <w:shd w:val="clear" w:color="auto" w:fill="auto"/>
            <w:vAlign w:val="bottom"/>
          </w:tcPr>
          <w:p w14:paraId="19E5D5FC" w14:textId="77777777" w:rsidR="002352F3" w:rsidRPr="009355D6" w:rsidRDefault="002352F3" w:rsidP="004D0016">
            <w:pPr>
              <w:jc w:val="right"/>
            </w:pPr>
            <w:r>
              <w:t>-</w:t>
            </w:r>
          </w:p>
        </w:tc>
        <w:tc>
          <w:tcPr>
            <w:tcW w:w="1598" w:type="dxa"/>
            <w:shd w:val="clear" w:color="auto" w:fill="auto"/>
            <w:vAlign w:val="bottom"/>
          </w:tcPr>
          <w:p w14:paraId="19E5D5FD" w14:textId="77777777" w:rsidR="002352F3" w:rsidRPr="009355D6" w:rsidRDefault="002352F3" w:rsidP="004D0016">
            <w:pPr>
              <w:jc w:val="right"/>
            </w:pPr>
            <w:r>
              <w:t>$20,816,000</w:t>
            </w:r>
          </w:p>
        </w:tc>
      </w:tr>
      <w:tr w:rsidR="004D0016" w:rsidRPr="00810777" w14:paraId="19E5D604" w14:textId="77777777" w:rsidTr="004D0016">
        <w:tc>
          <w:tcPr>
            <w:tcW w:w="2383" w:type="dxa"/>
            <w:shd w:val="clear" w:color="auto" w:fill="auto"/>
          </w:tcPr>
          <w:p w14:paraId="19E5D5FF" w14:textId="77777777" w:rsidR="002352F3" w:rsidRPr="004D0016" w:rsidRDefault="002352F3" w:rsidP="009554A3">
            <w:pPr>
              <w:rPr>
                <w:b/>
              </w:rPr>
            </w:pPr>
            <w:r w:rsidRPr="004D0016">
              <w:rPr>
                <w:b/>
              </w:rPr>
              <w:t>Total</w:t>
            </w:r>
          </w:p>
        </w:tc>
        <w:tc>
          <w:tcPr>
            <w:tcW w:w="1620" w:type="dxa"/>
            <w:shd w:val="clear" w:color="auto" w:fill="auto"/>
            <w:vAlign w:val="bottom"/>
          </w:tcPr>
          <w:p w14:paraId="19E5D600" w14:textId="77777777" w:rsidR="002352F3" w:rsidRPr="004D0016" w:rsidRDefault="002352F3" w:rsidP="004D0016">
            <w:pPr>
              <w:jc w:val="right"/>
              <w:rPr>
                <w:b/>
              </w:rPr>
            </w:pPr>
            <w:r w:rsidRPr="004D0016">
              <w:rPr>
                <w:b/>
              </w:rPr>
              <w:t>621,120</w:t>
            </w:r>
            <w:r w:rsidRPr="00810777">
              <w:rPr>
                <w:rStyle w:val="FootnoteReference"/>
              </w:rPr>
              <w:footnoteReference w:id="8"/>
            </w:r>
          </w:p>
        </w:tc>
        <w:tc>
          <w:tcPr>
            <w:tcW w:w="1620" w:type="dxa"/>
            <w:shd w:val="clear" w:color="auto" w:fill="auto"/>
            <w:vAlign w:val="bottom"/>
          </w:tcPr>
          <w:p w14:paraId="19E5D601" w14:textId="77777777" w:rsidR="002352F3" w:rsidRPr="004D0016" w:rsidRDefault="002352F3" w:rsidP="004D0016">
            <w:pPr>
              <w:jc w:val="right"/>
              <w:rPr>
                <w:b/>
              </w:rPr>
            </w:pPr>
            <w:r w:rsidRPr="004D0016">
              <w:rPr>
                <w:b/>
              </w:rPr>
              <w:t>$188,784,100</w:t>
            </w:r>
          </w:p>
        </w:tc>
        <w:tc>
          <w:tcPr>
            <w:tcW w:w="1642" w:type="dxa"/>
            <w:shd w:val="clear" w:color="auto" w:fill="auto"/>
            <w:vAlign w:val="bottom"/>
          </w:tcPr>
          <w:p w14:paraId="19E5D602" w14:textId="77777777" w:rsidR="002352F3" w:rsidRPr="004D0016" w:rsidRDefault="002352F3" w:rsidP="004D0016">
            <w:pPr>
              <w:jc w:val="right"/>
              <w:rPr>
                <w:b/>
              </w:rPr>
            </w:pPr>
            <w:r w:rsidRPr="004D0016">
              <w:rPr>
                <w:b/>
              </w:rPr>
              <w:t>605,194</w:t>
            </w:r>
          </w:p>
        </w:tc>
        <w:tc>
          <w:tcPr>
            <w:tcW w:w="1598" w:type="dxa"/>
            <w:shd w:val="clear" w:color="auto" w:fill="auto"/>
            <w:vAlign w:val="bottom"/>
          </w:tcPr>
          <w:p w14:paraId="19E5D603" w14:textId="4F7032F6" w:rsidR="002352F3" w:rsidRPr="004D0016" w:rsidRDefault="002352F3" w:rsidP="00BD19FC">
            <w:pPr>
              <w:jc w:val="right"/>
              <w:rPr>
                <w:b/>
              </w:rPr>
            </w:pPr>
            <w:r w:rsidRPr="004D0016">
              <w:rPr>
                <w:b/>
              </w:rPr>
              <w:t>$198,98</w:t>
            </w:r>
            <w:r w:rsidR="00BD19FC">
              <w:rPr>
                <w:b/>
              </w:rPr>
              <w:t>5</w:t>
            </w:r>
            <w:r w:rsidRPr="004D0016">
              <w:rPr>
                <w:b/>
              </w:rPr>
              <w:t>,000</w:t>
            </w:r>
          </w:p>
        </w:tc>
      </w:tr>
    </w:tbl>
    <w:p w14:paraId="19E5D605" w14:textId="77777777" w:rsidR="00FD5EDE" w:rsidRPr="00726F75" w:rsidRDefault="00726F75" w:rsidP="00726F75">
      <w:pPr>
        <w:ind w:left="720"/>
        <w:rPr>
          <w:sz w:val="20"/>
          <w:szCs w:val="20"/>
        </w:rPr>
      </w:pPr>
      <w:r>
        <w:rPr>
          <w:sz w:val="20"/>
          <w:szCs w:val="20"/>
        </w:rPr>
        <w:br/>
      </w:r>
    </w:p>
    <w:p w14:paraId="19E5D606" w14:textId="4ABD5785" w:rsidR="00A11CA7" w:rsidRPr="00B36BDF" w:rsidRDefault="00FD3C67" w:rsidP="000677D7">
      <w:pPr>
        <w:numPr>
          <w:ilvl w:val="0"/>
          <w:numId w:val="1"/>
        </w:numPr>
        <w:tabs>
          <w:tab w:val="clear" w:pos="720"/>
          <w:tab w:val="left" w:pos="0"/>
        </w:tabs>
        <w:spacing w:after="240" w:line="288" w:lineRule="auto"/>
        <w:ind w:left="0"/>
      </w:pPr>
      <w:r>
        <w:t xml:space="preserve">Commission </w:t>
      </w:r>
      <w:r w:rsidR="000677D7">
        <w:t>S</w:t>
      </w:r>
      <w:r>
        <w:t>taff (</w:t>
      </w:r>
      <w:r w:rsidR="00352140">
        <w:t>Staff</w:t>
      </w:r>
      <w:r>
        <w:t>)</w:t>
      </w:r>
      <w:r w:rsidR="00352140">
        <w:t xml:space="preserve"> filed comments in this docket </w:t>
      </w:r>
      <w:r w:rsidR="00211ED8">
        <w:t>detailing</w:t>
      </w:r>
      <w:r w:rsidR="00352140">
        <w:t xml:space="preserve"> its evaluation of </w:t>
      </w:r>
      <w:r w:rsidR="002352F3">
        <w:t>PSE</w:t>
      </w:r>
      <w:r w:rsidR="00352140">
        <w:t xml:space="preserve">’s filing. </w:t>
      </w:r>
      <w:r w:rsidR="00ED7BFC" w:rsidRPr="00B36BDF">
        <w:t xml:space="preserve">Overall, </w:t>
      </w:r>
      <w:r w:rsidR="00EC3398" w:rsidRPr="004454CF">
        <w:t xml:space="preserve">Staff is </w:t>
      </w:r>
      <w:r w:rsidR="00EC3398">
        <w:t>satisfied with</w:t>
      </w:r>
      <w:r w:rsidR="00EC3398" w:rsidRPr="004454CF">
        <w:t xml:space="preserve"> </w:t>
      </w:r>
      <w:r w:rsidR="00B70F89">
        <w:t>PSE</w:t>
      </w:r>
      <w:r w:rsidR="00EC3398" w:rsidRPr="004454CF">
        <w:t>’s 2016-2017 BCP</w:t>
      </w:r>
      <w:r w:rsidR="00B70F89">
        <w:t xml:space="preserve"> and recommends its approval, subject to the conditions in </w:t>
      </w:r>
      <w:r w:rsidR="004B7594">
        <w:t>Appendix</w:t>
      </w:r>
      <w:r w:rsidR="00B70F89">
        <w:t xml:space="preserve"> A</w:t>
      </w:r>
      <w:r w:rsidR="004B7594">
        <w:t xml:space="preserve"> attached to this Order</w:t>
      </w:r>
      <w:r w:rsidR="00352140">
        <w:t xml:space="preserve">. </w:t>
      </w:r>
    </w:p>
    <w:p w14:paraId="19E5D607" w14:textId="77777777" w:rsidR="00595C0A" w:rsidRDefault="00FD3C67" w:rsidP="000677D7">
      <w:pPr>
        <w:numPr>
          <w:ilvl w:val="0"/>
          <w:numId w:val="1"/>
        </w:numPr>
        <w:tabs>
          <w:tab w:val="clear" w:pos="720"/>
          <w:tab w:val="left" w:pos="0"/>
        </w:tabs>
        <w:spacing w:after="240" w:line="288" w:lineRule="auto"/>
        <w:ind w:left="0"/>
      </w:pPr>
      <w:r>
        <w:t>Other than S</w:t>
      </w:r>
      <w:r w:rsidR="00C5634F">
        <w:t xml:space="preserve">taff, Public Counsel was the only party to file comments. </w:t>
      </w:r>
      <w:r w:rsidR="00B70F89" w:rsidRPr="00BC434F">
        <w:t>Public Counsel</w:t>
      </w:r>
      <w:r w:rsidR="00B70F89">
        <w:t xml:space="preserve"> has no outstanding issues with PSE’s filing</w:t>
      </w:r>
      <w:r w:rsidR="00B70F89" w:rsidRPr="00BC434F">
        <w:t xml:space="preserve"> </w:t>
      </w:r>
      <w:r w:rsidR="00B70F89">
        <w:t xml:space="preserve">and supports Staff’s recommendation to approve the proposed ten-year potential and biennial target, subject to the conditions in </w:t>
      </w:r>
      <w:r w:rsidR="004B7594">
        <w:t>Appendix</w:t>
      </w:r>
      <w:r w:rsidR="00B70F89">
        <w:t xml:space="preserve"> A</w:t>
      </w:r>
      <w:r w:rsidR="009F3191">
        <w:t xml:space="preserve"> attached to this Order</w:t>
      </w:r>
      <w:r w:rsidR="00B70F89">
        <w:t>.</w:t>
      </w:r>
    </w:p>
    <w:p w14:paraId="19E5D608" w14:textId="77777777" w:rsidR="00B70F89" w:rsidRPr="00B36BDF" w:rsidRDefault="00B70F89" w:rsidP="000677D7">
      <w:pPr>
        <w:numPr>
          <w:ilvl w:val="0"/>
          <w:numId w:val="1"/>
        </w:numPr>
        <w:tabs>
          <w:tab w:val="clear" w:pos="720"/>
          <w:tab w:val="left" w:pos="0"/>
        </w:tabs>
        <w:spacing w:after="240" w:line="288" w:lineRule="auto"/>
        <w:ind w:left="0"/>
      </w:pPr>
      <w:r>
        <w:rPr>
          <w:b/>
        </w:rPr>
        <w:lastRenderedPageBreak/>
        <w:t>Proposed Tariff Revisions.</w:t>
      </w:r>
      <w:r w:rsidRPr="00CE086F">
        <w:t xml:space="preserve"> PSE filed tari</w:t>
      </w:r>
      <w:r>
        <w:t>ff revisions in Docket UG-152042 t</w:t>
      </w:r>
      <w:r w:rsidRPr="00B70F89">
        <w:t>o</w:t>
      </w:r>
      <w:r>
        <w:rPr>
          <w:b/>
        </w:rPr>
        <w:t xml:space="preserve"> </w:t>
      </w:r>
      <w:r w:rsidRPr="00CE086F">
        <w:t>implement the programs described in the BCP. The</w:t>
      </w:r>
      <w:r>
        <w:t xml:space="preserve"> majority of the</w:t>
      </w:r>
      <w:r w:rsidRPr="00CE086F">
        <w:t xml:space="preserve"> revisions reflect updated effective dates, text clarifications</w:t>
      </w:r>
      <w:r>
        <w:t>,</w:t>
      </w:r>
      <w:r w:rsidRPr="00CE086F">
        <w:t xml:space="preserve"> and minor administrative changes</w:t>
      </w:r>
      <w:r>
        <w:t>. The proposed revisions</w:t>
      </w:r>
      <w:r w:rsidRPr="00CE086F">
        <w:t xml:space="preserve"> do not impact rates</w:t>
      </w:r>
      <w:r>
        <w:t xml:space="preserve">, but the Company made two programmatic changes. Schedules 262 and 1262, electric and natural gas Commercial and Industrial Incentive Program were changed to allow farm users in schedules 8, 10, 11, and 12 to participate in the program. Schedules 250, 251, 252, 258, 262, and 1262 struck language that required customers in Schedules 40, 46, and 49 who are eligible for participation in the Schedule 258 Large Power User Self Directed Program to fully utilize their Schedule 258 funding allocation prior to using other incentive money first. Staff agrees with the </w:t>
      </w:r>
      <w:r w:rsidR="00C20298">
        <w:t>C</w:t>
      </w:r>
      <w:r>
        <w:t xml:space="preserve">ompany’s </w:t>
      </w:r>
      <w:r w:rsidR="00C20298">
        <w:t xml:space="preserve">proposed </w:t>
      </w:r>
      <w:r>
        <w:t>tariff</w:t>
      </w:r>
      <w:r w:rsidR="00C20298">
        <w:t xml:space="preserve"> revisions</w:t>
      </w:r>
      <w:r w:rsidR="00980AF7">
        <w:t xml:space="preserve"> and recommends the Commission allow them to go into effect by operation of law on January 1, 2016</w:t>
      </w:r>
      <w:r w:rsidR="00C20298">
        <w:t>.</w:t>
      </w:r>
    </w:p>
    <w:p w14:paraId="19E5D609" w14:textId="77777777" w:rsidR="00665C6E" w:rsidRPr="00352140" w:rsidRDefault="00665C6E" w:rsidP="000677D7">
      <w:pPr>
        <w:tabs>
          <w:tab w:val="left" w:pos="0"/>
        </w:tabs>
        <w:spacing w:after="240" w:line="288" w:lineRule="auto"/>
        <w:jc w:val="center"/>
        <w:rPr>
          <w:b/>
        </w:rPr>
      </w:pPr>
      <w:r w:rsidRPr="00352140">
        <w:rPr>
          <w:b/>
        </w:rPr>
        <w:t xml:space="preserve">DISCUSSION </w:t>
      </w:r>
    </w:p>
    <w:p w14:paraId="19E5D60A" w14:textId="63EA01C4" w:rsidR="00FD4E91" w:rsidRPr="00B36BDF" w:rsidRDefault="00FD4E91" w:rsidP="000677D7">
      <w:pPr>
        <w:numPr>
          <w:ilvl w:val="0"/>
          <w:numId w:val="1"/>
        </w:numPr>
        <w:tabs>
          <w:tab w:val="clear" w:pos="720"/>
          <w:tab w:val="left" w:pos="0"/>
        </w:tabs>
        <w:spacing w:after="240" w:line="288" w:lineRule="auto"/>
        <w:ind w:left="0"/>
      </w:pPr>
      <w:r w:rsidRPr="00B36BDF">
        <w:t>Under RCW 19.285.040(1)(e), the Commission has authority to “rely on its standard practice for review and approval of investor-owned utility conservation</w:t>
      </w:r>
      <w:r w:rsidR="000677D7">
        <w:t xml:space="preserve"> targets.” </w:t>
      </w:r>
      <w:r w:rsidRPr="00B36BDF">
        <w:t>WAC 480</w:t>
      </w:r>
      <w:r w:rsidRPr="00B36BDF">
        <w:noBreakHyphen/>
        <w:t>109</w:t>
      </w:r>
      <w:r w:rsidRPr="00B36BDF">
        <w:noBreakHyphen/>
        <w:t xml:space="preserve">010 guides investor-owned utilities’ compliance with RCW 19.285.040(1).  </w:t>
      </w:r>
      <w:r w:rsidR="00CC328D" w:rsidRPr="00B36BDF">
        <w:t>Specifically, WAC 480-109-010(4) (c) provides that:</w:t>
      </w:r>
    </w:p>
    <w:p w14:paraId="19E5D60B" w14:textId="77777777" w:rsidR="00CC328D" w:rsidRPr="00B36BDF" w:rsidRDefault="00CC328D" w:rsidP="000677D7">
      <w:pPr>
        <w:tabs>
          <w:tab w:val="left" w:pos="0"/>
        </w:tabs>
        <w:spacing w:after="240" w:line="288" w:lineRule="auto"/>
        <w:ind w:left="720"/>
      </w:pPr>
      <w:r w:rsidRPr="00B36BDF">
        <w:t>Upon conclusion of the commission review, the commission will determine whether to approve, approve with co</w:t>
      </w:r>
      <w:r w:rsidR="00583F5A">
        <w:t>nditions, or reject the utility’</w:t>
      </w:r>
      <w:r w:rsidRPr="00B36BDF">
        <w:t>s ten-year achievable conservation potential and biennial conservation target.</w:t>
      </w:r>
    </w:p>
    <w:p w14:paraId="19E5D60C" w14:textId="77777777" w:rsidR="00B30190" w:rsidRPr="00B36BDF" w:rsidRDefault="00D4218C" w:rsidP="000677D7">
      <w:pPr>
        <w:numPr>
          <w:ilvl w:val="0"/>
          <w:numId w:val="1"/>
        </w:numPr>
        <w:tabs>
          <w:tab w:val="clear" w:pos="720"/>
          <w:tab w:val="left" w:pos="0"/>
        </w:tabs>
        <w:spacing w:after="240" w:line="288" w:lineRule="auto"/>
        <w:ind w:left="0"/>
      </w:pPr>
      <w:r w:rsidRPr="00B36BDF">
        <w:t xml:space="preserve">The Commission agrees with </w:t>
      </w:r>
      <w:r w:rsidR="00352140">
        <w:t>Staff’s recommendation and</w:t>
      </w:r>
      <w:r w:rsidR="006F611D" w:rsidRPr="00B36BDF">
        <w:t xml:space="preserve"> approve</w:t>
      </w:r>
      <w:r w:rsidR="00352140">
        <w:t>s</w:t>
      </w:r>
      <w:r w:rsidR="006F611D" w:rsidRPr="00B36BDF">
        <w:t xml:space="preserve"> </w:t>
      </w:r>
      <w:r w:rsidR="00C20298">
        <w:t>PSE</w:t>
      </w:r>
      <w:r w:rsidR="00D036E8" w:rsidRPr="00B36BDF">
        <w:t>’</w:t>
      </w:r>
      <w:r w:rsidR="006F611D" w:rsidRPr="00B36BDF">
        <w:t>s 201</w:t>
      </w:r>
      <w:r w:rsidR="00352140">
        <w:t>6</w:t>
      </w:r>
      <w:r w:rsidR="006F611D" w:rsidRPr="00B36BDF">
        <w:t>-202</w:t>
      </w:r>
      <w:r w:rsidR="00352140">
        <w:t>5</w:t>
      </w:r>
      <w:r w:rsidR="006F611D" w:rsidRPr="00B36BDF">
        <w:t xml:space="preserve"> achievable conservation potential of </w:t>
      </w:r>
      <w:r w:rsidR="00C20298">
        <w:t xml:space="preserve">2,715,486 </w:t>
      </w:r>
      <w:r w:rsidR="006F611D" w:rsidRPr="00B36BDF">
        <w:t>MWh and its 201</w:t>
      </w:r>
      <w:r w:rsidR="00FD3C67">
        <w:t>6</w:t>
      </w:r>
      <w:r w:rsidR="006F611D" w:rsidRPr="00B36BDF">
        <w:t>-201</w:t>
      </w:r>
      <w:r w:rsidR="00FD3C67">
        <w:t>7</w:t>
      </w:r>
      <w:r w:rsidR="006F611D" w:rsidRPr="00B36BDF">
        <w:t xml:space="preserve"> biennial conservation target of </w:t>
      </w:r>
      <w:r w:rsidR="00C20298">
        <w:t>537,078</w:t>
      </w:r>
      <w:r w:rsidR="00C20298" w:rsidRPr="00CD74CC">
        <w:t xml:space="preserve"> </w:t>
      </w:r>
      <w:r w:rsidR="006F611D" w:rsidRPr="00B36BDF">
        <w:t>MWh</w:t>
      </w:r>
      <w:r w:rsidR="00C20298">
        <w:t xml:space="preserve"> subject to the conditions set forth in </w:t>
      </w:r>
      <w:r w:rsidR="004B7594">
        <w:t>Appendix</w:t>
      </w:r>
      <w:r w:rsidR="00C20298">
        <w:t xml:space="preserve"> A</w:t>
      </w:r>
      <w:r w:rsidR="00583F5A" w:rsidRPr="004454CF">
        <w:t>.</w:t>
      </w:r>
      <w:r w:rsidR="00583F5A">
        <w:t xml:space="preserve"> </w:t>
      </w:r>
      <w:r w:rsidR="00C20298">
        <w:t>We also agree with Staff that the Company’s proposed tariff revisions</w:t>
      </w:r>
      <w:r w:rsidR="009F3191">
        <w:t>, which implement the programs described in the BCP,</w:t>
      </w:r>
      <w:r w:rsidR="00C20298">
        <w:t xml:space="preserve"> should be allowed to go into effect on January 1, 2016, by operation of law. </w:t>
      </w:r>
    </w:p>
    <w:p w14:paraId="19E5D60D" w14:textId="77777777" w:rsidR="00AB4CD3" w:rsidRPr="00352140" w:rsidRDefault="00AB4CD3" w:rsidP="000677D7">
      <w:pPr>
        <w:tabs>
          <w:tab w:val="left" w:pos="0"/>
        </w:tabs>
        <w:spacing w:after="240" w:line="288" w:lineRule="auto"/>
        <w:ind w:left="-360" w:firstLine="360"/>
        <w:jc w:val="center"/>
        <w:rPr>
          <w:b/>
        </w:rPr>
      </w:pPr>
      <w:r w:rsidRPr="00352140">
        <w:rPr>
          <w:b/>
        </w:rPr>
        <w:t>FINDINGS AND CONCLUSIONS</w:t>
      </w:r>
    </w:p>
    <w:p w14:paraId="19E5D60E" w14:textId="77777777" w:rsidR="00AB4CD3" w:rsidRPr="00B36BDF" w:rsidRDefault="00AB4CD3" w:rsidP="000677D7">
      <w:pPr>
        <w:numPr>
          <w:ilvl w:val="0"/>
          <w:numId w:val="1"/>
        </w:numPr>
        <w:tabs>
          <w:tab w:val="clear" w:pos="720"/>
          <w:tab w:val="left" w:pos="0"/>
        </w:tabs>
        <w:spacing w:after="240" w:line="288" w:lineRule="auto"/>
        <w:ind w:hanging="1440"/>
        <w:rPr>
          <w:b/>
        </w:rPr>
      </w:pPr>
      <w:r w:rsidRPr="00B36BDF">
        <w:t>(1)</w:t>
      </w:r>
      <w:r w:rsidRPr="00B36BDF">
        <w:tab/>
        <w:t xml:space="preserve">The Washington Utilities and Transportation Commission is an agency of the state of Washington vested by statute with the authority to regulate the rates, rules, </w:t>
      </w:r>
      <w:r w:rsidRPr="00B36BDF">
        <w:lastRenderedPageBreak/>
        <w:t>regulations, practices, accounts, securities, transfers of property and affiliated interests of public service companies, including electric</w:t>
      </w:r>
      <w:r w:rsidRPr="00B36BDF">
        <w:rPr>
          <w:b/>
        </w:rPr>
        <w:t xml:space="preserve"> </w:t>
      </w:r>
      <w:r w:rsidRPr="00B36BDF">
        <w:t xml:space="preserve">companies.  </w:t>
      </w:r>
    </w:p>
    <w:p w14:paraId="19E5D60F" w14:textId="77777777" w:rsidR="00AB4CD3" w:rsidRPr="00B36BDF" w:rsidRDefault="00AB4CD3" w:rsidP="000677D7">
      <w:pPr>
        <w:numPr>
          <w:ilvl w:val="0"/>
          <w:numId w:val="1"/>
        </w:numPr>
        <w:tabs>
          <w:tab w:val="clear" w:pos="720"/>
          <w:tab w:val="left" w:pos="0"/>
        </w:tabs>
        <w:spacing w:after="240" w:line="288" w:lineRule="auto"/>
        <w:ind w:hanging="1440"/>
        <w:rPr>
          <w:b/>
        </w:rPr>
      </w:pPr>
      <w:r w:rsidRPr="00B36BDF">
        <w:t>(2)</w:t>
      </w:r>
      <w:r w:rsidRPr="00B36BDF">
        <w:tab/>
        <w:t>The Commission has authority to determine investor-owned utilities’ compliance with RCW 19.285.040(1). The Commission has authority to review and decide whether to approve investor-owned utility conservation targets. The Commission may rely on its standard practice in exercising that authority. The Commission has adopted WAC 480</w:t>
      </w:r>
      <w:r w:rsidRPr="00B36BDF">
        <w:noBreakHyphen/>
        <w:t>109</w:t>
      </w:r>
      <w:r w:rsidRPr="00B36BDF">
        <w:noBreakHyphen/>
        <w:t>010 to implement RCW 19.285.040(1).</w:t>
      </w:r>
    </w:p>
    <w:p w14:paraId="19E5D610" w14:textId="77777777" w:rsidR="00AB4CD3" w:rsidRPr="00B36BDF" w:rsidRDefault="00B02A59" w:rsidP="000677D7">
      <w:pPr>
        <w:numPr>
          <w:ilvl w:val="0"/>
          <w:numId w:val="1"/>
        </w:numPr>
        <w:tabs>
          <w:tab w:val="clear" w:pos="720"/>
          <w:tab w:val="left" w:pos="0"/>
        </w:tabs>
        <w:spacing w:after="240" w:line="288" w:lineRule="auto"/>
        <w:ind w:hanging="1440"/>
        <w:rPr>
          <w:b/>
        </w:rPr>
      </w:pPr>
      <w:r w:rsidRPr="00B36BDF">
        <w:t>(3</w:t>
      </w:r>
      <w:r w:rsidR="00AB4CD3" w:rsidRPr="00B36BDF">
        <w:t>)</w:t>
      </w:r>
      <w:r w:rsidR="00AB4CD3" w:rsidRPr="00B36BDF">
        <w:tab/>
      </w:r>
      <w:r w:rsidR="00980AF7">
        <w:t>PSE</w:t>
      </w:r>
      <w:r w:rsidR="00D036E8" w:rsidRPr="00B36BDF">
        <w:t xml:space="preserve"> </w:t>
      </w:r>
      <w:r w:rsidR="00AB4CD3" w:rsidRPr="00B36BDF">
        <w:t>is an</w:t>
      </w:r>
      <w:r w:rsidR="00AB4CD3" w:rsidRPr="00B36BDF">
        <w:rPr>
          <w:b/>
        </w:rPr>
        <w:t xml:space="preserve"> </w:t>
      </w:r>
      <w:r w:rsidR="00AB4CD3" w:rsidRPr="00B36BDF">
        <w:t xml:space="preserve">electric company and a public service company subject to Commission jurisdiction. </w:t>
      </w:r>
      <w:r w:rsidR="00980AF7">
        <w:t>PSE</w:t>
      </w:r>
      <w:r w:rsidR="00583F5A" w:rsidRPr="00B36BDF">
        <w:t xml:space="preserve"> </w:t>
      </w:r>
      <w:r w:rsidR="00AB4CD3" w:rsidRPr="00B36BDF">
        <w:t>is a qualifying investor-owned electric utility under RCW 19.285.030</w:t>
      </w:r>
      <w:r w:rsidR="00FF58D6" w:rsidRPr="00B36BDF">
        <w:t>(19)</w:t>
      </w:r>
      <w:r w:rsidR="00AB4CD3" w:rsidRPr="00B36BDF">
        <w:t>.</w:t>
      </w:r>
    </w:p>
    <w:p w14:paraId="19E5D611" w14:textId="77777777" w:rsidR="00A3299A" w:rsidRPr="00B36BDF" w:rsidRDefault="00B02A59" w:rsidP="000677D7">
      <w:pPr>
        <w:numPr>
          <w:ilvl w:val="0"/>
          <w:numId w:val="1"/>
        </w:numPr>
        <w:tabs>
          <w:tab w:val="clear" w:pos="720"/>
          <w:tab w:val="left" w:pos="0"/>
        </w:tabs>
        <w:spacing w:after="240" w:line="288" w:lineRule="auto"/>
        <w:ind w:hanging="1440"/>
        <w:rPr>
          <w:b/>
        </w:rPr>
      </w:pPr>
      <w:r w:rsidRPr="00B36BDF">
        <w:t>(4</w:t>
      </w:r>
      <w:r w:rsidR="00A3299A" w:rsidRPr="00B36BDF">
        <w:t>)</w:t>
      </w:r>
      <w:r w:rsidR="00A3299A" w:rsidRPr="00B36BDF">
        <w:tab/>
      </w:r>
      <w:r w:rsidR="00583F5A">
        <w:t xml:space="preserve">On October </w:t>
      </w:r>
      <w:r w:rsidR="00980AF7">
        <w:t>29</w:t>
      </w:r>
      <w:r w:rsidR="00A3299A" w:rsidRPr="00B36BDF">
        <w:t>, 201</w:t>
      </w:r>
      <w:r w:rsidR="00583F5A">
        <w:t>5</w:t>
      </w:r>
      <w:r w:rsidR="00A3299A" w:rsidRPr="00B36BDF">
        <w:t xml:space="preserve">, </w:t>
      </w:r>
      <w:r w:rsidR="00980AF7">
        <w:t>PSE</w:t>
      </w:r>
      <w:r w:rsidR="00A3299A" w:rsidRPr="00B36BDF">
        <w:t xml:space="preserve"> filed with the </w:t>
      </w:r>
      <w:r w:rsidR="00BB60CD" w:rsidRPr="00B36BDF">
        <w:t xml:space="preserve">Commission its </w:t>
      </w:r>
      <w:r w:rsidR="006F611D" w:rsidRPr="00B36BDF">
        <w:t>201</w:t>
      </w:r>
      <w:r w:rsidR="00583F5A">
        <w:t>6-2017</w:t>
      </w:r>
      <w:r w:rsidR="006F611D" w:rsidRPr="00B36BDF">
        <w:t xml:space="preserve"> Biennial Conservation R</w:t>
      </w:r>
      <w:r w:rsidR="00BB60CD" w:rsidRPr="00B36BDF">
        <w:t>eport</w:t>
      </w:r>
      <w:r w:rsidR="006F611D" w:rsidRPr="00B36BDF">
        <w:t xml:space="preserve"> </w:t>
      </w:r>
      <w:r w:rsidR="00BB60CD" w:rsidRPr="00B36BDF">
        <w:t xml:space="preserve">identifying </w:t>
      </w:r>
      <w:r w:rsidR="006F611D" w:rsidRPr="00B36BDF">
        <w:t>the Company’s</w:t>
      </w:r>
      <w:r w:rsidR="00BB60CD" w:rsidRPr="00B36BDF">
        <w:t xml:space="preserve"> 201</w:t>
      </w:r>
      <w:r w:rsidR="00583F5A">
        <w:t>6</w:t>
      </w:r>
      <w:r w:rsidR="00BB60CD" w:rsidRPr="00B36BDF">
        <w:t>-202</w:t>
      </w:r>
      <w:r w:rsidR="00583F5A">
        <w:t>5</w:t>
      </w:r>
      <w:r w:rsidR="00BB60CD" w:rsidRPr="00B36BDF">
        <w:t xml:space="preserve"> ten-year achievable conservation potential and 201</w:t>
      </w:r>
      <w:r w:rsidR="00583F5A">
        <w:t>6</w:t>
      </w:r>
      <w:r w:rsidR="00BB60CD" w:rsidRPr="00B36BDF">
        <w:t>-201</w:t>
      </w:r>
      <w:r w:rsidR="00583F5A">
        <w:t>7</w:t>
      </w:r>
      <w:r w:rsidR="00BB60CD" w:rsidRPr="00B36BDF">
        <w:t xml:space="preserve"> biennial conservation target.</w:t>
      </w:r>
    </w:p>
    <w:p w14:paraId="19E5D612" w14:textId="77777777" w:rsidR="001409E2" w:rsidRPr="00B36BDF" w:rsidRDefault="00B02A59" w:rsidP="000677D7">
      <w:pPr>
        <w:numPr>
          <w:ilvl w:val="0"/>
          <w:numId w:val="1"/>
        </w:numPr>
        <w:tabs>
          <w:tab w:val="clear" w:pos="720"/>
          <w:tab w:val="left" w:pos="0"/>
        </w:tabs>
        <w:spacing w:after="240" w:line="288" w:lineRule="auto"/>
        <w:ind w:hanging="1440"/>
      </w:pPr>
      <w:r w:rsidRPr="00B36BDF">
        <w:t>(5</w:t>
      </w:r>
      <w:r w:rsidR="00BB60CD" w:rsidRPr="00B36BDF">
        <w:t>)</w:t>
      </w:r>
      <w:r w:rsidR="00BB60CD" w:rsidRPr="00B36BDF">
        <w:tab/>
      </w:r>
      <w:r w:rsidR="00980AF7">
        <w:t>PSE</w:t>
      </w:r>
      <w:r w:rsidR="001409E2" w:rsidRPr="00B36BDF">
        <w:t>’s 201</w:t>
      </w:r>
      <w:r w:rsidR="00583F5A">
        <w:t>6</w:t>
      </w:r>
      <w:r w:rsidR="001409E2" w:rsidRPr="00B36BDF">
        <w:t>-202</w:t>
      </w:r>
      <w:r w:rsidR="00583F5A">
        <w:t>5</w:t>
      </w:r>
      <w:r w:rsidR="001409E2" w:rsidRPr="00B36BDF">
        <w:t xml:space="preserve"> ten-year achievable conservation potential is consistent with RCW 19.285.040(1) and WAC 480-109-010(1). </w:t>
      </w:r>
      <w:r w:rsidR="00980AF7">
        <w:t>PSE</w:t>
      </w:r>
      <w:r w:rsidR="009658A0" w:rsidRPr="00B36BDF">
        <w:t xml:space="preserve">’s </w:t>
      </w:r>
      <w:r w:rsidR="001409E2" w:rsidRPr="00B36BDF">
        <w:t>201</w:t>
      </w:r>
      <w:r w:rsidR="00583F5A">
        <w:t>6</w:t>
      </w:r>
      <w:r w:rsidR="001409E2" w:rsidRPr="00B36BDF">
        <w:t>-201</w:t>
      </w:r>
      <w:r w:rsidR="00583F5A">
        <w:t>7</w:t>
      </w:r>
      <w:r w:rsidR="001409E2" w:rsidRPr="00B36BDF">
        <w:t xml:space="preserve"> biennial conservation target</w:t>
      </w:r>
      <w:r w:rsidR="00BA1D52" w:rsidRPr="00B36BDF">
        <w:t xml:space="preserve"> </w:t>
      </w:r>
      <w:r w:rsidR="001409E2" w:rsidRPr="00B36BDF">
        <w:t xml:space="preserve">is consistent with RCW 19.285.040(1) and WAC 480-109-010(2).  </w:t>
      </w:r>
    </w:p>
    <w:p w14:paraId="19E5D613" w14:textId="77777777" w:rsidR="001409E2" w:rsidRPr="00980AF7" w:rsidRDefault="00B02A59" w:rsidP="000677D7">
      <w:pPr>
        <w:numPr>
          <w:ilvl w:val="0"/>
          <w:numId w:val="1"/>
        </w:numPr>
        <w:tabs>
          <w:tab w:val="clear" w:pos="720"/>
          <w:tab w:val="left" w:pos="0"/>
        </w:tabs>
        <w:spacing w:after="240" w:line="288" w:lineRule="auto"/>
        <w:ind w:hanging="1440"/>
        <w:rPr>
          <w:b/>
        </w:rPr>
      </w:pPr>
      <w:r w:rsidRPr="00B36BDF">
        <w:t>(</w:t>
      </w:r>
      <w:r w:rsidR="00583F5A">
        <w:t>6</w:t>
      </w:r>
      <w:r w:rsidR="00AB4CD3" w:rsidRPr="00B36BDF">
        <w:t>)</w:t>
      </w:r>
      <w:r w:rsidR="00AB4CD3" w:rsidRPr="00B36BDF">
        <w:tab/>
      </w:r>
      <w:r w:rsidR="00980AF7">
        <w:t>PSE</w:t>
      </w:r>
      <w:r w:rsidR="001409E2" w:rsidRPr="00B36BDF">
        <w:t>’s 201</w:t>
      </w:r>
      <w:r w:rsidR="00583F5A">
        <w:t>6</w:t>
      </w:r>
      <w:r w:rsidR="001409E2" w:rsidRPr="00B36BDF">
        <w:t>-202</w:t>
      </w:r>
      <w:r w:rsidR="00583F5A">
        <w:t>5</w:t>
      </w:r>
      <w:r w:rsidR="001409E2" w:rsidRPr="00B36BDF">
        <w:t xml:space="preserve"> ten-year achievable conservation potential of </w:t>
      </w:r>
      <w:r w:rsidR="00980AF7">
        <w:t xml:space="preserve">2,715,486 </w:t>
      </w:r>
      <w:r w:rsidR="001409E2" w:rsidRPr="00B36BDF">
        <w:t xml:space="preserve">megawatt-hours, and </w:t>
      </w:r>
      <w:r w:rsidR="00980AF7">
        <w:t>PSE</w:t>
      </w:r>
      <w:r w:rsidR="001409E2" w:rsidRPr="00B36BDF">
        <w:t>’s 201</w:t>
      </w:r>
      <w:r w:rsidR="00583F5A">
        <w:t>6</w:t>
      </w:r>
      <w:r w:rsidR="001409E2" w:rsidRPr="00B36BDF">
        <w:t>-201</w:t>
      </w:r>
      <w:r w:rsidR="00583F5A">
        <w:t>7</w:t>
      </w:r>
      <w:r w:rsidR="001409E2" w:rsidRPr="00B36BDF">
        <w:t xml:space="preserve"> biennial conservation target of </w:t>
      </w:r>
      <w:r w:rsidR="00980AF7">
        <w:t>537,078</w:t>
      </w:r>
      <w:r w:rsidR="00980AF7" w:rsidRPr="00CD74CC">
        <w:t xml:space="preserve"> </w:t>
      </w:r>
      <w:r w:rsidR="001409E2" w:rsidRPr="00B36BDF">
        <w:t>megawatt-hours are appropriate</w:t>
      </w:r>
      <w:r w:rsidR="00980AF7">
        <w:t xml:space="preserve">, subject to the conditions </w:t>
      </w:r>
      <w:r w:rsidR="004B7594">
        <w:t xml:space="preserve">attached to this Order </w:t>
      </w:r>
      <w:r w:rsidR="00980AF7">
        <w:t xml:space="preserve">in </w:t>
      </w:r>
      <w:r w:rsidR="004B7594">
        <w:t>Appendix</w:t>
      </w:r>
      <w:r w:rsidR="00980AF7">
        <w:t xml:space="preserve"> A.</w:t>
      </w:r>
    </w:p>
    <w:p w14:paraId="19E5D614" w14:textId="77777777" w:rsidR="00980AF7" w:rsidRPr="00B36BDF" w:rsidRDefault="00980AF7" w:rsidP="000677D7">
      <w:pPr>
        <w:numPr>
          <w:ilvl w:val="0"/>
          <w:numId w:val="1"/>
        </w:numPr>
        <w:tabs>
          <w:tab w:val="clear" w:pos="720"/>
          <w:tab w:val="left" w:pos="0"/>
        </w:tabs>
        <w:spacing w:after="240" w:line="288" w:lineRule="auto"/>
        <w:ind w:hanging="1440"/>
        <w:rPr>
          <w:b/>
        </w:rPr>
      </w:pPr>
      <w:r>
        <w:t>(7)</w:t>
      </w:r>
      <w:r>
        <w:tab/>
        <w:t>On October 27, 2015, PSE filed with the Commission proposed tariff revisions</w:t>
      </w:r>
      <w:r w:rsidR="009F3191">
        <w:t xml:space="preserve"> in Docket UE-152042</w:t>
      </w:r>
      <w:r>
        <w:t xml:space="preserve"> to implement the programs described in the BCP. </w:t>
      </w:r>
    </w:p>
    <w:p w14:paraId="19E5D615" w14:textId="60C539D0" w:rsidR="00C54DED" w:rsidRPr="000677D7" w:rsidRDefault="00B02A59" w:rsidP="000677D7">
      <w:pPr>
        <w:numPr>
          <w:ilvl w:val="0"/>
          <w:numId w:val="1"/>
        </w:numPr>
        <w:tabs>
          <w:tab w:val="clear" w:pos="720"/>
          <w:tab w:val="left" w:pos="0"/>
        </w:tabs>
        <w:spacing w:after="240" w:line="288" w:lineRule="auto"/>
        <w:ind w:hanging="1440"/>
        <w:rPr>
          <w:b/>
        </w:rPr>
      </w:pPr>
      <w:r w:rsidRPr="00B36BDF">
        <w:t>(</w:t>
      </w:r>
      <w:r w:rsidR="00980AF7">
        <w:t>8</w:t>
      </w:r>
      <w:r w:rsidR="001409E2" w:rsidRPr="00B36BDF">
        <w:t>)</w:t>
      </w:r>
      <w:r w:rsidR="001409E2" w:rsidRPr="00B36BDF">
        <w:tab/>
      </w:r>
      <w:r w:rsidR="00132CF0" w:rsidRPr="00B36BDF">
        <w:t>I</w:t>
      </w:r>
      <w:r w:rsidR="001409E2" w:rsidRPr="00B36BDF">
        <w:t xml:space="preserve">t is in the public interest to approve </w:t>
      </w:r>
      <w:r w:rsidR="00B57106">
        <w:t>PSE</w:t>
      </w:r>
      <w:r w:rsidR="001409E2" w:rsidRPr="00B36BDF">
        <w:t xml:space="preserve">’s ten-year achievable conservation potential and biennial conservation target, </w:t>
      </w:r>
      <w:r w:rsidR="00980AF7">
        <w:t>subject to the conditions in A</w:t>
      </w:r>
      <w:r w:rsidR="004B7594">
        <w:t>ppendix</w:t>
      </w:r>
      <w:r w:rsidR="00980AF7">
        <w:t xml:space="preserve"> A, </w:t>
      </w:r>
      <w:r w:rsidR="001409E2" w:rsidRPr="00B36BDF">
        <w:t>as authorized by RCW 19.285.040(1)(e) and WAC 480-109-010(4)</w:t>
      </w:r>
      <w:r w:rsidR="00980AF7">
        <w:t>, and to allow the proposed tariff revisions filed in Docket UE-152042 to go into effect on January 1, 2016, by operation of law</w:t>
      </w:r>
      <w:r w:rsidR="001409E2" w:rsidRPr="00B36BDF">
        <w:t xml:space="preserve">. </w:t>
      </w:r>
    </w:p>
    <w:p w14:paraId="0BF3C2BA" w14:textId="77777777" w:rsidR="000677D7" w:rsidRDefault="000677D7" w:rsidP="000677D7">
      <w:pPr>
        <w:tabs>
          <w:tab w:val="left" w:pos="0"/>
        </w:tabs>
        <w:spacing w:after="240" w:line="288" w:lineRule="auto"/>
      </w:pPr>
    </w:p>
    <w:p w14:paraId="21820A93" w14:textId="77777777" w:rsidR="000677D7" w:rsidRPr="00B36BDF" w:rsidRDefault="000677D7" w:rsidP="000677D7">
      <w:pPr>
        <w:tabs>
          <w:tab w:val="left" w:pos="0"/>
        </w:tabs>
        <w:spacing w:after="240" w:line="288" w:lineRule="auto"/>
        <w:rPr>
          <w:b/>
        </w:rPr>
      </w:pPr>
    </w:p>
    <w:p w14:paraId="19E5D616" w14:textId="77777777" w:rsidR="00AB4CD3" w:rsidRPr="00405186" w:rsidRDefault="00AB4CD3" w:rsidP="000677D7">
      <w:pPr>
        <w:tabs>
          <w:tab w:val="left" w:pos="0"/>
        </w:tabs>
        <w:spacing w:after="240" w:line="288" w:lineRule="auto"/>
        <w:ind w:left="720"/>
        <w:jc w:val="center"/>
      </w:pPr>
      <w:r w:rsidRPr="00405186">
        <w:rPr>
          <w:b/>
        </w:rPr>
        <w:lastRenderedPageBreak/>
        <w:t>ORDER</w:t>
      </w:r>
    </w:p>
    <w:p w14:paraId="19E5D617" w14:textId="77777777" w:rsidR="00AB4CD3" w:rsidRPr="00B36BDF" w:rsidRDefault="00AB4CD3" w:rsidP="000677D7">
      <w:pPr>
        <w:tabs>
          <w:tab w:val="left" w:pos="0"/>
        </w:tabs>
        <w:spacing w:after="240" w:line="288" w:lineRule="auto"/>
        <w:rPr>
          <w:b/>
        </w:rPr>
      </w:pPr>
      <w:r w:rsidRPr="00B36BDF">
        <w:rPr>
          <w:b/>
        </w:rPr>
        <w:t>THE COMMISSION ORDERS:</w:t>
      </w:r>
    </w:p>
    <w:p w14:paraId="19E5D618" w14:textId="77777777" w:rsidR="00985CC7" w:rsidRPr="00B36BDF" w:rsidRDefault="00AB4CD3" w:rsidP="000677D7">
      <w:pPr>
        <w:numPr>
          <w:ilvl w:val="0"/>
          <w:numId w:val="1"/>
        </w:numPr>
        <w:tabs>
          <w:tab w:val="clear" w:pos="720"/>
          <w:tab w:val="left" w:pos="0"/>
        </w:tabs>
        <w:spacing w:after="240" w:line="288" w:lineRule="auto"/>
        <w:ind w:hanging="1440"/>
        <w:rPr>
          <w:b/>
        </w:rPr>
      </w:pPr>
      <w:r w:rsidRPr="00B36BDF">
        <w:t>(1)</w:t>
      </w:r>
      <w:r w:rsidRPr="00B36BDF">
        <w:tab/>
      </w:r>
      <w:r w:rsidR="00980AF7">
        <w:t>Puget Sound Energy</w:t>
      </w:r>
      <w:r w:rsidR="00BA1D52" w:rsidRPr="00B36BDF">
        <w:t>’s</w:t>
      </w:r>
      <w:r w:rsidR="00A61FB3" w:rsidRPr="00B36BDF">
        <w:t xml:space="preserve"> 201</w:t>
      </w:r>
      <w:r w:rsidR="00583F5A">
        <w:t>6</w:t>
      </w:r>
      <w:r w:rsidR="00A61FB3" w:rsidRPr="00B36BDF">
        <w:t>-202</w:t>
      </w:r>
      <w:r w:rsidR="00583F5A">
        <w:t>5</w:t>
      </w:r>
      <w:r w:rsidR="00A61FB3" w:rsidRPr="00B36BDF">
        <w:t xml:space="preserve"> ten-year achievable conservation potential of </w:t>
      </w:r>
      <w:r w:rsidR="00980AF7">
        <w:t xml:space="preserve">2,715,486 </w:t>
      </w:r>
      <w:r w:rsidR="00A61FB3" w:rsidRPr="00B36BDF">
        <w:t xml:space="preserve">megawatt-hours </w:t>
      </w:r>
      <w:r w:rsidR="00811077" w:rsidRPr="00B36BDF">
        <w:t>and its 201</w:t>
      </w:r>
      <w:r w:rsidR="00583F5A">
        <w:t>6</w:t>
      </w:r>
      <w:r w:rsidR="00811077" w:rsidRPr="00B36BDF">
        <w:t>-201</w:t>
      </w:r>
      <w:r w:rsidR="00583F5A">
        <w:t>7</w:t>
      </w:r>
      <w:r w:rsidR="00811077" w:rsidRPr="00B36BDF">
        <w:t xml:space="preserve"> biennial conservation target of </w:t>
      </w:r>
      <w:r w:rsidR="00980AF7">
        <w:t>537,078</w:t>
      </w:r>
      <w:r w:rsidR="00980AF7" w:rsidRPr="00CD74CC">
        <w:t xml:space="preserve"> </w:t>
      </w:r>
      <w:r w:rsidR="00811077" w:rsidRPr="00B36BDF">
        <w:t>megawatt-hours are approved</w:t>
      </w:r>
      <w:r w:rsidR="00980AF7">
        <w:t>, subject to the conditions set forth in A</w:t>
      </w:r>
      <w:r w:rsidR="004B7594">
        <w:t xml:space="preserve">ppendix </w:t>
      </w:r>
      <w:r w:rsidR="00980AF7">
        <w:t>A</w:t>
      </w:r>
      <w:r w:rsidR="004B7594">
        <w:t xml:space="preserve"> attached to this Order</w:t>
      </w:r>
      <w:r w:rsidR="00985CC7" w:rsidRPr="00B36BDF">
        <w:t>.</w:t>
      </w:r>
    </w:p>
    <w:p w14:paraId="19E5D619" w14:textId="77777777" w:rsidR="00525E13" w:rsidRPr="00B36BDF" w:rsidRDefault="00985CC7" w:rsidP="000677D7">
      <w:pPr>
        <w:numPr>
          <w:ilvl w:val="0"/>
          <w:numId w:val="1"/>
        </w:numPr>
        <w:tabs>
          <w:tab w:val="clear" w:pos="720"/>
          <w:tab w:val="left" w:pos="0"/>
        </w:tabs>
        <w:spacing w:after="240" w:line="288" w:lineRule="auto"/>
        <w:ind w:hanging="1440"/>
      </w:pPr>
      <w:r w:rsidRPr="00B36BDF">
        <w:t>(2)</w:t>
      </w:r>
      <w:r w:rsidRPr="00B36BDF">
        <w:tab/>
      </w:r>
      <w:r w:rsidR="00811077" w:rsidRPr="00B36BDF">
        <w:t>The Commission retains jurisdiction over this matter for purposes of effectuating this order.</w:t>
      </w:r>
    </w:p>
    <w:p w14:paraId="19E5D61A" w14:textId="77777777" w:rsidR="00AB4CD3" w:rsidRPr="00B36BDF" w:rsidRDefault="00AB4CD3" w:rsidP="008012B9">
      <w:pPr>
        <w:spacing w:line="288" w:lineRule="auto"/>
        <w:rPr>
          <w:b/>
        </w:rPr>
      </w:pPr>
      <w:r w:rsidRPr="00B36BDF">
        <w:t xml:space="preserve">DATED at Olympia, Washington, and effective </w:t>
      </w:r>
      <w:r w:rsidR="00811077" w:rsidRPr="00B36BDF">
        <w:t>December 1</w:t>
      </w:r>
      <w:r w:rsidR="00583F5A">
        <w:t>7</w:t>
      </w:r>
      <w:r w:rsidR="00811077" w:rsidRPr="00B36BDF">
        <w:t>, 201</w:t>
      </w:r>
      <w:r w:rsidR="00583F5A">
        <w:t>5</w:t>
      </w:r>
      <w:r w:rsidRPr="00B36BDF">
        <w:t>.</w:t>
      </w:r>
    </w:p>
    <w:p w14:paraId="19E5D61B" w14:textId="77777777" w:rsidR="00AB4CD3" w:rsidRPr="00B36BDF" w:rsidRDefault="00AB4CD3" w:rsidP="008012B9">
      <w:pPr>
        <w:spacing w:line="288" w:lineRule="auto"/>
        <w:rPr>
          <w:b/>
        </w:rPr>
      </w:pPr>
    </w:p>
    <w:p w14:paraId="19E5D61C" w14:textId="77777777" w:rsidR="00AB4CD3" w:rsidRPr="00B36BDF" w:rsidRDefault="00AB4CD3" w:rsidP="008012B9">
      <w:pPr>
        <w:spacing w:line="288" w:lineRule="auto"/>
        <w:jc w:val="center"/>
      </w:pPr>
      <w:r w:rsidRPr="00B36BDF">
        <w:t>WASHINGTON UTILITIES AND TRANSPORTATION COMMISSION</w:t>
      </w:r>
    </w:p>
    <w:p w14:paraId="19E5D61D" w14:textId="77777777" w:rsidR="00811077" w:rsidRPr="00B36BDF" w:rsidRDefault="00811077" w:rsidP="008012B9">
      <w:pPr>
        <w:spacing w:line="288" w:lineRule="auto"/>
        <w:jc w:val="center"/>
      </w:pPr>
    </w:p>
    <w:p w14:paraId="19E5D61E" w14:textId="77777777" w:rsidR="00AB4CD3" w:rsidRPr="00B36BDF" w:rsidRDefault="00AB4CD3" w:rsidP="008012B9">
      <w:pPr>
        <w:spacing w:line="288" w:lineRule="auto"/>
        <w:jc w:val="center"/>
      </w:pPr>
    </w:p>
    <w:p w14:paraId="19E5D61F" w14:textId="77777777" w:rsidR="00AB4CD3" w:rsidRPr="00B36BDF" w:rsidRDefault="00AB4CD3" w:rsidP="008012B9">
      <w:pPr>
        <w:spacing w:line="288" w:lineRule="auto"/>
        <w:jc w:val="center"/>
      </w:pPr>
    </w:p>
    <w:p w14:paraId="19E5D620" w14:textId="77777777" w:rsidR="00811077" w:rsidRPr="00B36BDF" w:rsidRDefault="00811077" w:rsidP="00811077">
      <w:pPr>
        <w:ind w:firstLine="4320"/>
      </w:pPr>
      <w:r w:rsidRPr="00B36BDF">
        <w:t>DAVID W. DANNER, Chairman</w:t>
      </w:r>
    </w:p>
    <w:p w14:paraId="19E5D621" w14:textId="77777777" w:rsidR="00811077" w:rsidRPr="00B36BDF" w:rsidRDefault="00811077" w:rsidP="00811077"/>
    <w:p w14:paraId="19E5D622" w14:textId="77777777" w:rsidR="00525E13" w:rsidRPr="00B36BDF" w:rsidRDefault="00525E13" w:rsidP="00811077"/>
    <w:p w14:paraId="19E5D623" w14:textId="77777777" w:rsidR="00811077" w:rsidRPr="00B36BDF" w:rsidRDefault="00811077" w:rsidP="00811077"/>
    <w:p w14:paraId="19E5D624" w14:textId="77777777" w:rsidR="00811077" w:rsidRPr="00B36BDF" w:rsidRDefault="00811077" w:rsidP="00811077">
      <w:r w:rsidRPr="00B36BDF">
        <w:tab/>
      </w:r>
      <w:r w:rsidRPr="00B36BDF">
        <w:tab/>
      </w:r>
      <w:r w:rsidRPr="00B36BDF">
        <w:tab/>
      </w:r>
      <w:r w:rsidRPr="00B36BDF">
        <w:tab/>
      </w:r>
      <w:r w:rsidRPr="00B36BDF">
        <w:tab/>
      </w:r>
      <w:r w:rsidRPr="00B36BDF">
        <w:tab/>
        <w:t>PHILIP B. JONES, Commissioner</w:t>
      </w:r>
    </w:p>
    <w:p w14:paraId="19E5D625" w14:textId="77777777" w:rsidR="00811077" w:rsidRPr="00B36BDF" w:rsidRDefault="00811077" w:rsidP="00811077"/>
    <w:p w14:paraId="19E5D626" w14:textId="77777777" w:rsidR="00525E13" w:rsidRPr="00B36BDF" w:rsidRDefault="00525E13" w:rsidP="00811077"/>
    <w:p w14:paraId="19E5D627" w14:textId="77777777" w:rsidR="00811077" w:rsidRPr="00B36BDF" w:rsidRDefault="00811077" w:rsidP="00811077"/>
    <w:p w14:paraId="19E5D628" w14:textId="22CA25E2" w:rsidR="00811077" w:rsidRPr="00B36BDF" w:rsidRDefault="000677D7" w:rsidP="000677D7">
      <w:pPr>
        <w:ind w:left="720" w:firstLine="3600"/>
      </w:pPr>
      <w:r>
        <w:t>ANN E. RENDAHL</w:t>
      </w:r>
      <w:r w:rsidR="00811077" w:rsidRPr="00B36BDF">
        <w:t>, Commissioner</w:t>
      </w:r>
    </w:p>
    <w:p w14:paraId="19E5D629" w14:textId="77777777" w:rsidR="00811077" w:rsidRPr="00B36BDF" w:rsidRDefault="00811077" w:rsidP="008012B9">
      <w:pPr>
        <w:spacing w:line="288" w:lineRule="auto"/>
      </w:pPr>
    </w:p>
    <w:p w14:paraId="19E5D62A" w14:textId="77777777" w:rsidR="00811077" w:rsidRPr="00B36BDF" w:rsidRDefault="00811077" w:rsidP="008012B9">
      <w:pPr>
        <w:spacing w:line="288" w:lineRule="auto"/>
      </w:pPr>
    </w:p>
    <w:p w14:paraId="19E5D62B" w14:textId="77777777" w:rsidR="00811077" w:rsidRPr="00B36BDF" w:rsidRDefault="00811077" w:rsidP="008012B9">
      <w:pPr>
        <w:spacing w:line="288" w:lineRule="auto"/>
      </w:pPr>
    </w:p>
    <w:p w14:paraId="19E5D62C" w14:textId="77777777" w:rsidR="00811077" w:rsidRPr="00B36BDF" w:rsidRDefault="00811077" w:rsidP="008012B9">
      <w:pPr>
        <w:spacing w:line="288" w:lineRule="auto"/>
      </w:pPr>
    </w:p>
    <w:p w14:paraId="19E5D62D" w14:textId="77777777" w:rsidR="00811077" w:rsidRPr="00B36BDF" w:rsidRDefault="00811077" w:rsidP="008012B9">
      <w:pPr>
        <w:spacing w:line="288" w:lineRule="auto"/>
      </w:pPr>
    </w:p>
    <w:sectPr w:rsidR="00811077" w:rsidRPr="00B36BDF" w:rsidSect="008C0042">
      <w:headerReference w:type="default" r:id="rId12"/>
      <w:headerReference w:type="first" r:id="rId13"/>
      <w:pgSz w:w="12240" w:h="15840" w:code="1"/>
      <w:pgMar w:top="1440" w:right="1260" w:bottom="1440" w:left="216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5D631" w14:textId="77777777" w:rsidR="004D0016" w:rsidRDefault="004D0016">
      <w:r>
        <w:separator/>
      </w:r>
    </w:p>
  </w:endnote>
  <w:endnote w:type="continuationSeparator" w:id="0">
    <w:p w14:paraId="19E5D632" w14:textId="77777777" w:rsidR="004D0016" w:rsidRDefault="004D0016">
      <w:r>
        <w:continuationSeparator/>
      </w:r>
    </w:p>
  </w:endnote>
  <w:endnote w:type="continuationNotice" w:id="1">
    <w:p w14:paraId="19E5D633" w14:textId="77777777" w:rsidR="004D0016" w:rsidRDefault="004D0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5D62E" w14:textId="77777777" w:rsidR="004D0016" w:rsidRDefault="004D0016">
      <w:r>
        <w:separator/>
      </w:r>
    </w:p>
  </w:footnote>
  <w:footnote w:type="continuationSeparator" w:id="0">
    <w:p w14:paraId="19E5D62F" w14:textId="77777777" w:rsidR="004D0016" w:rsidRDefault="004D0016">
      <w:r>
        <w:continuationSeparator/>
      </w:r>
    </w:p>
  </w:footnote>
  <w:footnote w:type="continuationNotice" w:id="1">
    <w:p w14:paraId="19E5D630" w14:textId="77777777" w:rsidR="004D0016" w:rsidRDefault="004D0016"/>
  </w:footnote>
  <w:footnote w:id="2">
    <w:p w14:paraId="19E5D639" w14:textId="77777777" w:rsidR="00726F75" w:rsidRPr="00352140" w:rsidRDefault="009828BB" w:rsidP="00A11CA7">
      <w:pPr>
        <w:pStyle w:val="FootnoteText"/>
        <w:spacing w:after="120"/>
        <w:rPr>
          <w:sz w:val="22"/>
          <w:szCs w:val="22"/>
          <w:lang w:val="en-US"/>
        </w:rPr>
      </w:pPr>
      <w:r w:rsidRPr="00844847">
        <w:rPr>
          <w:rStyle w:val="FootnoteReference"/>
          <w:sz w:val="22"/>
        </w:rPr>
        <w:footnoteRef/>
      </w:r>
      <w:r w:rsidRPr="00844847">
        <w:rPr>
          <w:sz w:val="22"/>
        </w:rPr>
        <w:t xml:space="preserve"> </w:t>
      </w:r>
      <w:r>
        <w:rPr>
          <w:sz w:val="22"/>
        </w:rPr>
        <w:t>RCW 19.285.040</w:t>
      </w:r>
      <w:r w:rsidR="00726F75">
        <w:rPr>
          <w:sz w:val="22"/>
          <w:lang w:val="en-US"/>
        </w:rPr>
        <w:t xml:space="preserve">(a) requires each electric utility to identify its </w:t>
      </w:r>
      <w:r w:rsidR="00352140">
        <w:rPr>
          <w:sz w:val="22"/>
          <w:lang w:val="en-US"/>
        </w:rPr>
        <w:t xml:space="preserve">ten-year </w:t>
      </w:r>
      <w:r w:rsidR="00726F75">
        <w:rPr>
          <w:sz w:val="22"/>
          <w:lang w:val="en-US"/>
        </w:rPr>
        <w:t>achievable cost-effective conservation potential using methodologies consistent with those used by the Pacific Northwest Electric Power and Conservation Planning Council in its most recently published regional power plan</w:t>
      </w:r>
      <w:r>
        <w:rPr>
          <w:sz w:val="22"/>
        </w:rPr>
        <w:t>.</w:t>
      </w:r>
      <w:r w:rsidR="00726F75">
        <w:rPr>
          <w:sz w:val="22"/>
          <w:lang w:val="en-US"/>
        </w:rPr>
        <w:t xml:space="preserve"> At least every two years, </w:t>
      </w:r>
      <w:r w:rsidR="00352140">
        <w:rPr>
          <w:sz w:val="22"/>
          <w:lang w:val="en-US"/>
        </w:rPr>
        <w:t>a utility</w:t>
      </w:r>
      <w:r w:rsidR="00726F75">
        <w:rPr>
          <w:sz w:val="22"/>
          <w:lang w:val="en-US"/>
        </w:rPr>
        <w:t xml:space="preserve"> must</w:t>
      </w:r>
      <w:r w:rsidR="00352140">
        <w:rPr>
          <w:sz w:val="22"/>
          <w:lang w:val="en-US"/>
        </w:rPr>
        <w:t xml:space="preserve"> also</w:t>
      </w:r>
      <w:r w:rsidR="00726F75">
        <w:rPr>
          <w:sz w:val="22"/>
          <w:lang w:val="en-US"/>
        </w:rPr>
        <w:t xml:space="preserve"> review and update its assessment for the subsequent ten-year period. RCW 19.285.040(b) requires each qualifying utility to establish and make publicly available a biennial acquisition target for cost-effective conservation consistent with its identification of achievable opportunities in RCW</w:t>
      </w:r>
      <w:r w:rsidR="00B315B4">
        <w:rPr>
          <w:sz w:val="22"/>
          <w:lang w:val="en-US"/>
        </w:rPr>
        <w:t xml:space="preserve"> 19.285.040(a) and meet that target during the subsequent two-year period. At a minimum, each biennial target must be no lower than the qualifying utility’s pro-rata share for that two-year period of its cost-effective conservation potential for the subsequent two-year period. </w:t>
      </w:r>
    </w:p>
  </w:footnote>
  <w:footnote w:id="3">
    <w:p w14:paraId="19E5D63A" w14:textId="77777777" w:rsidR="009828BB" w:rsidRPr="00B315B4" w:rsidRDefault="009828BB" w:rsidP="00A11CA7">
      <w:pPr>
        <w:pStyle w:val="FootnoteText"/>
        <w:spacing w:after="120"/>
        <w:rPr>
          <w:sz w:val="22"/>
          <w:szCs w:val="22"/>
        </w:rPr>
      </w:pPr>
      <w:r w:rsidRPr="00B315B4">
        <w:rPr>
          <w:rStyle w:val="FootnoteReference"/>
          <w:sz w:val="22"/>
          <w:szCs w:val="22"/>
        </w:rPr>
        <w:footnoteRef/>
      </w:r>
      <w:r w:rsidRPr="00B315B4">
        <w:rPr>
          <w:sz w:val="22"/>
          <w:szCs w:val="22"/>
        </w:rPr>
        <w:t xml:space="preserve"> WAC 480-109-010(3).</w:t>
      </w:r>
    </w:p>
  </w:footnote>
  <w:footnote w:id="4">
    <w:p w14:paraId="19E5D63B" w14:textId="023C98A1" w:rsidR="00FB7A34" w:rsidRPr="00FB7A34" w:rsidRDefault="00FB7A34">
      <w:pPr>
        <w:pStyle w:val="FootnoteText"/>
        <w:rPr>
          <w:lang w:val="en-US"/>
        </w:rPr>
      </w:pPr>
      <w:r>
        <w:rPr>
          <w:rStyle w:val="FootnoteReference"/>
        </w:rPr>
        <w:footnoteRef/>
      </w:r>
      <w:r>
        <w:t xml:space="preserve"> </w:t>
      </w:r>
      <w:r w:rsidRPr="00FB7A34">
        <w:rPr>
          <w:sz w:val="22"/>
          <w:szCs w:val="22"/>
        </w:rPr>
        <w:t xml:space="preserve">PSE conducted a Conservation Potential Assessment, which evaluated the 2016-2025 achievable conservation potential resulting in a 10-year potential of 2,715,486 MWh. The two-year share of PSE’s 10-year potential is 554,132 MWh (63.3 aMW) including 11,035 MWh of distribution efficiency. PSE then made </w:t>
      </w:r>
      <w:r>
        <w:rPr>
          <w:sz w:val="22"/>
          <w:szCs w:val="22"/>
          <w:lang w:val="en-US"/>
        </w:rPr>
        <w:t>several</w:t>
      </w:r>
      <w:r w:rsidRPr="00FB7A34">
        <w:rPr>
          <w:sz w:val="22"/>
          <w:szCs w:val="22"/>
        </w:rPr>
        <w:t xml:space="preserve"> adjustments to derive its biennial conservation target. First, PSE’s Conservation Potential Assessment does not include behavioral savings, so the </w:t>
      </w:r>
      <w:r>
        <w:rPr>
          <w:sz w:val="22"/>
          <w:szCs w:val="22"/>
          <w:lang w:val="en-US"/>
        </w:rPr>
        <w:t>C</w:t>
      </w:r>
      <w:r w:rsidRPr="00FB7A34">
        <w:rPr>
          <w:sz w:val="22"/>
          <w:szCs w:val="22"/>
        </w:rPr>
        <w:t>ompany added 5,722 MWh of projected savings from its existing Home Energy Reports initiative to the target. Next, PSE subtracted 22,776 MWh of savings attributable to NEEA programs from t</w:t>
      </w:r>
      <w:r>
        <w:rPr>
          <w:sz w:val="22"/>
          <w:szCs w:val="22"/>
        </w:rPr>
        <w:t>he biennial conservation target</w:t>
      </w:r>
      <w:r w:rsidRPr="00FB7A34">
        <w:rPr>
          <w:sz w:val="22"/>
          <w:szCs w:val="22"/>
        </w:rPr>
        <w:t xml:space="preserve"> for the reasons discussed in </w:t>
      </w:r>
      <w:r>
        <w:rPr>
          <w:sz w:val="22"/>
          <w:szCs w:val="22"/>
          <w:lang w:val="en-US"/>
        </w:rPr>
        <w:t xml:space="preserve">Commission </w:t>
      </w:r>
      <w:r w:rsidR="000677D7">
        <w:rPr>
          <w:sz w:val="22"/>
          <w:szCs w:val="22"/>
          <w:lang w:val="en-US"/>
        </w:rPr>
        <w:t>S</w:t>
      </w:r>
      <w:r w:rsidRPr="00FB7A34">
        <w:rPr>
          <w:sz w:val="22"/>
          <w:szCs w:val="22"/>
        </w:rPr>
        <w:t>taff’s December 3 comments. These adjustments resulted in a 2016-2017 biennial conservation target of 537,078 MWh (61.3 aMW).</w:t>
      </w:r>
    </w:p>
  </w:footnote>
  <w:footnote w:id="5">
    <w:p w14:paraId="19E5D63C" w14:textId="77777777" w:rsidR="002352F3" w:rsidRPr="00C20298" w:rsidRDefault="002352F3" w:rsidP="002352F3">
      <w:pPr>
        <w:pStyle w:val="FootnoteText"/>
        <w:rPr>
          <w:sz w:val="22"/>
          <w:szCs w:val="22"/>
        </w:rPr>
      </w:pPr>
      <w:r w:rsidRPr="00C20298">
        <w:rPr>
          <w:rStyle w:val="FootnoteReference"/>
          <w:sz w:val="22"/>
          <w:szCs w:val="22"/>
        </w:rPr>
        <w:footnoteRef/>
      </w:r>
      <w:r w:rsidRPr="00C20298">
        <w:rPr>
          <w:sz w:val="22"/>
          <w:szCs w:val="22"/>
        </w:rPr>
        <w:t xml:space="preserve"> This is PSE’s existing Home Energy Reports program.</w:t>
      </w:r>
    </w:p>
  </w:footnote>
  <w:footnote w:id="6">
    <w:p w14:paraId="19E5D63D" w14:textId="77777777" w:rsidR="002352F3" w:rsidRPr="00C20298" w:rsidRDefault="002352F3" w:rsidP="002352F3">
      <w:pPr>
        <w:pStyle w:val="FootnoteText"/>
        <w:rPr>
          <w:sz w:val="22"/>
          <w:szCs w:val="22"/>
        </w:rPr>
      </w:pPr>
      <w:r w:rsidRPr="00C20298">
        <w:rPr>
          <w:rStyle w:val="FootnoteReference"/>
          <w:sz w:val="22"/>
          <w:szCs w:val="22"/>
        </w:rPr>
        <w:footnoteRef/>
      </w:r>
      <w:r w:rsidRPr="00C20298">
        <w:rPr>
          <w:sz w:val="22"/>
          <w:szCs w:val="22"/>
        </w:rPr>
        <w:t xml:space="preserve"> This is the Individual Energy Reports pilots.</w:t>
      </w:r>
    </w:p>
  </w:footnote>
  <w:footnote w:id="7">
    <w:p w14:paraId="19E5D63E" w14:textId="77777777" w:rsidR="002352F3" w:rsidRPr="00C20298" w:rsidRDefault="002352F3" w:rsidP="002352F3">
      <w:pPr>
        <w:pStyle w:val="FootnoteText"/>
        <w:rPr>
          <w:sz w:val="22"/>
          <w:szCs w:val="22"/>
        </w:rPr>
      </w:pPr>
      <w:r w:rsidRPr="00C20298">
        <w:rPr>
          <w:rStyle w:val="FootnoteReference"/>
          <w:sz w:val="22"/>
          <w:szCs w:val="22"/>
        </w:rPr>
        <w:footnoteRef/>
      </w:r>
      <w:r w:rsidRPr="00C20298">
        <w:rPr>
          <w:sz w:val="22"/>
          <w:szCs w:val="22"/>
        </w:rPr>
        <w:t xml:space="preserve"> Savings and budgets associated with NEEA and the Generation, Transmission &amp; Distribution Efficiency program.</w:t>
      </w:r>
    </w:p>
  </w:footnote>
  <w:footnote w:id="8">
    <w:p w14:paraId="19E5D63F" w14:textId="77777777" w:rsidR="002352F3" w:rsidRDefault="002352F3" w:rsidP="002352F3">
      <w:pPr>
        <w:pStyle w:val="FootnoteText"/>
      </w:pPr>
      <w:r w:rsidRPr="00C20298">
        <w:rPr>
          <w:rStyle w:val="FootnoteReference"/>
          <w:sz w:val="22"/>
          <w:szCs w:val="22"/>
        </w:rPr>
        <w:footnoteRef/>
      </w:r>
      <w:r w:rsidRPr="00C20298">
        <w:rPr>
          <w:sz w:val="22"/>
          <w:szCs w:val="22"/>
        </w:rPr>
        <w:t xml:space="preserve"> The total 2014-2015 projected savings shown in this table is the amount of conservation PSE’s portfolio is designed to achieve, which is greater than the 2014-2015 biennial target of 485,768 MWh.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5D634" w14:textId="77777777" w:rsidR="009828BB" w:rsidRPr="008F794C" w:rsidRDefault="009828BB">
    <w:pPr>
      <w:pStyle w:val="Header"/>
      <w:tabs>
        <w:tab w:val="clear" w:pos="4320"/>
        <w:tab w:val="clear" w:pos="8640"/>
        <w:tab w:val="right" w:pos="8500"/>
      </w:tabs>
      <w:rPr>
        <w:rStyle w:val="PageNumber"/>
        <w:bCs/>
        <w:szCs w:val="20"/>
        <w:lang w:val="fr-FR"/>
      </w:rPr>
    </w:pPr>
    <w:r w:rsidRPr="008F794C">
      <w:rPr>
        <w:b/>
        <w:bCs/>
        <w:sz w:val="20"/>
      </w:rPr>
      <w:t>D</w:t>
    </w:r>
    <w:r w:rsidR="009F3191">
      <w:rPr>
        <w:b/>
        <w:bCs/>
        <w:sz w:val="20"/>
      </w:rPr>
      <w:t>OCKETS UE-</w:t>
    </w:r>
    <w:r w:rsidR="009F3191">
      <w:rPr>
        <w:b/>
        <w:bCs/>
        <w:sz w:val="20"/>
        <w:lang w:val="en-US"/>
      </w:rPr>
      <w:t>152058 and UE-152042</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193C40">
      <w:rPr>
        <w:rStyle w:val="PageNumber"/>
        <w:bCs/>
        <w:noProof/>
        <w:szCs w:val="20"/>
        <w:lang w:val="fr-FR"/>
      </w:rPr>
      <w:t>3</w:t>
    </w:r>
    <w:r w:rsidRPr="008F794C">
      <w:rPr>
        <w:rStyle w:val="PageNumber"/>
        <w:bCs/>
        <w:szCs w:val="20"/>
        <w:lang w:val="fr-FR"/>
      </w:rPr>
      <w:fldChar w:fldCharType="end"/>
    </w:r>
  </w:p>
  <w:p w14:paraId="19E5D635" w14:textId="77777777" w:rsidR="009828BB" w:rsidRDefault="009828BB">
    <w:pPr>
      <w:pStyle w:val="Header"/>
      <w:tabs>
        <w:tab w:val="left" w:pos="7000"/>
      </w:tabs>
      <w:rPr>
        <w:rStyle w:val="PageNumber"/>
        <w:bCs/>
        <w:szCs w:val="20"/>
        <w:lang w:val="fr-FR"/>
      </w:rPr>
    </w:pPr>
    <w:r w:rsidRPr="008F794C">
      <w:rPr>
        <w:rStyle w:val="PageNumber"/>
        <w:bCs/>
        <w:szCs w:val="20"/>
        <w:lang w:val="fr-FR"/>
      </w:rPr>
      <w:t>ORDER 01</w:t>
    </w:r>
  </w:p>
  <w:p w14:paraId="19E5D636" w14:textId="77777777" w:rsidR="009828BB" w:rsidRPr="008F794C" w:rsidRDefault="009828BB">
    <w:pPr>
      <w:pStyle w:val="Header"/>
      <w:tabs>
        <w:tab w:val="left" w:pos="7000"/>
      </w:tabs>
      <w:rPr>
        <w:rStyle w:val="PageNumber"/>
        <w:bCs/>
        <w:szCs w:val="20"/>
        <w:lang w:val="fr-FR"/>
      </w:rPr>
    </w:pPr>
  </w:p>
  <w:p w14:paraId="19E5D637" w14:textId="77777777" w:rsidR="009828BB" w:rsidRPr="00C35B68" w:rsidRDefault="009828BB">
    <w:pPr>
      <w:pStyle w:val="Header"/>
      <w:tabs>
        <w:tab w:val="left" w:pos="7000"/>
      </w:tabs>
      <w:rPr>
        <w:rStyle w:val="PageNumber"/>
        <w:b w:val="0"/>
        <w:bCs/>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5D638" w14:textId="77777777" w:rsidR="009828BB" w:rsidRPr="00662B7F" w:rsidRDefault="009828BB" w:rsidP="00AA0F7A">
    <w:pPr>
      <w:pStyle w:val="Header"/>
      <w:tabs>
        <w:tab w:val="clear" w:pos="4320"/>
      </w:tabs>
      <w:rPr>
        <w:b/>
        <w:sz w:val="22"/>
        <w:szCs w:val="22"/>
      </w:rPr>
    </w:pPr>
    <w:r>
      <w:rPr>
        <w:b/>
        <w:sz w:val="22"/>
        <w:szCs w:val="22"/>
      </w:rPr>
      <w:tab/>
    </w:r>
    <w:r w:rsidR="009D5BD7">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E0338"/>
    <w:multiLevelType w:val="hybridMultilevel"/>
    <w:tmpl w:val="1CC4D9CC"/>
    <w:lvl w:ilvl="0" w:tplc="767624F4">
      <w:start w:val="1"/>
      <w:numFmt w:val="decimal"/>
      <w:lvlText w:val="%1"/>
      <w:lvlJc w:val="right"/>
      <w:pPr>
        <w:tabs>
          <w:tab w:val="num" w:pos="720"/>
        </w:tabs>
        <w:ind w:left="720" w:hanging="720"/>
      </w:pPr>
      <w:rPr>
        <w:rFonts w:ascii="Palatino Linotype" w:hAnsi="Palatino Linotype" w:cs="Times New Roman" w:hint="default"/>
        <w:b w:val="0"/>
        <w:i/>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7D56AD1"/>
    <w:multiLevelType w:val="hybridMultilevel"/>
    <w:tmpl w:val="73EEDBAC"/>
    <w:lvl w:ilvl="0" w:tplc="17E27A2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B138DD"/>
    <w:multiLevelType w:val="hybridMultilevel"/>
    <w:tmpl w:val="C7DCB5CE"/>
    <w:lvl w:ilvl="0" w:tplc="29E24BAE">
      <w:start w:val="1"/>
      <w:numFmt w:val="decimal"/>
      <w:pStyle w:val="Findings"/>
      <w:lvlText w:val="%1"/>
      <w:lvlJc w:val="left"/>
      <w:pPr>
        <w:tabs>
          <w:tab w:val="num" w:pos="720"/>
        </w:tabs>
        <w:ind w:left="72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3BBC"/>
    <w:rsid w:val="00004C24"/>
    <w:rsid w:val="000052C0"/>
    <w:rsid w:val="00005431"/>
    <w:rsid w:val="0000562B"/>
    <w:rsid w:val="00006BD8"/>
    <w:rsid w:val="000107E5"/>
    <w:rsid w:val="00013FD6"/>
    <w:rsid w:val="0001553F"/>
    <w:rsid w:val="00015EAA"/>
    <w:rsid w:val="0002068B"/>
    <w:rsid w:val="00024049"/>
    <w:rsid w:val="000242EB"/>
    <w:rsid w:val="000264FD"/>
    <w:rsid w:val="00026D9F"/>
    <w:rsid w:val="00026F37"/>
    <w:rsid w:val="00030F63"/>
    <w:rsid w:val="0003479D"/>
    <w:rsid w:val="00034998"/>
    <w:rsid w:val="00044075"/>
    <w:rsid w:val="00044B4C"/>
    <w:rsid w:val="0004560A"/>
    <w:rsid w:val="00045AF8"/>
    <w:rsid w:val="00045B0B"/>
    <w:rsid w:val="00051879"/>
    <w:rsid w:val="000533CC"/>
    <w:rsid w:val="0005397D"/>
    <w:rsid w:val="000550D9"/>
    <w:rsid w:val="0006064E"/>
    <w:rsid w:val="00060A7A"/>
    <w:rsid w:val="0006112A"/>
    <w:rsid w:val="0006222D"/>
    <w:rsid w:val="00062232"/>
    <w:rsid w:val="000647E6"/>
    <w:rsid w:val="0006496C"/>
    <w:rsid w:val="00066E2F"/>
    <w:rsid w:val="000677D7"/>
    <w:rsid w:val="000702B8"/>
    <w:rsid w:val="00071A3C"/>
    <w:rsid w:val="00072495"/>
    <w:rsid w:val="00073A4E"/>
    <w:rsid w:val="0007415F"/>
    <w:rsid w:val="0007470B"/>
    <w:rsid w:val="00075FB2"/>
    <w:rsid w:val="00076E46"/>
    <w:rsid w:val="0007712A"/>
    <w:rsid w:val="00077D78"/>
    <w:rsid w:val="00082A66"/>
    <w:rsid w:val="0008597D"/>
    <w:rsid w:val="00090758"/>
    <w:rsid w:val="00090F98"/>
    <w:rsid w:val="000910B4"/>
    <w:rsid w:val="00091DA8"/>
    <w:rsid w:val="000951E1"/>
    <w:rsid w:val="00095CB7"/>
    <w:rsid w:val="000A1B6E"/>
    <w:rsid w:val="000A5FA7"/>
    <w:rsid w:val="000B1A8D"/>
    <w:rsid w:val="000B1ACC"/>
    <w:rsid w:val="000B2854"/>
    <w:rsid w:val="000B3526"/>
    <w:rsid w:val="000B554C"/>
    <w:rsid w:val="000B6047"/>
    <w:rsid w:val="000B73D8"/>
    <w:rsid w:val="000B7C12"/>
    <w:rsid w:val="000C011A"/>
    <w:rsid w:val="000C0224"/>
    <w:rsid w:val="000C1C5A"/>
    <w:rsid w:val="000C5FA8"/>
    <w:rsid w:val="000D071A"/>
    <w:rsid w:val="000D22ED"/>
    <w:rsid w:val="000D4317"/>
    <w:rsid w:val="000D6936"/>
    <w:rsid w:val="000D7B17"/>
    <w:rsid w:val="000E30B4"/>
    <w:rsid w:val="000E361E"/>
    <w:rsid w:val="000E485A"/>
    <w:rsid w:val="000E53A0"/>
    <w:rsid w:val="000E5C07"/>
    <w:rsid w:val="000E76E0"/>
    <w:rsid w:val="000F04DE"/>
    <w:rsid w:val="000F0EF7"/>
    <w:rsid w:val="000F4793"/>
    <w:rsid w:val="000F48F4"/>
    <w:rsid w:val="000F4FAB"/>
    <w:rsid w:val="000F5AD5"/>
    <w:rsid w:val="000F61B3"/>
    <w:rsid w:val="001009DB"/>
    <w:rsid w:val="00101CA7"/>
    <w:rsid w:val="00106149"/>
    <w:rsid w:val="001071C2"/>
    <w:rsid w:val="0011015E"/>
    <w:rsid w:val="001112D2"/>
    <w:rsid w:val="00111398"/>
    <w:rsid w:val="00111D76"/>
    <w:rsid w:val="001130BB"/>
    <w:rsid w:val="001142B4"/>
    <w:rsid w:val="00123198"/>
    <w:rsid w:val="00127063"/>
    <w:rsid w:val="00127B89"/>
    <w:rsid w:val="00132CF0"/>
    <w:rsid w:val="00134157"/>
    <w:rsid w:val="00135940"/>
    <w:rsid w:val="001409E2"/>
    <w:rsid w:val="00140C90"/>
    <w:rsid w:val="00144F75"/>
    <w:rsid w:val="00145A43"/>
    <w:rsid w:val="00147072"/>
    <w:rsid w:val="00150BD8"/>
    <w:rsid w:val="00150FB6"/>
    <w:rsid w:val="001518F1"/>
    <w:rsid w:val="00151E90"/>
    <w:rsid w:val="00154FFC"/>
    <w:rsid w:val="00155860"/>
    <w:rsid w:val="00155CAA"/>
    <w:rsid w:val="001567C2"/>
    <w:rsid w:val="00160B01"/>
    <w:rsid w:val="00161127"/>
    <w:rsid w:val="001670B8"/>
    <w:rsid w:val="00170124"/>
    <w:rsid w:val="00170B86"/>
    <w:rsid w:val="00173151"/>
    <w:rsid w:val="00173D52"/>
    <w:rsid w:val="00173E10"/>
    <w:rsid w:val="001752D0"/>
    <w:rsid w:val="00175A16"/>
    <w:rsid w:val="001761E1"/>
    <w:rsid w:val="001803BB"/>
    <w:rsid w:val="00180DDC"/>
    <w:rsid w:val="00184315"/>
    <w:rsid w:val="00185A6E"/>
    <w:rsid w:val="00186229"/>
    <w:rsid w:val="00191021"/>
    <w:rsid w:val="00191472"/>
    <w:rsid w:val="0019217E"/>
    <w:rsid w:val="00192B7C"/>
    <w:rsid w:val="00192D1C"/>
    <w:rsid w:val="00192F4F"/>
    <w:rsid w:val="00193655"/>
    <w:rsid w:val="00193C40"/>
    <w:rsid w:val="001967CA"/>
    <w:rsid w:val="001A0AF2"/>
    <w:rsid w:val="001A5537"/>
    <w:rsid w:val="001A5643"/>
    <w:rsid w:val="001A6E15"/>
    <w:rsid w:val="001A7906"/>
    <w:rsid w:val="001B03DA"/>
    <w:rsid w:val="001B3B17"/>
    <w:rsid w:val="001B5A82"/>
    <w:rsid w:val="001B62FB"/>
    <w:rsid w:val="001C3C72"/>
    <w:rsid w:val="001C5186"/>
    <w:rsid w:val="001C53E0"/>
    <w:rsid w:val="001C6A40"/>
    <w:rsid w:val="001D11B2"/>
    <w:rsid w:val="001D29D6"/>
    <w:rsid w:val="001D3F43"/>
    <w:rsid w:val="001D4796"/>
    <w:rsid w:val="001D5B2F"/>
    <w:rsid w:val="001D6CE4"/>
    <w:rsid w:val="001D6E70"/>
    <w:rsid w:val="001D711F"/>
    <w:rsid w:val="001E1185"/>
    <w:rsid w:val="001E1AD4"/>
    <w:rsid w:val="001E20E5"/>
    <w:rsid w:val="001E3CE3"/>
    <w:rsid w:val="001F100C"/>
    <w:rsid w:val="001F27BC"/>
    <w:rsid w:val="001F28C0"/>
    <w:rsid w:val="001F30EB"/>
    <w:rsid w:val="001F50A1"/>
    <w:rsid w:val="001F7BBF"/>
    <w:rsid w:val="00201595"/>
    <w:rsid w:val="0020449D"/>
    <w:rsid w:val="00204511"/>
    <w:rsid w:val="00204B69"/>
    <w:rsid w:val="002051DF"/>
    <w:rsid w:val="00207E01"/>
    <w:rsid w:val="00207E0B"/>
    <w:rsid w:val="00211B79"/>
    <w:rsid w:val="00211ED8"/>
    <w:rsid w:val="00214BEA"/>
    <w:rsid w:val="002157D9"/>
    <w:rsid w:val="00221A8B"/>
    <w:rsid w:val="00221E97"/>
    <w:rsid w:val="0022269E"/>
    <w:rsid w:val="00224AE4"/>
    <w:rsid w:val="0022778D"/>
    <w:rsid w:val="00231F52"/>
    <w:rsid w:val="00233FF1"/>
    <w:rsid w:val="002352F3"/>
    <w:rsid w:val="00236AA6"/>
    <w:rsid w:val="00237325"/>
    <w:rsid w:val="0023755C"/>
    <w:rsid w:val="002377ED"/>
    <w:rsid w:val="00240E5A"/>
    <w:rsid w:val="00241817"/>
    <w:rsid w:val="00244C15"/>
    <w:rsid w:val="002451BE"/>
    <w:rsid w:val="00250009"/>
    <w:rsid w:val="002516C7"/>
    <w:rsid w:val="00251AE6"/>
    <w:rsid w:val="00252258"/>
    <w:rsid w:val="00252781"/>
    <w:rsid w:val="0025308A"/>
    <w:rsid w:val="00254283"/>
    <w:rsid w:val="00262ACB"/>
    <w:rsid w:val="002639C1"/>
    <w:rsid w:val="002648B8"/>
    <w:rsid w:val="002724F4"/>
    <w:rsid w:val="00273479"/>
    <w:rsid w:val="00273AA3"/>
    <w:rsid w:val="00274FE8"/>
    <w:rsid w:val="00274FEA"/>
    <w:rsid w:val="002751AB"/>
    <w:rsid w:val="00277DD8"/>
    <w:rsid w:val="00280198"/>
    <w:rsid w:val="002803B7"/>
    <w:rsid w:val="002833EE"/>
    <w:rsid w:val="00285DAC"/>
    <w:rsid w:val="0028680E"/>
    <w:rsid w:val="0028760B"/>
    <w:rsid w:val="00287DC8"/>
    <w:rsid w:val="00290181"/>
    <w:rsid w:val="00290582"/>
    <w:rsid w:val="00291095"/>
    <w:rsid w:val="002929FA"/>
    <w:rsid w:val="00293BB6"/>
    <w:rsid w:val="00293D20"/>
    <w:rsid w:val="00293D21"/>
    <w:rsid w:val="00294DDC"/>
    <w:rsid w:val="00294EAB"/>
    <w:rsid w:val="00295177"/>
    <w:rsid w:val="0029682B"/>
    <w:rsid w:val="002A0CB7"/>
    <w:rsid w:val="002A5DCB"/>
    <w:rsid w:val="002A6ED0"/>
    <w:rsid w:val="002B0488"/>
    <w:rsid w:val="002B06A0"/>
    <w:rsid w:val="002B0C47"/>
    <w:rsid w:val="002B2D5E"/>
    <w:rsid w:val="002B4258"/>
    <w:rsid w:val="002B5165"/>
    <w:rsid w:val="002B68B4"/>
    <w:rsid w:val="002B6B6D"/>
    <w:rsid w:val="002B7C90"/>
    <w:rsid w:val="002C03F0"/>
    <w:rsid w:val="002C0D2D"/>
    <w:rsid w:val="002C2836"/>
    <w:rsid w:val="002C30FA"/>
    <w:rsid w:val="002C464A"/>
    <w:rsid w:val="002C5883"/>
    <w:rsid w:val="002C5F96"/>
    <w:rsid w:val="002C7946"/>
    <w:rsid w:val="002C796B"/>
    <w:rsid w:val="002D1183"/>
    <w:rsid w:val="002D12A9"/>
    <w:rsid w:val="002D2ACF"/>
    <w:rsid w:val="002D48C9"/>
    <w:rsid w:val="002D5581"/>
    <w:rsid w:val="002D7259"/>
    <w:rsid w:val="002D7C89"/>
    <w:rsid w:val="002E07AD"/>
    <w:rsid w:val="002E0D1F"/>
    <w:rsid w:val="002E419F"/>
    <w:rsid w:val="002E585F"/>
    <w:rsid w:val="002F1395"/>
    <w:rsid w:val="002F29A3"/>
    <w:rsid w:val="002F4E87"/>
    <w:rsid w:val="002F5C66"/>
    <w:rsid w:val="002F6695"/>
    <w:rsid w:val="0030656E"/>
    <w:rsid w:val="00306FE5"/>
    <w:rsid w:val="00306FFD"/>
    <w:rsid w:val="00307F55"/>
    <w:rsid w:val="00310AB0"/>
    <w:rsid w:val="003122B5"/>
    <w:rsid w:val="00312FE8"/>
    <w:rsid w:val="003150FC"/>
    <w:rsid w:val="00315BF6"/>
    <w:rsid w:val="00315CE2"/>
    <w:rsid w:val="00315DBC"/>
    <w:rsid w:val="003177F9"/>
    <w:rsid w:val="00321203"/>
    <w:rsid w:val="0032347B"/>
    <w:rsid w:val="0032597E"/>
    <w:rsid w:val="00331A49"/>
    <w:rsid w:val="00332F53"/>
    <w:rsid w:val="00333CDE"/>
    <w:rsid w:val="0033566C"/>
    <w:rsid w:val="0033725D"/>
    <w:rsid w:val="00341EB2"/>
    <w:rsid w:val="003436C7"/>
    <w:rsid w:val="00344448"/>
    <w:rsid w:val="00345D20"/>
    <w:rsid w:val="00346318"/>
    <w:rsid w:val="00346BD1"/>
    <w:rsid w:val="00350ED4"/>
    <w:rsid w:val="00351E5C"/>
    <w:rsid w:val="00352140"/>
    <w:rsid w:val="00352245"/>
    <w:rsid w:val="003552F2"/>
    <w:rsid w:val="003559A7"/>
    <w:rsid w:val="00355CAE"/>
    <w:rsid w:val="003572E0"/>
    <w:rsid w:val="003602B9"/>
    <w:rsid w:val="003623BF"/>
    <w:rsid w:val="003633ED"/>
    <w:rsid w:val="00367167"/>
    <w:rsid w:val="003723BC"/>
    <w:rsid w:val="00372634"/>
    <w:rsid w:val="003732E0"/>
    <w:rsid w:val="00373BCB"/>
    <w:rsid w:val="00373DF4"/>
    <w:rsid w:val="00376CEA"/>
    <w:rsid w:val="003806F3"/>
    <w:rsid w:val="0038111E"/>
    <w:rsid w:val="00382E4E"/>
    <w:rsid w:val="00387EED"/>
    <w:rsid w:val="003924B6"/>
    <w:rsid w:val="0039724D"/>
    <w:rsid w:val="003A1B8D"/>
    <w:rsid w:val="003A26D7"/>
    <w:rsid w:val="003A2DCC"/>
    <w:rsid w:val="003A45DC"/>
    <w:rsid w:val="003A5C8D"/>
    <w:rsid w:val="003A66D4"/>
    <w:rsid w:val="003A674D"/>
    <w:rsid w:val="003A7248"/>
    <w:rsid w:val="003A7A58"/>
    <w:rsid w:val="003B3185"/>
    <w:rsid w:val="003B4B12"/>
    <w:rsid w:val="003B6C81"/>
    <w:rsid w:val="003C1387"/>
    <w:rsid w:val="003C1AD3"/>
    <w:rsid w:val="003C1AE6"/>
    <w:rsid w:val="003C1D3B"/>
    <w:rsid w:val="003C507B"/>
    <w:rsid w:val="003D0085"/>
    <w:rsid w:val="003D03EB"/>
    <w:rsid w:val="003D0748"/>
    <w:rsid w:val="003D1387"/>
    <w:rsid w:val="003D4066"/>
    <w:rsid w:val="003D6165"/>
    <w:rsid w:val="003D63B1"/>
    <w:rsid w:val="003D711A"/>
    <w:rsid w:val="003D7B44"/>
    <w:rsid w:val="003E0514"/>
    <w:rsid w:val="003E0D83"/>
    <w:rsid w:val="003E16F9"/>
    <w:rsid w:val="003E29B3"/>
    <w:rsid w:val="003E36F6"/>
    <w:rsid w:val="003E3ABA"/>
    <w:rsid w:val="003E3BB0"/>
    <w:rsid w:val="003E4098"/>
    <w:rsid w:val="003E40CD"/>
    <w:rsid w:val="003E57F7"/>
    <w:rsid w:val="003E5A76"/>
    <w:rsid w:val="003E5D99"/>
    <w:rsid w:val="003E7331"/>
    <w:rsid w:val="003F175A"/>
    <w:rsid w:val="003F1869"/>
    <w:rsid w:val="003F2FC9"/>
    <w:rsid w:val="003F32D5"/>
    <w:rsid w:val="003F45E8"/>
    <w:rsid w:val="003F469B"/>
    <w:rsid w:val="003F5E3D"/>
    <w:rsid w:val="00402B7F"/>
    <w:rsid w:val="00402F92"/>
    <w:rsid w:val="00404977"/>
    <w:rsid w:val="00404BF7"/>
    <w:rsid w:val="00405186"/>
    <w:rsid w:val="0040659E"/>
    <w:rsid w:val="00407AFC"/>
    <w:rsid w:val="004100E9"/>
    <w:rsid w:val="004111FC"/>
    <w:rsid w:val="00413897"/>
    <w:rsid w:val="004148BF"/>
    <w:rsid w:val="004150E6"/>
    <w:rsid w:val="004161A8"/>
    <w:rsid w:val="0042051F"/>
    <w:rsid w:val="004251ED"/>
    <w:rsid w:val="00425663"/>
    <w:rsid w:val="004256EF"/>
    <w:rsid w:val="0042663F"/>
    <w:rsid w:val="0042693A"/>
    <w:rsid w:val="0042706D"/>
    <w:rsid w:val="0042727A"/>
    <w:rsid w:val="00427FDA"/>
    <w:rsid w:val="0043066E"/>
    <w:rsid w:val="00433D41"/>
    <w:rsid w:val="00434612"/>
    <w:rsid w:val="00435A50"/>
    <w:rsid w:val="00436639"/>
    <w:rsid w:val="004411CC"/>
    <w:rsid w:val="00445D57"/>
    <w:rsid w:val="00445FC1"/>
    <w:rsid w:val="00447297"/>
    <w:rsid w:val="0045071A"/>
    <w:rsid w:val="00450CBE"/>
    <w:rsid w:val="004521C2"/>
    <w:rsid w:val="00456D32"/>
    <w:rsid w:val="00456E88"/>
    <w:rsid w:val="004601D7"/>
    <w:rsid w:val="0046027F"/>
    <w:rsid w:val="00460848"/>
    <w:rsid w:val="00463BF8"/>
    <w:rsid w:val="00464AA9"/>
    <w:rsid w:val="00464ECD"/>
    <w:rsid w:val="004656D4"/>
    <w:rsid w:val="0046706F"/>
    <w:rsid w:val="00471A62"/>
    <w:rsid w:val="00472803"/>
    <w:rsid w:val="00474854"/>
    <w:rsid w:val="00474BBE"/>
    <w:rsid w:val="00475E98"/>
    <w:rsid w:val="00476FC5"/>
    <w:rsid w:val="00483B64"/>
    <w:rsid w:val="00484D20"/>
    <w:rsid w:val="00485A63"/>
    <w:rsid w:val="004900A3"/>
    <w:rsid w:val="00490446"/>
    <w:rsid w:val="004910C8"/>
    <w:rsid w:val="0049264B"/>
    <w:rsid w:val="004953AD"/>
    <w:rsid w:val="00495B3A"/>
    <w:rsid w:val="004965F7"/>
    <w:rsid w:val="004A13B7"/>
    <w:rsid w:val="004A32BF"/>
    <w:rsid w:val="004A5139"/>
    <w:rsid w:val="004A5147"/>
    <w:rsid w:val="004A60F4"/>
    <w:rsid w:val="004B116A"/>
    <w:rsid w:val="004B4F25"/>
    <w:rsid w:val="004B5731"/>
    <w:rsid w:val="004B7594"/>
    <w:rsid w:val="004C218C"/>
    <w:rsid w:val="004C33BF"/>
    <w:rsid w:val="004C4B3A"/>
    <w:rsid w:val="004C4DD9"/>
    <w:rsid w:val="004C52DB"/>
    <w:rsid w:val="004C6389"/>
    <w:rsid w:val="004C6C2F"/>
    <w:rsid w:val="004D0016"/>
    <w:rsid w:val="004D01A4"/>
    <w:rsid w:val="004D10AF"/>
    <w:rsid w:val="004D3A99"/>
    <w:rsid w:val="004D5C97"/>
    <w:rsid w:val="004D7309"/>
    <w:rsid w:val="004E0112"/>
    <w:rsid w:val="004E0255"/>
    <w:rsid w:val="004E2FAE"/>
    <w:rsid w:val="004E63AE"/>
    <w:rsid w:val="004E6829"/>
    <w:rsid w:val="004F1C60"/>
    <w:rsid w:val="004F338E"/>
    <w:rsid w:val="004F798B"/>
    <w:rsid w:val="005043B8"/>
    <w:rsid w:val="005057C4"/>
    <w:rsid w:val="00505D20"/>
    <w:rsid w:val="00506580"/>
    <w:rsid w:val="00506ED9"/>
    <w:rsid w:val="00507770"/>
    <w:rsid w:val="00510085"/>
    <w:rsid w:val="00511AA3"/>
    <w:rsid w:val="00513CA1"/>
    <w:rsid w:val="005207EA"/>
    <w:rsid w:val="00521DCB"/>
    <w:rsid w:val="00525E13"/>
    <w:rsid w:val="005313F3"/>
    <w:rsid w:val="00532E6D"/>
    <w:rsid w:val="00533164"/>
    <w:rsid w:val="005337DE"/>
    <w:rsid w:val="00534E7E"/>
    <w:rsid w:val="005368BC"/>
    <w:rsid w:val="005407C5"/>
    <w:rsid w:val="0054104C"/>
    <w:rsid w:val="00542669"/>
    <w:rsid w:val="00547670"/>
    <w:rsid w:val="00552394"/>
    <w:rsid w:val="00552BE3"/>
    <w:rsid w:val="00553D58"/>
    <w:rsid w:val="00556DD5"/>
    <w:rsid w:val="00562613"/>
    <w:rsid w:val="0056268B"/>
    <w:rsid w:val="0056345A"/>
    <w:rsid w:val="00563B5A"/>
    <w:rsid w:val="0056449B"/>
    <w:rsid w:val="00564B80"/>
    <w:rsid w:val="005715DA"/>
    <w:rsid w:val="00573585"/>
    <w:rsid w:val="005749B1"/>
    <w:rsid w:val="00574E9C"/>
    <w:rsid w:val="00574FA1"/>
    <w:rsid w:val="005754FD"/>
    <w:rsid w:val="005757DF"/>
    <w:rsid w:val="00577985"/>
    <w:rsid w:val="005779D5"/>
    <w:rsid w:val="00581C41"/>
    <w:rsid w:val="00583F5A"/>
    <w:rsid w:val="00585328"/>
    <w:rsid w:val="00585F8F"/>
    <w:rsid w:val="005876E9"/>
    <w:rsid w:val="00593DD0"/>
    <w:rsid w:val="00594BDA"/>
    <w:rsid w:val="00595A30"/>
    <w:rsid w:val="00595C0A"/>
    <w:rsid w:val="0059778F"/>
    <w:rsid w:val="005A28D4"/>
    <w:rsid w:val="005A290F"/>
    <w:rsid w:val="005A30B2"/>
    <w:rsid w:val="005B403F"/>
    <w:rsid w:val="005B46E6"/>
    <w:rsid w:val="005B4A1B"/>
    <w:rsid w:val="005B7BC1"/>
    <w:rsid w:val="005C0CA5"/>
    <w:rsid w:val="005C0D17"/>
    <w:rsid w:val="005C25BD"/>
    <w:rsid w:val="005C4047"/>
    <w:rsid w:val="005C58AB"/>
    <w:rsid w:val="005C58F9"/>
    <w:rsid w:val="005C7EB8"/>
    <w:rsid w:val="005D651D"/>
    <w:rsid w:val="005E09C4"/>
    <w:rsid w:val="005E1058"/>
    <w:rsid w:val="005E3611"/>
    <w:rsid w:val="005F070A"/>
    <w:rsid w:val="005F2305"/>
    <w:rsid w:val="005F5A66"/>
    <w:rsid w:val="005F6240"/>
    <w:rsid w:val="005F66F7"/>
    <w:rsid w:val="005F6B34"/>
    <w:rsid w:val="006019C9"/>
    <w:rsid w:val="006020B7"/>
    <w:rsid w:val="00602A5D"/>
    <w:rsid w:val="00602E7E"/>
    <w:rsid w:val="006033CC"/>
    <w:rsid w:val="00604FE0"/>
    <w:rsid w:val="0060583B"/>
    <w:rsid w:val="006061DA"/>
    <w:rsid w:val="006063C4"/>
    <w:rsid w:val="00606DF8"/>
    <w:rsid w:val="00610A10"/>
    <w:rsid w:val="00610B60"/>
    <w:rsid w:val="006136B2"/>
    <w:rsid w:val="00615D54"/>
    <w:rsid w:val="006178BD"/>
    <w:rsid w:val="00621F5B"/>
    <w:rsid w:val="0062334D"/>
    <w:rsid w:val="006235C5"/>
    <w:rsid w:val="00624E4A"/>
    <w:rsid w:val="006266AC"/>
    <w:rsid w:val="00630989"/>
    <w:rsid w:val="00630CF5"/>
    <w:rsid w:val="00631079"/>
    <w:rsid w:val="00631355"/>
    <w:rsid w:val="00632002"/>
    <w:rsid w:val="006401C0"/>
    <w:rsid w:val="00640F0A"/>
    <w:rsid w:val="0064198D"/>
    <w:rsid w:val="00641B66"/>
    <w:rsid w:val="00644482"/>
    <w:rsid w:val="0064561F"/>
    <w:rsid w:val="006456BC"/>
    <w:rsid w:val="00646FEB"/>
    <w:rsid w:val="0065105B"/>
    <w:rsid w:val="0065525E"/>
    <w:rsid w:val="00655514"/>
    <w:rsid w:val="006578D2"/>
    <w:rsid w:val="0066080A"/>
    <w:rsid w:val="00661539"/>
    <w:rsid w:val="00661CA5"/>
    <w:rsid w:val="00662B7F"/>
    <w:rsid w:val="00664748"/>
    <w:rsid w:val="00664F6A"/>
    <w:rsid w:val="00665C6E"/>
    <w:rsid w:val="00671A56"/>
    <w:rsid w:val="0067260C"/>
    <w:rsid w:val="00673AEA"/>
    <w:rsid w:val="00673DD9"/>
    <w:rsid w:val="006756A1"/>
    <w:rsid w:val="00675E74"/>
    <w:rsid w:val="006763AC"/>
    <w:rsid w:val="006776E7"/>
    <w:rsid w:val="00677DF3"/>
    <w:rsid w:val="00682BBB"/>
    <w:rsid w:val="00683864"/>
    <w:rsid w:val="00683D06"/>
    <w:rsid w:val="00683EFA"/>
    <w:rsid w:val="00684DA1"/>
    <w:rsid w:val="0068677A"/>
    <w:rsid w:val="00686B96"/>
    <w:rsid w:val="00687CA9"/>
    <w:rsid w:val="006916E2"/>
    <w:rsid w:val="00692950"/>
    <w:rsid w:val="00694627"/>
    <w:rsid w:val="00694A21"/>
    <w:rsid w:val="006975DC"/>
    <w:rsid w:val="006A0DA7"/>
    <w:rsid w:val="006A40CB"/>
    <w:rsid w:val="006A6A46"/>
    <w:rsid w:val="006A7AC4"/>
    <w:rsid w:val="006B02E9"/>
    <w:rsid w:val="006B51C5"/>
    <w:rsid w:val="006B59A9"/>
    <w:rsid w:val="006B6870"/>
    <w:rsid w:val="006C0185"/>
    <w:rsid w:val="006C0391"/>
    <w:rsid w:val="006C1F68"/>
    <w:rsid w:val="006C499E"/>
    <w:rsid w:val="006C614A"/>
    <w:rsid w:val="006C6BAE"/>
    <w:rsid w:val="006D0E8B"/>
    <w:rsid w:val="006D1291"/>
    <w:rsid w:val="006D17BD"/>
    <w:rsid w:val="006D4F36"/>
    <w:rsid w:val="006D6BBC"/>
    <w:rsid w:val="006E0DBD"/>
    <w:rsid w:val="006E299E"/>
    <w:rsid w:val="006E368D"/>
    <w:rsid w:val="006E47C9"/>
    <w:rsid w:val="006F04BB"/>
    <w:rsid w:val="006F13A6"/>
    <w:rsid w:val="006F321C"/>
    <w:rsid w:val="006F3CCB"/>
    <w:rsid w:val="006F4B87"/>
    <w:rsid w:val="006F4FF7"/>
    <w:rsid w:val="006F611D"/>
    <w:rsid w:val="00700555"/>
    <w:rsid w:val="00700A4E"/>
    <w:rsid w:val="007011F8"/>
    <w:rsid w:val="00701DCE"/>
    <w:rsid w:val="00704427"/>
    <w:rsid w:val="00705159"/>
    <w:rsid w:val="00706DA1"/>
    <w:rsid w:val="00711A6C"/>
    <w:rsid w:val="00711B02"/>
    <w:rsid w:val="00711CB7"/>
    <w:rsid w:val="007123AB"/>
    <w:rsid w:val="00713071"/>
    <w:rsid w:val="00713CBC"/>
    <w:rsid w:val="00713F6C"/>
    <w:rsid w:val="0071533E"/>
    <w:rsid w:val="00720DB6"/>
    <w:rsid w:val="0072155B"/>
    <w:rsid w:val="0072370B"/>
    <w:rsid w:val="00723803"/>
    <w:rsid w:val="0072386D"/>
    <w:rsid w:val="00724C18"/>
    <w:rsid w:val="00726F75"/>
    <w:rsid w:val="007275A7"/>
    <w:rsid w:val="00730514"/>
    <w:rsid w:val="0073185E"/>
    <w:rsid w:val="00732329"/>
    <w:rsid w:val="00734229"/>
    <w:rsid w:val="00734B90"/>
    <w:rsid w:val="007361DA"/>
    <w:rsid w:val="007373AB"/>
    <w:rsid w:val="00737DF1"/>
    <w:rsid w:val="00737FA7"/>
    <w:rsid w:val="007408E9"/>
    <w:rsid w:val="00740B10"/>
    <w:rsid w:val="00744E7F"/>
    <w:rsid w:val="0074503F"/>
    <w:rsid w:val="00745823"/>
    <w:rsid w:val="0075011B"/>
    <w:rsid w:val="00750A64"/>
    <w:rsid w:val="007510B9"/>
    <w:rsid w:val="007530CF"/>
    <w:rsid w:val="00753451"/>
    <w:rsid w:val="00753599"/>
    <w:rsid w:val="007539ED"/>
    <w:rsid w:val="00753EAA"/>
    <w:rsid w:val="007567A9"/>
    <w:rsid w:val="00757122"/>
    <w:rsid w:val="00761A06"/>
    <w:rsid w:val="00762A2A"/>
    <w:rsid w:val="00764358"/>
    <w:rsid w:val="007649B0"/>
    <w:rsid w:val="00767227"/>
    <w:rsid w:val="00770024"/>
    <w:rsid w:val="00772966"/>
    <w:rsid w:val="00772C57"/>
    <w:rsid w:val="00774401"/>
    <w:rsid w:val="00774D4A"/>
    <w:rsid w:val="007769C2"/>
    <w:rsid w:val="00785CBD"/>
    <w:rsid w:val="00787045"/>
    <w:rsid w:val="00787B24"/>
    <w:rsid w:val="00790963"/>
    <w:rsid w:val="00794E95"/>
    <w:rsid w:val="00795FFF"/>
    <w:rsid w:val="00796F3E"/>
    <w:rsid w:val="007A0E8D"/>
    <w:rsid w:val="007A7524"/>
    <w:rsid w:val="007A7A75"/>
    <w:rsid w:val="007A7F21"/>
    <w:rsid w:val="007B13AF"/>
    <w:rsid w:val="007B1634"/>
    <w:rsid w:val="007B1930"/>
    <w:rsid w:val="007B24C3"/>
    <w:rsid w:val="007B73F3"/>
    <w:rsid w:val="007C1816"/>
    <w:rsid w:val="007C18C4"/>
    <w:rsid w:val="007C1907"/>
    <w:rsid w:val="007C22E1"/>
    <w:rsid w:val="007C24C0"/>
    <w:rsid w:val="007C382A"/>
    <w:rsid w:val="007C4C35"/>
    <w:rsid w:val="007C4F62"/>
    <w:rsid w:val="007C4F8A"/>
    <w:rsid w:val="007C543A"/>
    <w:rsid w:val="007C7932"/>
    <w:rsid w:val="007D1628"/>
    <w:rsid w:val="007D3D72"/>
    <w:rsid w:val="007D3E86"/>
    <w:rsid w:val="007D4D48"/>
    <w:rsid w:val="007D616A"/>
    <w:rsid w:val="007D73E7"/>
    <w:rsid w:val="007E0463"/>
    <w:rsid w:val="007E0B71"/>
    <w:rsid w:val="007E3271"/>
    <w:rsid w:val="007E3388"/>
    <w:rsid w:val="007E5C3F"/>
    <w:rsid w:val="007F061A"/>
    <w:rsid w:val="007F0F23"/>
    <w:rsid w:val="007F0F41"/>
    <w:rsid w:val="007F0F8D"/>
    <w:rsid w:val="007F14AA"/>
    <w:rsid w:val="007F1690"/>
    <w:rsid w:val="007F192D"/>
    <w:rsid w:val="007F35F4"/>
    <w:rsid w:val="007F4849"/>
    <w:rsid w:val="007F4994"/>
    <w:rsid w:val="0080033F"/>
    <w:rsid w:val="008010CC"/>
    <w:rsid w:val="008012B9"/>
    <w:rsid w:val="00803263"/>
    <w:rsid w:val="008053E1"/>
    <w:rsid w:val="00805585"/>
    <w:rsid w:val="0080643C"/>
    <w:rsid w:val="00806ED3"/>
    <w:rsid w:val="00810916"/>
    <w:rsid w:val="00810EDF"/>
    <w:rsid w:val="00811077"/>
    <w:rsid w:val="00812499"/>
    <w:rsid w:val="008135A6"/>
    <w:rsid w:val="0081417D"/>
    <w:rsid w:val="00814BC4"/>
    <w:rsid w:val="00817023"/>
    <w:rsid w:val="0082234F"/>
    <w:rsid w:val="00822422"/>
    <w:rsid w:val="008225F7"/>
    <w:rsid w:val="00822CDD"/>
    <w:rsid w:val="0083377F"/>
    <w:rsid w:val="00835D41"/>
    <w:rsid w:val="0083656B"/>
    <w:rsid w:val="0083773F"/>
    <w:rsid w:val="0084319D"/>
    <w:rsid w:val="00844075"/>
    <w:rsid w:val="008440D2"/>
    <w:rsid w:val="00844847"/>
    <w:rsid w:val="008457A3"/>
    <w:rsid w:val="00852A6E"/>
    <w:rsid w:val="00852F37"/>
    <w:rsid w:val="00853416"/>
    <w:rsid w:val="00855C40"/>
    <w:rsid w:val="00861F8D"/>
    <w:rsid w:val="008620B6"/>
    <w:rsid w:val="0086591B"/>
    <w:rsid w:val="00866988"/>
    <w:rsid w:val="00870BF1"/>
    <w:rsid w:val="00871DAD"/>
    <w:rsid w:val="0087356E"/>
    <w:rsid w:val="0087616B"/>
    <w:rsid w:val="00880E69"/>
    <w:rsid w:val="00882255"/>
    <w:rsid w:val="00883DDC"/>
    <w:rsid w:val="008847B9"/>
    <w:rsid w:val="00885A65"/>
    <w:rsid w:val="00885C2C"/>
    <w:rsid w:val="00886196"/>
    <w:rsid w:val="008866BA"/>
    <w:rsid w:val="00890C1F"/>
    <w:rsid w:val="008917AF"/>
    <w:rsid w:val="00895CA2"/>
    <w:rsid w:val="0089650D"/>
    <w:rsid w:val="008A108D"/>
    <w:rsid w:val="008A3D6B"/>
    <w:rsid w:val="008A69BD"/>
    <w:rsid w:val="008B0468"/>
    <w:rsid w:val="008B0E3A"/>
    <w:rsid w:val="008B3429"/>
    <w:rsid w:val="008B64A7"/>
    <w:rsid w:val="008B68F3"/>
    <w:rsid w:val="008B7AD1"/>
    <w:rsid w:val="008C0042"/>
    <w:rsid w:val="008C10E2"/>
    <w:rsid w:val="008C1889"/>
    <w:rsid w:val="008C1B3B"/>
    <w:rsid w:val="008C2BBF"/>
    <w:rsid w:val="008C4BF7"/>
    <w:rsid w:val="008C5C26"/>
    <w:rsid w:val="008C6DF8"/>
    <w:rsid w:val="008D0754"/>
    <w:rsid w:val="008E0778"/>
    <w:rsid w:val="008E0FBE"/>
    <w:rsid w:val="008E3372"/>
    <w:rsid w:val="008E339A"/>
    <w:rsid w:val="008E71B8"/>
    <w:rsid w:val="008F0AD2"/>
    <w:rsid w:val="008F0B3A"/>
    <w:rsid w:val="008F19D9"/>
    <w:rsid w:val="008F59D1"/>
    <w:rsid w:val="008F6FD1"/>
    <w:rsid w:val="008F794C"/>
    <w:rsid w:val="008F7EE0"/>
    <w:rsid w:val="009018A2"/>
    <w:rsid w:val="00901DFE"/>
    <w:rsid w:val="00901EF1"/>
    <w:rsid w:val="00903154"/>
    <w:rsid w:val="00905811"/>
    <w:rsid w:val="00905A4E"/>
    <w:rsid w:val="00905CD2"/>
    <w:rsid w:val="009064BC"/>
    <w:rsid w:val="009129EF"/>
    <w:rsid w:val="00916580"/>
    <w:rsid w:val="00917457"/>
    <w:rsid w:val="00917819"/>
    <w:rsid w:val="00917E5C"/>
    <w:rsid w:val="0092192D"/>
    <w:rsid w:val="00921A95"/>
    <w:rsid w:val="0092438E"/>
    <w:rsid w:val="0092544D"/>
    <w:rsid w:val="00925DDC"/>
    <w:rsid w:val="00927A04"/>
    <w:rsid w:val="00927C86"/>
    <w:rsid w:val="009320F4"/>
    <w:rsid w:val="00932EF4"/>
    <w:rsid w:val="00933149"/>
    <w:rsid w:val="009356B6"/>
    <w:rsid w:val="009358D9"/>
    <w:rsid w:val="00936E9C"/>
    <w:rsid w:val="0093747A"/>
    <w:rsid w:val="009378CC"/>
    <w:rsid w:val="00940413"/>
    <w:rsid w:val="009415D1"/>
    <w:rsid w:val="00945EA3"/>
    <w:rsid w:val="0094664F"/>
    <w:rsid w:val="00947A47"/>
    <w:rsid w:val="00947E59"/>
    <w:rsid w:val="00950332"/>
    <w:rsid w:val="009539CC"/>
    <w:rsid w:val="0095490E"/>
    <w:rsid w:val="009550A8"/>
    <w:rsid w:val="00955110"/>
    <w:rsid w:val="0096077A"/>
    <w:rsid w:val="00961C56"/>
    <w:rsid w:val="00962E04"/>
    <w:rsid w:val="00963EDE"/>
    <w:rsid w:val="009653A9"/>
    <w:rsid w:val="009658A0"/>
    <w:rsid w:val="0096592A"/>
    <w:rsid w:val="00966600"/>
    <w:rsid w:val="00966908"/>
    <w:rsid w:val="00971ACE"/>
    <w:rsid w:val="00971F7F"/>
    <w:rsid w:val="00972C5F"/>
    <w:rsid w:val="00974497"/>
    <w:rsid w:val="009754F3"/>
    <w:rsid w:val="00975A8F"/>
    <w:rsid w:val="00976246"/>
    <w:rsid w:val="009769E5"/>
    <w:rsid w:val="00980AF7"/>
    <w:rsid w:val="00980B04"/>
    <w:rsid w:val="00980D15"/>
    <w:rsid w:val="0098214F"/>
    <w:rsid w:val="009828BB"/>
    <w:rsid w:val="00985CC7"/>
    <w:rsid w:val="00990776"/>
    <w:rsid w:val="009920F4"/>
    <w:rsid w:val="00993069"/>
    <w:rsid w:val="009965DC"/>
    <w:rsid w:val="00996B1F"/>
    <w:rsid w:val="00996D10"/>
    <w:rsid w:val="009A0C2D"/>
    <w:rsid w:val="009A0F52"/>
    <w:rsid w:val="009A118C"/>
    <w:rsid w:val="009A1CD7"/>
    <w:rsid w:val="009A278A"/>
    <w:rsid w:val="009A3C66"/>
    <w:rsid w:val="009A3E7B"/>
    <w:rsid w:val="009A4885"/>
    <w:rsid w:val="009A66D8"/>
    <w:rsid w:val="009A7A66"/>
    <w:rsid w:val="009B15EA"/>
    <w:rsid w:val="009B7118"/>
    <w:rsid w:val="009C02E6"/>
    <w:rsid w:val="009C063E"/>
    <w:rsid w:val="009C06F2"/>
    <w:rsid w:val="009C1EEB"/>
    <w:rsid w:val="009C2788"/>
    <w:rsid w:val="009C2C17"/>
    <w:rsid w:val="009C68DB"/>
    <w:rsid w:val="009C78A9"/>
    <w:rsid w:val="009D2E17"/>
    <w:rsid w:val="009D3A11"/>
    <w:rsid w:val="009D598B"/>
    <w:rsid w:val="009D5BD7"/>
    <w:rsid w:val="009D5E39"/>
    <w:rsid w:val="009D5E70"/>
    <w:rsid w:val="009E0422"/>
    <w:rsid w:val="009E07CB"/>
    <w:rsid w:val="009E3E20"/>
    <w:rsid w:val="009F05E4"/>
    <w:rsid w:val="009F0EFB"/>
    <w:rsid w:val="009F174D"/>
    <w:rsid w:val="009F250D"/>
    <w:rsid w:val="009F3191"/>
    <w:rsid w:val="009F668C"/>
    <w:rsid w:val="00A01D4E"/>
    <w:rsid w:val="00A07584"/>
    <w:rsid w:val="00A10B0E"/>
    <w:rsid w:val="00A11CA7"/>
    <w:rsid w:val="00A1496D"/>
    <w:rsid w:val="00A14C6C"/>
    <w:rsid w:val="00A14D38"/>
    <w:rsid w:val="00A151C5"/>
    <w:rsid w:val="00A16D2B"/>
    <w:rsid w:val="00A17669"/>
    <w:rsid w:val="00A20C87"/>
    <w:rsid w:val="00A26F89"/>
    <w:rsid w:val="00A26F96"/>
    <w:rsid w:val="00A27DA7"/>
    <w:rsid w:val="00A27E95"/>
    <w:rsid w:val="00A303CC"/>
    <w:rsid w:val="00A30A60"/>
    <w:rsid w:val="00A310A7"/>
    <w:rsid w:val="00A31857"/>
    <w:rsid w:val="00A3238F"/>
    <w:rsid w:val="00A3299A"/>
    <w:rsid w:val="00A333C4"/>
    <w:rsid w:val="00A34747"/>
    <w:rsid w:val="00A36396"/>
    <w:rsid w:val="00A37555"/>
    <w:rsid w:val="00A376C2"/>
    <w:rsid w:val="00A3772E"/>
    <w:rsid w:val="00A41DE7"/>
    <w:rsid w:val="00A424DB"/>
    <w:rsid w:val="00A42664"/>
    <w:rsid w:val="00A439B4"/>
    <w:rsid w:val="00A4422E"/>
    <w:rsid w:val="00A448C1"/>
    <w:rsid w:val="00A4498B"/>
    <w:rsid w:val="00A4588F"/>
    <w:rsid w:val="00A458D4"/>
    <w:rsid w:val="00A47A22"/>
    <w:rsid w:val="00A50749"/>
    <w:rsid w:val="00A508B9"/>
    <w:rsid w:val="00A50935"/>
    <w:rsid w:val="00A518D7"/>
    <w:rsid w:val="00A51D4B"/>
    <w:rsid w:val="00A51F71"/>
    <w:rsid w:val="00A52D06"/>
    <w:rsid w:val="00A52DB4"/>
    <w:rsid w:val="00A53844"/>
    <w:rsid w:val="00A543A8"/>
    <w:rsid w:val="00A61109"/>
    <w:rsid w:val="00A61D07"/>
    <w:rsid w:val="00A61FB3"/>
    <w:rsid w:val="00A646EB"/>
    <w:rsid w:val="00A64B56"/>
    <w:rsid w:val="00A662FC"/>
    <w:rsid w:val="00A67966"/>
    <w:rsid w:val="00A714A2"/>
    <w:rsid w:val="00A7183F"/>
    <w:rsid w:val="00A7382E"/>
    <w:rsid w:val="00A73890"/>
    <w:rsid w:val="00A7447D"/>
    <w:rsid w:val="00A7566B"/>
    <w:rsid w:val="00A756D4"/>
    <w:rsid w:val="00A7641A"/>
    <w:rsid w:val="00A76BCC"/>
    <w:rsid w:val="00A779F4"/>
    <w:rsid w:val="00A8029B"/>
    <w:rsid w:val="00A8033E"/>
    <w:rsid w:val="00A81CD5"/>
    <w:rsid w:val="00A82D24"/>
    <w:rsid w:val="00A877CE"/>
    <w:rsid w:val="00A93C1E"/>
    <w:rsid w:val="00A945BC"/>
    <w:rsid w:val="00AA0F7A"/>
    <w:rsid w:val="00AA2271"/>
    <w:rsid w:val="00AA4528"/>
    <w:rsid w:val="00AA4FDB"/>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44D5"/>
    <w:rsid w:val="00AC5186"/>
    <w:rsid w:val="00AD037C"/>
    <w:rsid w:val="00AD0FAD"/>
    <w:rsid w:val="00AD1B6D"/>
    <w:rsid w:val="00AD2818"/>
    <w:rsid w:val="00AD314E"/>
    <w:rsid w:val="00AD4E8E"/>
    <w:rsid w:val="00AD5EC6"/>
    <w:rsid w:val="00AD68AE"/>
    <w:rsid w:val="00AD6BC0"/>
    <w:rsid w:val="00AD7908"/>
    <w:rsid w:val="00AE0828"/>
    <w:rsid w:val="00AE0C3A"/>
    <w:rsid w:val="00AE18D4"/>
    <w:rsid w:val="00AE2667"/>
    <w:rsid w:val="00AE3B2E"/>
    <w:rsid w:val="00AE3EE8"/>
    <w:rsid w:val="00AE4DAC"/>
    <w:rsid w:val="00AE5473"/>
    <w:rsid w:val="00AE5948"/>
    <w:rsid w:val="00AF1413"/>
    <w:rsid w:val="00AF27DA"/>
    <w:rsid w:val="00AF4B4D"/>
    <w:rsid w:val="00B002A6"/>
    <w:rsid w:val="00B01C5A"/>
    <w:rsid w:val="00B02A59"/>
    <w:rsid w:val="00B02F5E"/>
    <w:rsid w:val="00B03172"/>
    <w:rsid w:val="00B031EC"/>
    <w:rsid w:val="00B033E9"/>
    <w:rsid w:val="00B03BDB"/>
    <w:rsid w:val="00B04E89"/>
    <w:rsid w:val="00B06C9D"/>
    <w:rsid w:val="00B123D9"/>
    <w:rsid w:val="00B128A5"/>
    <w:rsid w:val="00B16A20"/>
    <w:rsid w:val="00B17BFD"/>
    <w:rsid w:val="00B21DC4"/>
    <w:rsid w:val="00B25C9A"/>
    <w:rsid w:val="00B30190"/>
    <w:rsid w:val="00B315B4"/>
    <w:rsid w:val="00B33DC4"/>
    <w:rsid w:val="00B33FE9"/>
    <w:rsid w:val="00B35A44"/>
    <w:rsid w:val="00B36255"/>
    <w:rsid w:val="00B36BDF"/>
    <w:rsid w:val="00B378B0"/>
    <w:rsid w:val="00B405F5"/>
    <w:rsid w:val="00B42EB3"/>
    <w:rsid w:val="00B44077"/>
    <w:rsid w:val="00B45046"/>
    <w:rsid w:val="00B45D24"/>
    <w:rsid w:val="00B46C69"/>
    <w:rsid w:val="00B478E8"/>
    <w:rsid w:val="00B5040C"/>
    <w:rsid w:val="00B50A0C"/>
    <w:rsid w:val="00B532D5"/>
    <w:rsid w:val="00B543C0"/>
    <w:rsid w:val="00B55F30"/>
    <w:rsid w:val="00B57106"/>
    <w:rsid w:val="00B573E5"/>
    <w:rsid w:val="00B6042B"/>
    <w:rsid w:val="00B621D8"/>
    <w:rsid w:val="00B6312E"/>
    <w:rsid w:val="00B6477E"/>
    <w:rsid w:val="00B64B2E"/>
    <w:rsid w:val="00B65C90"/>
    <w:rsid w:val="00B674BC"/>
    <w:rsid w:val="00B67A70"/>
    <w:rsid w:val="00B70F89"/>
    <w:rsid w:val="00B74228"/>
    <w:rsid w:val="00B75A40"/>
    <w:rsid w:val="00B777C9"/>
    <w:rsid w:val="00B815F8"/>
    <w:rsid w:val="00B850B6"/>
    <w:rsid w:val="00B92951"/>
    <w:rsid w:val="00B94E46"/>
    <w:rsid w:val="00B95403"/>
    <w:rsid w:val="00B95B34"/>
    <w:rsid w:val="00B961C1"/>
    <w:rsid w:val="00BA0213"/>
    <w:rsid w:val="00BA1B88"/>
    <w:rsid w:val="00BA1D52"/>
    <w:rsid w:val="00BA212E"/>
    <w:rsid w:val="00BA49EB"/>
    <w:rsid w:val="00BA4C42"/>
    <w:rsid w:val="00BA54CC"/>
    <w:rsid w:val="00BA6D46"/>
    <w:rsid w:val="00BA70B5"/>
    <w:rsid w:val="00BA7251"/>
    <w:rsid w:val="00BB2590"/>
    <w:rsid w:val="00BB282E"/>
    <w:rsid w:val="00BB2FAD"/>
    <w:rsid w:val="00BB325A"/>
    <w:rsid w:val="00BB3478"/>
    <w:rsid w:val="00BB3856"/>
    <w:rsid w:val="00BB60CD"/>
    <w:rsid w:val="00BC0A68"/>
    <w:rsid w:val="00BC145A"/>
    <w:rsid w:val="00BC1F4C"/>
    <w:rsid w:val="00BC224C"/>
    <w:rsid w:val="00BC2903"/>
    <w:rsid w:val="00BC2BAC"/>
    <w:rsid w:val="00BC41FD"/>
    <w:rsid w:val="00BC5613"/>
    <w:rsid w:val="00BC5BB9"/>
    <w:rsid w:val="00BC6EDC"/>
    <w:rsid w:val="00BC71E7"/>
    <w:rsid w:val="00BD0E09"/>
    <w:rsid w:val="00BD155B"/>
    <w:rsid w:val="00BD19FC"/>
    <w:rsid w:val="00BD2341"/>
    <w:rsid w:val="00BD30DA"/>
    <w:rsid w:val="00BE3367"/>
    <w:rsid w:val="00BE3EB9"/>
    <w:rsid w:val="00BE4847"/>
    <w:rsid w:val="00BE4A86"/>
    <w:rsid w:val="00BE7A38"/>
    <w:rsid w:val="00BF36C4"/>
    <w:rsid w:val="00BF3C53"/>
    <w:rsid w:val="00BF40FD"/>
    <w:rsid w:val="00BF4D5D"/>
    <w:rsid w:val="00C009FC"/>
    <w:rsid w:val="00C057C5"/>
    <w:rsid w:val="00C05E49"/>
    <w:rsid w:val="00C06571"/>
    <w:rsid w:val="00C075F2"/>
    <w:rsid w:val="00C10297"/>
    <w:rsid w:val="00C10406"/>
    <w:rsid w:val="00C1046A"/>
    <w:rsid w:val="00C120A6"/>
    <w:rsid w:val="00C132B3"/>
    <w:rsid w:val="00C13AA5"/>
    <w:rsid w:val="00C14840"/>
    <w:rsid w:val="00C20298"/>
    <w:rsid w:val="00C2128A"/>
    <w:rsid w:val="00C22951"/>
    <w:rsid w:val="00C233B3"/>
    <w:rsid w:val="00C23652"/>
    <w:rsid w:val="00C24639"/>
    <w:rsid w:val="00C25890"/>
    <w:rsid w:val="00C3241B"/>
    <w:rsid w:val="00C33424"/>
    <w:rsid w:val="00C34774"/>
    <w:rsid w:val="00C35B68"/>
    <w:rsid w:val="00C35D6C"/>
    <w:rsid w:val="00C35E59"/>
    <w:rsid w:val="00C37BD6"/>
    <w:rsid w:val="00C37FE7"/>
    <w:rsid w:val="00C40B19"/>
    <w:rsid w:val="00C417B7"/>
    <w:rsid w:val="00C41E52"/>
    <w:rsid w:val="00C433B7"/>
    <w:rsid w:val="00C455D9"/>
    <w:rsid w:val="00C4575B"/>
    <w:rsid w:val="00C45A98"/>
    <w:rsid w:val="00C461AC"/>
    <w:rsid w:val="00C47DB6"/>
    <w:rsid w:val="00C51205"/>
    <w:rsid w:val="00C51B2D"/>
    <w:rsid w:val="00C54B41"/>
    <w:rsid w:val="00C54DED"/>
    <w:rsid w:val="00C55630"/>
    <w:rsid w:val="00C5634F"/>
    <w:rsid w:val="00C565CE"/>
    <w:rsid w:val="00C63441"/>
    <w:rsid w:val="00C63B7C"/>
    <w:rsid w:val="00C64FA1"/>
    <w:rsid w:val="00C65509"/>
    <w:rsid w:val="00C677D5"/>
    <w:rsid w:val="00C76069"/>
    <w:rsid w:val="00C764CE"/>
    <w:rsid w:val="00C76750"/>
    <w:rsid w:val="00C76BAD"/>
    <w:rsid w:val="00C82920"/>
    <w:rsid w:val="00C860FF"/>
    <w:rsid w:val="00C929E0"/>
    <w:rsid w:val="00C9433A"/>
    <w:rsid w:val="00C95D87"/>
    <w:rsid w:val="00C97714"/>
    <w:rsid w:val="00C97A09"/>
    <w:rsid w:val="00CA36AC"/>
    <w:rsid w:val="00CA3F47"/>
    <w:rsid w:val="00CA40CE"/>
    <w:rsid w:val="00CA6300"/>
    <w:rsid w:val="00CB1E88"/>
    <w:rsid w:val="00CB37ED"/>
    <w:rsid w:val="00CB4348"/>
    <w:rsid w:val="00CB5687"/>
    <w:rsid w:val="00CB5B12"/>
    <w:rsid w:val="00CB5CB6"/>
    <w:rsid w:val="00CB6047"/>
    <w:rsid w:val="00CC2816"/>
    <w:rsid w:val="00CC328D"/>
    <w:rsid w:val="00CC3E58"/>
    <w:rsid w:val="00CC4363"/>
    <w:rsid w:val="00CD0208"/>
    <w:rsid w:val="00CD429B"/>
    <w:rsid w:val="00CD586D"/>
    <w:rsid w:val="00CD5DAD"/>
    <w:rsid w:val="00CD799C"/>
    <w:rsid w:val="00CE5DFC"/>
    <w:rsid w:val="00CE6CA6"/>
    <w:rsid w:val="00CF32A7"/>
    <w:rsid w:val="00CF45FF"/>
    <w:rsid w:val="00CF5815"/>
    <w:rsid w:val="00CF68F4"/>
    <w:rsid w:val="00CF7F96"/>
    <w:rsid w:val="00D000EF"/>
    <w:rsid w:val="00D0052B"/>
    <w:rsid w:val="00D00AFA"/>
    <w:rsid w:val="00D0193F"/>
    <w:rsid w:val="00D022A0"/>
    <w:rsid w:val="00D036E8"/>
    <w:rsid w:val="00D052DC"/>
    <w:rsid w:val="00D10B63"/>
    <w:rsid w:val="00D11CB8"/>
    <w:rsid w:val="00D14632"/>
    <w:rsid w:val="00D14691"/>
    <w:rsid w:val="00D14B6C"/>
    <w:rsid w:val="00D14D06"/>
    <w:rsid w:val="00D16A16"/>
    <w:rsid w:val="00D2050A"/>
    <w:rsid w:val="00D211A0"/>
    <w:rsid w:val="00D21631"/>
    <w:rsid w:val="00D309AE"/>
    <w:rsid w:val="00D3106C"/>
    <w:rsid w:val="00D33A6D"/>
    <w:rsid w:val="00D34D99"/>
    <w:rsid w:val="00D35B12"/>
    <w:rsid w:val="00D3638B"/>
    <w:rsid w:val="00D36AB1"/>
    <w:rsid w:val="00D37B3A"/>
    <w:rsid w:val="00D411F9"/>
    <w:rsid w:val="00D41BFA"/>
    <w:rsid w:val="00D4218C"/>
    <w:rsid w:val="00D42640"/>
    <w:rsid w:val="00D42AB1"/>
    <w:rsid w:val="00D46169"/>
    <w:rsid w:val="00D46E88"/>
    <w:rsid w:val="00D46EEB"/>
    <w:rsid w:val="00D47DD9"/>
    <w:rsid w:val="00D50126"/>
    <w:rsid w:val="00D50D76"/>
    <w:rsid w:val="00D51517"/>
    <w:rsid w:val="00D52815"/>
    <w:rsid w:val="00D5341B"/>
    <w:rsid w:val="00D56CE1"/>
    <w:rsid w:val="00D57E1E"/>
    <w:rsid w:val="00D60733"/>
    <w:rsid w:val="00D60C72"/>
    <w:rsid w:val="00D635C0"/>
    <w:rsid w:val="00D63900"/>
    <w:rsid w:val="00D63E11"/>
    <w:rsid w:val="00D64110"/>
    <w:rsid w:val="00D66629"/>
    <w:rsid w:val="00D675E1"/>
    <w:rsid w:val="00D71F7B"/>
    <w:rsid w:val="00D723EA"/>
    <w:rsid w:val="00D75407"/>
    <w:rsid w:val="00D7627C"/>
    <w:rsid w:val="00D76378"/>
    <w:rsid w:val="00D80056"/>
    <w:rsid w:val="00D82C86"/>
    <w:rsid w:val="00D840D9"/>
    <w:rsid w:val="00D8444B"/>
    <w:rsid w:val="00D84F9E"/>
    <w:rsid w:val="00D85294"/>
    <w:rsid w:val="00D92A65"/>
    <w:rsid w:val="00D934F5"/>
    <w:rsid w:val="00D95267"/>
    <w:rsid w:val="00DA49AB"/>
    <w:rsid w:val="00DA4D9B"/>
    <w:rsid w:val="00DA74A1"/>
    <w:rsid w:val="00DB2EB6"/>
    <w:rsid w:val="00DB5A8A"/>
    <w:rsid w:val="00DB5EB2"/>
    <w:rsid w:val="00DC0688"/>
    <w:rsid w:val="00DC0E37"/>
    <w:rsid w:val="00DC2583"/>
    <w:rsid w:val="00DC2F42"/>
    <w:rsid w:val="00DC506A"/>
    <w:rsid w:val="00DC585E"/>
    <w:rsid w:val="00DC6257"/>
    <w:rsid w:val="00DC7370"/>
    <w:rsid w:val="00DC7383"/>
    <w:rsid w:val="00DD20A1"/>
    <w:rsid w:val="00DD284F"/>
    <w:rsid w:val="00DD4945"/>
    <w:rsid w:val="00DD5C4A"/>
    <w:rsid w:val="00DD651F"/>
    <w:rsid w:val="00DD7F62"/>
    <w:rsid w:val="00DE1E27"/>
    <w:rsid w:val="00DE1F14"/>
    <w:rsid w:val="00DE2BB0"/>
    <w:rsid w:val="00DE4DFA"/>
    <w:rsid w:val="00DE5DD3"/>
    <w:rsid w:val="00DE75EE"/>
    <w:rsid w:val="00DF42CE"/>
    <w:rsid w:val="00DF64EA"/>
    <w:rsid w:val="00DF6E10"/>
    <w:rsid w:val="00E0174A"/>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0C28"/>
    <w:rsid w:val="00E4195D"/>
    <w:rsid w:val="00E42F0D"/>
    <w:rsid w:val="00E444A1"/>
    <w:rsid w:val="00E44948"/>
    <w:rsid w:val="00E51900"/>
    <w:rsid w:val="00E558E9"/>
    <w:rsid w:val="00E56440"/>
    <w:rsid w:val="00E60758"/>
    <w:rsid w:val="00E6084B"/>
    <w:rsid w:val="00E612DC"/>
    <w:rsid w:val="00E6137F"/>
    <w:rsid w:val="00E61531"/>
    <w:rsid w:val="00E6192B"/>
    <w:rsid w:val="00E62DED"/>
    <w:rsid w:val="00E6434E"/>
    <w:rsid w:val="00E65987"/>
    <w:rsid w:val="00E66894"/>
    <w:rsid w:val="00E7054C"/>
    <w:rsid w:val="00E72FE3"/>
    <w:rsid w:val="00E730AF"/>
    <w:rsid w:val="00E76954"/>
    <w:rsid w:val="00E779E9"/>
    <w:rsid w:val="00E811E3"/>
    <w:rsid w:val="00E81C36"/>
    <w:rsid w:val="00E82A7D"/>
    <w:rsid w:val="00E82BA4"/>
    <w:rsid w:val="00E841BB"/>
    <w:rsid w:val="00E849C5"/>
    <w:rsid w:val="00E85305"/>
    <w:rsid w:val="00E860F1"/>
    <w:rsid w:val="00E862DA"/>
    <w:rsid w:val="00E87615"/>
    <w:rsid w:val="00E87B8C"/>
    <w:rsid w:val="00E919A0"/>
    <w:rsid w:val="00E92FB3"/>
    <w:rsid w:val="00E952BB"/>
    <w:rsid w:val="00EA0A96"/>
    <w:rsid w:val="00EA1B87"/>
    <w:rsid w:val="00EA240D"/>
    <w:rsid w:val="00EA2573"/>
    <w:rsid w:val="00EA3C1F"/>
    <w:rsid w:val="00EA759B"/>
    <w:rsid w:val="00EA7A84"/>
    <w:rsid w:val="00EB15EA"/>
    <w:rsid w:val="00EB1D6C"/>
    <w:rsid w:val="00EB27B6"/>
    <w:rsid w:val="00EB368D"/>
    <w:rsid w:val="00EB6826"/>
    <w:rsid w:val="00EB7502"/>
    <w:rsid w:val="00EC033A"/>
    <w:rsid w:val="00EC3398"/>
    <w:rsid w:val="00EC4921"/>
    <w:rsid w:val="00EC6D60"/>
    <w:rsid w:val="00ED0DF6"/>
    <w:rsid w:val="00ED1682"/>
    <w:rsid w:val="00ED19F2"/>
    <w:rsid w:val="00ED57B1"/>
    <w:rsid w:val="00ED6913"/>
    <w:rsid w:val="00ED78C0"/>
    <w:rsid w:val="00ED7A30"/>
    <w:rsid w:val="00ED7BFC"/>
    <w:rsid w:val="00EE060A"/>
    <w:rsid w:val="00EE0D99"/>
    <w:rsid w:val="00EE1FB5"/>
    <w:rsid w:val="00EE20CB"/>
    <w:rsid w:val="00EE20FD"/>
    <w:rsid w:val="00EF161F"/>
    <w:rsid w:val="00EF18B8"/>
    <w:rsid w:val="00EF31C8"/>
    <w:rsid w:val="00EF45F7"/>
    <w:rsid w:val="00EF506B"/>
    <w:rsid w:val="00EF57E7"/>
    <w:rsid w:val="00F02BF9"/>
    <w:rsid w:val="00F045F5"/>
    <w:rsid w:val="00F05EDD"/>
    <w:rsid w:val="00F071F9"/>
    <w:rsid w:val="00F13E7D"/>
    <w:rsid w:val="00F141FF"/>
    <w:rsid w:val="00F14B9F"/>
    <w:rsid w:val="00F17188"/>
    <w:rsid w:val="00F21BC7"/>
    <w:rsid w:val="00F21C2C"/>
    <w:rsid w:val="00F22F61"/>
    <w:rsid w:val="00F238ED"/>
    <w:rsid w:val="00F248BE"/>
    <w:rsid w:val="00F25CBE"/>
    <w:rsid w:val="00F27473"/>
    <w:rsid w:val="00F274BF"/>
    <w:rsid w:val="00F275D4"/>
    <w:rsid w:val="00F35C98"/>
    <w:rsid w:val="00F35D5D"/>
    <w:rsid w:val="00F379EF"/>
    <w:rsid w:val="00F402EC"/>
    <w:rsid w:val="00F40850"/>
    <w:rsid w:val="00F4212A"/>
    <w:rsid w:val="00F42B76"/>
    <w:rsid w:val="00F43198"/>
    <w:rsid w:val="00F43899"/>
    <w:rsid w:val="00F43CFA"/>
    <w:rsid w:val="00F447B3"/>
    <w:rsid w:val="00F45EDA"/>
    <w:rsid w:val="00F46453"/>
    <w:rsid w:val="00F475E4"/>
    <w:rsid w:val="00F47D37"/>
    <w:rsid w:val="00F53B84"/>
    <w:rsid w:val="00F5455C"/>
    <w:rsid w:val="00F5625E"/>
    <w:rsid w:val="00F56495"/>
    <w:rsid w:val="00F5670C"/>
    <w:rsid w:val="00F62802"/>
    <w:rsid w:val="00F63A56"/>
    <w:rsid w:val="00F65662"/>
    <w:rsid w:val="00F673D8"/>
    <w:rsid w:val="00F70724"/>
    <w:rsid w:val="00F7138F"/>
    <w:rsid w:val="00F73D8F"/>
    <w:rsid w:val="00F74C2D"/>
    <w:rsid w:val="00F75386"/>
    <w:rsid w:val="00F77CE8"/>
    <w:rsid w:val="00F81501"/>
    <w:rsid w:val="00F83139"/>
    <w:rsid w:val="00F83EE6"/>
    <w:rsid w:val="00F84AA6"/>
    <w:rsid w:val="00F84AC3"/>
    <w:rsid w:val="00F85866"/>
    <w:rsid w:val="00F85ADB"/>
    <w:rsid w:val="00F905EF"/>
    <w:rsid w:val="00F9133D"/>
    <w:rsid w:val="00F976DA"/>
    <w:rsid w:val="00FA1A8B"/>
    <w:rsid w:val="00FA32C4"/>
    <w:rsid w:val="00FA3439"/>
    <w:rsid w:val="00FA6AD3"/>
    <w:rsid w:val="00FA6DBD"/>
    <w:rsid w:val="00FA7C5A"/>
    <w:rsid w:val="00FB0743"/>
    <w:rsid w:val="00FB0D7C"/>
    <w:rsid w:val="00FB162D"/>
    <w:rsid w:val="00FB1B19"/>
    <w:rsid w:val="00FB1C2E"/>
    <w:rsid w:val="00FB4196"/>
    <w:rsid w:val="00FB61AC"/>
    <w:rsid w:val="00FB63AE"/>
    <w:rsid w:val="00FB6841"/>
    <w:rsid w:val="00FB7A34"/>
    <w:rsid w:val="00FC00F4"/>
    <w:rsid w:val="00FC0B83"/>
    <w:rsid w:val="00FC1B12"/>
    <w:rsid w:val="00FC2E8B"/>
    <w:rsid w:val="00FC3C57"/>
    <w:rsid w:val="00FC6942"/>
    <w:rsid w:val="00FD0C94"/>
    <w:rsid w:val="00FD243B"/>
    <w:rsid w:val="00FD2488"/>
    <w:rsid w:val="00FD26C8"/>
    <w:rsid w:val="00FD28D5"/>
    <w:rsid w:val="00FD29CC"/>
    <w:rsid w:val="00FD3C67"/>
    <w:rsid w:val="00FD4E91"/>
    <w:rsid w:val="00FD5EDE"/>
    <w:rsid w:val="00FD7AF2"/>
    <w:rsid w:val="00FE0CA3"/>
    <w:rsid w:val="00FE2166"/>
    <w:rsid w:val="00FE2179"/>
    <w:rsid w:val="00FE2B64"/>
    <w:rsid w:val="00FE3571"/>
    <w:rsid w:val="00FE67B4"/>
    <w:rsid w:val="00FE7D3D"/>
    <w:rsid w:val="00FF1B59"/>
    <w:rsid w:val="00FF2F43"/>
    <w:rsid w:val="00FF3B77"/>
    <w:rsid w:val="00FF58D6"/>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E5D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F75386"/>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F75386"/>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F75386"/>
    <w:pPr>
      <w:keepNext/>
      <w:keepLines/>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F75386"/>
    <w:pPr>
      <w:keepNext/>
      <w:keepLines/>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F75386"/>
    <w:pPr>
      <w:keepNext/>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F75386"/>
    <w:pPr>
      <w:spacing w:before="240" w:after="60"/>
      <w:outlineLvl w:val="6"/>
    </w:pPr>
    <w:rPr>
      <w:rFonts w:ascii="Calibri" w:hAnsi="Calibri"/>
      <w:lang w:val="x-none" w:eastAsia="x-none"/>
    </w:rPr>
  </w:style>
  <w:style w:type="paragraph" w:styleId="Heading8">
    <w:name w:val="heading 8"/>
    <w:basedOn w:val="Normal"/>
    <w:next w:val="Normal"/>
    <w:link w:val="Heading8Char"/>
    <w:uiPriority w:val="99"/>
    <w:qFormat/>
    <w:rsid w:val="00F75386"/>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9"/>
    <w:qFormat/>
    <w:rsid w:val="00F75386"/>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rPr>
      <w:lang w:val="x-none" w:eastAsia="x-none"/>
    </w:r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rPr>
      <w:lang w:val="x-none" w:eastAsia="x-none"/>
    </w:r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rPr>
      <w:lang w:val="x-none" w:eastAsia="x-none"/>
    </w:r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rPr>
      <w:lang w:val="x-none" w:eastAsia="x-none"/>
    </w:r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lang w:val="x-none" w:eastAsia="x-none"/>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sz w:val="16"/>
      <w:szCs w:val="16"/>
      <w:lang w:val="x-none" w:eastAsia="x-none"/>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rPr>
      <w:lang w:val="x-none" w:eastAsia="x-none"/>
    </w:r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rPr>
      <w:lang w:val="x-none" w:eastAsia="x-none"/>
    </w:r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lang w:val="x-none" w:eastAsia="x-none"/>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rPr>
      <w:lang w:val="x-none" w:eastAsia="x-none"/>
    </w:rPr>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rPr>
      <w:lang w:val="x-none" w:eastAsia="x-none"/>
    </w:rPr>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lang w:val="x-none" w:eastAsia="x-none"/>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rsid w:val="00F75386"/>
    <w:rPr>
      <w:sz w:val="20"/>
      <w:szCs w:val="20"/>
      <w:lang w:val="x-none" w:eastAsia="x-none"/>
    </w:rPr>
  </w:style>
  <w:style w:type="character" w:customStyle="1" w:styleId="FootnoteTextChar">
    <w:name w:val="Footnote Text Char"/>
    <w:link w:val="FootnoteText"/>
    <w:uiPriority w:val="99"/>
    <w:locked/>
    <w:rsid w:val="007B1930"/>
    <w:rPr>
      <w:rFonts w:cs="Times New Roman"/>
    </w:rPr>
  </w:style>
  <w:style w:type="paragraph" w:styleId="HTMLAddress">
    <w:name w:val="HTML Address"/>
    <w:basedOn w:val="Normal"/>
    <w:link w:val="HTMLAddressChar"/>
    <w:uiPriority w:val="99"/>
    <w:rsid w:val="00F75386"/>
    <w:rPr>
      <w:i/>
      <w:iCs/>
      <w:lang w:val="x-none" w:eastAsia="x-none"/>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rPr>
      <w:lang w:val="x-none" w:eastAsia="x-none"/>
    </w:rPr>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sz w:val="20"/>
      <w:szCs w:val="20"/>
      <w:lang w:val="x-none" w:eastAsia="x-none"/>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rPr>
      <w:lang w:val="x-none" w:eastAsia="x-none"/>
    </w:rPr>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rPr>
      <w:lang w:val="x-none" w:eastAsia="x-none"/>
    </w:r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sz w:val="2"/>
      <w:szCs w:val="20"/>
      <w:lang w:val="x-none" w:eastAsia="x-none"/>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34"/>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FollowedHyperlink">
    <w:name w:val="FollowedHyperlink"/>
    <w:uiPriority w:val="99"/>
    <w:semiHidden/>
    <w:unhideWhenUsed/>
    <w:locked/>
    <w:rsid w:val="00EF45F7"/>
    <w:rPr>
      <w:color w:val="800080"/>
      <w:u w:val="single"/>
    </w:rPr>
  </w:style>
  <w:style w:type="paragraph" w:customStyle="1" w:styleId="Findings">
    <w:name w:val="Findings"/>
    <w:basedOn w:val="Normal"/>
    <w:rsid w:val="00B30190"/>
    <w:pPr>
      <w:numPr>
        <w:numId w:val="2"/>
      </w:numPr>
      <w:tabs>
        <w:tab w:val="clear" w:pos="720"/>
        <w:tab w:val="num" w:pos="0"/>
      </w:tabs>
      <w:ind w:left="0"/>
    </w:pPr>
  </w:style>
  <w:style w:type="table" w:styleId="TableGrid">
    <w:name w:val="Table Grid"/>
    <w:basedOn w:val="TableNormal"/>
    <w:uiPriority w:val="59"/>
    <w:locked/>
    <w:rsid w:val="002352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2015-10-29T07:00:00+00:00</OpenedDate>
    <Date1 xmlns="dc463f71-b30c-4ab2-9473-d307f9d35888">2015-12-17T08:00:00+00:00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152058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6A4A60542A124AB98CDF8163BEAA44" ma:contentTypeVersion="119" ma:contentTypeDescription="" ma:contentTypeScope="" ma:versionID="180ea560e64b53d3f14dc26120ae1c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6FBDE-F54F-4FB8-898A-487BE6543378}"/>
</file>

<file path=customXml/itemProps2.xml><?xml version="1.0" encoding="utf-8"?>
<ds:datastoreItem xmlns:ds="http://schemas.openxmlformats.org/officeDocument/2006/customXml" ds:itemID="{A37E4FAA-9309-4B5A-AE18-0ACE83F23A4B}"/>
</file>

<file path=customXml/itemProps3.xml><?xml version="1.0" encoding="utf-8"?>
<ds:datastoreItem xmlns:ds="http://schemas.openxmlformats.org/officeDocument/2006/customXml" ds:itemID="{1550D170-1D59-4E1F-BA7B-98F22BA2EE25}"/>
</file>

<file path=customXml/itemProps4.xml><?xml version="1.0" encoding="utf-8"?>
<ds:datastoreItem xmlns:ds="http://schemas.openxmlformats.org/officeDocument/2006/customXml" ds:itemID="{09EB3B12-E58E-49AA-8C69-830DF0EBEAEB}"/>
</file>

<file path=customXml/itemProps5.xml><?xml version="1.0" encoding="utf-8"?>
<ds:datastoreItem xmlns:ds="http://schemas.openxmlformats.org/officeDocument/2006/customXml" ds:itemID="{6EECCC5E-3900-4C2C-8A9F-792CB5F54960}"/>
</file>

<file path=customXml/itemProps6.xml><?xml version="1.0" encoding="utf-8"?>
<ds:datastoreItem xmlns:ds="http://schemas.openxmlformats.org/officeDocument/2006/customXml" ds:itemID="{1C905FBC-A5FD-4AAE-BE8F-9A4864187075}"/>
</file>

<file path=docProps/app.xml><?xml version="1.0" encoding="utf-8"?>
<Properties xmlns="http://schemas.openxmlformats.org/officeDocument/2006/extended-properties" xmlns:vt="http://schemas.openxmlformats.org/officeDocument/2006/docPropsVTypes">
  <Template>Normal</Template>
  <TotalTime>0</TotalTime>
  <Pages>6</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UE-152058 and UE-152042 - Order 01</vt:lpstr>
    </vt:vector>
  </TitlesOfParts>
  <Company/>
  <LinksUpToDate>false</LinksUpToDate>
  <CharactersWithSpaces>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UE-152058 and UE-152042 - Order 01</dc:title>
  <dc:subject> </dc:subject>
  <dc:creator/>
  <cp:keywords> </cp:keywords>
  <cp:lastModifiedBy/>
  <cp:revision>1</cp:revision>
  <dcterms:created xsi:type="dcterms:W3CDTF">2015-12-17T00:19:00Z</dcterms:created>
  <dcterms:modified xsi:type="dcterms:W3CDTF">2015-12-17T00:19:00Z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0x0101006E56B4D1795A2E4DB2F0B01679ED314A002E6A4A60542A124AB98CDF8163BEAA44</vt:lpwstr>
  </property>
</Properties>
</file>