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147BB">
      <w:pPr>
        <w:pStyle w:val="Heading1"/>
      </w:pPr>
      <w:r>
        <w:t>Item 230 – Disposal Fees</w:t>
      </w:r>
    </w:p>
    <w:p w:rsidR="00000000" w:rsidRDefault="003147BB"/>
    <w:p w:rsidR="00000000" w:rsidRDefault="003147BB">
      <w:r>
        <w:t>Charges in this item apply when other items in the tariff specifically refer to this item.</w:t>
      </w:r>
    </w:p>
    <w:p w:rsidR="00000000" w:rsidRDefault="003147BB"/>
    <w:tbl>
      <w:tblPr>
        <w:tblW w:w="0" w:type="auto"/>
        <w:tblInd w:w="813" w:type="dxa"/>
        <w:tblLayout w:type="fixed"/>
        <w:tblLook w:val="0000" w:firstRow="0" w:lastRow="0" w:firstColumn="0" w:lastColumn="0" w:noHBand="0" w:noVBand="0"/>
      </w:tblPr>
      <w:tblGrid>
        <w:gridCol w:w="5040"/>
        <w:gridCol w:w="2520"/>
        <w:gridCol w:w="2658"/>
      </w:tblGrid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jc w:val="center"/>
            </w:pPr>
            <w:r>
              <w:t>Disposal site (name or location)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jc w:val="center"/>
            </w:pPr>
            <w:r>
              <w:t>Type of Material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pPr>
              <w:jc w:val="center"/>
            </w:pPr>
            <w:r>
              <w:t>Fees for disposal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  <w:r>
              <w:t xml:space="preserve">Ferry County </w:t>
            </w:r>
            <w:proofErr w:type="spellStart"/>
            <w:r>
              <w:t>Torboy</w:t>
            </w:r>
            <w:proofErr w:type="spellEnd"/>
            <w:r>
              <w:t xml:space="preserve"> Transfer Station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  <w:r>
              <w:t>MSW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134.00 per Ton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  <w:r>
              <w:t>Steven</w:t>
            </w:r>
            <w:r>
              <w:t>s County Landfill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  <w:r>
              <w:t>MSW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64.50 per Ton (A)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  <w:r>
              <w:t>Stevens County Out-of-County drop box only surcharge*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  <w:r>
              <w:t>MSW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pPr>
              <w:jc w:val="center"/>
            </w:pPr>
            <w:r>
              <w:t>25.00%  (N)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 xml:space="preserve">$ </w:t>
            </w:r>
            <w:r>
              <w:t xml:space="preserve">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  <w:tr w:rsidR="00000000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47BB">
            <w:pPr>
              <w:snapToGrid w:val="0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47BB">
            <w:r>
              <w:t>$              per</w:t>
            </w:r>
          </w:p>
        </w:tc>
      </w:tr>
    </w:tbl>
    <w:p w:rsidR="00000000" w:rsidRDefault="003147BB"/>
    <w:p w:rsidR="00000000" w:rsidRDefault="003147BB">
      <w:r>
        <w:tab/>
        <w:t>*Per Stevens Cou</w:t>
      </w:r>
      <w:r>
        <w:t>nty Resolution 33-2003 dated March 11, 2003</w:t>
      </w:r>
    </w:p>
    <w:p w:rsidR="00000000" w:rsidRDefault="003147BB"/>
    <w:p w:rsidR="003147BB" w:rsidRDefault="003147BB">
      <w:r>
        <w:t>State whether fees are per yard, per ton, etc.  Include charges assessed for special commodities (tires, appliances, asbestos, etc.) or special conditions at each specific disposal site.  Attach additional sheet</w:t>
      </w:r>
      <w:r>
        <w:t>s as necessary.</w:t>
      </w:r>
      <w:bookmarkStart w:id="0" w:name="_GoBack"/>
      <w:bookmarkEnd w:id="0"/>
    </w:p>
    <w:p w:rsidR="00000000" w:rsidRPr="003147BB" w:rsidRDefault="003147BB" w:rsidP="003147BB"/>
    <w:sectPr w:rsidR="00000000" w:rsidRPr="003147B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76" w:right="720" w:bottom="776" w:left="720" w:header="720" w:footer="720" w:gutter="0"/>
      <w:pgBorders>
        <w:top w:val="single" w:sz="8" w:space="12" w:color="000000"/>
        <w:left w:val="single" w:sz="8" w:space="12" w:color="000000"/>
        <w:bottom w:val="single" w:sz="8" w:space="12" w:color="000000"/>
        <w:right w:val="single" w:sz="8" w:space="12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47BB">
      <w:r>
        <w:separator/>
      </w:r>
    </w:p>
  </w:endnote>
  <w:endnote w:type="continuationSeparator" w:id="0">
    <w:p w:rsidR="00000000" w:rsidRDefault="0031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147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147BB">
    <w:pPr>
      <w:pStyle w:val="Footer"/>
      <w:pBdr>
        <w:bottom w:val="single" w:sz="8" w:space="1" w:color="000000"/>
      </w:pBdr>
      <w:tabs>
        <w:tab w:val="clear" w:pos="8640"/>
        <w:tab w:val="right" w:pos="9360"/>
      </w:tabs>
    </w:pPr>
  </w:p>
  <w:p w:rsidR="00000000" w:rsidRDefault="003147BB">
    <w:pPr>
      <w:pStyle w:val="Footer"/>
      <w:tabs>
        <w:tab w:val="clear" w:pos="8640"/>
        <w:tab w:val="right" w:pos="9360"/>
      </w:tabs>
    </w:pPr>
    <w:r>
      <w:t>Issued by:   Clifford W. Couse, Pres.</w:t>
    </w:r>
  </w:p>
  <w:p w:rsidR="00000000" w:rsidRDefault="003147BB">
    <w:pPr>
      <w:pStyle w:val="Footer"/>
      <w:tabs>
        <w:tab w:val="clear" w:pos="8640"/>
        <w:tab w:val="right" w:pos="9360"/>
      </w:tabs>
    </w:pPr>
  </w:p>
  <w:p w:rsidR="00000000" w:rsidRDefault="003147BB">
    <w:pPr>
      <w:pStyle w:val="Footer"/>
      <w:pBdr>
        <w:bottom w:val="single" w:sz="8" w:space="1" w:color="000000"/>
      </w:pBdr>
      <w:tabs>
        <w:tab w:val="clear" w:pos="8640"/>
        <w:tab w:val="left" w:pos="8100"/>
        <w:tab w:val="right" w:pos="9360"/>
      </w:tabs>
    </w:pPr>
    <w:r>
      <w:t>Issue date:  Jul. 11, 2014</w:t>
    </w:r>
    <w:r>
      <w:tab/>
      <w:t xml:space="preserve">                                    </w:t>
    </w:r>
    <w:r>
      <w:t xml:space="preserve">                                                     Effective date:  Sep. 1, 2014</w:t>
    </w:r>
  </w:p>
  <w:p w:rsidR="00000000" w:rsidRDefault="003147BB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0000" w:rsidRDefault="003147BB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0000" w:rsidRDefault="003147BB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147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47BB">
      <w:r>
        <w:separator/>
      </w:r>
    </w:p>
  </w:footnote>
  <w:footnote w:type="continuationSeparator" w:id="0">
    <w:p w:rsidR="00000000" w:rsidRDefault="00314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147BB">
    <w:pPr>
      <w:pStyle w:val="Header"/>
      <w:tabs>
        <w:tab w:val="clear" w:pos="8640"/>
        <w:tab w:val="right" w:pos="10440"/>
      </w:tabs>
    </w:pPr>
    <w:r>
      <w:t>Tariff No. 6</w:t>
    </w:r>
    <w:r>
      <w:tab/>
    </w:r>
    <w:r>
      <w:tab/>
      <w:t>3</w:t>
    </w:r>
    <w:r>
      <w:rPr>
        <w:vertAlign w:val="superscript"/>
      </w:rPr>
      <w:t>rd</w:t>
    </w:r>
    <w:r>
      <w:t xml:space="preserve"> Revised Page No. 28</w:t>
    </w:r>
  </w:p>
  <w:p w:rsidR="00000000" w:rsidRDefault="003147BB">
    <w:pPr>
      <w:pStyle w:val="Header"/>
      <w:tabs>
        <w:tab w:val="clear" w:pos="8640"/>
        <w:tab w:val="right" w:pos="10440"/>
      </w:tabs>
    </w:pPr>
  </w:p>
  <w:p w:rsidR="00000000" w:rsidRDefault="003147BB">
    <w:pPr>
      <w:pStyle w:val="Header"/>
      <w:pBdr>
        <w:bottom w:val="single" w:sz="8" w:space="1" w:color="000000"/>
      </w:pBdr>
      <w:tabs>
        <w:tab w:val="clear" w:pos="8640"/>
        <w:tab w:val="right" w:pos="10440"/>
      </w:tabs>
    </w:pPr>
    <w:r>
      <w:t>Company Name/Permit Number:  Couse's Sanitation &amp; Recycle. Inc.  G-169</w:t>
    </w:r>
  </w:p>
  <w:p w:rsidR="00000000" w:rsidRDefault="003147BB">
    <w:pPr>
      <w:pStyle w:val="Header"/>
      <w:pBdr>
        <w:bottom w:val="single" w:sz="8" w:space="1" w:color="000000"/>
      </w:pBdr>
      <w:tabs>
        <w:tab w:val="clear" w:pos="8640"/>
        <w:tab w:val="right" w:pos="10440"/>
      </w:tabs>
    </w:pPr>
    <w:r>
      <w:t>Registered Trade Name:</w:t>
    </w:r>
  </w:p>
  <w:p w:rsidR="00000000" w:rsidRDefault="003147BB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147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BB"/>
    <w:rsid w:val="003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4E9770B-78DB-4F4A-8406-A7FEDB24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i/>
      <w:iCs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C8E88C8D0480428CE59892E9FD98EF" ma:contentTypeVersion="175" ma:contentTypeDescription="" ma:contentTypeScope="" ma:versionID="7b4b594ee6c8830173c351a0b20abb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2014-07-11T07:00:00+00:00</OpenedDate>
    <Date1 xmlns="dc463f71-b30c-4ab2-9473-d307f9d35888">2014-08-18T07:00:00+00:00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141415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657971-7F4D-4D84-ABFB-A48AD76D10A6}"/>
</file>

<file path=customXml/itemProps2.xml><?xml version="1.0" encoding="utf-8"?>
<ds:datastoreItem xmlns:ds="http://schemas.openxmlformats.org/officeDocument/2006/customXml" ds:itemID="{368F4F0D-1C06-4AA1-ABF4-1244F7FB9C3C}"/>
</file>

<file path=customXml/itemProps3.xml><?xml version="1.0" encoding="utf-8"?>
<ds:datastoreItem xmlns:ds="http://schemas.openxmlformats.org/officeDocument/2006/customXml" ds:itemID="{A3B14E35-6EB6-42C0-B123-5F29700496B8}"/>
</file>

<file path=customXml/itemProps4.xml><?xml version="1.0" encoding="utf-8"?>
<ds:datastoreItem xmlns:ds="http://schemas.openxmlformats.org/officeDocument/2006/customXml" ds:itemID="{83061F2D-65EB-4954-9E74-FD1B51073724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Washington Utilities and Transportation Commission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cp:lastModifiedBy>Snyder, Jennifer (UTC)</cp:lastModifiedBy>
  <cp:revision>2</cp:revision>
  <cp:lastPrinted>2001-12-04T22:43:00Z</cp:lastPrinted>
  <dcterms:created xsi:type="dcterms:W3CDTF">2014-08-19T18:28:00Z</dcterms:created>
  <dcterms:modified xsi:type="dcterms:W3CDTF">2014-08-19T18:28:00Z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0x0101006E56B4D1795A2E4DB2F0B01679ED314A00C1C8E88C8D0480428CE59892E9FD98EF</vt:lpwstr>
  </property>
  <property fmtid="{D5CDD505-2E9C-101B-9397-08002B2CF9AE}" pid="3" name="_docset_NoMedatataSyncRequired">
    <vt:lpwstr>False</vt:lpwstr>
  </property>
</Properties>
</file>