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288"/>
        <w:gridCol w:w="288"/>
        <w:gridCol w:w="288"/>
        <w:gridCol w:w="306"/>
      </w:tblGrid>
      <w:tr w:rsidR="007214DD" w:rsidRPr="00770E9A" w:rsidTr="0044237C">
        <w:trPr>
          <w:trHeight w:hRule="exac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(N)</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Pr="00770E9A"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w:t>
            </w:r>
          </w:p>
        </w:tc>
      </w:tr>
      <w:tr w:rsidR="007214DD" w:rsidRPr="00770E9A" w:rsidTr="0044237C">
        <w:trPr>
          <w:trHeight w:val="288"/>
        </w:trPr>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7214DD" w:rsidRDefault="007214DD" w:rsidP="0044237C">
            <w:pPr>
              <w:spacing w:after="0" w:line="240" w:lineRule="auto"/>
              <w:jc w:val="center"/>
              <w:rPr>
                <w:rFonts w:ascii="Arial" w:hAnsi="Arial" w:cs="Arial"/>
                <w:sz w:val="20"/>
                <w:szCs w:val="20"/>
              </w:rPr>
            </w:pPr>
            <w:r>
              <w:rPr>
                <w:rFonts w:ascii="Arial" w:hAnsi="Arial" w:cs="Arial"/>
                <w:sz w:val="20"/>
                <w:szCs w:val="20"/>
              </w:rPr>
              <w:t>(N)</w:t>
            </w:r>
          </w:p>
        </w:tc>
      </w:tr>
    </w:tbl>
    <w:p w:rsidR="007214DD" w:rsidRDefault="007214DD" w:rsidP="00B64632">
      <w:pPr>
        <w:spacing w:after="0" w:line="240" w:lineRule="auto"/>
        <w:rPr>
          <w:rFonts w:ascii="Arial" w:hAnsi="Arial" w:cs="Arial"/>
          <w:sz w:val="20"/>
          <w:szCs w:val="20"/>
        </w:rPr>
      </w:pPr>
    </w:p>
    <w:p w:rsidR="007214DD" w:rsidRDefault="007214DD" w:rsidP="00B64632">
      <w:pPr>
        <w:spacing w:after="0" w:line="240" w:lineRule="auto"/>
        <w:rPr>
          <w:rFonts w:ascii="Arial" w:hAnsi="Arial" w:cs="Arial"/>
          <w:sz w:val="20"/>
          <w:szCs w:val="20"/>
        </w:rPr>
        <w:sectPr w:rsidR="007214DD" w:rsidSect="001C0C09">
          <w:headerReference w:type="default" r:id="rId6"/>
          <w:footerReference w:type="default" r:id="rId7"/>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7214DD" w:rsidTr="004E62B9">
        <w:tc>
          <w:tcPr>
            <w:tcW w:w="8887" w:type="dxa"/>
          </w:tcPr>
          <w:p w:rsidR="007214DD" w:rsidRPr="004E62B9" w:rsidRDefault="007214DD" w:rsidP="004E62B9">
            <w:pPr>
              <w:spacing w:after="0" w:line="286" w:lineRule="exact"/>
              <w:jc w:val="center"/>
              <w:rPr>
                <w:rFonts w:ascii="Arial" w:hAnsi="Arial" w:cs="Arial"/>
                <w:b/>
                <w:sz w:val="20"/>
                <w:szCs w:val="20"/>
              </w:rPr>
            </w:pPr>
            <w:r>
              <w:rPr>
                <w:rStyle w:val="Custom1"/>
              </w:rPr>
              <w:t>SCHEDULE 141</w:t>
            </w:r>
          </w:p>
        </w:tc>
      </w:tr>
      <w:tr w:rsidR="007214DD" w:rsidTr="004E62B9">
        <w:tc>
          <w:tcPr>
            <w:tcW w:w="8887" w:type="dxa"/>
          </w:tcPr>
          <w:p w:rsidR="007214DD" w:rsidRPr="004E62B9" w:rsidRDefault="007214DD" w:rsidP="004E62B9">
            <w:pPr>
              <w:spacing w:after="0" w:line="286" w:lineRule="exact"/>
              <w:jc w:val="center"/>
              <w:rPr>
                <w:rFonts w:ascii="Arial" w:hAnsi="Arial" w:cs="Arial"/>
                <w:b/>
                <w:color w:val="000000"/>
                <w:sz w:val="20"/>
                <w:szCs w:val="20"/>
              </w:rPr>
            </w:pPr>
            <w:r>
              <w:rPr>
                <w:rStyle w:val="Custom1"/>
              </w:rPr>
              <w:t xml:space="preserve">EXPEDITED RATE FILING RATE ADJUSTMENT </w:t>
            </w:r>
            <w:r w:rsidRPr="003165C7">
              <w:rPr>
                <w:rStyle w:val="Custom1"/>
                <w:b w:val="0"/>
              </w:rPr>
              <w:t>(Continued)</w:t>
            </w:r>
          </w:p>
        </w:tc>
      </w:tr>
    </w:tbl>
    <w:p w:rsidR="007214DD" w:rsidRDefault="007214DD" w:rsidP="00282FCF">
      <w:pPr>
        <w:spacing w:after="0" w:line="286" w:lineRule="exact"/>
        <w:rPr>
          <w:rFonts w:ascii="Arial" w:hAnsi="Arial" w:cs="Arial"/>
          <w:sz w:val="20"/>
          <w:szCs w:val="20"/>
        </w:rPr>
      </w:pPr>
    </w:p>
    <w:p w:rsidR="007214DD" w:rsidRPr="00AC14E7" w:rsidRDefault="007214DD" w:rsidP="00282FCF">
      <w:pPr>
        <w:spacing w:after="0" w:line="286" w:lineRule="exact"/>
        <w:rPr>
          <w:rFonts w:ascii="Arial" w:hAnsi="Arial" w:cs="Arial"/>
          <w:b/>
          <w:sz w:val="20"/>
          <w:szCs w:val="20"/>
        </w:rPr>
      </w:pPr>
      <w:r w:rsidRPr="00AC14E7">
        <w:rPr>
          <w:rFonts w:ascii="Arial" w:hAnsi="Arial" w:cs="Arial"/>
          <w:b/>
          <w:sz w:val="20"/>
          <w:szCs w:val="20"/>
        </w:rPr>
        <w:t>MONTHLY RATE:</w:t>
      </w:r>
    </w:p>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Directional Metal Halide Flood Lighting Service*</w:t>
      </w:r>
    </w:p>
    <w:p w:rsidR="007214DD" w:rsidRDefault="007214DD" w:rsidP="00282FCF">
      <w:pPr>
        <w:spacing w:after="0" w:line="286" w:lineRule="exact"/>
        <w:rPr>
          <w:rFonts w:ascii="Arial" w:hAnsi="Arial" w:cs="Arial"/>
          <w:sz w:val="20"/>
          <w:szCs w:val="20"/>
        </w:rPr>
      </w:pPr>
      <w:r>
        <w:rPr>
          <w:rFonts w:ascii="Arial" w:hAnsi="Arial" w:cs="Arial"/>
          <w:sz w:val="20"/>
          <w:szCs w:val="20"/>
          <w:u w:val="single"/>
        </w:rPr>
        <w:t>Lamp Wattage</w:t>
      </w:r>
    </w:p>
    <w:tbl>
      <w:tblPr>
        <w:tblW w:w="0" w:type="auto"/>
        <w:tblLook w:val="00A0"/>
      </w:tblPr>
      <w:tblGrid>
        <w:gridCol w:w="1908"/>
        <w:gridCol w:w="1800"/>
      </w:tblGrid>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175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52</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60</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75</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1000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w:t>
            </w:r>
            <w:r>
              <w:rPr>
                <w:rFonts w:ascii="Arial" w:hAnsi="Arial" w:cs="Arial"/>
                <w:sz w:val="20"/>
                <w:szCs w:val="20"/>
              </w:rPr>
              <w:t>1.39</w:t>
            </w:r>
          </w:p>
        </w:tc>
      </w:tr>
    </w:tbl>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Horizontal Sodium Vapor Flood Lighting Service*</w:t>
      </w:r>
    </w:p>
    <w:p w:rsidR="007214DD" w:rsidRDefault="007214DD" w:rsidP="00282FCF">
      <w:pPr>
        <w:spacing w:after="0" w:line="286" w:lineRule="exact"/>
        <w:rPr>
          <w:rFonts w:ascii="Arial" w:hAnsi="Arial" w:cs="Arial"/>
          <w:sz w:val="20"/>
          <w:szCs w:val="20"/>
        </w:rPr>
      </w:pPr>
      <w:r>
        <w:rPr>
          <w:rFonts w:ascii="Arial" w:hAnsi="Arial" w:cs="Arial"/>
          <w:sz w:val="20"/>
          <w:szCs w:val="20"/>
          <w:u w:val="single"/>
        </w:rPr>
        <w:t>Lamp Wattage</w:t>
      </w:r>
    </w:p>
    <w:tbl>
      <w:tblPr>
        <w:tblW w:w="0" w:type="auto"/>
        <w:tblLook w:val="00A0"/>
      </w:tblPr>
      <w:tblGrid>
        <w:gridCol w:w="1908"/>
        <w:gridCol w:w="1800"/>
      </w:tblGrid>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45</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150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51</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59</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61</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80</w:t>
            </w:r>
          </w:p>
        </w:tc>
      </w:tr>
    </w:tbl>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Horizontal Metal Halide Flood Lighting Service*</w:t>
      </w:r>
    </w:p>
    <w:p w:rsidR="007214DD" w:rsidRDefault="007214DD" w:rsidP="00282FCF">
      <w:pPr>
        <w:spacing w:after="0" w:line="286" w:lineRule="exact"/>
        <w:rPr>
          <w:rFonts w:ascii="Arial" w:hAnsi="Arial" w:cs="Arial"/>
          <w:sz w:val="20"/>
          <w:szCs w:val="20"/>
        </w:rPr>
      </w:pPr>
      <w:r>
        <w:rPr>
          <w:rFonts w:ascii="Arial" w:hAnsi="Arial" w:cs="Arial"/>
          <w:sz w:val="20"/>
          <w:szCs w:val="20"/>
          <w:u w:val="single"/>
        </w:rPr>
        <w:t>Lamp Wattage</w:t>
      </w:r>
    </w:p>
    <w:tbl>
      <w:tblPr>
        <w:tblW w:w="0" w:type="auto"/>
        <w:tblLook w:val="00A0"/>
      </w:tblPr>
      <w:tblGrid>
        <w:gridCol w:w="1908"/>
        <w:gridCol w:w="1800"/>
      </w:tblGrid>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72</w:t>
            </w:r>
          </w:p>
        </w:tc>
      </w:tr>
      <w:tr w:rsidR="007214DD" w:rsidTr="004E62B9">
        <w:tc>
          <w:tcPr>
            <w:tcW w:w="1908"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7214DD" w:rsidRPr="004E62B9" w:rsidRDefault="007214DD"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91</w:t>
            </w:r>
          </w:p>
        </w:tc>
      </w:tr>
    </w:tbl>
    <w:p w:rsidR="007214DD" w:rsidRDefault="007214DD" w:rsidP="00282FCF">
      <w:pPr>
        <w:spacing w:after="0" w:line="286" w:lineRule="exact"/>
        <w:rPr>
          <w:rFonts w:ascii="Arial" w:hAnsi="Arial" w:cs="Arial"/>
          <w:sz w:val="20"/>
          <w:szCs w:val="20"/>
        </w:rPr>
      </w:pPr>
    </w:p>
    <w:p w:rsidR="007214DD" w:rsidRDefault="007214DD" w:rsidP="00282FCF">
      <w:pPr>
        <w:spacing w:after="0" w:line="286" w:lineRule="exact"/>
        <w:rPr>
          <w:rFonts w:ascii="Arial" w:hAnsi="Arial" w:cs="Arial"/>
          <w:sz w:val="20"/>
          <w:szCs w:val="20"/>
          <w:u w:val="single"/>
        </w:rPr>
      </w:pPr>
      <w:r>
        <w:rPr>
          <w:rFonts w:ascii="Arial" w:hAnsi="Arial" w:cs="Arial"/>
          <w:sz w:val="20"/>
          <w:szCs w:val="20"/>
          <w:u w:val="single"/>
        </w:rPr>
        <w:t>SCHEDULE 58 – Facilities Charge – Facilities Installed after November 1, 1999:  $0.24</w:t>
      </w:r>
    </w:p>
    <w:p w:rsidR="007214DD" w:rsidRDefault="007214DD" w:rsidP="00282FCF">
      <w:pPr>
        <w:spacing w:after="0" w:line="286" w:lineRule="exact"/>
        <w:rPr>
          <w:rFonts w:ascii="Arial" w:hAnsi="Arial" w:cs="Arial"/>
          <w:sz w:val="20"/>
          <w:szCs w:val="20"/>
        </w:rPr>
      </w:pPr>
    </w:p>
    <w:p w:rsidR="007214DD" w:rsidRPr="00E67029" w:rsidRDefault="007214DD" w:rsidP="00282FCF">
      <w:pPr>
        <w:spacing w:after="0" w:line="286" w:lineRule="exact"/>
        <w:rPr>
          <w:rFonts w:ascii="Arial" w:hAnsi="Arial" w:cs="Arial"/>
          <w:sz w:val="16"/>
          <w:szCs w:val="16"/>
        </w:rPr>
      </w:pPr>
      <w:r w:rsidRPr="00E67029">
        <w:rPr>
          <w:rFonts w:ascii="Arial" w:hAnsi="Arial" w:cs="Arial"/>
          <w:sz w:val="16"/>
          <w:szCs w:val="16"/>
        </w:rPr>
        <w:t>*Rate applies to the schedule(s) as well as equivalent schedules such as Residential and Farm schedules.</w:t>
      </w:r>
    </w:p>
    <w:p w:rsidR="007214DD" w:rsidRPr="00E67029" w:rsidRDefault="007214DD" w:rsidP="00282FCF">
      <w:pPr>
        <w:spacing w:after="0" w:line="286" w:lineRule="exact"/>
        <w:rPr>
          <w:rFonts w:ascii="Arial" w:hAnsi="Arial" w:cs="Arial"/>
          <w:sz w:val="16"/>
          <w:szCs w:val="16"/>
        </w:rPr>
      </w:pPr>
    </w:p>
    <w:p w:rsidR="007214DD" w:rsidRDefault="007214DD" w:rsidP="00282FCF">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Funding and Rate sections above apply, are subject to adjustment by such other schedules in this tariff as may apply.</w:t>
      </w:r>
    </w:p>
    <w:p w:rsidR="007214DD" w:rsidRDefault="007214DD" w:rsidP="00282FCF">
      <w:pPr>
        <w:spacing w:after="0" w:line="286" w:lineRule="exact"/>
        <w:rPr>
          <w:rFonts w:ascii="Arial" w:hAnsi="Arial" w:cs="Arial"/>
          <w:sz w:val="20"/>
          <w:szCs w:val="20"/>
        </w:rPr>
      </w:pPr>
    </w:p>
    <w:p w:rsidR="007214DD" w:rsidRPr="00BC7E42" w:rsidRDefault="007214DD" w:rsidP="005E3643">
      <w:pPr>
        <w:spacing w:after="0" w:line="286" w:lineRule="exact"/>
        <w:rPr>
          <w:rStyle w:val="Custom2"/>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sectPr w:rsidR="007214D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DD" w:rsidRDefault="007214DD" w:rsidP="00B963E0">
      <w:pPr>
        <w:spacing w:after="0" w:line="240" w:lineRule="auto"/>
      </w:pPr>
      <w:r>
        <w:separator/>
      </w:r>
    </w:p>
  </w:endnote>
  <w:endnote w:type="continuationSeparator" w:id="0">
    <w:p w:rsidR="007214DD" w:rsidRDefault="007214DD"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DD" w:rsidRDefault="007214DD"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7214DD" w:rsidRDefault="007214DD"/>
            </w:txbxContent>
          </v:textbox>
        </v:shape>
      </w:pict>
    </w:r>
  </w:p>
  <w:p w:rsidR="007214DD" w:rsidRDefault="007214DD" w:rsidP="00644CBD">
    <w:pPr>
      <w:pStyle w:val="Footer"/>
      <w:ind w:left="-90"/>
      <w:rPr>
        <w:rFonts w:ascii="Arial" w:hAnsi="Arial" w:cs="Arial"/>
        <w:sz w:val="20"/>
        <w:szCs w:val="20"/>
      </w:rPr>
    </w:pPr>
    <w:r>
      <w:rPr>
        <w:rFonts w:ascii="Arial" w:hAnsi="Arial" w:cs="Arial"/>
        <w:b/>
        <w:sz w:val="20"/>
        <w:szCs w:val="20"/>
      </w:rPr>
      <w:t xml:space="preserve">Issued:  </w:t>
    </w:r>
    <w:r>
      <w:rPr>
        <w:rFonts w:ascii="Arial" w:hAnsi="Arial" w:cs="Arial"/>
        <w:sz w:val="20"/>
        <w:szCs w:val="20"/>
      </w:rPr>
      <w:t>February 1,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April 1, 2013</w:t>
    </w:r>
  </w:p>
  <w:p w:rsidR="007214DD" w:rsidRDefault="007214DD" w:rsidP="00644CBD">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2013-01</w:t>
    </w:r>
  </w:p>
  <w:p w:rsidR="007214DD" w:rsidRDefault="007214DD" w:rsidP="00644CBD">
    <w:pPr>
      <w:pStyle w:val="Footer"/>
      <w:ind w:left="-720"/>
      <w:jc w:val="center"/>
      <w:rPr>
        <w:rFonts w:ascii="Arial" w:hAnsi="Arial" w:cs="Arial"/>
        <w:b/>
        <w:sz w:val="20"/>
        <w:szCs w:val="20"/>
      </w:rPr>
    </w:pPr>
  </w:p>
  <w:p w:rsidR="007214DD" w:rsidRDefault="007214DD" w:rsidP="00644CB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7214DD" w:rsidRPr="007D434A" w:rsidTr="00D878E5">
      <w:trPr>
        <w:trHeight w:val="422"/>
      </w:trPr>
      <w:tc>
        <w:tcPr>
          <w:tcW w:w="558" w:type="dxa"/>
          <w:vAlign w:val="center"/>
        </w:tcPr>
        <w:p w:rsidR="007214DD" w:rsidRPr="007D434A" w:rsidRDefault="007214DD" w:rsidP="00D878E5">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7214DD" w:rsidRPr="007D434A" w:rsidRDefault="007214DD" w:rsidP="00D878E5">
          <w:pPr>
            <w:pStyle w:val="Footer"/>
            <w:rPr>
              <w:rFonts w:ascii="Arial" w:hAnsi="Arial" w:cs="Arial"/>
              <w:b/>
              <w:sz w:val="20"/>
              <w:szCs w:val="20"/>
            </w:rPr>
          </w:pPr>
        </w:p>
      </w:tc>
      <w:tc>
        <w:tcPr>
          <w:tcW w:w="6660" w:type="dxa"/>
          <w:vAlign w:val="center"/>
        </w:tcPr>
        <w:p w:rsidR="007214DD" w:rsidRPr="007D434A" w:rsidRDefault="007214DD" w:rsidP="00D878E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7214DD" w:rsidRPr="006E75FB" w:rsidRDefault="007214DD" w:rsidP="00644CBD">
    <w:pPr>
      <w:pStyle w:val="Footer"/>
      <w:ind w:left="-720"/>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DD" w:rsidRDefault="007214DD" w:rsidP="00B963E0">
      <w:pPr>
        <w:spacing w:after="0" w:line="240" w:lineRule="auto"/>
      </w:pPr>
      <w:r>
        <w:separator/>
      </w:r>
    </w:p>
  </w:footnote>
  <w:footnote w:type="continuationSeparator" w:id="0">
    <w:p w:rsidR="007214DD" w:rsidRDefault="007214DD"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DD" w:rsidRDefault="007214DD" w:rsidP="00E61AEC">
    <w:pPr>
      <w:pStyle w:val="NoSpacing"/>
      <w:ind w:right="3600"/>
      <w:jc w:val="right"/>
      <w:rPr>
        <w:u w:val="single"/>
      </w:rPr>
    </w:pPr>
  </w:p>
  <w:p w:rsidR="007214DD" w:rsidRDefault="007214DD" w:rsidP="00E61AEC">
    <w:pPr>
      <w:pStyle w:val="NoSpacing"/>
      <w:ind w:right="3600"/>
      <w:jc w:val="right"/>
      <w:rPr>
        <w:u w:val="single"/>
      </w:rPr>
    </w:pPr>
  </w:p>
  <w:p w:rsidR="007214DD" w:rsidRPr="00E61AEC" w:rsidRDefault="007214DD"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141-l</w:t>
    </w:r>
  </w:p>
  <w:p w:rsidR="007214DD" w:rsidRPr="00B963E0" w:rsidRDefault="007214DD"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7214DD" w:rsidRPr="00B64632" w:rsidRDefault="007214DD"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60288" o:connectortype="straight">
          <v:textbox>
            <w:txbxContent>
              <w:p w:rsidR="007214DD" w:rsidRDefault="007214DD"/>
            </w:txbxContent>
          </v:textbox>
        </v:shape>
      </w:pict>
    </w:r>
    <w:r>
      <w:rPr>
        <w:rFonts w:ascii="Arial" w:hAnsi="Arial" w:cs="Arial"/>
        <w:color w:val="auto"/>
        <w:sz w:val="20"/>
        <w:szCs w:val="20"/>
      </w:rPr>
      <w:t>Electric Tariff 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73"/>
    <w:rsid w:val="000079F0"/>
    <w:rsid w:val="0002442A"/>
    <w:rsid w:val="00027D82"/>
    <w:rsid w:val="0003601D"/>
    <w:rsid w:val="00053192"/>
    <w:rsid w:val="00060533"/>
    <w:rsid w:val="0008711D"/>
    <w:rsid w:val="0009579F"/>
    <w:rsid w:val="000A1DBB"/>
    <w:rsid w:val="000A42E2"/>
    <w:rsid w:val="000B0263"/>
    <w:rsid w:val="000C04B8"/>
    <w:rsid w:val="000D2886"/>
    <w:rsid w:val="000D34FF"/>
    <w:rsid w:val="000E03E6"/>
    <w:rsid w:val="000E0D83"/>
    <w:rsid w:val="000E325D"/>
    <w:rsid w:val="000F642C"/>
    <w:rsid w:val="000F6ECA"/>
    <w:rsid w:val="00104A70"/>
    <w:rsid w:val="0012651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C5"/>
    <w:rsid w:val="002E7037"/>
    <w:rsid w:val="002F56BC"/>
    <w:rsid w:val="003165C7"/>
    <w:rsid w:val="00350702"/>
    <w:rsid w:val="00350A9F"/>
    <w:rsid w:val="003930FE"/>
    <w:rsid w:val="003A5EFC"/>
    <w:rsid w:val="003D5068"/>
    <w:rsid w:val="003D6A10"/>
    <w:rsid w:val="003D6A6F"/>
    <w:rsid w:val="003E4047"/>
    <w:rsid w:val="003F48BD"/>
    <w:rsid w:val="00401C8E"/>
    <w:rsid w:val="00410F58"/>
    <w:rsid w:val="0044237C"/>
    <w:rsid w:val="00452D6E"/>
    <w:rsid w:val="00466466"/>
    <w:rsid w:val="00466546"/>
    <w:rsid w:val="00466A71"/>
    <w:rsid w:val="0047056F"/>
    <w:rsid w:val="004A7502"/>
    <w:rsid w:val="004E62B9"/>
    <w:rsid w:val="00502CFA"/>
    <w:rsid w:val="005141B1"/>
    <w:rsid w:val="005241EE"/>
    <w:rsid w:val="00543EA4"/>
    <w:rsid w:val="005548D7"/>
    <w:rsid w:val="0056073A"/>
    <w:rsid w:val="00567DE3"/>
    <w:rsid w:val="005743AB"/>
    <w:rsid w:val="005746B6"/>
    <w:rsid w:val="00596AA0"/>
    <w:rsid w:val="005E09BA"/>
    <w:rsid w:val="005E2A73"/>
    <w:rsid w:val="005E3643"/>
    <w:rsid w:val="006377E6"/>
    <w:rsid w:val="00644CBD"/>
    <w:rsid w:val="0065111E"/>
    <w:rsid w:val="006A72BD"/>
    <w:rsid w:val="006C27C7"/>
    <w:rsid w:val="006D2365"/>
    <w:rsid w:val="006E75FB"/>
    <w:rsid w:val="00703E53"/>
    <w:rsid w:val="00707DF4"/>
    <w:rsid w:val="00716A97"/>
    <w:rsid w:val="007214DD"/>
    <w:rsid w:val="00757C64"/>
    <w:rsid w:val="00770E9A"/>
    <w:rsid w:val="00784841"/>
    <w:rsid w:val="00795847"/>
    <w:rsid w:val="007A48CC"/>
    <w:rsid w:val="007A7A26"/>
    <w:rsid w:val="007B3F61"/>
    <w:rsid w:val="007C2D88"/>
    <w:rsid w:val="007D11B1"/>
    <w:rsid w:val="007D434A"/>
    <w:rsid w:val="007E6230"/>
    <w:rsid w:val="007F3BEC"/>
    <w:rsid w:val="0080589E"/>
    <w:rsid w:val="00820C54"/>
    <w:rsid w:val="008312C9"/>
    <w:rsid w:val="00874E85"/>
    <w:rsid w:val="00880B8E"/>
    <w:rsid w:val="0088656C"/>
    <w:rsid w:val="008A3E31"/>
    <w:rsid w:val="008A742D"/>
    <w:rsid w:val="008B3592"/>
    <w:rsid w:val="008C1F4D"/>
    <w:rsid w:val="008E58E7"/>
    <w:rsid w:val="009228D1"/>
    <w:rsid w:val="009342D5"/>
    <w:rsid w:val="00941F3E"/>
    <w:rsid w:val="00957A0B"/>
    <w:rsid w:val="0099361B"/>
    <w:rsid w:val="009B1D7A"/>
    <w:rsid w:val="00A0363D"/>
    <w:rsid w:val="00A1049A"/>
    <w:rsid w:val="00A32213"/>
    <w:rsid w:val="00A42F11"/>
    <w:rsid w:val="00A52404"/>
    <w:rsid w:val="00A55507"/>
    <w:rsid w:val="00A742E6"/>
    <w:rsid w:val="00A839AA"/>
    <w:rsid w:val="00AA55FC"/>
    <w:rsid w:val="00AB4028"/>
    <w:rsid w:val="00AB5920"/>
    <w:rsid w:val="00AC14E7"/>
    <w:rsid w:val="00B0749D"/>
    <w:rsid w:val="00B248DC"/>
    <w:rsid w:val="00B30E8E"/>
    <w:rsid w:val="00B42E7C"/>
    <w:rsid w:val="00B60AD9"/>
    <w:rsid w:val="00B64632"/>
    <w:rsid w:val="00B70BA0"/>
    <w:rsid w:val="00B73E4B"/>
    <w:rsid w:val="00B963E0"/>
    <w:rsid w:val="00BA075B"/>
    <w:rsid w:val="00BA1F04"/>
    <w:rsid w:val="00BC7E42"/>
    <w:rsid w:val="00BE428A"/>
    <w:rsid w:val="00C06D5B"/>
    <w:rsid w:val="00C070F6"/>
    <w:rsid w:val="00C07562"/>
    <w:rsid w:val="00C16BE2"/>
    <w:rsid w:val="00C27AA6"/>
    <w:rsid w:val="00C33152"/>
    <w:rsid w:val="00C42132"/>
    <w:rsid w:val="00C67B1F"/>
    <w:rsid w:val="00C701FF"/>
    <w:rsid w:val="00C850A3"/>
    <w:rsid w:val="00C90B1F"/>
    <w:rsid w:val="00CB7B61"/>
    <w:rsid w:val="00CE005E"/>
    <w:rsid w:val="00CE40EB"/>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878E5"/>
    <w:rsid w:val="00DB3D30"/>
    <w:rsid w:val="00DB60D7"/>
    <w:rsid w:val="00DC040E"/>
    <w:rsid w:val="00DC2AAE"/>
    <w:rsid w:val="00DF04B6"/>
    <w:rsid w:val="00E002F2"/>
    <w:rsid w:val="00E07D30"/>
    <w:rsid w:val="00E12B4A"/>
    <w:rsid w:val="00E526ED"/>
    <w:rsid w:val="00E61AEC"/>
    <w:rsid w:val="00E67029"/>
    <w:rsid w:val="00E74A20"/>
    <w:rsid w:val="00E84B31"/>
    <w:rsid w:val="00E9001F"/>
    <w:rsid w:val="00E907F8"/>
    <w:rsid w:val="00E94710"/>
    <w:rsid w:val="00EA1C6B"/>
    <w:rsid w:val="00EC4414"/>
    <w:rsid w:val="00ED6D74"/>
    <w:rsid w:val="00EF663C"/>
    <w:rsid w:val="00F414C3"/>
    <w:rsid w:val="00F468B3"/>
    <w:rsid w:val="00F518C8"/>
    <w:rsid w:val="00F53FC2"/>
    <w:rsid w:val="00F57C21"/>
    <w:rsid w:val="00F86A24"/>
    <w:rsid w:val="00FA1B13"/>
    <w:rsid w:val="00FB445B"/>
    <w:rsid w:val="00FC7E2A"/>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C46AAF-71B0-41DC-A462-0021E3D09F08}"/>
</file>

<file path=customXml/itemProps2.xml><?xml version="1.0" encoding="utf-8"?>
<ds:datastoreItem xmlns:ds="http://schemas.openxmlformats.org/officeDocument/2006/customXml" ds:itemID="{850C26A8-092B-4255-99DB-CBB45A649C2B}"/>
</file>

<file path=customXml/itemProps3.xml><?xml version="1.0" encoding="utf-8"?>
<ds:datastoreItem xmlns:ds="http://schemas.openxmlformats.org/officeDocument/2006/customXml" ds:itemID="{C2ACD68C-E5C5-4C3F-BC0B-DBC151BC4DC4}"/>
</file>

<file path=customXml/itemProps4.xml><?xml version="1.0" encoding="utf-8"?>
<ds:datastoreItem xmlns:ds="http://schemas.openxmlformats.org/officeDocument/2006/customXml" ds:itemID="{7213DCB2-067C-4B69-BC18-72D50E23F562}"/>
</file>

<file path=docProps/app.xml><?xml version="1.0" encoding="utf-8"?>
<Properties xmlns="http://schemas.openxmlformats.org/officeDocument/2006/extended-properties" xmlns:vt="http://schemas.openxmlformats.org/officeDocument/2006/docPropsVTypes">
  <Pages>1</Pages>
  <Words>262</Words>
  <Characters>1184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