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95" w:rsidRDefault="00C11895" w:rsidP="00C11895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95" w:rsidRDefault="00C11895" w:rsidP="00C11895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C11895" w:rsidRDefault="00C11895" w:rsidP="00C11895">
      <w:pPr>
        <w:spacing w:after="0"/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C11895" w:rsidRDefault="00C11895" w:rsidP="00C11895">
      <w:pPr>
        <w:spacing w:after="0"/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F02C29" w:rsidRPr="00C11895" w:rsidRDefault="00C11895" w:rsidP="00C11895">
      <w:pPr>
        <w:spacing w:after="0"/>
        <w:ind w:left="720" w:hanging="720"/>
        <w:jc w:val="center"/>
        <w:rPr>
          <w:sz w:val="20"/>
        </w:rPr>
      </w:pPr>
      <w:r>
        <w:rPr>
          <w:sz w:val="20"/>
        </w:rPr>
        <w:t>Portland, OR 97204</w:t>
      </w:r>
    </w:p>
    <w:p w:rsidR="00F02C29" w:rsidRDefault="00F02C29" w:rsidP="006A0E8E">
      <w:pPr>
        <w:spacing w:after="0"/>
        <w:jc w:val="center"/>
      </w:pPr>
    </w:p>
    <w:p w:rsidR="00F02C29" w:rsidRDefault="00F02C29" w:rsidP="006A0E8E">
      <w:pPr>
        <w:spacing w:after="0"/>
        <w:jc w:val="center"/>
      </w:pPr>
    </w:p>
    <w:p w:rsidR="00F02C29" w:rsidRDefault="00F02C29" w:rsidP="006A0E8E">
      <w:pPr>
        <w:spacing w:after="0"/>
        <w:jc w:val="center"/>
      </w:pPr>
    </w:p>
    <w:p w:rsidR="006A0E8E" w:rsidRDefault="009260DF" w:rsidP="006A0E8E">
      <w:pPr>
        <w:spacing w:after="0"/>
        <w:jc w:val="center"/>
      </w:pPr>
      <w:r>
        <w:t xml:space="preserve">November </w:t>
      </w:r>
      <w:r w:rsidR="00E2768F">
        <w:t>5</w:t>
      </w:r>
      <w:r w:rsidR="006A0E8E">
        <w:t>, 2012</w:t>
      </w:r>
    </w:p>
    <w:p w:rsidR="006A0E8E" w:rsidRDefault="006A0E8E" w:rsidP="006A0E8E">
      <w:pPr>
        <w:pStyle w:val="Heading1"/>
      </w:pPr>
    </w:p>
    <w:p w:rsidR="006A0E8E" w:rsidRDefault="006A0E8E" w:rsidP="006A0E8E">
      <w:pPr>
        <w:pStyle w:val="Heading3"/>
        <w:rPr>
          <w:sz w:val="24"/>
        </w:rPr>
      </w:pPr>
      <w:r>
        <w:rPr>
          <w:sz w:val="24"/>
        </w:rPr>
        <w:t>Via Email and U.S. Mail</w:t>
      </w:r>
    </w:p>
    <w:p w:rsidR="006A0E8E" w:rsidRDefault="006A0E8E" w:rsidP="006A0E8E">
      <w:pPr>
        <w:spacing w:after="0"/>
      </w:pPr>
      <w:bookmarkStart w:id="0" w:name="_GoBack"/>
      <w:bookmarkEnd w:id="0"/>
    </w:p>
    <w:p w:rsidR="00060432" w:rsidRDefault="00D54057" w:rsidP="006A0E8E">
      <w:pPr>
        <w:spacing w:after="0"/>
      </w:pPr>
      <w:r>
        <w:t>Chair Jeffrey Goltz</w:t>
      </w:r>
    </w:p>
    <w:p w:rsidR="00060432" w:rsidRDefault="00060432" w:rsidP="006A0E8E">
      <w:pPr>
        <w:spacing w:after="0"/>
      </w:pPr>
      <w:r>
        <w:t>Commissioner Phil Jones</w:t>
      </w:r>
    </w:p>
    <w:p w:rsidR="00060432" w:rsidRDefault="00060432" w:rsidP="006A0E8E">
      <w:pPr>
        <w:spacing w:after="0"/>
      </w:pPr>
      <w:r>
        <w:t>Commissioner Patrick Oshie</w:t>
      </w:r>
    </w:p>
    <w:p w:rsidR="006A0E8E" w:rsidRDefault="006A0E8E" w:rsidP="006A0E8E">
      <w:pPr>
        <w:spacing w:after="0"/>
      </w:pPr>
      <w:r>
        <w:t>Washington Utilities and Transportation Commission</w:t>
      </w:r>
    </w:p>
    <w:p w:rsidR="006A0E8E" w:rsidRDefault="006A0E8E" w:rsidP="006A0E8E">
      <w:pPr>
        <w:spacing w:after="0"/>
      </w:pPr>
      <w:r>
        <w:t>PO Box 47250</w:t>
      </w:r>
    </w:p>
    <w:p w:rsidR="006A0E8E" w:rsidRDefault="006A0E8E" w:rsidP="006A0E8E">
      <w:pPr>
        <w:spacing w:after="0"/>
      </w:pPr>
      <w:r>
        <w:t>1300 S Evergreen Park Drive SW</w:t>
      </w:r>
    </w:p>
    <w:p w:rsidR="006A0E8E" w:rsidRDefault="006A0E8E" w:rsidP="006A0E8E">
      <w:pPr>
        <w:spacing w:after="0"/>
      </w:pPr>
      <w:r>
        <w:t>Olympia, WA  98504-7250</w:t>
      </w:r>
    </w:p>
    <w:p w:rsidR="006A0E8E" w:rsidRDefault="006A0E8E" w:rsidP="006A0E8E">
      <w:pPr>
        <w:spacing w:after="0"/>
      </w:pPr>
    </w:p>
    <w:p w:rsidR="006A0E8E" w:rsidRDefault="006A0E8E" w:rsidP="006A0E8E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48532A">
        <w:rPr>
          <w:rFonts w:ascii="Times New Roman" w:hAnsi="Times New Roman"/>
          <w:sz w:val="24"/>
          <w:szCs w:val="24"/>
        </w:rPr>
        <w:t>Re:</w:t>
      </w:r>
      <w:r w:rsidRPr="0048532A">
        <w:rPr>
          <w:rFonts w:ascii="Times New Roman" w:hAnsi="Times New Roman"/>
          <w:sz w:val="24"/>
          <w:szCs w:val="24"/>
        </w:rPr>
        <w:tab/>
      </w:r>
      <w:r w:rsidR="00087CA4">
        <w:rPr>
          <w:rFonts w:ascii="Times New Roman" w:hAnsi="Times New Roman"/>
          <w:sz w:val="24"/>
          <w:szCs w:val="24"/>
        </w:rPr>
        <w:t>Joint P</w:t>
      </w:r>
      <w:r w:rsidR="005E6692" w:rsidRPr="005E6692">
        <w:rPr>
          <w:rFonts w:ascii="Times New Roman" w:hAnsi="Times New Roman"/>
          <w:sz w:val="24"/>
          <w:szCs w:val="24"/>
        </w:rPr>
        <w:t xml:space="preserve">etition of PSE </w:t>
      </w:r>
      <w:r w:rsidR="00087CA4">
        <w:rPr>
          <w:rFonts w:ascii="Times New Roman" w:hAnsi="Times New Roman"/>
          <w:sz w:val="24"/>
          <w:szCs w:val="24"/>
        </w:rPr>
        <w:t>and NW Energy Coalition for an Order A</w:t>
      </w:r>
      <w:r w:rsidR="005E6692" w:rsidRPr="005E6692">
        <w:rPr>
          <w:rFonts w:ascii="Times New Roman" w:hAnsi="Times New Roman"/>
          <w:sz w:val="24"/>
          <w:szCs w:val="24"/>
        </w:rPr>
        <w:t>uthorizing PS</w:t>
      </w:r>
      <w:r w:rsidR="00087CA4">
        <w:rPr>
          <w:rFonts w:ascii="Times New Roman" w:hAnsi="Times New Roman"/>
          <w:sz w:val="24"/>
          <w:szCs w:val="24"/>
        </w:rPr>
        <w:t>E to I</w:t>
      </w:r>
      <w:r w:rsidR="005E6692" w:rsidRPr="005E6692">
        <w:rPr>
          <w:rFonts w:ascii="Times New Roman" w:hAnsi="Times New Roman"/>
          <w:sz w:val="24"/>
          <w:szCs w:val="24"/>
        </w:rPr>
        <w:t xml:space="preserve">mplement </w:t>
      </w:r>
      <w:r w:rsidR="00087CA4">
        <w:rPr>
          <w:rFonts w:ascii="Times New Roman" w:hAnsi="Times New Roman"/>
          <w:sz w:val="24"/>
          <w:szCs w:val="24"/>
        </w:rPr>
        <w:t>Electric Decoupling M</w:t>
      </w:r>
      <w:r w:rsidR="005E6692" w:rsidRPr="005E6692">
        <w:rPr>
          <w:rFonts w:ascii="Times New Roman" w:hAnsi="Times New Roman"/>
          <w:sz w:val="24"/>
          <w:szCs w:val="24"/>
        </w:rPr>
        <w:t xml:space="preserve">echanisms </w:t>
      </w:r>
    </w:p>
    <w:p w:rsidR="006A0E8E" w:rsidRPr="00A41119" w:rsidRDefault="006A0E8E" w:rsidP="006A0E8E">
      <w:pPr>
        <w:pStyle w:val="PlainText"/>
        <w:ind w:left="144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1119">
        <w:rPr>
          <w:rFonts w:ascii="Times New Roman" w:hAnsi="Times New Roman"/>
          <w:b/>
          <w:sz w:val="24"/>
          <w:szCs w:val="24"/>
        </w:rPr>
        <w:t>Docket No. UE-</w:t>
      </w:r>
      <w:r w:rsidR="006B56CA">
        <w:rPr>
          <w:rFonts w:ascii="Times New Roman" w:hAnsi="Times New Roman"/>
          <w:b/>
          <w:sz w:val="24"/>
          <w:szCs w:val="24"/>
        </w:rPr>
        <w:t>121697</w:t>
      </w:r>
    </w:p>
    <w:p w:rsidR="006A0E8E" w:rsidRDefault="006A0E8E" w:rsidP="006A0E8E">
      <w:pPr>
        <w:spacing w:after="0"/>
      </w:pPr>
    </w:p>
    <w:p w:rsidR="006A0E8E" w:rsidRDefault="006A0E8E" w:rsidP="006A0E8E">
      <w:pPr>
        <w:spacing w:after="0"/>
      </w:pPr>
      <w:r>
        <w:t>Dear Commissioners:</w:t>
      </w:r>
    </w:p>
    <w:p w:rsidR="006A0E8E" w:rsidRDefault="006A0E8E" w:rsidP="003B5746">
      <w:pPr>
        <w:spacing w:after="0"/>
      </w:pPr>
    </w:p>
    <w:p w:rsidR="00087CA4" w:rsidRDefault="006A0E8E" w:rsidP="003B5746">
      <w:pPr>
        <w:spacing w:after="0"/>
      </w:pPr>
      <w:r>
        <w:tab/>
      </w:r>
      <w:r>
        <w:tab/>
      </w:r>
      <w:r w:rsidR="006E543C">
        <w:t xml:space="preserve">The </w:t>
      </w:r>
      <w:r w:rsidR="006B56CA">
        <w:t>Industrial Customers of Northwest Utilities</w:t>
      </w:r>
      <w:r>
        <w:rPr>
          <w:rFonts w:eastAsia="Calibri" w:cs="Times New Roman"/>
        </w:rPr>
        <w:t xml:space="preserve"> (“</w:t>
      </w:r>
      <w:r w:rsidR="006B56CA">
        <w:rPr>
          <w:rFonts w:eastAsia="Calibri" w:cs="Times New Roman"/>
        </w:rPr>
        <w:t>ICNU</w:t>
      </w:r>
      <w:r>
        <w:rPr>
          <w:rFonts w:eastAsia="Calibri" w:cs="Times New Roman"/>
        </w:rPr>
        <w:t>”)</w:t>
      </w:r>
      <w:r>
        <w:t xml:space="preserve"> requests that the Washington Utilities and Transportation Commission (“WUTC” or the “Commission”) </w:t>
      </w:r>
      <w:r w:rsidR="006B56CA">
        <w:t>reject the joint petition of Puget Sound Energy (“PSE”) and the Northwest Energy Coalition (“NWEC”) (jointly, the “Petitioners”) requesting authorization</w:t>
      </w:r>
      <w:r w:rsidR="00A11B39">
        <w:t xml:space="preserve"> for PSE</w:t>
      </w:r>
      <w:r w:rsidR="006B56CA">
        <w:t xml:space="preserve"> to impl</w:t>
      </w:r>
      <w:r w:rsidR="00A11B39">
        <w:t xml:space="preserve">ement their decoupling proposal.  In the </w:t>
      </w:r>
      <w:r w:rsidR="006B56CA">
        <w:t>alternative,</w:t>
      </w:r>
      <w:r w:rsidR="00A11B39">
        <w:t xml:space="preserve"> ICNU requests the Commission</w:t>
      </w:r>
      <w:r w:rsidR="006B56CA">
        <w:t xml:space="preserve"> </w:t>
      </w:r>
      <w:r>
        <w:t xml:space="preserve">suspend </w:t>
      </w:r>
      <w:r w:rsidR="006B56CA">
        <w:t>the filed decoupling mechanism</w:t>
      </w:r>
      <w:r>
        <w:t xml:space="preserve"> pending further investigatio</w:t>
      </w:r>
      <w:r w:rsidR="00060432">
        <w:t>n</w:t>
      </w:r>
      <w:r w:rsidR="006B56CA">
        <w:t>.</w:t>
      </w:r>
      <w:r w:rsidR="006E543C">
        <w:t xml:space="preserve">  </w:t>
      </w:r>
    </w:p>
    <w:p w:rsidR="00087CA4" w:rsidRDefault="00087CA4" w:rsidP="00087CA4">
      <w:pPr>
        <w:spacing w:after="0"/>
        <w:ind w:firstLine="1440"/>
      </w:pPr>
    </w:p>
    <w:p w:rsidR="00786BE7" w:rsidRDefault="00307425" w:rsidP="00087CA4">
      <w:pPr>
        <w:spacing w:after="0"/>
        <w:ind w:firstLine="1440"/>
      </w:pPr>
      <w:r>
        <w:t>The Commission shoul</w:t>
      </w:r>
      <w:r w:rsidR="006E543C">
        <w:t>d reject the Petition because this “full” decoupling proposal</w:t>
      </w:r>
      <w:r>
        <w:t xml:space="preserve"> was not filed as part</w:t>
      </w:r>
      <w:r w:rsidR="00087CA4">
        <w:t xml:space="preserve"> of a general rate case.  The proposal contains</w:t>
      </w:r>
      <w:r>
        <w:t xml:space="preserve"> numerous </w:t>
      </w:r>
      <w:r w:rsidR="00087CA4">
        <w:t xml:space="preserve">other </w:t>
      </w:r>
      <w:r>
        <w:t>provisions that both depart from the Commission’s poli</w:t>
      </w:r>
      <w:r w:rsidR="006E543C">
        <w:t xml:space="preserve">cy guidance and </w:t>
      </w:r>
      <w:r w:rsidR="00087CA4">
        <w:t xml:space="preserve">would </w:t>
      </w:r>
      <w:r w:rsidR="006E543C">
        <w:t>harm customers.  ICNU supports cost effective conservation and energy efficiency programs, but opposes the mechanism filed by the Petitioners</w:t>
      </w:r>
      <w:r w:rsidR="007910C3">
        <w:t>.</w:t>
      </w:r>
      <w:r>
        <w:t xml:space="preserve"> </w:t>
      </w:r>
      <w:r w:rsidR="00A41119">
        <w:t xml:space="preserve">  </w:t>
      </w:r>
      <w:r w:rsidR="006A0E8E">
        <w:t xml:space="preserve">  </w:t>
      </w:r>
    </w:p>
    <w:p w:rsidR="003B5746" w:rsidRDefault="003B5746" w:rsidP="003B5746">
      <w:pPr>
        <w:spacing w:after="0"/>
      </w:pPr>
    </w:p>
    <w:p w:rsidR="00A73DC8" w:rsidRDefault="003B5746" w:rsidP="003B5746">
      <w:pPr>
        <w:spacing w:after="0"/>
      </w:pPr>
      <w:r>
        <w:tab/>
      </w:r>
      <w:r>
        <w:tab/>
      </w:r>
      <w:r w:rsidR="00955A40">
        <w:t>In its Report and Policy Statement on Regulatory Mechanisms, Including Decoupling</w:t>
      </w:r>
      <w:r w:rsidR="003A0391">
        <w:t xml:space="preserve"> (‘Policy Statement”)</w:t>
      </w:r>
      <w:r w:rsidR="00955A40">
        <w:t>, the Commission stated that</w:t>
      </w:r>
      <w:r w:rsidR="00500094">
        <w:t xml:space="preserve"> “[a] utility’s request for a full decoupling mechanism must be made in its direct testimony of its rate case filing.”</w:t>
      </w:r>
      <w:r w:rsidR="00500094" w:rsidRPr="001777EF">
        <w:rPr>
          <w:rStyle w:val="FootnoteReference"/>
          <w:u w:val="single"/>
        </w:rPr>
        <w:footnoteReference w:id="1"/>
      </w:r>
      <w:proofErr w:type="gramStart"/>
      <w:r w:rsidR="001777EF" w:rsidRPr="001777EF">
        <w:rPr>
          <w:vertAlign w:val="superscript"/>
        </w:rPr>
        <w:t>/</w:t>
      </w:r>
      <w:r w:rsidR="00500094">
        <w:t xml:space="preserve">  The</w:t>
      </w:r>
      <w:proofErr w:type="gramEnd"/>
      <w:r w:rsidR="00500094">
        <w:t xml:space="preserve"> </w:t>
      </w:r>
      <w:r w:rsidR="003A0391">
        <w:t>Petitioners</w:t>
      </w:r>
      <w:r w:rsidR="00500094">
        <w:t xml:space="preserve"> have presented this </w:t>
      </w:r>
      <w:r w:rsidR="006E543C">
        <w:t xml:space="preserve">full </w:t>
      </w:r>
      <w:r w:rsidR="00500094">
        <w:t xml:space="preserve">decoupling mechanism outside the context of a </w:t>
      </w:r>
      <w:r w:rsidR="00231A6E">
        <w:t xml:space="preserve">general </w:t>
      </w:r>
      <w:r w:rsidR="00500094">
        <w:t>rate case, relying on the fact that</w:t>
      </w:r>
      <w:r w:rsidR="000573F5">
        <w:t>,</w:t>
      </w:r>
      <w:r w:rsidR="00500094">
        <w:t xml:space="preserve"> prior to the issuance of the </w:t>
      </w:r>
      <w:r w:rsidR="003808EC">
        <w:t>P</w:t>
      </w:r>
      <w:r w:rsidR="00500094">
        <w:t xml:space="preserve">olicy </w:t>
      </w:r>
      <w:r w:rsidR="003808EC">
        <w:t>S</w:t>
      </w:r>
      <w:r w:rsidR="00500094">
        <w:t>tatement, the Commission adopted a decoupling mechanism for Avista’s gas operations</w:t>
      </w:r>
      <w:r w:rsidR="00A11B39">
        <w:t xml:space="preserve"> outside of a GRC</w:t>
      </w:r>
      <w:r w:rsidR="00500094">
        <w:t>.</w:t>
      </w:r>
      <w:r w:rsidR="00500094" w:rsidRPr="00D63E59">
        <w:rPr>
          <w:rStyle w:val="FootnoteReference"/>
          <w:u w:val="single"/>
        </w:rPr>
        <w:footnoteReference w:id="2"/>
      </w:r>
      <w:r w:rsidR="00D63E59" w:rsidRPr="00D63E59">
        <w:rPr>
          <w:vertAlign w:val="superscript"/>
        </w:rPr>
        <w:t>/</w:t>
      </w:r>
      <w:r w:rsidR="00500094">
        <w:t xml:space="preserve">  Besides th</w:t>
      </w:r>
      <w:r w:rsidR="003A0391">
        <w:t xml:space="preserve">e </w:t>
      </w:r>
      <w:r w:rsidR="003A0391">
        <w:lastRenderedPageBreak/>
        <w:t xml:space="preserve">fact that the </w:t>
      </w:r>
      <w:r w:rsidR="00231A6E">
        <w:t>P</w:t>
      </w:r>
      <w:r w:rsidR="00500094">
        <w:t xml:space="preserve">etition ignores the Commission’s </w:t>
      </w:r>
      <w:r w:rsidR="00A11B39">
        <w:t xml:space="preserve">more </w:t>
      </w:r>
      <w:r w:rsidR="00500094">
        <w:t>recent requirement</w:t>
      </w:r>
      <w:r w:rsidR="006E543C">
        <w:t>s</w:t>
      </w:r>
      <w:r w:rsidR="00500094">
        <w:t xml:space="preserve"> for filing a decoupling proposal, it would be unfair to </w:t>
      </w:r>
      <w:r w:rsidR="003808EC">
        <w:t>adopt</w:t>
      </w:r>
      <w:r w:rsidR="00500094">
        <w:t xml:space="preserve"> a decoupling proposal </w:t>
      </w:r>
      <w:r w:rsidR="00DF2BA3">
        <w:t xml:space="preserve">outside of a </w:t>
      </w:r>
      <w:r w:rsidR="006E543C">
        <w:t>GRC</w:t>
      </w:r>
      <w:r w:rsidR="00500094">
        <w:t xml:space="preserve"> wherein all costs and revenues, as well as decoupling’s ef</w:t>
      </w:r>
      <w:r w:rsidR="006E543C">
        <w:t>f</w:t>
      </w:r>
      <w:r w:rsidR="00231A6E">
        <w:t>ect on rate of return (“ROR”) w</w:t>
      </w:r>
      <w:r w:rsidR="00500094">
        <w:t xml:space="preserve">ould be considered.  </w:t>
      </w:r>
      <w:r w:rsidR="00750A33">
        <w:t>The Petitioner</w:t>
      </w:r>
      <w:r w:rsidR="00DF2BA3">
        <w:t>s suggest that</w:t>
      </w:r>
      <w:r w:rsidR="00C67966">
        <w:t>,</w:t>
      </w:r>
      <w:r w:rsidR="00A11B39">
        <w:t xml:space="preserve"> because PSE has completed </w:t>
      </w:r>
      <w:r w:rsidR="00DF2BA3">
        <w:t>a rate case</w:t>
      </w:r>
      <w:r w:rsidR="00A11B39">
        <w:t xml:space="preserve"> relatively recently</w:t>
      </w:r>
      <w:r w:rsidR="00DF2BA3">
        <w:t>, this decoupling proposal should be acce</w:t>
      </w:r>
      <w:r w:rsidR="00A11B39">
        <w:t>pted in a single-</w:t>
      </w:r>
      <w:r w:rsidR="00DF2BA3">
        <w:t>issue filing</w:t>
      </w:r>
      <w:r w:rsidR="00A11B39">
        <w:t>.</w:t>
      </w:r>
      <w:r w:rsidR="00DF2BA3">
        <w:t xml:space="preserve">  </w:t>
      </w:r>
      <w:r w:rsidR="00A11B39">
        <w:t>T</w:t>
      </w:r>
      <w:r w:rsidR="00DF2BA3">
        <w:t>his assertion ignores the fact that PSE’s current rates were set at a level appropriate for PSE in the absence of such a mechanism</w:t>
      </w:r>
      <w:r w:rsidR="00231A6E">
        <w:t>.</w:t>
      </w:r>
    </w:p>
    <w:p w:rsidR="00231A6E" w:rsidRDefault="00A73DC8" w:rsidP="00BA42CD">
      <w:pPr>
        <w:spacing w:after="0"/>
      </w:pPr>
      <w:r>
        <w:tab/>
      </w:r>
    </w:p>
    <w:p w:rsidR="00786BE7" w:rsidRDefault="00A73DC8" w:rsidP="00BA42CD">
      <w:pPr>
        <w:spacing w:after="0"/>
      </w:pPr>
      <w:r>
        <w:tab/>
      </w:r>
      <w:r w:rsidR="00231A6E">
        <w:tab/>
      </w:r>
      <w:r w:rsidR="00750A33">
        <w:t>The Petitioner</w:t>
      </w:r>
      <w:r w:rsidR="00FF7007">
        <w:t>s characterize their proposal as “very similar” to the NWEC decoupling proposal that was considered</w:t>
      </w:r>
      <w:r w:rsidR="00232B09">
        <w:t>—</w:t>
      </w:r>
      <w:r w:rsidR="00FF7007">
        <w:t>b</w:t>
      </w:r>
      <w:r w:rsidR="00232B09">
        <w:t>ut not adopted—i</w:t>
      </w:r>
      <w:r w:rsidR="00FF7007">
        <w:t xml:space="preserve">n the last PSE </w:t>
      </w:r>
      <w:r w:rsidR="00231A6E">
        <w:t xml:space="preserve">generic </w:t>
      </w:r>
      <w:r w:rsidR="00FF7007">
        <w:t>rate</w:t>
      </w:r>
      <w:r w:rsidR="00B632AB">
        <w:t xml:space="preserve"> </w:t>
      </w:r>
      <w:r w:rsidR="00FF7007">
        <w:t>case.  A review of the current filing, however, indicates that the two proposals are drastically different, primarily because of the p</w:t>
      </w:r>
      <w:r w:rsidR="00750A33">
        <w:t>resence of what the Petitioner</w:t>
      </w:r>
      <w:r w:rsidR="00FF7007">
        <w:t xml:space="preserve">s term a “K-Factor.”  </w:t>
      </w:r>
      <w:r w:rsidR="00BA42CD">
        <w:t xml:space="preserve">The K-Factor is a complex </w:t>
      </w:r>
      <w:r w:rsidR="003808EC">
        <w:t>adjustment</w:t>
      </w:r>
      <w:r w:rsidR="00BA42CD">
        <w:t xml:space="preserve"> that appears to function similarly to a limited decoupling </w:t>
      </w:r>
      <w:r w:rsidR="003808EC">
        <w:t>l</w:t>
      </w:r>
      <w:r w:rsidR="00BA42CD">
        <w:t xml:space="preserve">ost </w:t>
      </w:r>
      <w:r w:rsidR="003808EC">
        <w:t>r</w:t>
      </w:r>
      <w:r w:rsidR="00BA42CD">
        <w:t xml:space="preserve">evenue </w:t>
      </w:r>
      <w:r w:rsidR="003808EC">
        <w:t>a</w:t>
      </w:r>
      <w:r w:rsidR="00BA42CD">
        <w:t xml:space="preserve">djustment </w:t>
      </w:r>
      <w:r w:rsidR="003808EC">
        <w:t>m</w:t>
      </w:r>
      <w:r w:rsidR="00BA42CD">
        <w:t xml:space="preserve">echanism, </w:t>
      </w:r>
      <w:r w:rsidR="003808EC">
        <w:t>yet it</w:t>
      </w:r>
      <w:r w:rsidR="00BA42CD">
        <w:t xml:space="preserve"> is embedded within the full decoupling mechanism.  According to </w:t>
      </w:r>
      <w:r w:rsidR="00750A33">
        <w:t>the Petitioner</w:t>
      </w:r>
      <w:r w:rsidR="00BA42CD">
        <w:t>s’ filing, it serves as a “means for addressing part, but not all, of the Company’s earnings attrition problem.”</w:t>
      </w:r>
      <w:r w:rsidR="00BA42CD" w:rsidRPr="00D63E59">
        <w:rPr>
          <w:rStyle w:val="FootnoteReference"/>
          <w:u w:val="single"/>
        </w:rPr>
        <w:footnoteReference w:id="3"/>
      </w:r>
      <w:proofErr w:type="gramStart"/>
      <w:r w:rsidR="00D63E59" w:rsidRPr="00D63E59">
        <w:rPr>
          <w:vertAlign w:val="superscript"/>
        </w:rPr>
        <w:t>/</w:t>
      </w:r>
      <w:r w:rsidR="00BA42CD">
        <w:t xml:space="preserve">  </w:t>
      </w:r>
      <w:r w:rsidR="003808EC">
        <w:t>In</w:t>
      </w:r>
      <w:proofErr w:type="gramEnd"/>
      <w:r w:rsidR="003808EC">
        <w:t xml:space="preserve"> PSE’s</w:t>
      </w:r>
      <w:r w:rsidR="00BA42CD">
        <w:t xml:space="preserve"> rate case</w:t>
      </w:r>
      <w:r w:rsidR="003808EC">
        <w:t xml:space="preserve"> last year</w:t>
      </w:r>
      <w:r w:rsidR="00A11B39">
        <w:t>, the</w:t>
      </w:r>
      <w:r w:rsidR="00BA42CD">
        <w:t xml:space="preserve"> Commission pointed out that decoupling “was never intended to supplant other tools that deal with demonstrated earnings attrition.”</w:t>
      </w:r>
      <w:r w:rsidR="00BA42CD" w:rsidRPr="00D63E59">
        <w:rPr>
          <w:rStyle w:val="FootnoteReference"/>
          <w:u w:val="single"/>
        </w:rPr>
        <w:footnoteReference w:id="4"/>
      </w:r>
      <w:proofErr w:type="gramStart"/>
      <w:r w:rsidR="00D63E59" w:rsidRPr="00D63E59">
        <w:rPr>
          <w:vertAlign w:val="superscript"/>
        </w:rPr>
        <w:t>/</w:t>
      </w:r>
      <w:r w:rsidR="00BA42CD">
        <w:t xml:space="preserve"> </w:t>
      </w:r>
      <w:r w:rsidR="000D0CEF">
        <w:t xml:space="preserve"> Given</w:t>
      </w:r>
      <w:proofErr w:type="gramEnd"/>
      <w:r w:rsidR="000D0CEF">
        <w:t xml:space="preserve"> that this decoupling mechanism</w:t>
      </w:r>
      <w:r w:rsidR="00A11B39">
        <w:t xml:space="preserve">, </w:t>
      </w:r>
      <w:r w:rsidR="00E048CF">
        <w:t>with</w:t>
      </w:r>
      <w:r w:rsidR="00A11B39">
        <w:t xml:space="preserve"> the </w:t>
      </w:r>
      <w:r w:rsidR="00E048CF">
        <w:t>embedded</w:t>
      </w:r>
      <w:r w:rsidR="00A11B39">
        <w:t xml:space="preserve"> K-Factor adjustment,</w:t>
      </w:r>
      <w:r w:rsidR="000D0CEF">
        <w:t xml:space="preserve"> attemp</w:t>
      </w:r>
      <w:r w:rsidR="00750A33">
        <w:t>ts to remedy claimed attrition</w:t>
      </w:r>
      <w:r w:rsidR="00893CFF">
        <w:t>—</w:t>
      </w:r>
      <w:r w:rsidR="000D0CEF">
        <w:t>rather than remove a financial disincentive to conservation, the filing should be rejected.</w:t>
      </w:r>
      <w:r w:rsidR="003808EC">
        <w:t xml:space="preserve">  If PSE believes that it is under-earning due to regulatory lag or attrition, a single</w:t>
      </w:r>
      <w:r w:rsidR="00A11B39">
        <w:t>-</w:t>
      </w:r>
      <w:r w:rsidR="003808EC">
        <w:t>issue filing for a mechanism ostensibly meant to promote conservation is an inappropriate forum to consider such claims.</w:t>
      </w:r>
    </w:p>
    <w:p w:rsidR="00786BE7" w:rsidRDefault="00786BE7" w:rsidP="003B5746">
      <w:pPr>
        <w:spacing w:after="0"/>
      </w:pPr>
    </w:p>
    <w:p w:rsidR="00E048CF" w:rsidRDefault="00786BE7" w:rsidP="000D0CEF">
      <w:pPr>
        <w:spacing w:after="0"/>
      </w:pPr>
      <w:r>
        <w:tab/>
      </w:r>
      <w:r>
        <w:tab/>
      </w:r>
      <w:r w:rsidR="00750A33">
        <w:t>The Petitioner</w:t>
      </w:r>
      <w:r w:rsidR="000D0CEF">
        <w:t>s also argue that the Commission should permit PSE to implement the decoupling mechanism because the NWEC decoup</w:t>
      </w:r>
      <w:r w:rsidR="00231A6E">
        <w:t>ling mechanism upon which it is</w:t>
      </w:r>
      <w:r w:rsidR="000D0CEF">
        <w:t xml:space="preserve"> partly based, </w:t>
      </w:r>
      <w:r w:rsidR="00E048CF">
        <w:t xml:space="preserve">largely complied with the Commission’s Policy Statement.  </w:t>
      </w:r>
      <w:r w:rsidR="000D0CEF">
        <w:t xml:space="preserve">This </w:t>
      </w:r>
      <w:r w:rsidR="005B5C7A">
        <w:t xml:space="preserve">is </w:t>
      </w:r>
      <w:r w:rsidR="00750A33">
        <w:t>not accurate.  E</w:t>
      </w:r>
      <w:r w:rsidR="00E048CF">
        <w:t>ven if it were</w:t>
      </w:r>
      <w:r w:rsidR="005B5C7A">
        <w:t xml:space="preserve">, it </w:t>
      </w:r>
      <w:r w:rsidR="000D0CEF">
        <w:t>is not a sufficient basis f</w:t>
      </w:r>
      <w:r w:rsidR="00750A33">
        <w:t>or adopting the Petitioners</w:t>
      </w:r>
      <w:r w:rsidR="00763BE2">
        <w:t>’</w:t>
      </w:r>
      <w:r w:rsidR="000D0CEF">
        <w:t xml:space="preserve"> proposal.  </w:t>
      </w:r>
      <w:r w:rsidR="003808EC">
        <w:t xml:space="preserve">The Commission noted that a number of the </w:t>
      </w:r>
      <w:r w:rsidR="000D0CEF">
        <w:t xml:space="preserve">features </w:t>
      </w:r>
      <w:r w:rsidR="003808EC">
        <w:t xml:space="preserve">of the original NWEC decoupling proposal </w:t>
      </w:r>
      <w:r w:rsidR="000D0CEF">
        <w:t xml:space="preserve">were inconsistent with the Policy Statement, including </w:t>
      </w:r>
      <w:r w:rsidR="00763BE2">
        <w:t xml:space="preserve">the Commission’s preference for: an earnings test, per class rather than per customer true-ups, </w:t>
      </w:r>
      <w:r w:rsidR="00231A6E">
        <w:t xml:space="preserve">consideration of off-system sales, </w:t>
      </w:r>
      <w:r w:rsidR="00763BE2">
        <w:t>and analysis of a potential reduction in ROE.</w:t>
      </w:r>
      <w:r w:rsidR="00763BE2" w:rsidRPr="00D63E59">
        <w:rPr>
          <w:rStyle w:val="FootnoteReference"/>
          <w:u w:val="single"/>
        </w:rPr>
        <w:footnoteReference w:id="5"/>
      </w:r>
      <w:r w:rsidR="00D63E59" w:rsidRPr="00D63E59">
        <w:rPr>
          <w:vertAlign w:val="superscript"/>
        </w:rPr>
        <w:t>/</w:t>
      </w:r>
      <w:r w:rsidR="00763BE2">
        <w:t xml:space="preserve">  The decoupling mechanism presented in this filing </w:t>
      </w:r>
      <w:r w:rsidR="00DF2BA3">
        <w:t>appears to share</w:t>
      </w:r>
      <w:r w:rsidR="00763BE2">
        <w:t xml:space="preserve"> these </w:t>
      </w:r>
      <w:r w:rsidR="003808EC">
        <w:t>shortcomings</w:t>
      </w:r>
      <w:r w:rsidR="00E048CF">
        <w:t xml:space="preserve">.  The </w:t>
      </w:r>
      <w:r w:rsidR="00763BE2">
        <w:t>Com</w:t>
      </w:r>
      <w:r w:rsidR="00DF2BA3">
        <w:t>mission</w:t>
      </w:r>
      <w:r w:rsidR="00A11B39">
        <w:t xml:space="preserve"> noted</w:t>
      </w:r>
      <w:r w:rsidR="00E048CF">
        <w:t xml:space="preserve"> these deficiencies</w:t>
      </w:r>
      <w:r w:rsidR="00A11B39">
        <w:t>, but did not analyze</w:t>
      </w:r>
      <w:r w:rsidR="00E048CF">
        <w:t xml:space="preserve"> them</w:t>
      </w:r>
      <w:r w:rsidR="00A11B39">
        <w:t xml:space="preserve"> in </w:t>
      </w:r>
      <w:r w:rsidR="00545664">
        <w:t xml:space="preserve">the last </w:t>
      </w:r>
      <w:r w:rsidR="00231A6E">
        <w:t>general rate case</w:t>
      </w:r>
      <w:r w:rsidR="00545664">
        <w:t xml:space="preserve"> </w:t>
      </w:r>
      <w:r w:rsidR="00A11B39">
        <w:t xml:space="preserve">because PSE’s opposition led to rejection of that </w:t>
      </w:r>
      <w:r w:rsidR="007E26AF">
        <w:t>mechanism</w:t>
      </w:r>
      <w:r w:rsidR="00E048CF">
        <w:t xml:space="preserve">.  Now that PSE has dropped its opposition, such analysis is needed </w:t>
      </w:r>
      <w:r w:rsidR="00231A6E">
        <w:t>to ensure compliance with the</w:t>
      </w:r>
      <w:r w:rsidR="00750A33">
        <w:t xml:space="preserve"> Commission</w:t>
      </w:r>
      <w:r w:rsidR="00231A6E">
        <w:t xml:space="preserve"> Policy Stat</w:t>
      </w:r>
      <w:r w:rsidR="00750A33">
        <w:t>ement.</w:t>
      </w:r>
    </w:p>
    <w:p w:rsidR="00CC0EE9" w:rsidRDefault="00CC0EE9" w:rsidP="00E048CF">
      <w:pPr>
        <w:spacing w:after="0"/>
        <w:ind w:firstLine="1440"/>
      </w:pPr>
    </w:p>
    <w:p w:rsidR="008A509F" w:rsidRDefault="00DF2BA3" w:rsidP="00E048CF">
      <w:pPr>
        <w:spacing w:after="0"/>
        <w:ind w:firstLine="1440"/>
      </w:pPr>
      <w:r>
        <w:t xml:space="preserve">In addition to these issues, ICNU is concerned that the proposal’s use of arbitrary “groups” for true-up classes, the lack of sufficient accounting for off-system sales and avoided costs, as well as the K-Factor discussed above may make the mechanism unfair to customers and </w:t>
      </w:r>
      <w:r w:rsidR="00231A6E">
        <w:t xml:space="preserve">will likely </w:t>
      </w:r>
      <w:r>
        <w:t xml:space="preserve">result in yearly rate increases.  </w:t>
      </w:r>
    </w:p>
    <w:p w:rsidR="008A509F" w:rsidRDefault="008A509F" w:rsidP="000D0CEF">
      <w:pPr>
        <w:spacing w:after="0"/>
      </w:pPr>
    </w:p>
    <w:p w:rsidR="00623E90" w:rsidRDefault="005B5C7A" w:rsidP="004C1083">
      <w:pPr>
        <w:spacing w:after="0"/>
        <w:ind w:firstLine="1440"/>
      </w:pPr>
      <w:r>
        <w:lastRenderedPageBreak/>
        <w:t>While ICNU believes this Petition sh</w:t>
      </w:r>
      <w:r w:rsidR="00545664">
        <w:t>ou</w:t>
      </w:r>
      <w:r>
        <w:t>l</w:t>
      </w:r>
      <w:r w:rsidR="00545664">
        <w:t>d</w:t>
      </w:r>
      <w:r>
        <w:t xml:space="preserve"> be rejected, if the Commission does not agree, </w:t>
      </w:r>
      <w:r w:rsidR="00545664">
        <w:t xml:space="preserve">the filing should, </w:t>
      </w:r>
      <w:r>
        <w:t>at a minimum</w:t>
      </w:r>
      <w:r w:rsidR="00545664">
        <w:t>,</w:t>
      </w:r>
      <w:r w:rsidR="00231A6E">
        <w:t xml:space="preserve"> </w:t>
      </w:r>
      <w:r>
        <w:t xml:space="preserve">be suspended.  The Petition raises a wide array of complex issues that must be subject to discovery and further review by all parties.  </w:t>
      </w:r>
      <w:r w:rsidR="008A509F">
        <w:t xml:space="preserve">ICNU respectfully recommends that the Commission suspend the filing </w:t>
      </w:r>
      <w:r w:rsidR="008A509F" w:rsidRPr="00F94149">
        <w:t>and hold hearings</w:t>
      </w:r>
      <w:r w:rsidR="008A509F">
        <w:t>,</w:t>
      </w:r>
      <w:r w:rsidR="008A509F" w:rsidRPr="00F94149">
        <w:t xml:space="preserve"> if necessary</w:t>
      </w:r>
      <w:r w:rsidR="008A509F">
        <w:t>,</w:t>
      </w:r>
      <w:r w:rsidR="008A509F" w:rsidRPr="00F94149">
        <w:t xml:space="preserve"> to determine whether the proposed </w:t>
      </w:r>
      <w:r w:rsidR="00231A6E">
        <w:t xml:space="preserve">mechanism will result in rates that </w:t>
      </w:r>
      <w:r w:rsidR="008A509F" w:rsidRPr="00F94149">
        <w:t>are fair, just</w:t>
      </w:r>
      <w:r w:rsidR="008A509F">
        <w:t>,</w:t>
      </w:r>
      <w:r w:rsidR="008A509F" w:rsidRPr="00F94149">
        <w:t xml:space="preserve"> </w:t>
      </w:r>
      <w:r w:rsidR="008A509F">
        <w:t xml:space="preserve">and </w:t>
      </w:r>
      <w:r w:rsidR="008A509F" w:rsidRPr="00F94149">
        <w:t>reasonable</w:t>
      </w:r>
      <w:r w:rsidR="007E26AF">
        <w:t>.</w:t>
      </w:r>
      <w:r w:rsidR="00DF2BA3">
        <w:t xml:space="preserve"> </w:t>
      </w:r>
    </w:p>
    <w:p w:rsidR="00623E90" w:rsidRDefault="00623E90" w:rsidP="003B5746">
      <w:pPr>
        <w:spacing w:after="0"/>
      </w:pPr>
    </w:p>
    <w:p w:rsidR="00623E90" w:rsidRDefault="00623E90" w:rsidP="003B5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623E90" w:rsidRDefault="00623E90" w:rsidP="003B5746">
      <w:pPr>
        <w:spacing w:after="0"/>
      </w:pPr>
    </w:p>
    <w:p w:rsidR="00623E90" w:rsidRDefault="00623E90" w:rsidP="003B5746">
      <w:pPr>
        <w:spacing w:after="0"/>
      </w:pPr>
      <w:r>
        <w:tab/>
      </w:r>
      <w:r w:rsidR="00BD208F">
        <w:tab/>
      </w:r>
      <w:r w:rsidR="00BD208F">
        <w:tab/>
      </w:r>
      <w:r w:rsidR="00BD208F">
        <w:tab/>
      </w:r>
      <w:r w:rsidR="00BD208F">
        <w:tab/>
      </w:r>
      <w:r w:rsidR="00BD208F">
        <w:tab/>
      </w:r>
    </w:p>
    <w:p w:rsidR="00545664" w:rsidRPr="00BD208F" w:rsidRDefault="00545664" w:rsidP="003B5746">
      <w:pPr>
        <w:spacing w:after="0"/>
        <w:rPr>
          <w:i/>
          <w:u w:val="single"/>
        </w:rPr>
      </w:pPr>
    </w:p>
    <w:p w:rsidR="00623E90" w:rsidRDefault="00623E90" w:rsidP="003B5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Melinda J. Davison</w:t>
      </w:r>
    </w:p>
    <w:p w:rsidR="00623E90" w:rsidRDefault="00623E90" w:rsidP="003B5746">
      <w:pPr>
        <w:spacing w:after="0"/>
      </w:pPr>
    </w:p>
    <w:p w:rsidR="00623E90" w:rsidRDefault="00623E90" w:rsidP="003B5746">
      <w:pPr>
        <w:spacing w:after="0"/>
      </w:pPr>
    </w:p>
    <w:p w:rsidR="00D63E59" w:rsidRDefault="00623E90" w:rsidP="00D63E59">
      <w:pPr>
        <w:spacing w:after="0"/>
      </w:pPr>
      <w:r>
        <w:t>cc:</w:t>
      </w:r>
      <w:r>
        <w:tab/>
      </w:r>
      <w:r w:rsidR="00D63E59">
        <w:t>Sheree Strom Carson</w:t>
      </w:r>
    </w:p>
    <w:p w:rsidR="00D261AC" w:rsidRDefault="00826C97" w:rsidP="00D63E59">
      <w:pPr>
        <w:spacing w:after="0"/>
      </w:pPr>
      <w:r>
        <w:tab/>
        <w:t>Simon ffitch</w:t>
      </w:r>
      <w:r w:rsidR="00623E90">
        <w:t xml:space="preserve"> </w:t>
      </w:r>
      <w:r w:rsidR="00623E90">
        <w:tab/>
      </w:r>
      <w:r w:rsidR="000F5552">
        <w:t xml:space="preserve">  </w:t>
      </w:r>
      <w:r w:rsidR="00523144">
        <w:t xml:space="preserve"> </w:t>
      </w:r>
    </w:p>
    <w:p w:rsidR="00D63E59" w:rsidRDefault="00786BE7" w:rsidP="003B5746">
      <w:pPr>
        <w:spacing w:after="0"/>
      </w:pPr>
      <w:r>
        <w:tab/>
      </w:r>
      <w:r w:rsidR="00D63E59">
        <w:t>Don Trotter</w:t>
      </w:r>
    </w:p>
    <w:p w:rsidR="00D63E59" w:rsidRDefault="00D63E59" w:rsidP="003B5746">
      <w:pPr>
        <w:spacing w:after="0"/>
      </w:pPr>
      <w:r>
        <w:tab/>
        <w:t>Tommy Brooks</w:t>
      </w:r>
    </w:p>
    <w:p w:rsidR="00750A33" w:rsidRDefault="00750A33" w:rsidP="00750A33">
      <w:pPr>
        <w:spacing w:after="0"/>
        <w:ind w:firstLine="720"/>
      </w:pPr>
      <w:r>
        <w:t>Todd True</w:t>
      </w:r>
    </w:p>
    <w:p w:rsidR="00786BE7" w:rsidRDefault="00D63E59" w:rsidP="003B5746">
      <w:pPr>
        <w:spacing w:after="0"/>
      </w:pPr>
      <w:r>
        <w:tab/>
      </w:r>
      <w:r w:rsidR="00786BE7">
        <w:tab/>
      </w:r>
    </w:p>
    <w:p w:rsidR="004424F1" w:rsidRDefault="004424F1" w:rsidP="003B5746">
      <w:pPr>
        <w:spacing w:after="0"/>
      </w:pPr>
    </w:p>
    <w:p w:rsidR="007A524A" w:rsidRDefault="004424F1" w:rsidP="003B5746">
      <w:pPr>
        <w:spacing w:after="0"/>
      </w:pPr>
      <w:r>
        <w:tab/>
      </w:r>
      <w:r>
        <w:tab/>
      </w:r>
      <w:r w:rsidR="00594DEE">
        <w:t xml:space="preserve">  </w:t>
      </w:r>
      <w:r w:rsidR="007A524A">
        <w:tab/>
      </w:r>
      <w:r w:rsidR="007A524A">
        <w:tab/>
      </w:r>
    </w:p>
    <w:p w:rsidR="00FC5CAC" w:rsidRDefault="00FC5CAC" w:rsidP="003B5746">
      <w:pPr>
        <w:spacing w:after="0"/>
      </w:pPr>
    </w:p>
    <w:p w:rsidR="00FC5CAC" w:rsidRDefault="00FC5CAC" w:rsidP="003B5746">
      <w:pPr>
        <w:spacing w:after="0"/>
      </w:pPr>
      <w:r>
        <w:tab/>
      </w:r>
      <w:r>
        <w:tab/>
      </w:r>
    </w:p>
    <w:p w:rsidR="003B5746" w:rsidRDefault="003B5746" w:rsidP="003B5746">
      <w:pPr>
        <w:spacing w:after="0"/>
      </w:pPr>
    </w:p>
    <w:p w:rsidR="003B5746" w:rsidRDefault="003B5746" w:rsidP="003B5746">
      <w:pPr>
        <w:spacing w:after="0"/>
      </w:pPr>
    </w:p>
    <w:p w:rsidR="00CA3A28" w:rsidRDefault="00CA3A28" w:rsidP="00CA3A28"/>
    <w:p w:rsidR="00CA3A28" w:rsidRDefault="00CA3A28" w:rsidP="006A0E8E"/>
    <w:sectPr w:rsidR="00CA3A28" w:rsidSect="008354F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29" w:rsidRDefault="00F02C29" w:rsidP="008354F9">
      <w:pPr>
        <w:spacing w:after="0"/>
      </w:pPr>
      <w:r>
        <w:separator/>
      </w:r>
    </w:p>
  </w:endnote>
  <w:endnote w:type="continuationSeparator" w:id="0">
    <w:p w:rsidR="00F02C29" w:rsidRDefault="00F02C29" w:rsidP="00835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29" w:rsidRDefault="00F02C29" w:rsidP="008354F9">
      <w:pPr>
        <w:spacing w:after="0"/>
      </w:pPr>
      <w:r>
        <w:separator/>
      </w:r>
    </w:p>
  </w:footnote>
  <w:footnote w:type="continuationSeparator" w:id="0">
    <w:p w:rsidR="00F02C29" w:rsidRDefault="00F02C29" w:rsidP="008354F9">
      <w:pPr>
        <w:spacing w:after="0"/>
      </w:pPr>
      <w:r>
        <w:continuationSeparator/>
      </w:r>
    </w:p>
  </w:footnote>
  <w:footnote w:id="1">
    <w:p w:rsidR="00F02C29" w:rsidRDefault="00F02C29" w:rsidP="00500094">
      <w:pPr>
        <w:pStyle w:val="FootnoteText"/>
        <w:ind w:left="720" w:hanging="720"/>
      </w:pPr>
      <w:r w:rsidRPr="001777EF">
        <w:rPr>
          <w:rStyle w:val="FootnoteReference"/>
          <w:u w:val="single"/>
        </w:rPr>
        <w:footnoteRef/>
      </w:r>
      <w:r w:rsidRPr="001777EF">
        <w:rPr>
          <w:vertAlign w:val="superscript"/>
        </w:rPr>
        <w:t>/</w:t>
      </w:r>
      <w:r>
        <w:t xml:space="preserve"> </w:t>
      </w:r>
      <w:r>
        <w:tab/>
      </w:r>
      <w:r w:rsidRPr="00500094">
        <w:rPr>
          <w:u w:val="single"/>
        </w:rPr>
        <w:t>Re WUTC Investigation into Energy Conservation incentives</w:t>
      </w:r>
      <w:r>
        <w:t xml:space="preserve">, Docket No. UE-100522, Report and Policy Statement on Regulatory Mechanism, Including Decoupling at </w:t>
      </w:r>
      <w:r>
        <w:rPr>
          <w:rFonts w:cs="Times New Roman"/>
        </w:rPr>
        <w:t>¶</w:t>
      </w:r>
      <w:r>
        <w:t xml:space="preserve"> 28 (Nov. 4, 2010) (“Policy Statement”).</w:t>
      </w:r>
    </w:p>
  </w:footnote>
  <w:footnote w:id="2">
    <w:p w:rsidR="00F02C29" w:rsidRDefault="00F02C29">
      <w:pPr>
        <w:pStyle w:val="FootnoteText"/>
      </w:pPr>
      <w:r w:rsidRPr="00D63E59">
        <w:rPr>
          <w:rStyle w:val="FootnoteReference"/>
          <w:u w:val="single"/>
        </w:rPr>
        <w:footnoteRef/>
      </w:r>
      <w:r w:rsidRPr="00D63E59">
        <w:rPr>
          <w:vertAlign w:val="superscript"/>
        </w:rPr>
        <w:t>/</w:t>
      </w:r>
      <w:r>
        <w:t xml:space="preserve"> </w:t>
      </w:r>
      <w:r>
        <w:tab/>
      </w:r>
      <w:r w:rsidRPr="004C1083">
        <w:rPr>
          <w:u w:val="single"/>
        </w:rPr>
        <w:t>Re PSE</w:t>
      </w:r>
      <w:r>
        <w:t>, Docket No. UE-121697, Exh. No. TAD-1T at 6 (Oct. 25, 2012).</w:t>
      </w:r>
    </w:p>
  </w:footnote>
  <w:footnote w:id="3">
    <w:p w:rsidR="00F02C29" w:rsidRDefault="00F02C29">
      <w:pPr>
        <w:pStyle w:val="FootnoteText"/>
      </w:pPr>
      <w:r w:rsidRPr="00D63E59">
        <w:rPr>
          <w:rStyle w:val="FootnoteReference"/>
          <w:u w:val="single"/>
        </w:rPr>
        <w:footnoteRef/>
      </w:r>
      <w:r w:rsidRPr="00D63E59">
        <w:rPr>
          <w:vertAlign w:val="superscript"/>
        </w:rPr>
        <w:t>/</w:t>
      </w:r>
      <w:r>
        <w:t xml:space="preserve"> </w:t>
      </w:r>
      <w:r>
        <w:tab/>
      </w:r>
      <w:r w:rsidRPr="004C1083">
        <w:rPr>
          <w:u w:val="single"/>
        </w:rPr>
        <w:t>Re PSE</w:t>
      </w:r>
      <w:r>
        <w:t>, Docket No. UE-121697, Exh. No. JAP-1T at 18 (Oct. 25, 2012).</w:t>
      </w:r>
    </w:p>
  </w:footnote>
  <w:footnote w:id="4">
    <w:p w:rsidR="00F02C29" w:rsidRDefault="00F02C29">
      <w:pPr>
        <w:pStyle w:val="FootnoteText"/>
      </w:pPr>
      <w:r w:rsidRPr="00D63E59">
        <w:rPr>
          <w:rStyle w:val="FootnoteReference"/>
          <w:u w:val="single"/>
        </w:rPr>
        <w:footnoteRef/>
      </w:r>
      <w:r w:rsidRPr="00D63E59">
        <w:rPr>
          <w:vertAlign w:val="superscript"/>
        </w:rPr>
        <w:t>/</w:t>
      </w:r>
      <w:r>
        <w:t xml:space="preserve"> </w:t>
      </w:r>
      <w:r>
        <w:tab/>
      </w:r>
      <w:r w:rsidRPr="000D0CEF">
        <w:rPr>
          <w:u w:val="single"/>
        </w:rPr>
        <w:t>WUTC v. PSE</w:t>
      </w:r>
      <w:r>
        <w:t xml:space="preserve">, Docket Nos. UE-111048/UG-111049, Order 08 </w:t>
      </w:r>
      <w:r>
        <w:rPr>
          <w:rFonts w:cs="Times New Roman"/>
        </w:rPr>
        <w:t>¶</w:t>
      </w:r>
      <w:r>
        <w:t xml:space="preserve"> 455 (May 7, 2012).</w:t>
      </w:r>
    </w:p>
  </w:footnote>
  <w:footnote w:id="5">
    <w:p w:rsidR="00F02C29" w:rsidRDefault="00F02C29">
      <w:pPr>
        <w:pStyle w:val="FootnoteText"/>
      </w:pPr>
      <w:r w:rsidRPr="00D63E59">
        <w:rPr>
          <w:rStyle w:val="FootnoteReference"/>
          <w:u w:val="single"/>
        </w:rPr>
        <w:footnoteRef/>
      </w:r>
      <w:r w:rsidRPr="00D63E59">
        <w:rPr>
          <w:vertAlign w:val="superscript"/>
        </w:rPr>
        <w:t>/</w:t>
      </w:r>
      <w:r>
        <w:t xml:space="preserve"> </w:t>
      </w:r>
      <w:r>
        <w:tab/>
      </w:r>
      <w:r w:rsidRPr="00763BE2">
        <w:rPr>
          <w:u w:val="single"/>
        </w:rPr>
        <w:t>Id.</w:t>
      </w:r>
      <w:r>
        <w:t xml:space="preserve"> at n. 605.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9" w:rsidRDefault="00F02C29">
    <w:pPr>
      <w:pStyle w:val="Header"/>
    </w:pPr>
    <w:r>
      <w:t xml:space="preserve">Commissioners Goltz, Oshie, and Jones </w:t>
    </w:r>
  </w:p>
  <w:p w:rsidR="00F02C29" w:rsidRDefault="00F02C29">
    <w:pPr>
      <w:pStyle w:val="Header"/>
    </w:pPr>
    <w:r>
      <w:t>November 5, 2012</w:t>
    </w:r>
  </w:p>
  <w:p w:rsidR="00F02C29" w:rsidRDefault="00F02C2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1895">
      <w:rPr>
        <w:noProof/>
      </w:rPr>
      <w:t>3</w:t>
    </w:r>
    <w:r>
      <w:rPr>
        <w:noProof/>
      </w:rPr>
      <w:fldChar w:fldCharType="end"/>
    </w:r>
  </w:p>
  <w:p w:rsidR="00F02C29" w:rsidRDefault="00F0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E8E"/>
    <w:rsid w:val="00021A53"/>
    <w:rsid w:val="00043B81"/>
    <w:rsid w:val="000573F5"/>
    <w:rsid w:val="00060432"/>
    <w:rsid w:val="00087CA4"/>
    <w:rsid w:val="000C564F"/>
    <w:rsid w:val="000D0CEF"/>
    <w:rsid w:val="000E579C"/>
    <w:rsid w:val="000E6187"/>
    <w:rsid w:val="000F5552"/>
    <w:rsid w:val="001777EF"/>
    <w:rsid w:val="001B11AE"/>
    <w:rsid w:val="001B2719"/>
    <w:rsid w:val="001B53D2"/>
    <w:rsid w:val="001E18AE"/>
    <w:rsid w:val="00231125"/>
    <w:rsid w:val="00231A6E"/>
    <w:rsid w:val="00232B09"/>
    <w:rsid w:val="00243452"/>
    <w:rsid w:val="002564A2"/>
    <w:rsid w:val="002774AB"/>
    <w:rsid w:val="002D0C55"/>
    <w:rsid w:val="002F6486"/>
    <w:rsid w:val="00307425"/>
    <w:rsid w:val="003808EC"/>
    <w:rsid w:val="003A0391"/>
    <w:rsid w:val="003B5746"/>
    <w:rsid w:val="00406EEF"/>
    <w:rsid w:val="004424F1"/>
    <w:rsid w:val="004644D4"/>
    <w:rsid w:val="004C1083"/>
    <w:rsid w:val="004C68BB"/>
    <w:rsid w:val="004D1CCA"/>
    <w:rsid w:val="004F3AB5"/>
    <w:rsid w:val="004F6161"/>
    <w:rsid w:val="00500094"/>
    <w:rsid w:val="00511A47"/>
    <w:rsid w:val="00511C26"/>
    <w:rsid w:val="0051200B"/>
    <w:rsid w:val="00523144"/>
    <w:rsid w:val="00545664"/>
    <w:rsid w:val="00553ECD"/>
    <w:rsid w:val="00556B7E"/>
    <w:rsid w:val="00581D69"/>
    <w:rsid w:val="00594DEE"/>
    <w:rsid w:val="005956A0"/>
    <w:rsid w:val="005B5C7A"/>
    <w:rsid w:val="005E6692"/>
    <w:rsid w:val="006142C4"/>
    <w:rsid w:val="0061466C"/>
    <w:rsid w:val="00623E90"/>
    <w:rsid w:val="00666C20"/>
    <w:rsid w:val="0066796D"/>
    <w:rsid w:val="006A0E8E"/>
    <w:rsid w:val="006A4934"/>
    <w:rsid w:val="006B53ED"/>
    <w:rsid w:val="006B56CA"/>
    <w:rsid w:val="006D67A5"/>
    <w:rsid w:val="006E543C"/>
    <w:rsid w:val="00750A33"/>
    <w:rsid w:val="0075754C"/>
    <w:rsid w:val="00757DA9"/>
    <w:rsid w:val="00763BE2"/>
    <w:rsid w:val="00786BE7"/>
    <w:rsid w:val="007910C3"/>
    <w:rsid w:val="007A524A"/>
    <w:rsid w:val="007B2200"/>
    <w:rsid w:val="007E26AF"/>
    <w:rsid w:val="007E61F3"/>
    <w:rsid w:val="007E7F11"/>
    <w:rsid w:val="00826C97"/>
    <w:rsid w:val="008354F9"/>
    <w:rsid w:val="00890264"/>
    <w:rsid w:val="00893CFF"/>
    <w:rsid w:val="00896784"/>
    <w:rsid w:val="008A509F"/>
    <w:rsid w:val="008F6745"/>
    <w:rsid w:val="009260DF"/>
    <w:rsid w:val="00955A40"/>
    <w:rsid w:val="00961A7C"/>
    <w:rsid w:val="0097600E"/>
    <w:rsid w:val="0099143F"/>
    <w:rsid w:val="00995019"/>
    <w:rsid w:val="009966F6"/>
    <w:rsid w:val="00A06596"/>
    <w:rsid w:val="00A11B39"/>
    <w:rsid w:val="00A41119"/>
    <w:rsid w:val="00A574DE"/>
    <w:rsid w:val="00A73DC8"/>
    <w:rsid w:val="00A84157"/>
    <w:rsid w:val="00A94654"/>
    <w:rsid w:val="00B24168"/>
    <w:rsid w:val="00B416D0"/>
    <w:rsid w:val="00B632AB"/>
    <w:rsid w:val="00B93276"/>
    <w:rsid w:val="00BA42CD"/>
    <w:rsid w:val="00BD208F"/>
    <w:rsid w:val="00C11895"/>
    <w:rsid w:val="00C2711E"/>
    <w:rsid w:val="00C50982"/>
    <w:rsid w:val="00C67966"/>
    <w:rsid w:val="00CA3A28"/>
    <w:rsid w:val="00CC0EE9"/>
    <w:rsid w:val="00CD4E8F"/>
    <w:rsid w:val="00D164AC"/>
    <w:rsid w:val="00D261AC"/>
    <w:rsid w:val="00D54057"/>
    <w:rsid w:val="00D63E59"/>
    <w:rsid w:val="00DD09C4"/>
    <w:rsid w:val="00DD1F5E"/>
    <w:rsid w:val="00DF2BA3"/>
    <w:rsid w:val="00E048CF"/>
    <w:rsid w:val="00E15482"/>
    <w:rsid w:val="00E16B65"/>
    <w:rsid w:val="00E2768F"/>
    <w:rsid w:val="00E34401"/>
    <w:rsid w:val="00E41B37"/>
    <w:rsid w:val="00F02C29"/>
    <w:rsid w:val="00FA0457"/>
    <w:rsid w:val="00FC5CAC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semiHidden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F375-C8C6-44B5-8D9F-D715C032C004}"/>
</file>

<file path=customXml/itemProps2.xml><?xml version="1.0" encoding="utf-8"?>
<ds:datastoreItem xmlns:ds="http://schemas.openxmlformats.org/officeDocument/2006/customXml" ds:itemID="{5246061F-D6EF-48C1-AA9E-07B908FBF959}"/>
</file>

<file path=customXml/itemProps3.xml><?xml version="1.0" encoding="utf-8"?>
<ds:datastoreItem xmlns:ds="http://schemas.openxmlformats.org/officeDocument/2006/customXml" ds:itemID="{D2E9A830-2DD2-4DD4-80A5-602EA95398DF}"/>
</file>

<file path=customXml/itemProps4.xml><?xml version="1.0" encoding="utf-8"?>
<ds:datastoreItem xmlns:ds="http://schemas.openxmlformats.org/officeDocument/2006/customXml" ds:itemID="{FAA40624-C0D8-4700-91B3-6277AD081998}"/>
</file>

<file path=customXml/itemProps5.xml><?xml version="1.0" encoding="utf-8"?>
<ds:datastoreItem xmlns:ds="http://schemas.openxmlformats.org/officeDocument/2006/customXml" ds:itemID="{0A0D4E65-8DE5-47E0-A4FD-1D66C5D33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Irion A. Sanger</dc:creator>
  <cp:lastModifiedBy>Josh D Weber</cp:lastModifiedBy>
  <cp:revision>27</cp:revision>
  <cp:lastPrinted>2012-11-06T01:40:00Z</cp:lastPrinted>
  <dcterms:created xsi:type="dcterms:W3CDTF">2012-11-02T18:16:00Z</dcterms:created>
  <dcterms:modified xsi:type="dcterms:W3CDTF">2012-11-06T01:45:00Z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