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rPr>
          <w:rFonts w:ascii="Times New Roman" w:eastAsia="Calibri" w:hAnsi="Times New Roman" w:cs="Times New Roman"/>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REPORT OF COMMISSION STAFF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REGARDING THE NATURAL GAS HEDGING POLICIES AND PRACTICES OF:</w:t>
      </w: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 </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AVISTA CORPORATION,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-121501</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PUGET SOUND ENERGY, INC.,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-121569</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CASCADE NATURAL GAS CORPORATION, DOCKETS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 xml:space="preserve">-121592 and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-121623</w:t>
      </w:r>
    </w:p>
    <w:p w:rsidR="00461047" w:rsidRPr="00461047" w:rsidRDefault="00461047" w:rsidP="00461047">
      <w:pPr>
        <w:jc w:val="center"/>
        <w:rPr>
          <w:rFonts w:ascii="Times New Roman" w:eastAsia="Calibri" w:hAnsi="Times New Roman" w:cs="Times New Roman"/>
          <w:b/>
          <w:sz w:val="24"/>
        </w:rPr>
      </w:pPr>
    </w:p>
    <w:p w:rsidR="00461047" w:rsidRPr="00461047" w:rsidRDefault="00461047" w:rsidP="00461047">
      <w:pPr>
        <w:jc w:val="center"/>
        <w:rPr>
          <w:rFonts w:ascii="Times New Roman" w:eastAsia="Calibri" w:hAnsi="Times New Roman" w:cs="Times New Roman"/>
          <w:b/>
          <w:sz w:val="24"/>
        </w:rPr>
      </w:pPr>
      <w:r w:rsidRPr="00461047">
        <w:rPr>
          <w:rFonts w:ascii="Times New Roman" w:eastAsia="Calibri" w:hAnsi="Times New Roman" w:cs="Times New Roman"/>
          <w:b/>
          <w:sz w:val="24"/>
        </w:rPr>
        <w:t xml:space="preserve">AND NORTHWEST NATURAL GAS COMPANY, DOCKET </w:t>
      </w:r>
      <w:proofErr w:type="spellStart"/>
      <w:r w:rsidRPr="00461047">
        <w:rPr>
          <w:rFonts w:ascii="Times New Roman" w:eastAsia="Calibri" w:hAnsi="Times New Roman" w:cs="Times New Roman"/>
          <w:b/>
          <w:sz w:val="24"/>
        </w:rPr>
        <w:t>UG</w:t>
      </w:r>
      <w:proofErr w:type="spellEnd"/>
      <w:r w:rsidRPr="00461047">
        <w:rPr>
          <w:rFonts w:ascii="Times New Roman" w:eastAsia="Calibri" w:hAnsi="Times New Roman" w:cs="Times New Roman"/>
          <w:b/>
          <w:sz w:val="24"/>
        </w:rPr>
        <w:t>-121434</w:t>
      </w:r>
    </w:p>
    <w:p w:rsidR="00461047" w:rsidRPr="00461047" w:rsidRDefault="00461047" w:rsidP="00461047">
      <w:pPr>
        <w:jc w:val="center"/>
        <w:rPr>
          <w:rFonts w:ascii="Times New Roman" w:eastAsia="Calibri" w:hAnsi="Times New Roman" w:cs="Times New Roman"/>
          <w:b/>
          <w:sz w:val="24"/>
        </w:rPr>
      </w:pPr>
    </w:p>
    <w:p w:rsidR="00461047" w:rsidRDefault="00461047"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Default="00823574" w:rsidP="00461047">
      <w:pPr>
        <w:jc w:val="center"/>
        <w:rPr>
          <w:rFonts w:ascii="Times New Roman" w:eastAsia="Calibri" w:hAnsi="Times New Roman" w:cs="Times New Roman"/>
          <w:b/>
          <w:sz w:val="24"/>
        </w:rPr>
      </w:pPr>
    </w:p>
    <w:p w:rsidR="00823574" w:rsidRPr="00461047" w:rsidRDefault="00823574" w:rsidP="00461047">
      <w:pPr>
        <w:jc w:val="center"/>
        <w:rPr>
          <w:rFonts w:ascii="Times New Roman" w:eastAsia="Calibri" w:hAnsi="Times New Roman" w:cs="Times New Roman"/>
          <w:b/>
          <w:sz w:val="24"/>
        </w:rPr>
      </w:pPr>
      <w:r>
        <w:rPr>
          <w:rFonts w:ascii="Times New Roman" w:eastAsia="Calibri" w:hAnsi="Times New Roman" w:cs="Times New Roman"/>
          <w:b/>
          <w:sz w:val="24"/>
        </w:rPr>
        <w:t>MARCH 1, 2013</w:t>
      </w:r>
      <w:bookmarkStart w:id="0" w:name="_GoBack"/>
      <w:bookmarkEnd w:id="0"/>
    </w:p>
    <w:p w:rsidR="002C039A" w:rsidRDefault="002C039A"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pPr>
    </w:p>
    <w:p w:rsidR="00461047" w:rsidRDefault="00461047" w:rsidP="00AD3312">
      <w:pPr>
        <w:rPr>
          <w:rFonts w:ascii="Times New Roman" w:hAnsi="Times New Roman" w:cs="Times New Roman"/>
          <w:sz w:val="24"/>
          <w:szCs w:val="24"/>
        </w:rPr>
        <w:sectPr w:rsidR="00461047" w:rsidSect="001C5AB1">
          <w:pgSz w:w="12240" w:h="15840"/>
          <w:pgMar w:top="1440" w:right="1440" w:bottom="1440" w:left="1440" w:header="720" w:footer="720" w:gutter="0"/>
          <w:cols w:space="720"/>
          <w:docGrid w:linePitch="360"/>
        </w:sect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lastRenderedPageBreak/>
        <w:t>I.</w:t>
      </w:r>
      <w:r w:rsidRPr="00461047">
        <w:rPr>
          <w:rFonts w:ascii="Times New Roman" w:hAnsi="Times New Roman" w:cs="Times New Roman"/>
          <w:b/>
          <w:sz w:val="24"/>
          <w:szCs w:val="24"/>
        </w:rPr>
        <w:tab/>
        <w:t>SUMMARY OF RECOMMENDATION</w:t>
      </w:r>
    </w:p>
    <w:p w:rsidR="00395E30" w:rsidRDefault="00395E30" w:rsidP="00AD3312">
      <w:pPr>
        <w:rPr>
          <w:rFonts w:ascii="Times New Roman" w:hAnsi="Times New Roman" w:cs="Times New Roman"/>
          <w:b/>
          <w:sz w:val="24"/>
          <w:szCs w:val="24"/>
          <w:u w:val="single"/>
        </w:rPr>
      </w:pPr>
    </w:p>
    <w:p w:rsidR="00783A7C" w:rsidRDefault="00395E30" w:rsidP="00AD3312">
      <w:pPr>
        <w:rPr>
          <w:rFonts w:ascii="Times New Roman" w:hAnsi="Times New Roman" w:cs="Times New Roman"/>
          <w:sz w:val="24"/>
          <w:szCs w:val="24"/>
        </w:rPr>
      </w:pPr>
      <w:r>
        <w:rPr>
          <w:rFonts w:ascii="Times New Roman" w:hAnsi="Times New Roman" w:cs="Times New Roman"/>
          <w:sz w:val="24"/>
          <w:szCs w:val="24"/>
        </w:rPr>
        <w:t xml:space="preserve">Dismiss the Complaint and Order Suspending the </w:t>
      </w:r>
      <w:r w:rsidR="000C7DE9">
        <w:rPr>
          <w:rFonts w:ascii="Times New Roman" w:hAnsi="Times New Roman" w:cs="Times New Roman"/>
          <w:sz w:val="24"/>
          <w:szCs w:val="24"/>
        </w:rPr>
        <w:t>T</w:t>
      </w:r>
      <w:r>
        <w:rPr>
          <w:rFonts w:ascii="Times New Roman" w:hAnsi="Times New Roman" w:cs="Times New Roman"/>
          <w:sz w:val="24"/>
          <w:szCs w:val="24"/>
        </w:rPr>
        <w:t xml:space="preserve">ariff </w:t>
      </w:r>
      <w:r w:rsidR="000C7DE9">
        <w:rPr>
          <w:rFonts w:ascii="Times New Roman" w:hAnsi="Times New Roman" w:cs="Times New Roman"/>
          <w:sz w:val="24"/>
          <w:szCs w:val="24"/>
        </w:rPr>
        <w:t>R</w:t>
      </w:r>
      <w:r>
        <w:rPr>
          <w:rFonts w:ascii="Times New Roman" w:hAnsi="Times New Roman" w:cs="Times New Roman"/>
          <w:sz w:val="24"/>
          <w:szCs w:val="24"/>
        </w:rPr>
        <w:t>evisions</w:t>
      </w:r>
      <w:r w:rsidR="00FF65EA">
        <w:rPr>
          <w:rFonts w:ascii="Times New Roman" w:hAnsi="Times New Roman" w:cs="Times New Roman"/>
          <w:sz w:val="24"/>
          <w:szCs w:val="24"/>
        </w:rPr>
        <w:t>; Allowing Rates on a Temporary Basis, Subject to Revision,</w:t>
      </w:r>
      <w:r>
        <w:rPr>
          <w:rFonts w:ascii="Times New Roman" w:hAnsi="Times New Roman" w:cs="Times New Roman"/>
          <w:sz w:val="24"/>
          <w:szCs w:val="24"/>
        </w:rPr>
        <w:t xml:space="preserve"> </w:t>
      </w:r>
      <w:r w:rsidR="00FF65EA">
        <w:rPr>
          <w:rFonts w:ascii="Times New Roman" w:hAnsi="Times New Roman" w:cs="Times New Roman"/>
          <w:sz w:val="24"/>
          <w:szCs w:val="24"/>
        </w:rPr>
        <w:t xml:space="preserve">for </w:t>
      </w:r>
      <w:r>
        <w:rPr>
          <w:rFonts w:ascii="Times New Roman" w:hAnsi="Times New Roman" w:cs="Times New Roman"/>
          <w:sz w:val="24"/>
          <w:szCs w:val="24"/>
        </w:rPr>
        <w:t>Avista Corporation in Docket UG-121501,</w:t>
      </w:r>
      <w:r w:rsidR="003973DE">
        <w:rPr>
          <w:rFonts w:ascii="Times New Roman" w:hAnsi="Times New Roman" w:cs="Times New Roman"/>
          <w:sz w:val="24"/>
          <w:szCs w:val="24"/>
        </w:rPr>
        <w:t xml:space="preserve"> Puget Sound Energy</w:t>
      </w:r>
      <w:r w:rsidR="00783A7C">
        <w:rPr>
          <w:rFonts w:ascii="Times New Roman" w:hAnsi="Times New Roman" w:cs="Times New Roman"/>
          <w:sz w:val="24"/>
          <w:szCs w:val="24"/>
        </w:rPr>
        <w:t>,</w:t>
      </w:r>
      <w:r w:rsidR="003973DE">
        <w:rPr>
          <w:rFonts w:ascii="Times New Roman" w:hAnsi="Times New Roman" w:cs="Times New Roman"/>
          <w:sz w:val="24"/>
          <w:szCs w:val="24"/>
        </w:rPr>
        <w:t xml:space="preserve"> </w:t>
      </w:r>
      <w:r w:rsidR="00EA1874">
        <w:rPr>
          <w:rFonts w:ascii="Times New Roman" w:hAnsi="Times New Roman" w:cs="Times New Roman"/>
          <w:sz w:val="24"/>
          <w:szCs w:val="24"/>
        </w:rPr>
        <w:t xml:space="preserve">Inc. </w:t>
      </w:r>
      <w:r w:rsidR="003973DE">
        <w:rPr>
          <w:rFonts w:ascii="Times New Roman" w:hAnsi="Times New Roman" w:cs="Times New Roman"/>
          <w:sz w:val="24"/>
          <w:szCs w:val="24"/>
        </w:rPr>
        <w:t>in Docket UG-</w:t>
      </w:r>
      <w:r w:rsidR="00A40614">
        <w:rPr>
          <w:rFonts w:ascii="Times New Roman" w:hAnsi="Times New Roman" w:cs="Times New Roman"/>
          <w:sz w:val="24"/>
          <w:szCs w:val="24"/>
        </w:rPr>
        <w:t>1215</w:t>
      </w:r>
      <w:r w:rsidR="00EA1874">
        <w:rPr>
          <w:rFonts w:ascii="Times New Roman" w:hAnsi="Times New Roman" w:cs="Times New Roman"/>
          <w:sz w:val="24"/>
          <w:szCs w:val="24"/>
        </w:rPr>
        <w:t>69</w:t>
      </w:r>
      <w:r w:rsidR="00A40614">
        <w:rPr>
          <w:rFonts w:ascii="Times New Roman" w:hAnsi="Times New Roman" w:cs="Times New Roman"/>
          <w:sz w:val="24"/>
          <w:szCs w:val="24"/>
        </w:rPr>
        <w:t xml:space="preserve">, Cascade Natural Gas </w:t>
      </w:r>
      <w:r w:rsidR="00EA1874">
        <w:rPr>
          <w:rFonts w:ascii="Times New Roman" w:hAnsi="Times New Roman" w:cs="Times New Roman"/>
          <w:sz w:val="24"/>
          <w:szCs w:val="24"/>
        </w:rPr>
        <w:t xml:space="preserve">Corporation </w:t>
      </w:r>
      <w:r w:rsidR="00A40614">
        <w:rPr>
          <w:rFonts w:ascii="Times New Roman" w:hAnsi="Times New Roman" w:cs="Times New Roman"/>
          <w:sz w:val="24"/>
          <w:szCs w:val="24"/>
        </w:rPr>
        <w:t>in Dockets UG</w:t>
      </w:r>
      <w:r w:rsidR="004B2CE6">
        <w:rPr>
          <w:rFonts w:ascii="Times New Roman" w:hAnsi="Times New Roman" w:cs="Times New Roman"/>
          <w:sz w:val="24"/>
          <w:szCs w:val="24"/>
        </w:rPr>
        <w:t>-121592 and UG-121623</w:t>
      </w:r>
      <w:r w:rsidR="00783A7C">
        <w:rPr>
          <w:rFonts w:ascii="Times New Roman" w:hAnsi="Times New Roman" w:cs="Times New Roman"/>
          <w:sz w:val="24"/>
          <w:szCs w:val="24"/>
        </w:rPr>
        <w:t>,</w:t>
      </w:r>
      <w:r w:rsidR="004B2CE6">
        <w:rPr>
          <w:rFonts w:ascii="Times New Roman" w:hAnsi="Times New Roman" w:cs="Times New Roman"/>
          <w:sz w:val="24"/>
          <w:szCs w:val="24"/>
        </w:rPr>
        <w:t xml:space="preserve"> and Northwest Natural</w:t>
      </w:r>
      <w:r w:rsidR="00EA1874">
        <w:rPr>
          <w:rFonts w:ascii="Times New Roman" w:hAnsi="Times New Roman" w:cs="Times New Roman"/>
          <w:sz w:val="24"/>
          <w:szCs w:val="24"/>
        </w:rPr>
        <w:t xml:space="preserve"> Gas Company in Docket 121434</w:t>
      </w:r>
      <w:r w:rsidR="00783A7C">
        <w:rPr>
          <w:rFonts w:ascii="Times New Roman" w:hAnsi="Times New Roman" w:cs="Times New Roman"/>
          <w:sz w:val="24"/>
          <w:szCs w:val="24"/>
        </w:rPr>
        <w:t>,</w:t>
      </w:r>
      <w:r>
        <w:rPr>
          <w:rFonts w:ascii="Times New Roman" w:hAnsi="Times New Roman" w:cs="Times New Roman"/>
          <w:sz w:val="24"/>
          <w:szCs w:val="24"/>
        </w:rPr>
        <w:t xml:space="preserve"> and allow the tariff revisions </w:t>
      </w:r>
      <w:r w:rsidR="00783A7C">
        <w:rPr>
          <w:rFonts w:ascii="Times New Roman" w:hAnsi="Times New Roman" w:cs="Times New Roman"/>
          <w:sz w:val="24"/>
          <w:szCs w:val="24"/>
        </w:rPr>
        <w:t xml:space="preserve">in all dockets </w:t>
      </w:r>
      <w:r>
        <w:rPr>
          <w:rFonts w:ascii="Times New Roman" w:hAnsi="Times New Roman" w:cs="Times New Roman"/>
          <w:sz w:val="24"/>
          <w:szCs w:val="24"/>
        </w:rPr>
        <w:t xml:space="preserve">to become effective on a permanent basis. </w:t>
      </w:r>
    </w:p>
    <w:p w:rsidR="00783A7C" w:rsidRDefault="00783A7C" w:rsidP="00AD3312">
      <w:pPr>
        <w:rPr>
          <w:rFonts w:ascii="Times New Roman" w:hAnsi="Times New Roman" w:cs="Times New Roman"/>
          <w:sz w:val="24"/>
          <w:szCs w:val="24"/>
        </w:rPr>
      </w:pPr>
    </w:p>
    <w:p w:rsidR="000C7DE9" w:rsidRDefault="00783A7C" w:rsidP="00AD3312">
      <w:pPr>
        <w:rPr>
          <w:rFonts w:ascii="Times New Roman" w:hAnsi="Times New Roman" w:cs="Times New Roman"/>
          <w:sz w:val="24"/>
          <w:szCs w:val="24"/>
        </w:rPr>
      </w:pPr>
      <w:r>
        <w:rPr>
          <w:rFonts w:ascii="Times New Roman" w:hAnsi="Times New Roman" w:cs="Times New Roman"/>
          <w:sz w:val="24"/>
          <w:szCs w:val="24"/>
        </w:rPr>
        <w:t>Issue a CR 101 and commence workshops to examine whether a rulemaking, policy statement or other procedure should be pursued with respect to the natural gas hedging practices and policies of commission-regulated natural gas.</w:t>
      </w:r>
      <w:r w:rsidR="002E3456">
        <w:rPr>
          <w:rFonts w:ascii="Times New Roman" w:hAnsi="Times New Roman" w:cs="Times New Roman"/>
          <w:sz w:val="24"/>
          <w:szCs w:val="24"/>
        </w:rPr>
        <w:t xml:space="preserve"> </w:t>
      </w:r>
    </w:p>
    <w:p w:rsidR="000C7DE9" w:rsidRDefault="000C7DE9" w:rsidP="00AD3312">
      <w:pPr>
        <w:rPr>
          <w:rFonts w:ascii="Times New Roman" w:hAnsi="Times New Roman" w:cs="Times New Roman"/>
          <w:sz w:val="24"/>
          <w:szCs w:val="24"/>
        </w:rPr>
      </w:pPr>
    </w:p>
    <w:p w:rsidR="002300B9" w:rsidRDefault="002E3456" w:rsidP="00AD3312">
      <w:pPr>
        <w:rPr>
          <w:rFonts w:ascii="Times New Roman" w:hAnsi="Times New Roman" w:cs="Times New Roman"/>
          <w:sz w:val="24"/>
          <w:szCs w:val="24"/>
        </w:rPr>
      </w:pPr>
      <w:r>
        <w:rPr>
          <w:rFonts w:ascii="Times New Roman" w:hAnsi="Times New Roman" w:cs="Times New Roman"/>
          <w:sz w:val="24"/>
          <w:szCs w:val="24"/>
        </w:rPr>
        <w:t>Staff will present these recommendations to the commission at the March 14, 201</w:t>
      </w:r>
      <w:r w:rsidR="000C7DE9">
        <w:rPr>
          <w:rFonts w:ascii="Times New Roman" w:hAnsi="Times New Roman" w:cs="Times New Roman"/>
          <w:sz w:val="24"/>
          <w:szCs w:val="24"/>
        </w:rPr>
        <w:t>3</w:t>
      </w:r>
      <w:r>
        <w:rPr>
          <w:rFonts w:ascii="Times New Roman" w:hAnsi="Times New Roman" w:cs="Times New Roman"/>
          <w:sz w:val="24"/>
          <w:szCs w:val="24"/>
        </w:rPr>
        <w:t xml:space="preserve"> Open Public Meeting.</w:t>
      </w:r>
    </w:p>
    <w:p w:rsidR="002300B9" w:rsidRDefault="002300B9" w:rsidP="00AD3312">
      <w:pPr>
        <w:rPr>
          <w:rFonts w:ascii="Times New Roman" w:hAnsi="Times New Roman" w:cs="Times New Roman"/>
          <w:sz w:val="24"/>
          <w:szCs w:val="24"/>
        </w:rPr>
      </w:pPr>
    </w:p>
    <w:p w:rsidR="002300B9"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w:t>
      </w:r>
      <w:r w:rsidRPr="00461047">
        <w:rPr>
          <w:rFonts w:ascii="Times New Roman" w:hAnsi="Times New Roman" w:cs="Times New Roman"/>
          <w:b/>
          <w:sz w:val="24"/>
          <w:szCs w:val="24"/>
        </w:rPr>
        <w:tab/>
        <w:t>ATTACHMENTS</w:t>
      </w:r>
    </w:p>
    <w:p w:rsidR="002300B9" w:rsidRDefault="002300B9" w:rsidP="00AD3312">
      <w:pPr>
        <w:rPr>
          <w:rFonts w:ascii="Times New Roman" w:hAnsi="Times New Roman" w:cs="Times New Roman"/>
          <w:b/>
          <w:sz w:val="24"/>
          <w:szCs w:val="24"/>
        </w:rPr>
      </w:pPr>
    </w:p>
    <w:p w:rsidR="00FF65EA" w:rsidRDefault="00FF65EA" w:rsidP="00461047">
      <w:pPr>
        <w:rPr>
          <w:rFonts w:ascii="Times New Roman" w:hAnsi="Times New Roman" w:cs="Times New Roman"/>
          <w:sz w:val="24"/>
          <w:szCs w:val="24"/>
        </w:rPr>
      </w:pPr>
      <w:r>
        <w:rPr>
          <w:rFonts w:ascii="Times New Roman" w:hAnsi="Times New Roman" w:cs="Times New Roman"/>
          <w:sz w:val="24"/>
          <w:szCs w:val="24"/>
        </w:rPr>
        <w:t>The following documents are attached to this Report:</w:t>
      </w:r>
    </w:p>
    <w:p w:rsidR="00FF65EA" w:rsidRDefault="00FF65EA" w:rsidP="002D6639">
      <w:pPr>
        <w:ind w:firstLine="720"/>
        <w:rPr>
          <w:rFonts w:ascii="Times New Roman" w:hAnsi="Times New Roman" w:cs="Times New Roman"/>
          <w:sz w:val="24"/>
          <w:szCs w:val="24"/>
        </w:rPr>
      </w:pP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A</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Hedge Data Summary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Attachment B</w:t>
      </w:r>
      <w:r w:rsidR="003C3E43" w:rsidRPr="002D6639">
        <w:rPr>
          <w:rFonts w:ascii="Times New Roman" w:hAnsi="Times New Roman" w:cs="Times New Roman"/>
          <w:sz w:val="24"/>
          <w:szCs w:val="24"/>
        </w:rPr>
        <w:t xml:space="preserve">, </w:t>
      </w:r>
      <w:r w:rsidR="0015432F" w:rsidRPr="002D6639">
        <w:rPr>
          <w:rFonts w:ascii="Times New Roman" w:hAnsi="Times New Roman" w:cs="Times New Roman"/>
          <w:sz w:val="24"/>
          <w:szCs w:val="24"/>
        </w:rPr>
        <w:t>10 Year Hedge History</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Avista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Cascade Hedge Analysis </w:t>
      </w:r>
    </w:p>
    <w:p w:rsidR="008A5E2E"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NWNG Hedge Analysis </w:t>
      </w:r>
    </w:p>
    <w:p w:rsidR="00314CA7" w:rsidRPr="002D6639" w:rsidRDefault="008A5E2E" w:rsidP="002D6639">
      <w:pPr>
        <w:ind w:firstLine="720"/>
        <w:rPr>
          <w:rFonts w:ascii="Times New Roman" w:hAnsi="Times New Roman" w:cs="Times New Roman"/>
          <w:sz w:val="24"/>
          <w:szCs w:val="24"/>
        </w:rPr>
      </w:pPr>
      <w:r w:rsidRPr="002D6639">
        <w:rPr>
          <w:rFonts w:ascii="Times New Roman" w:hAnsi="Times New Roman" w:cs="Times New Roman"/>
          <w:sz w:val="24"/>
          <w:szCs w:val="24"/>
        </w:rPr>
        <w:t xml:space="preserve">PSE Hedge Analysis </w:t>
      </w:r>
    </w:p>
    <w:p w:rsidR="00314CA7" w:rsidRDefault="00314CA7" w:rsidP="00AD3312">
      <w:pPr>
        <w:rPr>
          <w:rFonts w:ascii="Times New Roman" w:hAnsi="Times New Roman" w:cs="Times New Roman"/>
          <w:b/>
          <w:sz w:val="24"/>
          <w:szCs w:val="24"/>
        </w:rPr>
      </w:pPr>
    </w:p>
    <w:p w:rsidR="00314CA7" w:rsidRPr="0015432F" w:rsidRDefault="00FF65EA" w:rsidP="00AD3312">
      <w:pPr>
        <w:rPr>
          <w:rFonts w:ascii="Times New Roman" w:hAnsi="Times New Roman" w:cs="Times New Roman"/>
          <w:sz w:val="24"/>
          <w:szCs w:val="24"/>
        </w:rPr>
      </w:pPr>
      <w:r>
        <w:rPr>
          <w:rFonts w:ascii="Times New Roman" w:hAnsi="Times New Roman" w:cs="Times New Roman"/>
          <w:sz w:val="24"/>
          <w:szCs w:val="24"/>
        </w:rPr>
        <w:t xml:space="preserve">Please note that the individual hedge analysis for each company contains confidential material.  </w:t>
      </w:r>
      <w:r w:rsidR="00314CA7">
        <w:rPr>
          <w:rFonts w:ascii="Times New Roman" w:hAnsi="Times New Roman" w:cs="Times New Roman"/>
          <w:sz w:val="24"/>
          <w:szCs w:val="24"/>
        </w:rPr>
        <w:t xml:space="preserve">While </w:t>
      </w:r>
      <w:r>
        <w:rPr>
          <w:rFonts w:ascii="Times New Roman" w:hAnsi="Times New Roman" w:cs="Times New Roman"/>
          <w:sz w:val="24"/>
          <w:szCs w:val="24"/>
        </w:rPr>
        <w:t xml:space="preserve">all of those analyses </w:t>
      </w:r>
      <w:r w:rsidR="00314CA7">
        <w:rPr>
          <w:rFonts w:ascii="Times New Roman" w:hAnsi="Times New Roman" w:cs="Times New Roman"/>
          <w:sz w:val="24"/>
          <w:szCs w:val="24"/>
        </w:rPr>
        <w:t xml:space="preserve">are listed here, only the </w:t>
      </w:r>
      <w:r>
        <w:rPr>
          <w:rFonts w:ascii="Times New Roman" w:hAnsi="Times New Roman" w:cs="Times New Roman"/>
          <w:sz w:val="24"/>
          <w:szCs w:val="24"/>
        </w:rPr>
        <w:t>a</w:t>
      </w:r>
      <w:r w:rsidR="003C3E43">
        <w:rPr>
          <w:rFonts w:ascii="Times New Roman" w:hAnsi="Times New Roman" w:cs="Times New Roman"/>
          <w:sz w:val="24"/>
          <w:szCs w:val="24"/>
        </w:rPr>
        <w:t>nalysis</w:t>
      </w:r>
      <w:r w:rsidR="00314CA7">
        <w:rPr>
          <w:rFonts w:ascii="Times New Roman" w:hAnsi="Times New Roman" w:cs="Times New Roman"/>
          <w:sz w:val="24"/>
          <w:szCs w:val="24"/>
        </w:rPr>
        <w:t xml:space="preserve"> related to a particular company </w:t>
      </w:r>
      <w:r>
        <w:rPr>
          <w:rFonts w:ascii="Times New Roman" w:hAnsi="Times New Roman" w:cs="Times New Roman"/>
          <w:sz w:val="24"/>
          <w:szCs w:val="24"/>
        </w:rPr>
        <w:t xml:space="preserve">is </w:t>
      </w:r>
      <w:r w:rsidR="00314CA7">
        <w:rPr>
          <w:rFonts w:ascii="Times New Roman" w:hAnsi="Times New Roman" w:cs="Times New Roman"/>
          <w:sz w:val="24"/>
          <w:szCs w:val="24"/>
        </w:rPr>
        <w:t>filed in that company’s particular docket</w:t>
      </w:r>
      <w:r>
        <w:rPr>
          <w:rFonts w:ascii="Times New Roman" w:hAnsi="Times New Roman" w:cs="Times New Roman"/>
          <w:sz w:val="24"/>
          <w:szCs w:val="24"/>
        </w:rPr>
        <w:t xml:space="preserve">.  </w:t>
      </w:r>
      <w:r w:rsidR="00314CA7">
        <w:rPr>
          <w:rFonts w:ascii="Times New Roman" w:hAnsi="Times New Roman" w:cs="Times New Roman"/>
          <w:sz w:val="24"/>
          <w:szCs w:val="24"/>
        </w:rPr>
        <w:t>This is being done to prohibit the disclosure of confidential information beyond the docket relevant to a particular company.</w:t>
      </w:r>
    </w:p>
    <w:p w:rsidR="00395E30" w:rsidRDefault="00395E30" w:rsidP="00AD3312">
      <w:pPr>
        <w:rPr>
          <w:rFonts w:ascii="Times New Roman" w:hAnsi="Times New Roman" w:cs="Times New Roman"/>
          <w:sz w:val="24"/>
          <w:szCs w:val="24"/>
        </w:rPr>
      </w:pPr>
    </w:p>
    <w:p w:rsidR="00395E30" w:rsidRPr="00461047" w:rsidRDefault="00FF65EA"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III.</w:t>
      </w:r>
      <w:r w:rsidRPr="00461047">
        <w:rPr>
          <w:rFonts w:ascii="Times New Roman" w:hAnsi="Times New Roman" w:cs="Times New Roman"/>
          <w:b/>
          <w:sz w:val="24"/>
          <w:szCs w:val="24"/>
        </w:rPr>
        <w:tab/>
        <w:t>BACKGROUND</w:t>
      </w:r>
    </w:p>
    <w:p w:rsidR="00FF65EA" w:rsidRDefault="00FF65EA" w:rsidP="002D6639">
      <w:pPr>
        <w:jc w:val="center"/>
        <w:rPr>
          <w:rFonts w:ascii="Times New Roman" w:hAnsi="Times New Roman" w:cs="Times New Roman"/>
          <w:b/>
          <w:sz w:val="24"/>
          <w:szCs w:val="24"/>
          <w:u w:val="single"/>
        </w:rPr>
      </w:pPr>
    </w:p>
    <w:p w:rsidR="00FF65EA" w:rsidRDefault="00FF65EA" w:rsidP="00FF65EA">
      <w:pPr>
        <w:rPr>
          <w:rFonts w:ascii="Times New Roman" w:hAnsi="Times New Roman" w:cs="Times New Roman"/>
          <w:b/>
          <w:sz w:val="24"/>
          <w:szCs w:val="24"/>
          <w:u w:val="single"/>
        </w:rPr>
      </w:pPr>
      <w:r w:rsidRPr="00461047">
        <w:rPr>
          <w:rFonts w:ascii="Times New Roman" w:hAnsi="Times New Roman" w:cs="Times New Roman"/>
          <w:b/>
          <w:sz w:val="24"/>
          <w:szCs w:val="24"/>
        </w:rPr>
        <w:t>A.</w:t>
      </w:r>
      <w:r w:rsidRPr="00461047">
        <w:rPr>
          <w:rFonts w:ascii="Times New Roman" w:hAnsi="Times New Roman" w:cs="Times New Roman"/>
          <w:b/>
          <w:sz w:val="24"/>
          <w:szCs w:val="24"/>
        </w:rPr>
        <w:tab/>
      </w:r>
      <w:r>
        <w:rPr>
          <w:rFonts w:ascii="Times New Roman" w:hAnsi="Times New Roman" w:cs="Times New Roman"/>
          <w:b/>
          <w:sz w:val="24"/>
          <w:szCs w:val="24"/>
          <w:u w:val="single"/>
        </w:rPr>
        <w:t>The Purchased Gas Adjustment Mechanism Described</w:t>
      </w:r>
    </w:p>
    <w:p w:rsidR="00FF65EA" w:rsidRDefault="00FF65EA" w:rsidP="00FF65EA">
      <w:pPr>
        <w:rPr>
          <w:rFonts w:ascii="Times New Roman" w:hAnsi="Times New Roman" w:cs="Times New Roman"/>
          <w:b/>
          <w:sz w:val="24"/>
          <w:szCs w:val="24"/>
          <w:u w:val="single"/>
        </w:rPr>
      </w:pPr>
    </w:p>
    <w:p w:rsidR="00FF65EA"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The </w:t>
      </w:r>
      <w:r>
        <w:rPr>
          <w:rFonts w:ascii="Times New Roman" w:hAnsi="Times New Roman" w:cs="Times New Roman"/>
          <w:sz w:val="24"/>
          <w:szCs w:val="24"/>
        </w:rPr>
        <w:t>Purchased Gas Adjustment (PGA) mechanism is</w:t>
      </w:r>
      <w:r w:rsidRPr="0015432F">
        <w:rPr>
          <w:rFonts w:ascii="Times New Roman" w:hAnsi="Times New Roman" w:cs="Times New Roman"/>
          <w:sz w:val="24"/>
          <w:szCs w:val="24"/>
        </w:rPr>
        <w:t xml:space="preserve"> designed to pass through to customers the utility’s actual cost of natural gas on a periodic basis. The PGA establishes for the upcoming year a projection of the utility’s gas costs</w:t>
      </w:r>
      <w:r>
        <w:rPr>
          <w:rFonts w:ascii="Times New Roman" w:hAnsi="Times New Roman" w:cs="Times New Roman"/>
          <w:sz w:val="24"/>
          <w:szCs w:val="24"/>
        </w:rPr>
        <w:t>.</w:t>
      </w:r>
      <w:r w:rsidRPr="0015432F">
        <w:rPr>
          <w:rFonts w:ascii="Times New Roman" w:hAnsi="Times New Roman" w:cs="Times New Roman"/>
          <w:sz w:val="24"/>
          <w:szCs w:val="24"/>
        </w:rPr>
        <w:t xml:space="preserve"> The difference between the projected cost from the previous PGA filing, and the actual cost incurred for the period, is deferred and ultimately amortized back to customers with interest, as a refund or a surcharge</w:t>
      </w:r>
      <w:r>
        <w:rPr>
          <w:rFonts w:ascii="Times New Roman" w:hAnsi="Times New Roman" w:cs="Times New Roman"/>
          <w:sz w:val="24"/>
          <w:szCs w:val="24"/>
        </w:rPr>
        <w:t>.</w:t>
      </w:r>
    </w:p>
    <w:p w:rsidR="00FF65EA" w:rsidRPr="0015432F" w:rsidRDefault="00FF65EA" w:rsidP="00FF65EA">
      <w:pPr>
        <w:spacing w:after="120"/>
        <w:rPr>
          <w:rFonts w:ascii="Times New Roman" w:hAnsi="Times New Roman" w:cs="Times New Roman"/>
          <w:sz w:val="24"/>
          <w:szCs w:val="24"/>
        </w:rPr>
      </w:pPr>
      <w:r w:rsidRPr="0015432F">
        <w:rPr>
          <w:rFonts w:ascii="Times New Roman" w:hAnsi="Times New Roman" w:cs="Times New Roman"/>
          <w:sz w:val="24"/>
          <w:szCs w:val="24"/>
        </w:rPr>
        <w:t xml:space="preserve">In arriving at an estimated commodity cost for the coming year, </w:t>
      </w:r>
      <w:r>
        <w:rPr>
          <w:rFonts w:ascii="Times New Roman" w:hAnsi="Times New Roman" w:cs="Times New Roman"/>
          <w:sz w:val="24"/>
          <w:szCs w:val="24"/>
        </w:rPr>
        <w:t>a</w:t>
      </w:r>
      <w:r w:rsidRPr="0015432F">
        <w:rPr>
          <w:rFonts w:ascii="Times New Roman" w:hAnsi="Times New Roman" w:cs="Times New Roman"/>
          <w:sz w:val="24"/>
          <w:szCs w:val="24"/>
        </w:rPr>
        <w:t xml:space="preserve"> company uses a variety of known and estimated inputs. Known inputs include volumes of gas to be delivered within the PGA year hedged at a fixed price, actual cost and volume of gas in storage, and to some extent the remaining expected load transacted at spot market prices or hedged at a fixed price</w:t>
      </w:r>
      <w:r>
        <w:rPr>
          <w:rFonts w:ascii="Times New Roman" w:hAnsi="Times New Roman" w:cs="Times New Roman"/>
          <w:sz w:val="24"/>
          <w:szCs w:val="24"/>
        </w:rPr>
        <w:t>.</w:t>
      </w:r>
      <w:r w:rsidRPr="0015432F">
        <w:rPr>
          <w:rFonts w:ascii="Times New Roman" w:hAnsi="Times New Roman" w:cs="Times New Roman"/>
          <w:sz w:val="24"/>
          <w:szCs w:val="24"/>
        </w:rPr>
        <w:t xml:space="preserve"> Estimated inputs include load for the PGA year, future spot/index market prices and</w:t>
      </w:r>
      <w:r>
        <w:rPr>
          <w:rFonts w:ascii="Times New Roman" w:hAnsi="Times New Roman" w:cs="Times New Roman"/>
          <w:sz w:val="24"/>
          <w:szCs w:val="24"/>
        </w:rPr>
        <w:t xml:space="preserve"> fixed</w:t>
      </w:r>
      <w:r w:rsidRPr="0015432F">
        <w:rPr>
          <w:rFonts w:ascii="Times New Roman" w:hAnsi="Times New Roman" w:cs="Times New Roman"/>
          <w:sz w:val="24"/>
          <w:szCs w:val="24"/>
        </w:rPr>
        <w:t xml:space="preserve"> prices for hedges that will be transacted in, and for, the PGA year. </w:t>
      </w:r>
    </w:p>
    <w:p w:rsidR="00FF65EA" w:rsidRDefault="00FF65EA" w:rsidP="00FF65EA">
      <w:pPr>
        <w:rPr>
          <w:rFonts w:ascii="Times New Roman" w:hAnsi="Times New Roman" w:cs="Times New Roman"/>
          <w:sz w:val="24"/>
          <w:szCs w:val="24"/>
        </w:rPr>
      </w:pPr>
      <w:r>
        <w:rPr>
          <w:rFonts w:ascii="Times New Roman" w:hAnsi="Times New Roman" w:cs="Times New Roman"/>
          <w:sz w:val="24"/>
          <w:szCs w:val="24"/>
        </w:rPr>
        <w:lastRenderedPageBreak/>
        <w:t xml:space="preserve">Historically, staff has had approximately 30 to 45 days (initial filing date to </w:t>
      </w:r>
      <w:r w:rsidR="00C26FBB">
        <w:rPr>
          <w:rFonts w:ascii="Times New Roman" w:hAnsi="Times New Roman" w:cs="Times New Roman"/>
          <w:sz w:val="24"/>
          <w:szCs w:val="24"/>
        </w:rPr>
        <w:t xml:space="preserve">tariff </w:t>
      </w:r>
      <w:r>
        <w:rPr>
          <w:rFonts w:ascii="Times New Roman" w:hAnsi="Times New Roman" w:cs="Times New Roman"/>
          <w:sz w:val="24"/>
          <w:szCs w:val="24"/>
        </w:rPr>
        <w:t>effective date) to review PGA filings. Staff’s review has generally centered on an audit of the deferred balances and a reasonableness test of the projection of future gas costs; both of which are used to determine rates charged to customers.  Staff has not performed an in-depth prudence review of the gas costs a natural gas company seeks to recover through its PGA tariffs.</w:t>
      </w:r>
    </w:p>
    <w:p w:rsidR="00FF65EA" w:rsidRDefault="00FF65EA" w:rsidP="00FF65EA">
      <w:pPr>
        <w:rPr>
          <w:rFonts w:ascii="Times New Roman" w:hAnsi="Times New Roman" w:cs="Times New Roman"/>
          <w:b/>
          <w:sz w:val="24"/>
          <w:szCs w:val="24"/>
          <w:u w:val="single"/>
        </w:rPr>
      </w:pPr>
    </w:p>
    <w:p w:rsidR="00395E30" w:rsidRDefault="00C26FBB" w:rsidP="00AD3312">
      <w:pPr>
        <w:rPr>
          <w:rFonts w:ascii="Times New Roman" w:hAnsi="Times New Roman" w:cs="Times New Roman"/>
          <w:b/>
          <w:sz w:val="24"/>
          <w:szCs w:val="24"/>
          <w:u w:val="single"/>
        </w:rPr>
      </w:pPr>
      <w:r w:rsidRPr="00461047">
        <w:rPr>
          <w:rFonts w:ascii="Times New Roman" w:hAnsi="Times New Roman" w:cs="Times New Roman"/>
          <w:b/>
          <w:sz w:val="24"/>
          <w:szCs w:val="24"/>
        </w:rPr>
        <w:t>B.</w:t>
      </w:r>
      <w:r w:rsidRPr="00461047">
        <w:rPr>
          <w:rFonts w:ascii="Times New Roman" w:hAnsi="Times New Roman" w:cs="Times New Roman"/>
          <w:b/>
          <w:sz w:val="24"/>
          <w:szCs w:val="24"/>
        </w:rPr>
        <w:tab/>
      </w:r>
      <w:r>
        <w:rPr>
          <w:rFonts w:ascii="Times New Roman" w:hAnsi="Times New Roman" w:cs="Times New Roman"/>
          <w:b/>
          <w:sz w:val="24"/>
          <w:szCs w:val="24"/>
          <w:u w:val="single"/>
        </w:rPr>
        <w:t>Procedural History</w:t>
      </w:r>
    </w:p>
    <w:p w:rsidR="00C26FBB" w:rsidRDefault="00C26FBB" w:rsidP="00AD3312">
      <w:pPr>
        <w:rPr>
          <w:rFonts w:ascii="Times New Roman" w:hAnsi="Times New Roman" w:cs="Times New Roman"/>
          <w:b/>
          <w:sz w:val="24"/>
          <w:szCs w:val="24"/>
          <w:u w:val="single"/>
        </w:rPr>
      </w:pPr>
    </w:p>
    <w:p w:rsidR="00783A7C" w:rsidRDefault="00EA1874" w:rsidP="00AD3312">
      <w:pPr>
        <w:rPr>
          <w:rFonts w:ascii="Times New Roman" w:hAnsi="Times New Roman" w:cs="Times New Roman"/>
          <w:sz w:val="24"/>
          <w:szCs w:val="24"/>
        </w:rPr>
      </w:pPr>
      <w:r>
        <w:rPr>
          <w:rFonts w:ascii="Times New Roman" w:hAnsi="Times New Roman" w:cs="Times New Roman"/>
          <w:sz w:val="24"/>
          <w:szCs w:val="24"/>
        </w:rPr>
        <w:t>During the months of August, September and October of 2012, Northwest Natural Gas Company (Northwest Natural), Avista Corporation (Avista), Puget Sound Energy</w:t>
      </w:r>
      <w:r w:rsidR="000C7DE9">
        <w:rPr>
          <w:rFonts w:ascii="Times New Roman" w:hAnsi="Times New Roman" w:cs="Times New Roman"/>
          <w:sz w:val="24"/>
          <w:szCs w:val="24"/>
        </w:rPr>
        <w:t>,</w:t>
      </w:r>
      <w:r>
        <w:rPr>
          <w:rFonts w:ascii="Times New Roman" w:hAnsi="Times New Roman" w:cs="Times New Roman"/>
          <w:sz w:val="24"/>
          <w:szCs w:val="24"/>
        </w:rPr>
        <w:t xml:space="preserve"> Inc. (PSE) and Cascade Natural Gas Corporation (Cascade)</w:t>
      </w:r>
      <w:r w:rsidR="00303A5C">
        <w:rPr>
          <w:rFonts w:ascii="Times New Roman" w:hAnsi="Times New Roman" w:cs="Times New Roman"/>
          <w:sz w:val="24"/>
          <w:szCs w:val="24"/>
        </w:rPr>
        <w:t xml:space="preserve"> (collectively, the companies) </w:t>
      </w:r>
      <w:r>
        <w:rPr>
          <w:rFonts w:ascii="Times New Roman" w:hAnsi="Times New Roman" w:cs="Times New Roman"/>
          <w:sz w:val="24"/>
          <w:szCs w:val="24"/>
        </w:rPr>
        <w:t xml:space="preserve">filed revisions to their Purchased Gas Adjustment (PGA) tariffs. </w:t>
      </w:r>
      <w:r w:rsidR="00783A7C">
        <w:rPr>
          <w:rFonts w:ascii="Times New Roman" w:hAnsi="Times New Roman" w:cs="Times New Roman"/>
          <w:sz w:val="24"/>
          <w:szCs w:val="24"/>
        </w:rPr>
        <w:t xml:space="preserve"> All of these tariff revisions bore </w:t>
      </w:r>
      <w:r w:rsidR="000C7DE9">
        <w:rPr>
          <w:rFonts w:ascii="Times New Roman" w:hAnsi="Times New Roman" w:cs="Times New Roman"/>
          <w:sz w:val="24"/>
          <w:szCs w:val="24"/>
        </w:rPr>
        <w:t>an</w:t>
      </w:r>
      <w:r w:rsidR="00C852AB">
        <w:rPr>
          <w:rFonts w:ascii="Times New Roman" w:hAnsi="Times New Roman" w:cs="Times New Roman"/>
          <w:sz w:val="24"/>
          <w:szCs w:val="24"/>
        </w:rPr>
        <w:t xml:space="preserve"> </w:t>
      </w:r>
      <w:r w:rsidR="00783A7C">
        <w:rPr>
          <w:rFonts w:ascii="Times New Roman" w:hAnsi="Times New Roman" w:cs="Times New Roman"/>
          <w:sz w:val="24"/>
          <w:szCs w:val="24"/>
        </w:rPr>
        <w:t xml:space="preserve">effective </w:t>
      </w:r>
      <w:r w:rsidR="00C852AB">
        <w:rPr>
          <w:rFonts w:ascii="Times New Roman" w:hAnsi="Times New Roman" w:cs="Times New Roman"/>
          <w:sz w:val="24"/>
          <w:szCs w:val="24"/>
        </w:rPr>
        <w:t>date</w:t>
      </w:r>
      <w:r w:rsidR="00783A7C">
        <w:rPr>
          <w:rFonts w:ascii="Times New Roman" w:hAnsi="Times New Roman" w:cs="Times New Roman"/>
          <w:sz w:val="24"/>
          <w:szCs w:val="24"/>
        </w:rPr>
        <w:t xml:space="preserve"> of November 1, 2012.</w:t>
      </w:r>
    </w:p>
    <w:p w:rsidR="001717A1" w:rsidRDefault="001717A1" w:rsidP="00AD3312">
      <w:pPr>
        <w:rPr>
          <w:rFonts w:ascii="Times New Roman" w:hAnsi="Times New Roman" w:cs="Times New Roman"/>
          <w:sz w:val="24"/>
          <w:szCs w:val="24"/>
        </w:rPr>
      </w:pPr>
    </w:p>
    <w:p w:rsidR="00BF6C7F" w:rsidRDefault="00594981" w:rsidP="00AD3312">
      <w:pPr>
        <w:rPr>
          <w:rFonts w:ascii="Times New Roman" w:hAnsi="Times New Roman" w:cs="Times New Roman"/>
          <w:sz w:val="24"/>
          <w:szCs w:val="24"/>
        </w:rPr>
      </w:pPr>
      <w:r>
        <w:rPr>
          <w:rFonts w:ascii="Times New Roman" w:hAnsi="Times New Roman" w:cs="Times New Roman"/>
          <w:sz w:val="24"/>
          <w:szCs w:val="24"/>
        </w:rPr>
        <w:t>After a review of the</w:t>
      </w:r>
      <w:r w:rsidR="00C26FBB">
        <w:rPr>
          <w:rFonts w:ascii="Times New Roman" w:hAnsi="Times New Roman" w:cs="Times New Roman"/>
          <w:sz w:val="24"/>
          <w:szCs w:val="24"/>
        </w:rPr>
        <w:t xml:space="preserve"> </w:t>
      </w:r>
      <w:r>
        <w:rPr>
          <w:rFonts w:ascii="Times New Roman" w:hAnsi="Times New Roman" w:cs="Times New Roman"/>
          <w:sz w:val="24"/>
          <w:szCs w:val="24"/>
        </w:rPr>
        <w:t>filings, staff had concerns regarding the variety of reporting, procurement</w:t>
      </w:r>
      <w:r w:rsidR="00043C19">
        <w:rPr>
          <w:rFonts w:ascii="Times New Roman" w:hAnsi="Times New Roman" w:cs="Times New Roman"/>
          <w:sz w:val="24"/>
          <w:szCs w:val="24"/>
        </w:rPr>
        <w:t xml:space="preserve"> and</w:t>
      </w:r>
      <w:r>
        <w:rPr>
          <w:rFonts w:ascii="Times New Roman" w:hAnsi="Times New Roman" w:cs="Times New Roman"/>
          <w:sz w:val="24"/>
          <w:szCs w:val="24"/>
        </w:rPr>
        <w:t xml:space="preserve"> hedging strategies employed by </w:t>
      </w:r>
      <w:r w:rsidR="00C852AB">
        <w:rPr>
          <w:rFonts w:ascii="Times New Roman" w:hAnsi="Times New Roman" w:cs="Times New Roman"/>
          <w:sz w:val="24"/>
          <w:szCs w:val="24"/>
        </w:rPr>
        <w:t xml:space="preserve">the </w:t>
      </w:r>
      <w:r>
        <w:rPr>
          <w:rFonts w:ascii="Times New Roman" w:hAnsi="Times New Roman" w:cs="Times New Roman"/>
          <w:sz w:val="24"/>
          <w:szCs w:val="24"/>
        </w:rPr>
        <w:t xml:space="preserve">companies. </w:t>
      </w:r>
      <w:r w:rsidR="00043C19">
        <w:rPr>
          <w:rFonts w:ascii="Times New Roman" w:hAnsi="Times New Roman" w:cs="Times New Roman"/>
          <w:sz w:val="24"/>
          <w:szCs w:val="24"/>
        </w:rPr>
        <w:t>In addition, staff was troubled by the seemingly large financial hedging losses reported in the PGA</w:t>
      </w:r>
      <w:r w:rsidR="00B30816">
        <w:rPr>
          <w:rFonts w:ascii="Times New Roman" w:hAnsi="Times New Roman" w:cs="Times New Roman"/>
          <w:sz w:val="24"/>
          <w:szCs w:val="24"/>
        </w:rPr>
        <w:t xml:space="preserve"> </w:t>
      </w:r>
      <w:r w:rsidR="00043C19">
        <w:rPr>
          <w:rFonts w:ascii="Times New Roman" w:hAnsi="Times New Roman" w:cs="Times New Roman"/>
          <w:sz w:val="24"/>
          <w:szCs w:val="24"/>
        </w:rPr>
        <w:t xml:space="preserve">period </w:t>
      </w:r>
      <w:r w:rsidR="00B30816">
        <w:rPr>
          <w:rFonts w:ascii="Times New Roman" w:hAnsi="Times New Roman" w:cs="Times New Roman"/>
          <w:sz w:val="24"/>
          <w:szCs w:val="24"/>
        </w:rPr>
        <w:t xml:space="preserve">of </w:t>
      </w:r>
      <w:r w:rsidR="00043C19">
        <w:rPr>
          <w:rFonts w:ascii="Times New Roman" w:hAnsi="Times New Roman" w:cs="Times New Roman"/>
          <w:sz w:val="24"/>
          <w:szCs w:val="24"/>
        </w:rPr>
        <w:t>November 1, 2011 through October 31, 2012</w:t>
      </w:r>
      <w:r w:rsidR="00B30816">
        <w:rPr>
          <w:rFonts w:ascii="Times New Roman" w:hAnsi="Times New Roman" w:cs="Times New Roman"/>
          <w:sz w:val="24"/>
          <w:szCs w:val="24"/>
        </w:rPr>
        <w:t xml:space="preserve"> (survey period)</w:t>
      </w:r>
      <w:r w:rsidR="00043C19">
        <w:rPr>
          <w:rFonts w:ascii="Times New Roman" w:hAnsi="Times New Roman" w:cs="Times New Roman"/>
          <w:sz w:val="24"/>
          <w:szCs w:val="24"/>
        </w:rPr>
        <w:t xml:space="preserve"> and </w:t>
      </w:r>
      <w:r w:rsidR="00BF6C7F">
        <w:rPr>
          <w:rFonts w:ascii="Times New Roman" w:hAnsi="Times New Roman" w:cs="Times New Roman"/>
          <w:sz w:val="24"/>
          <w:szCs w:val="24"/>
        </w:rPr>
        <w:t xml:space="preserve">the recurring financial hedging losses recorded and passed onto ratepayers in previous years. </w:t>
      </w:r>
      <w:r w:rsidR="00C852AB">
        <w:rPr>
          <w:rFonts w:ascii="Times New Roman" w:hAnsi="Times New Roman" w:cs="Times New Roman"/>
          <w:sz w:val="24"/>
          <w:szCs w:val="24"/>
        </w:rPr>
        <w:t xml:space="preserve"> Therefore, at the commission’s</w:t>
      </w:r>
      <w:r>
        <w:rPr>
          <w:rFonts w:ascii="Times New Roman" w:hAnsi="Times New Roman" w:cs="Times New Roman"/>
          <w:sz w:val="24"/>
          <w:szCs w:val="24"/>
        </w:rPr>
        <w:t xml:space="preserve"> Open </w:t>
      </w:r>
      <w:r w:rsidR="00C852AB">
        <w:rPr>
          <w:rFonts w:ascii="Times New Roman" w:hAnsi="Times New Roman" w:cs="Times New Roman"/>
          <w:sz w:val="24"/>
          <w:szCs w:val="24"/>
        </w:rPr>
        <w:t xml:space="preserve">Public </w:t>
      </w:r>
      <w:r>
        <w:rPr>
          <w:rFonts w:ascii="Times New Roman" w:hAnsi="Times New Roman" w:cs="Times New Roman"/>
          <w:sz w:val="24"/>
          <w:szCs w:val="24"/>
        </w:rPr>
        <w:t>Meeting o</w:t>
      </w:r>
      <w:r w:rsidR="00EA1874">
        <w:rPr>
          <w:rFonts w:ascii="Times New Roman" w:hAnsi="Times New Roman" w:cs="Times New Roman"/>
          <w:sz w:val="24"/>
          <w:szCs w:val="24"/>
        </w:rPr>
        <w:t xml:space="preserve">n October 25, 2012, </w:t>
      </w:r>
      <w:r>
        <w:rPr>
          <w:rFonts w:ascii="Times New Roman" w:hAnsi="Times New Roman" w:cs="Times New Roman"/>
          <w:sz w:val="24"/>
          <w:szCs w:val="24"/>
        </w:rPr>
        <w:t>staff recommended</w:t>
      </w:r>
      <w:r w:rsidR="00EA1874">
        <w:rPr>
          <w:rFonts w:ascii="Times New Roman" w:hAnsi="Times New Roman" w:cs="Times New Roman"/>
          <w:sz w:val="24"/>
          <w:szCs w:val="24"/>
        </w:rPr>
        <w:t xml:space="preserve"> that the </w:t>
      </w:r>
      <w:r w:rsidR="00F90160">
        <w:rPr>
          <w:rFonts w:ascii="Times New Roman" w:hAnsi="Times New Roman" w:cs="Times New Roman"/>
          <w:sz w:val="24"/>
          <w:szCs w:val="24"/>
        </w:rPr>
        <w:t xml:space="preserve">commission </w:t>
      </w:r>
      <w:r w:rsidR="005313DB">
        <w:rPr>
          <w:rFonts w:ascii="Times New Roman" w:hAnsi="Times New Roman" w:cs="Times New Roman"/>
          <w:sz w:val="24"/>
          <w:szCs w:val="24"/>
        </w:rPr>
        <w:t xml:space="preserve">issue a </w:t>
      </w:r>
      <w:r w:rsidR="00C852AB">
        <w:rPr>
          <w:rFonts w:ascii="Times New Roman" w:hAnsi="Times New Roman" w:cs="Times New Roman"/>
          <w:sz w:val="24"/>
          <w:szCs w:val="24"/>
        </w:rPr>
        <w:t>c</w:t>
      </w:r>
      <w:r w:rsidR="005313DB">
        <w:rPr>
          <w:rFonts w:ascii="Times New Roman" w:hAnsi="Times New Roman" w:cs="Times New Roman"/>
          <w:sz w:val="24"/>
          <w:szCs w:val="24"/>
        </w:rPr>
        <w:t xml:space="preserve">omplaint and </w:t>
      </w:r>
      <w:r w:rsidR="00C852AB">
        <w:rPr>
          <w:rFonts w:ascii="Times New Roman" w:hAnsi="Times New Roman" w:cs="Times New Roman"/>
          <w:sz w:val="24"/>
          <w:szCs w:val="24"/>
        </w:rPr>
        <w:t>o</w:t>
      </w:r>
      <w:r w:rsidR="005313DB">
        <w:rPr>
          <w:rFonts w:ascii="Times New Roman" w:hAnsi="Times New Roman" w:cs="Times New Roman"/>
          <w:sz w:val="24"/>
          <w:szCs w:val="24"/>
        </w:rPr>
        <w:t xml:space="preserve">rder </w:t>
      </w:r>
      <w:r w:rsidR="00C852AB">
        <w:rPr>
          <w:rFonts w:ascii="Times New Roman" w:hAnsi="Times New Roman" w:cs="Times New Roman"/>
          <w:sz w:val="24"/>
          <w:szCs w:val="24"/>
        </w:rPr>
        <w:t>s</w:t>
      </w:r>
      <w:r w:rsidR="005313DB">
        <w:rPr>
          <w:rFonts w:ascii="Times New Roman" w:hAnsi="Times New Roman" w:cs="Times New Roman"/>
          <w:sz w:val="24"/>
          <w:szCs w:val="24"/>
        </w:rPr>
        <w:t xml:space="preserve">uspending the </w:t>
      </w:r>
      <w:r w:rsidR="00C852AB">
        <w:rPr>
          <w:rFonts w:ascii="Times New Roman" w:hAnsi="Times New Roman" w:cs="Times New Roman"/>
          <w:sz w:val="24"/>
          <w:szCs w:val="24"/>
        </w:rPr>
        <w:t>t</w:t>
      </w:r>
      <w:r w:rsidR="005313DB">
        <w:rPr>
          <w:rFonts w:ascii="Times New Roman" w:hAnsi="Times New Roman" w:cs="Times New Roman"/>
          <w:sz w:val="24"/>
          <w:szCs w:val="24"/>
        </w:rPr>
        <w:t xml:space="preserve">ariff </w:t>
      </w:r>
      <w:r w:rsidR="00C852AB">
        <w:rPr>
          <w:rFonts w:ascii="Times New Roman" w:hAnsi="Times New Roman" w:cs="Times New Roman"/>
          <w:sz w:val="24"/>
          <w:szCs w:val="24"/>
        </w:rPr>
        <w:t>r</w:t>
      </w:r>
      <w:r w:rsidR="005313DB">
        <w:rPr>
          <w:rFonts w:ascii="Times New Roman" w:hAnsi="Times New Roman" w:cs="Times New Roman"/>
          <w:sz w:val="24"/>
          <w:szCs w:val="24"/>
        </w:rPr>
        <w:t xml:space="preserve">evisions </w:t>
      </w:r>
      <w:r w:rsidR="00C852AB">
        <w:rPr>
          <w:rFonts w:ascii="Times New Roman" w:hAnsi="Times New Roman" w:cs="Times New Roman"/>
          <w:sz w:val="24"/>
          <w:szCs w:val="24"/>
        </w:rPr>
        <w:t xml:space="preserve">in all dockets </w:t>
      </w:r>
      <w:r w:rsidR="005313DB">
        <w:rPr>
          <w:rFonts w:ascii="Times New Roman" w:hAnsi="Times New Roman" w:cs="Times New Roman"/>
          <w:sz w:val="24"/>
          <w:szCs w:val="24"/>
        </w:rPr>
        <w:t>and allow</w:t>
      </w:r>
      <w:r w:rsidR="00C852AB">
        <w:rPr>
          <w:rFonts w:ascii="Times New Roman" w:hAnsi="Times New Roman" w:cs="Times New Roman"/>
          <w:sz w:val="24"/>
          <w:szCs w:val="24"/>
        </w:rPr>
        <w:t>ing</w:t>
      </w:r>
      <w:r w:rsidR="005313DB">
        <w:rPr>
          <w:rFonts w:ascii="Times New Roman" w:hAnsi="Times New Roman" w:cs="Times New Roman"/>
          <w:sz w:val="24"/>
          <w:szCs w:val="24"/>
        </w:rPr>
        <w:t xml:space="preserve"> the tariff revisions to become effective on November 1, 2012 on a temporary basis, subject to revision</w:t>
      </w:r>
      <w:r>
        <w:rPr>
          <w:rFonts w:ascii="Times New Roman" w:hAnsi="Times New Roman" w:cs="Times New Roman"/>
          <w:sz w:val="24"/>
          <w:szCs w:val="24"/>
        </w:rPr>
        <w:t>.</w:t>
      </w:r>
      <w:r w:rsidR="00C852AB">
        <w:rPr>
          <w:rFonts w:ascii="Times New Roman" w:hAnsi="Times New Roman" w:cs="Times New Roman"/>
          <w:sz w:val="24"/>
          <w:szCs w:val="24"/>
        </w:rPr>
        <w:t xml:space="preserve">  </w:t>
      </w:r>
      <w:r w:rsidR="007B1D46">
        <w:rPr>
          <w:rFonts w:ascii="Times New Roman" w:hAnsi="Times New Roman" w:cs="Times New Roman"/>
          <w:sz w:val="24"/>
          <w:szCs w:val="24"/>
        </w:rPr>
        <w:t>This would allow staff additional time to investigate hedging transactions, potential implication</w:t>
      </w:r>
      <w:r w:rsidR="000C7DE9">
        <w:rPr>
          <w:rFonts w:ascii="Times New Roman" w:hAnsi="Times New Roman" w:cs="Times New Roman"/>
          <w:sz w:val="24"/>
          <w:szCs w:val="24"/>
        </w:rPr>
        <w:t>s</w:t>
      </w:r>
      <w:r w:rsidR="007B1D46">
        <w:rPr>
          <w:rFonts w:ascii="Times New Roman" w:hAnsi="Times New Roman" w:cs="Times New Roman"/>
          <w:sz w:val="24"/>
          <w:szCs w:val="24"/>
        </w:rPr>
        <w:t xml:space="preserve"> of procurement/hedging guidelines</w:t>
      </w:r>
      <w:r w:rsidR="000C7DE9">
        <w:rPr>
          <w:rFonts w:ascii="Times New Roman" w:hAnsi="Times New Roman" w:cs="Times New Roman"/>
          <w:sz w:val="24"/>
          <w:szCs w:val="24"/>
        </w:rPr>
        <w:t>,</w:t>
      </w:r>
      <w:r w:rsidR="007B1D46">
        <w:rPr>
          <w:rFonts w:ascii="Times New Roman" w:hAnsi="Times New Roman" w:cs="Times New Roman"/>
          <w:sz w:val="24"/>
          <w:szCs w:val="24"/>
        </w:rPr>
        <w:t xml:space="preserve"> and uniformity of PGA reporting.</w:t>
      </w:r>
    </w:p>
    <w:p w:rsidR="00BF6C7F" w:rsidRDefault="00BF6C7F" w:rsidP="00AD3312">
      <w:pPr>
        <w:rPr>
          <w:rFonts w:ascii="Times New Roman" w:hAnsi="Times New Roman" w:cs="Times New Roman"/>
          <w:sz w:val="24"/>
          <w:szCs w:val="24"/>
        </w:rPr>
      </w:pPr>
    </w:p>
    <w:p w:rsidR="00594981" w:rsidRDefault="00BC4673" w:rsidP="00AD3312">
      <w:pPr>
        <w:rPr>
          <w:rFonts w:ascii="Times New Roman" w:hAnsi="Times New Roman" w:cs="Times New Roman"/>
          <w:sz w:val="24"/>
          <w:szCs w:val="24"/>
        </w:rPr>
      </w:pPr>
      <w:r>
        <w:rPr>
          <w:rFonts w:ascii="Times New Roman" w:hAnsi="Times New Roman" w:cs="Times New Roman"/>
          <w:sz w:val="24"/>
          <w:szCs w:val="24"/>
        </w:rPr>
        <w:t xml:space="preserve">Staff </w:t>
      </w:r>
      <w:r w:rsidR="007B1D46">
        <w:rPr>
          <w:rFonts w:ascii="Times New Roman" w:hAnsi="Times New Roman" w:cs="Times New Roman"/>
          <w:sz w:val="24"/>
          <w:szCs w:val="24"/>
        </w:rPr>
        <w:t xml:space="preserve">also </w:t>
      </w:r>
      <w:r>
        <w:rPr>
          <w:rFonts w:ascii="Times New Roman" w:hAnsi="Times New Roman" w:cs="Times New Roman"/>
          <w:sz w:val="24"/>
          <w:szCs w:val="24"/>
        </w:rPr>
        <w:t xml:space="preserve">noted that potential areas of </w:t>
      </w:r>
      <w:r w:rsidR="007B1D46">
        <w:rPr>
          <w:rFonts w:ascii="Times New Roman" w:hAnsi="Times New Roman" w:cs="Times New Roman"/>
          <w:sz w:val="24"/>
          <w:szCs w:val="24"/>
        </w:rPr>
        <w:t xml:space="preserve">its </w:t>
      </w:r>
      <w:r>
        <w:rPr>
          <w:rFonts w:ascii="Times New Roman" w:hAnsi="Times New Roman" w:cs="Times New Roman"/>
          <w:sz w:val="24"/>
          <w:szCs w:val="24"/>
        </w:rPr>
        <w:t xml:space="preserve">review </w:t>
      </w:r>
      <w:r w:rsidR="007B1D46">
        <w:rPr>
          <w:rFonts w:ascii="Times New Roman" w:hAnsi="Times New Roman" w:cs="Times New Roman"/>
          <w:sz w:val="24"/>
          <w:szCs w:val="24"/>
        </w:rPr>
        <w:t xml:space="preserve">while the tariffs were under suspension </w:t>
      </w:r>
      <w:r w:rsidR="00314CA7">
        <w:rPr>
          <w:rFonts w:ascii="Times New Roman" w:hAnsi="Times New Roman" w:cs="Times New Roman"/>
          <w:sz w:val="24"/>
          <w:szCs w:val="24"/>
        </w:rPr>
        <w:t xml:space="preserve">would </w:t>
      </w:r>
      <w:r>
        <w:rPr>
          <w:rFonts w:ascii="Times New Roman" w:hAnsi="Times New Roman" w:cs="Times New Roman"/>
          <w:sz w:val="24"/>
          <w:szCs w:val="24"/>
        </w:rPr>
        <w:t xml:space="preserve">include, but </w:t>
      </w:r>
      <w:r w:rsidR="00314CA7">
        <w:rPr>
          <w:rFonts w:ascii="Times New Roman" w:hAnsi="Times New Roman" w:cs="Times New Roman"/>
          <w:sz w:val="24"/>
          <w:szCs w:val="24"/>
        </w:rPr>
        <w:t xml:space="preserve">would </w:t>
      </w:r>
      <w:r>
        <w:rPr>
          <w:rFonts w:ascii="Times New Roman" w:hAnsi="Times New Roman" w:cs="Times New Roman"/>
          <w:sz w:val="24"/>
          <w:szCs w:val="24"/>
        </w:rPr>
        <w:t>not</w:t>
      </w:r>
      <w:r w:rsidR="000800BC">
        <w:rPr>
          <w:rFonts w:ascii="Times New Roman" w:hAnsi="Times New Roman" w:cs="Times New Roman"/>
          <w:sz w:val="24"/>
          <w:szCs w:val="24"/>
        </w:rPr>
        <w:t xml:space="preserve"> be</w:t>
      </w:r>
      <w:r>
        <w:rPr>
          <w:rFonts w:ascii="Times New Roman" w:hAnsi="Times New Roman" w:cs="Times New Roman"/>
          <w:sz w:val="24"/>
          <w:szCs w:val="24"/>
        </w:rPr>
        <w:t xml:space="preserve"> limited to:</w:t>
      </w:r>
    </w:p>
    <w:p w:rsidR="00BC4673" w:rsidRDefault="00BC4673" w:rsidP="00AD3312">
      <w:pPr>
        <w:rPr>
          <w:rFonts w:ascii="Times New Roman" w:hAnsi="Times New Roman" w:cs="Times New Roman"/>
          <w:sz w:val="24"/>
          <w:szCs w:val="24"/>
        </w:rPr>
      </w:pP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implementing portfolio purchases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level and type of financial hedging of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financial hedging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sources and methodology for forecasting long-term natural gas prices.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source and methodology for the forecasts of spot (cash) natural gas prices included in the PGA.</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the use of storage as part of the company portfolio of natural gas.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Guidelines for documentation of natural gas market reviewed by the company in making purchasing decisions.</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Sharing of gas financial hedging costs between the company and its customers and the percentage for such sharing.</w:t>
      </w:r>
    </w:p>
    <w:p w:rsidR="00BC4673" w:rsidRPr="00B94F05" w:rsidRDefault="00BC4673" w:rsidP="00461047">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Pr>
          <w:rFonts w:ascii="Times New Roman" w:hAnsi="Times New Roman"/>
          <w:sz w:val="24"/>
        </w:rPr>
      </w:pPr>
      <w:r w:rsidRPr="00B94F05">
        <w:rPr>
          <w:rFonts w:ascii="Times New Roman" w:hAnsi="Times New Roman"/>
          <w:sz w:val="24"/>
        </w:rPr>
        <w:t>A common format for PGA filings with the commission.</w:t>
      </w:r>
    </w:p>
    <w:p w:rsidR="00594981" w:rsidRPr="00314CA7" w:rsidRDefault="00BC4673" w:rsidP="00461047">
      <w:pPr>
        <w:pStyle w:val="ListParagraph"/>
        <w:widowControl/>
        <w:numPr>
          <w:ilvl w:val="0"/>
          <w:numId w:val="1"/>
        </w:numPr>
        <w:tabs>
          <w:tab w:val="left" w:pos="0"/>
          <w:tab w:val="righ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450"/>
        <w:rPr>
          <w:rFonts w:ascii="Times New Roman" w:hAnsi="Times New Roman"/>
          <w:sz w:val="24"/>
        </w:rPr>
      </w:pPr>
      <w:r w:rsidRPr="00314CA7">
        <w:rPr>
          <w:rFonts w:ascii="Times New Roman" w:hAnsi="Times New Roman"/>
          <w:sz w:val="24"/>
        </w:rPr>
        <w:t>Common formats for PGA work papers that support the filing with the commission.</w:t>
      </w:r>
    </w:p>
    <w:p w:rsidR="00314CA7" w:rsidRDefault="00314CA7" w:rsidP="00AD3312">
      <w:pPr>
        <w:rPr>
          <w:rFonts w:ascii="Times New Roman" w:hAnsi="Times New Roman" w:cs="Times New Roman"/>
          <w:sz w:val="24"/>
          <w:szCs w:val="24"/>
        </w:rPr>
      </w:pPr>
    </w:p>
    <w:p w:rsidR="00C852AB" w:rsidRDefault="00DB3023" w:rsidP="00AD3312">
      <w:pPr>
        <w:rPr>
          <w:rFonts w:ascii="Times New Roman" w:hAnsi="Times New Roman" w:cs="Times New Roman"/>
          <w:sz w:val="24"/>
          <w:szCs w:val="24"/>
        </w:rPr>
      </w:pPr>
      <w:r>
        <w:rPr>
          <w:rFonts w:ascii="Times New Roman" w:hAnsi="Times New Roman" w:cs="Times New Roman"/>
          <w:sz w:val="24"/>
          <w:szCs w:val="24"/>
        </w:rPr>
        <w:t xml:space="preserve">The commission </w:t>
      </w:r>
      <w:r w:rsidR="00C852AB">
        <w:rPr>
          <w:rFonts w:ascii="Times New Roman" w:hAnsi="Times New Roman" w:cs="Times New Roman"/>
          <w:sz w:val="24"/>
          <w:szCs w:val="24"/>
        </w:rPr>
        <w:t xml:space="preserve">adopted </w:t>
      </w:r>
      <w:r>
        <w:rPr>
          <w:rFonts w:ascii="Times New Roman" w:hAnsi="Times New Roman" w:cs="Times New Roman"/>
          <w:sz w:val="24"/>
          <w:szCs w:val="24"/>
        </w:rPr>
        <w:t xml:space="preserve">staff’s recommendation </w:t>
      </w:r>
      <w:r w:rsidR="00C852AB">
        <w:rPr>
          <w:rFonts w:ascii="Times New Roman" w:hAnsi="Times New Roman" w:cs="Times New Roman"/>
          <w:sz w:val="24"/>
          <w:szCs w:val="24"/>
        </w:rPr>
        <w:t>and</w:t>
      </w:r>
      <w:r w:rsidR="007B1D46">
        <w:rPr>
          <w:rFonts w:ascii="Times New Roman" w:hAnsi="Times New Roman" w:cs="Times New Roman"/>
          <w:sz w:val="24"/>
          <w:szCs w:val="24"/>
        </w:rPr>
        <w:t>, on October 31, 2012,</w:t>
      </w:r>
      <w:r w:rsidR="00C852AB">
        <w:rPr>
          <w:rFonts w:ascii="Times New Roman" w:hAnsi="Times New Roman" w:cs="Times New Roman"/>
          <w:sz w:val="24"/>
          <w:szCs w:val="24"/>
        </w:rPr>
        <w:t xml:space="preserve"> issued </w:t>
      </w:r>
      <w:r w:rsidR="00C26FBB">
        <w:rPr>
          <w:rFonts w:ascii="Times New Roman" w:hAnsi="Times New Roman" w:cs="Times New Roman"/>
          <w:sz w:val="24"/>
          <w:szCs w:val="24"/>
        </w:rPr>
        <w:t xml:space="preserve">for all companies </w:t>
      </w:r>
      <w:r w:rsidR="00C852AB">
        <w:rPr>
          <w:rFonts w:ascii="Times New Roman" w:hAnsi="Times New Roman" w:cs="Times New Roman"/>
          <w:sz w:val="24"/>
          <w:szCs w:val="24"/>
        </w:rPr>
        <w:t>the appropriate complaints and orders of suspension; allowing rates on a temporary basis, subject to revision, in all dockets for al</w:t>
      </w:r>
      <w:r w:rsidR="007B1D46">
        <w:rPr>
          <w:rFonts w:ascii="Times New Roman" w:hAnsi="Times New Roman" w:cs="Times New Roman"/>
          <w:sz w:val="24"/>
          <w:szCs w:val="24"/>
        </w:rPr>
        <w:t>l companies</w:t>
      </w:r>
      <w:r w:rsidR="00C852AB">
        <w:rPr>
          <w:rFonts w:ascii="Times New Roman" w:hAnsi="Times New Roman" w:cs="Times New Roman"/>
          <w:sz w:val="24"/>
          <w:szCs w:val="24"/>
        </w:rPr>
        <w:t>.</w:t>
      </w:r>
      <w:r w:rsidR="00074679">
        <w:rPr>
          <w:rFonts w:ascii="Times New Roman" w:hAnsi="Times New Roman" w:cs="Times New Roman"/>
          <w:sz w:val="24"/>
          <w:szCs w:val="24"/>
        </w:rPr>
        <w:t xml:space="preserve"> </w:t>
      </w:r>
    </w:p>
    <w:p w:rsidR="00C852AB" w:rsidRDefault="00C852AB" w:rsidP="00AD3312">
      <w:pPr>
        <w:rPr>
          <w:rFonts w:ascii="Times New Roman" w:hAnsi="Times New Roman" w:cs="Times New Roman"/>
          <w:sz w:val="24"/>
          <w:szCs w:val="24"/>
        </w:rPr>
      </w:pPr>
    </w:p>
    <w:p w:rsidR="00074679" w:rsidRDefault="00074679" w:rsidP="00AD3312">
      <w:pPr>
        <w:rPr>
          <w:rFonts w:ascii="Times New Roman" w:hAnsi="Times New Roman" w:cs="Times New Roman"/>
          <w:sz w:val="24"/>
          <w:szCs w:val="24"/>
        </w:rPr>
      </w:pPr>
      <w:r>
        <w:rPr>
          <w:rFonts w:ascii="Times New Roman" w:hAnsi="Times New Roman" w:cs="Times New Roman"/>
          <w:sz w:val="24"/>
          <w:szCs w:val="24"/>
        </w:rPr>
        <w:t>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0F1617">
        <w:rPr>
          <w:rFonts w:ascii="Times New Roman" w:hAnsi="Times New Roman" w:cs="Times New Roman"/>
          <w:sz w:val="24"/>
          <w:szCs w:val="24"/>
        </w:rPr>
        <w:t xml:space="preserve"> </w:t>
      </w:r>
      <w:r>
        <w:rPr>
          <w:rFonts w:ascii="Times New Roman" w:hAnsi="Times New Roman" w:cs="Times New Roman"/>
          <w:sz w:val="24"/>
          <w:szCs w:val="24"/>
        </w:rPr>
        <w:t xml:space="preserve">This memo serves as staff’s </w:t>
      </w:r>
      <w:r w:rsidR="00314CA7">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314CA7">
        <w:rPr>
          <w:rFonts w:ascii="Times New Roman" w:hAnsi="Times New Roman" w:cs="Times New Roman"/>
          <w:sz w:val="24"/>
          <w:szCs w:val="24"/>
        </w:rPr>
        <w:t>its</w:t>
      </w:r>
      <w:r>
        <w:rPr>
          <w:rFonts w:ascii="Times New Roman" w:hAnsi="Times New Roman" w:cs="Times New Roman"/>
          <w:sz w:val="24"/>
          <w:szCs w:val="24"/>
        </w:rPr>
        <w:t xml:space="preserve"> investigation and </w:t>
      </w:r>
      <w:r w:rsidR="00314CA7">
        <w:rPr>
          <w:rFonts w:ascii="Times New Roman" w:hAnsi="Times New Roman" w:cs="Times New Roman"/>
          <w:sz w:val="24"/>
          <w:szCs w:val="24"/>
        </w:rPr>
        <w:t xml:space="preserve">provides its </w:t>
      </w:r>
      <w:r>
        <w:rPr>
          <w:rFonts w:ascii="Times New Roman" w:hAnsi="Times New Roman" w:cs="Times New Roman"/>
          <w:sz w:val="24"/>
          <w:szCs w:val="24"/>
        </w:rPr>
        <w:t>recommendation for disposition of the tariff filings.</w:t>
      </w:r>
    </w:p>
    <w:p w:rsidR="00074679" w:rsidRDefault="00074679" w:rsidP="00AD3312">
      <w:pPr>
        <w:rPr>
          <w:rFonts w:ascii="Times New Roman" w:hAnsi="Times New Roman" w:cs="Times New Roman"/>
          <w:sz w:val="24"/>
          <w:szCs w:val="24"/>
        </w:rPr>
      </w:pPr>
    </w:p>
    <w:p w:rsidR="00074679" w:rsidRPr="00461047" w:rsidRDefault="00C26FBB" w:rsidP="002D6639">
      <w:pPr>
        <w:jc w:val="center"/>
        <w:rPr>
          <w:rFonts w:ascii="Times New Roman" w:hAnsi="Times New Roman" w:cs="Times New Roman"/>
          <w:b/>
          <w:sz w:val="24"/>
          <w:szCs w:val="24"/>
        </w:rPr>
      </w:pPr>
      <w:r w:rsidRPr="00461047">
        <w:rPr>
          <w:rFonts w:ascii="Times New Roman" w:hAnsi="Times New Roman" w:cs="Times New Roman"/>
          <w:b/>
          <w:sz w:val="24"/>
          <w:szCs w:val="24"/>
        </w:rPr>
        <w:t>IV.</w:t>
      </w:r>
      <w:r w:rsidRPr="00461047">
        <w:rPr>
          <w:rFonts w:ascii="Times New Roman" w:hAnsi="Times New Roman" w:cs="Times New Roman"/>
          <w:b/>
          <w:sz w:val="24"/>
          <w:szCs w:val="24"/>
        </w:rPr>
        <w:tab/>
        <w:t>STATUS OF STAFF INVESTIGATION</w:t>
      </w:r>
      <w:r w:rsidR="00D56670" w:rsidRPr="00461047">
        <w:rPr>
          <w:rFonts w:ascii="Times New Roman" w:hAnsi="Times New Roman" w:cs="Times New Roman"/>
          <w:b/>
          <w:sz w:val="24"/>
          <w:szCs w:val="24"/>
        </w:rPr>
        <w:t xml:space="preserve"> AND RECOMMENDATION</w:t>
      </w:r>
    </w:p>
    <w:p w:rsidR="00074679" w:rsidRDefault="00074679" w:rsidP="00AD3312">
      <w:pPr>
        <w:rPr>
          <w:rFonts w:ascii="Times New Roman" w:hAnsi="Times New Roman" w:cs="Times New Roman"/>
          <w:b/>
          <w:sz w:val="24"/>
          <w:szCs w:val="24"/>
          <w:u w:val="single"/>
        </w:rPr>
      </w:pPr>
    </w:p>
    <w:p w:rsidR="00C26FBB" w:rsidRDefault="00953547" w:rsidP="00AD3312">
      <w:pPr>
        <w:rPr>
          <w:rFonts w:ascii="Times New Roman" w:hAnsi="Times New Roman" w:cs="Times New Roman"/>
          <w:sz w:val="24"/>
          <w:szCs w:val="24"/>
        </w:rPr>
      </w:pPr>
      <w:r>
        <w:rPr>
          <w:rFonts w:ascii="Times New Roman" w:hAnsi="Times New Roman" w:cs="Times New Roman"/>
          <w:sz w:val="24"/>
          <w:szCs w:val="24"/>
        </w:rPr>
        <w:t>Due to the size and complexity of the investigation, it was determined that an expert consultant would be beneficial in assisting staff</w:t>
      </w:r>
      <w:r w:rsidR="00FA6BE6">
        <w:rPr>
          <w:rFonts w:ascii="Times New Roman" w:hAnsi="Times New Roman" w:cs="Times New Roman"/>
          <w:sz w:val="24"/>
          <w:szCs w:val="24"/>
        </w:rPr>
        <w:t xml:space="preserve">. </w:t>
      </w:r>
      <w:r w:rsidR="00303A5C">
        <w:rPr>
          <w:rFonts w:ascii="Times New Roman" w:hAnsi="Times New Roman" w:cs="Times New Roman"/>
          <w:sz w:val="24"/>
          <w:szCs w:val="24"/>
        </w:rPr>
        <w:t xml:space="preserve"> </w:t>
      </w:r>
      <w:r w:rsidR="00314CA7">
        <w:rPr>
          <w:rFonts w:ascii="Times New Roman" w:hAnsi="Times New Roman" w:cs="Times New Roman"/>
          <w:sz w:val="24"/>
          <w:szCs w:val="24"/>
        </w:rPr>
        <w:t>Staff retained</w:t>
      </w:r>
      <w:r w:rsidR="00303A5C">
        <w:rPr>
          <w:rFonts w:ascii="Times New Roman" w:hAnsi="Times New Roman" w:cs="Times New Roman"/>
          <w:sz w:val="24"/>
          <w:szCs w:val="24"/>
        </w:rPr>
        <w:t xml:space="preserve"> </w:t>
      </w:r>
      <w:r w:rsidR="00FA6BE6">
        <w:rPr>
          <w:rFonts w:ascii="Times New Roman" w:hAnsi="Times New Roman" w:cs="Times New Roman"/>
          <w:sz w:val="24"/>
          <w:szCs w:val="24"/>
        </w:rPr>
        <w:t xml:space="preserve">Schneider Electric, formerly known as Summit Energy (Schneider or consultant) due to their expertise in the subject matter.  </w:t>
      </w:r>
      <w:r w:rsidR="00E2520B">
        <w:rPr>
          <w:rFonts w:ascii="Times New Roman" w:hAnsi="Times New Roman" w:cs="Times New Roman"/>
          <w:sz w:val="24"/>
          <w:szCs w:val="24"/>
        </w:rPr>
        <w:t xml:space="preserve">The consultant </w:t>
      </w:r>
      <w:r w:rsidR="002D6639">
        <w:rPr>
          <w:rFonts w:ascii="Times New Roman" w:hAnsi="Times New Roman" w:cs="Times New Roman"/>
          <w:sz w:val="24"/>
          <w:szCs w:val="24"/>
        </w:rPr>
        <w:t xml:space="preserve">worked with </w:t>
      </w:r>
      <w:r w:rsidR="00C26FBB">
        <w:rPr>
          <w:rFonts w:ascii="Times New Roman" w:hAnsi="Times New Roman" w:cs="Times New Roman"/>
          <w:sz w:val="24"/>
          <w:szCs w:val="24"/>
        </w:rPr>
        <w:t xml:space="preserve">staff to </w:t>
      </w:r>
      <w:r w:rsidR="00E2520B">
        <w:rPr>
          <w:rFonts w:ascii="Times New Roman" w:hAnsi="Times New Roman" w:cs="Times New Roman"/>
          <w:sz w:val="24"/>
          <w:szCs w:val="24"/>
        </w:rPr>
        <w:t>analyz</w:t>
      </w:r>
      <w:r w:rsidR="00C26FBB">
        <w:rPr>
          <w:rFonts w:ascii="Times New Roman" w:hAnsi="Times New Roman" w:cs="Times New Roman"/>
          <w:sz w:val="24"/>
          <w:szCs w:val="24"/>
        </w:rPr>
        <w:t>e</w:t>
      </w:r>
      <w:r w:rsidR="00E2520B">
        <w:rPr>
          <w:rFonts w:ascii="Times New Roman" w:hAnsi="Times New Roman" w:cs="Times New Roman"/>
          <w:sz w:val="24"/>
          <w:szCs w:val="24"/>
        </w:rPr>
        <w:t xml:space="preserve"> the policies, procurement strategies and execution of </w:t>
      </w:r>
      <w:r w:rsidR="00303A5C">
        <w:rPr>
          <w:rFonts w:ascii="Times New Roman" w:hAnsi="Times New Roman" w:cs="Times New Roman"/>
          <w:sz w:val="24"/>
          <w:szCs w:val="24"/>
        </w:rPr>
        <w:t>all companies’</w:t>
      </w:r>
      <w:r w:rsidR="00E2520B">
        <w:rPr>
          <w:rFonts w:ascii="Times New Roman" w:hAnsi="Times New Roman" w:cs="Times New Roman"/>
          <w:sz w:val="24"/>
          <w:szCs w:val="24"/>
        </w:rPr>
        <w:t xml:space="preserve"> hedging programs. </w:t>
      </w:r>
      <w:r w:rsidR="00303A5C">
        <w:rPr>
          <w:rFonts w:ascii="Times New Roman" w:hAnsi="Times New Roman" w:cs="Times New Roman"/>
          <w:sz w:val="24"/>
          <w:szCs w:val="24"/>
        </w:rPr>
        <w:t xml:space="preserve">  </w:t>
      </w:r>
    </w:p>
    <w:p w:rsidR="00C26FBB" w:rsidRDefault="00C26FBB" w:rsidP="00AD3312">
      <w:pPr>
        <w:rPr>
          <w:rFonts w:ascii="Times New Roman" w:hAnsi="Times New Roman" w:cs="Times New Roman"/>
          <w:sz w:val="24"/>
          <w:szCs w:val="24"/>
        </w:rPr>
      </w:pPr>
    </w:p>
    <w:p w:rsidR="00965A6C" w:rsidRDefault="00C26FBB" w:rsidP="00AD3312">
      <w:pPr>
        <w:rPr>
          <w:rFonts w:ascii="Times New Roman" w:hAnsi="Times New Roman" w:cs="Times New Roman"/>
          <w:sz w:val="24"/>
          <w:szCs w:val="24"/>
        </w:rPr>
      </w:pPr>
      <w:r>
        <w:rPr>
          <w:rFonts w:ascii="Times New Roman" w:hAnsi="Times New Roman" w:cs="Times New Roman"/>
          <w:sz w:val="24"/>
          <w:szCs w:val="24"/>
        </w:rPr>
        <w:t>S</w:t>
      </w:r>
      <w:r w:rsidR="00965A6C">
        <w:rPr>
          <w:rFonts w:ascii="Times New Roman" w:hAnsi="Times New Roman" w:cs="Times New Roman"/>
          <w:sz w:val="24"/>
          <w:szCs w:val="24"/>
        </w:rPr>
        <w:t xml:space="preserve">taff </w:t>
      </w:r>
      <w:r w:rsidR="00303A5C">
        <w:rPr>
          <w:rFonts w:ascii="Times New Roman" w:hAnsi="Times New Roman" w:cs="Times New Roman"/>
          <w:sz w:val="24"/>
          <w:szCs w:val="24"/>
        </w:rPr>
        <w:t xml:space="preserve">issued </w:t>
      </w:r>
      <w:r w:rsidR="00965A6C">
        <w:rPr>
          <w:rFonts w:ascii="Times New Roman" w:hAnsi="Times New Roman" w:cs="Times New Roman"/>
          <w:sz w:val="24"/>
          <w:szCs w:val="24"/>
        </w:rPr>
        <w:t>approximately 30 detailed data requests to each company.</w:t>
      </w:r>
      <w:r w:rsidR="00303A5C">
        <w:rPr>
          <w:rFonts w:ascii="Times New Roman" w:hAnsi="Times New Roman" w:cs="Times New Roman"/>
          <w:sz w:val="24"/>
          <w:szCs w:val="24"/>
        </w:rPr>
        <w:t xml:space="preserve"> </w:t>
      </w:r>
      <w:r w:rsidR="002D6639">
        <w:rPr>
          <w:rFonts w:ascii="Times New Roman" w:hAnsi="Times New Roman" w:cs="Times New Roman"/>
          <w:sz w:val="24"/>
          <w:szCs w:val="24"/>
        </w:rPr>
        <w:t>Schneider issued further data requests</w:t>
      </w:r>
      <w:r w:rsidR="005D6558">
        <w:rPr>
          <w:rFonts w:ascii="Times New Roman" w:hAnsi="Times New Roman" w:cs="Times New Roman"/>
          <w:sz w:val="24"/>
          <w:szCs w:val="24"/>
        </w:rPr>
        <w:t xml:space="preserve"> as well. </w:t>
      </w:r>
      <w:r w:rsidR="00303A5C">
        <w:rPr>
          <w:rFonts w:ascii="Times New Roman" w:hAnsi="Times New Roman" w:cs="Times New Roman"/>
          <w:sz w:val="24"/>
          <w:szCs w:val="24"/>
        </w:rPr>
        <w:t xml:space="preserve"> </w:t>
      </w:r>
      <w:r w:rsidR="009E2BB5">
        <w:rPr>
          <w:rFonts w:ascii="Times New Roman" w:hAnsi="Times New Roman" w:cs="Times New Roman"/>
          <w:sz w:val="24"/>
          <w:szCs w:val="24"/>
        </w:rPr>
        <w:t xml:space="preserve">Data requested </w:t>
      </w:r>
      <w:r w:rsidR="00303A5C">
        <w:rPr>
          <w:rFonts w:ascii="Times New Roman" w:hAnsi="Times New Roman" w:cs="Times New Roman"/>
          <w:sz w:val="24"/>
          <w:szCs w:val="24"/>
        </w:rPr>
        <w:t xml:space="preserve">by staff </w:t>
      </w:r>
      <w:r w:rsidR="009E2BB5">
        <w:rPr>
          <w:rFonts w:ascii="Times New Roman" w:hAnsi="Times New Roman" w:cs="Times New Roman"/>
          <w:sz w:val="24"/>
          <w:szCs w:val="24"/>
        </w:rPr>
        <w:t>included:</w:t>
      </w:r>
    </w:p>
    <w:p w:rsidR="009E2BB5" w:rsidRDefault="009E2BB5" w:rsidP="00AD3312">
      <w:pPr>
        <w:rPr>
          <w:rFonts w:ascii="Times New Roman" w:hAnsi="Times New Roman" w:cs="Times New Roman"/>
          <w:sz w:val="24"/>
          <w:szCs w:val="24"/>
        </w:rPr>
      </w:pP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 xml:space="preserve">Monthly load served for each of the months </w:t>
      </w:r>
      <w:r w:rsidR="00B30816">
        <w:rPr>
          <w:rFonts w:ascii="Times New Roman" w:hAnsi="Times New Roman"/>
          <w:sz w:val="24"/>
        </w:rPr>
        <w:t>during the survey period</w:t>
      </w:r>
    </w:p>
    <w:p w:rsidR="009E2BB5" w:rsidRDefault="009E2BB5" w:rsidP="009E2BB5">
      <w:pPr>
        <w:pStyle w:val="ListParagraph"/>
        <w:numPr>
          <w:ilvl w:val="0"/>
          <w:numId w:val="2"/>
        </w:numPr>
        <w:rPr>
          <w:rFonts w:ascii="Times New Roman" w:hAnsi="Times New Roman"/>
          <w:sz w:val="24"/>
        </w:rPr>
      </w:pPr>
      <w:r>
        <w:rPr>
          <w:rFonts w:ascii="Times New Roman" w:hAnsi="Times New Roman"/>
          <w:sz w:val="24"/>
        </w:rPr>
        <w:t>Location</w:t>
      </w:r>
      <w:r w:rsidR="00776485">
        <w:rPr>
          <w:rFonts w:ascii="Times New Roman" w:hAnsi="Times New Roman"/>
          <w:sz w:val="24"/>
        </w:rPr>
        <w:t>(</w:t>
      </w:r>
      <w:r>
        <w:rPr>
          <w:rFonts w:ascii="Times New Roman" w:hAnsi="Times New Roman"/>
          <w:sz w:val="24"/>
        </w:rPr>
        <w:t>s</w:t>
      </w:r>
      <w:r w:rsidR="00776485">
        <w:rPr>
          <w:rFonts w:ascii="Times New Roman" w:hAnsi="Times New Roman"/>
          <w:sz w:val="24"/>
        </w:rPr>
        <w:t>)</w:t>
      </w:r>
      <w:r>
        <w:rPr>
          <w:rFonts w:ascii="Times New Roman" w:hAnsi="Times New Roman"/>
          <w:sz w:val="24"/>
        </w:rPr>
        <w:t xml:space="preserve"> of gas purchases during the survey period</w:t>
      </w:r>
    </w:p>
    <w:p w:rsidR="009E2BB5" w:rsidRDefault="002F2F30" w:rsidP="009E2BB5">
      <w:pPr>
        <w:pStyle w:val="ListParagraph"/>
        <w:numPr>
          <w:ilvl w:val="0"/>
          <w:numId w:val="2"/>
        </w:numPr>
        <w:rPr>
          <w:rFonts w:ascii="Times New Roman" w:hAnsi="Times New Roman"/>
          <w:sz w:val="24"/>
        </w:rPr>
      </w:pPr>
      <w:r>
        <w:rPr>
          <w:rFonts w:ascii="Times New Roman" w:hAnsi="Times New Roman"/>
          <w:sz w:val="24"/>
        </w:rPr>
        <w:t>Percentage of total purchases at each location for all months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Average price per therm of spot/index gas purchased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Explanation of company policy on hedging natural gas prices using financial instruments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Objective of natural gas hedging</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Financial hedge loss tolerances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Available financial instruments for hedging natural gas prices</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during the survey period</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Percentage of load financially hedged for each survey period starting in 2003 to present</w:t>
      </w:r>
    </w:p>
    <w:p w:rsidR="002F2F30" w:rsidRDefault="002F2F30" w:rsidP="009E2BB5">
      <w:pPr>
        <w:pStyle w:val="ListParagraph"/>
        <w:numPr>
          <w:ilvl w:val="0"/>
          <w:numId w:val="2"/>
        </w:numPr>
        <w:rPr>
          <w:rFonts w:ascii="Times New Roman" w:hAnsi="Times New Roman"/>
          <w:sz w:val="24"/>
        </w:rPr>
      </w:pPr>
      <w:r>
        <w:rPr>
          <w:rFonts w:ascii="Times New Roman" w:hAnsi="Times New Roman"/>
          <w:sz w:val="24"/>
        </w:rPr>
        <w:t>Detail on all financial hedges that settled during the current survey period</w:t>
      </w:r>
      <w:r w:rsidR="00145727">
        <w:rPr>
          <w:rFonts w:ascii="Times New Roman" w:hAnsi="Times New Roman"/>
          <w:sz w:val="24"/>
        </w:rPr>
        <w:t xml:space="preserve"> (type of hedge, location, counter-party, start date, settlement date, gain or loss, volume, collateral costs)</w:t>
      </w:r>
    </w:p>
    <w:p w:rsidR="00145727" w:rsidRDefault="008A63DE" w:rsidP="009E2BB5">
      <w:pPr>
        <w:pStyle w:val="ListParagraph"/>
        <w:numPr>
          <w:ilvl w:val="0"/>
          <w:numId w:val="2"/>
        </w:numPr>
        <w:rPr>
          <w:rFonts w:ascii="Times New Roman" w:hAnsi="Times New Roman"/>
          <w:sz w:val="24"/>
        </w:rPr>
      </w:pPr>
      <w:r>
        <w:rPr>
          <w:rFonts w:ascii="Times New Roman" w:hAnsi="Times New Roman"/>
          <w:sz w:val="24"/>
        </w:rPr>
        <w:t>All financial hedge transactions entered into during the survey period regardless of settlement date with same detail noted above</w:t>
      </w:r>
    </w:p>
    <w:p w:rsidR="008A63DE" w:rsidRDefault="00776485" w:rsidP="009E2BB5">
      <w:pPr>
        <w:pStyle w:val="ListParagraph"/>
        <w:numPr>
          <w:ilvl w:val="0"/>
          <w:numId w:val="2"/>
        </w:numPr>
        <w:rPr>
          <w:rFonts w:ascii="Times New Roman" w:hAnsi="Times New Roman"/>
          <w:sz w:val="24"/>
        </w:rPr>
      </w:pPr>
      <w:r>
        <w:rPr>
          <w:rFonts w:ascii="Times New Roman" w:hAnsi="Times New Roman"/>
          <w:sz w:val="24"/>
        </w:rPr>
        <w:t>Credit facility/collateral costs for hedging</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from settled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 or loss on settled financial hedges during the survey period for the years 2003 through 2011</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Net gains or losses from arbitrage/optimization</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Sources and methodology used to forecast future natural gas prices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Documentation of decision making for financial hedges during the survey period</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Company policy on natural gas storage</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Date company first started hedging practices</w:t>
      </w:r>
    </w:p>
    <w:p w:rsidR="00776485" w:rsidRDefault="00776485" w:rsidP="009E2BB5">
      <w:pPr>
        <w:pStyle w:val="ListParagraph"/>
        <w:numPr>
          <w:ilvl w:val="0"/>
          <w:numId w:val="2"/>
        </w:numPr>
        <w:rPr>
          <w:rFonts w:ascii="Times New Roman" w:hAnsi="Times New Roman"/>
          <w:sz w:val="24"/>
        </w:rPr>
      </w:pPr>
      <w:r>
        <w:rPr>
          <w:rFonts w:ascii="Times New Roman" w:hAnsi="Times New Roman"/>
          <w:sz w:val="24"/>
        </w:rPr>
        <w:t>Cumulative net gain or loss from settled financial hedges since inception to date</w:t>
      </w:r>
    </w:p>
    <w:p w:rsidR="008A389A" w:rsidRPr="00303A5C" w:rsidRDefault="00776485" w:rsidP="007C2395">
      <w:pPr>
        <w:pStyle w:val="ListParagraph"/>
        <w:numPr>
          <w:ilvl w:val="0"/>
          <w:numId w:val="2"/>
        </w:numPr>
        <w:rPr>
          <w:rFonts w:ascii="Times New Roman" w:hAnsi="Times New Roman"/>
          <w:sz w:val="24"/>
        </w:rPr>
      </w:pPr>
      <w:r w:rsidRPr="00303A5C">
        <w:rPr>
          <w:rFonts w:ascii="Times New Roman" w:hAnsi="Times New Roman"/>
          <w:sz w:val="24"/>
        </w:rPr>
        <w:t xml:space="preserve">Current mark to market net gain or loss on </w:t>
      </w:r>
      <w:r w:rsidR="008A389A" w:rsidRPr="00303A5C">
        <w:rPr>
          <w:rFonts w:ascii="Times New Roman" w:hAnsi="Times New Roman"/>
          <w:sz w:val="24"/>
        </w:rPr>
        <w:t>open positions of financial hedges</w:t>
      </w:r>
    </w:p>
    <w:p w:rsidR="00A47A83" w:rsidRDefault="0062225E" w:rsidP="00A47A83">
      <w:pPr>
        <w:rPr>
          <w:rFonts w:ascii="Times New Roman" w:hAnsi="Times New Roman"/>
          <w:sz w:val="24"/>
        </w:rPr>
      </w:pPr>
      <w:r>
        <w:rPr>
          <w:rFonts w:ascii="Times New Roman" w:hAnsi="Times New Roman"/>
          <w:sz w:val="24"/>
        </w:rPr>
        <w:lastRenderedPageBreak/>
        <w:br/>
      </w:r>
      <w:r w:rsidR="00352044">
        <w:rPr>
          <w:rFonts w:ascii="Times New Roman" w:hAnsi="Times New Roman"/>
          <w:sz w:val="24"/>
        </w:rPr>
        <w:t>Based on non-confidential information provided by the companies</w:t>
      </w:r>
      <w:r w:rsidR="00DC249E">
        <w:rPr>
          <w:rFonts w:ascii="Times New Roman" w:hAnsi="Times New Roman"/>
          <w:sz w:val="24"/>
        </w:rPr>
        <w:t xml:space="preserve"> in their responses to staff data requests</w:t>
      </w:r>
      <w:r w:rsidR="00352044">
        <w:rPr>
          <w:rFonts w:ascii="Times New Roman" w:hAnsi="Times New Roman"/>
          <w:sz w:val="24"/>
        </w:rPr>
        <w:t xml:space="preserve">, staff prepared </w:t>
      </w:r>
      <w:r w:rsidR="0003310E">
        <w:rPr>
          <w:rFonts w:ascii="Times New Roman" w:hAnsi="Times New Roman"/>
          <w:sz w:val="24"/>
        </w:rPr>
        <w:t>Attachment A to this</w:t>
      </w:r>
      <w:r w:rsidR="00352044">
        <w:rPr>
          <w:rFonts w:ascii="Times New Roman" w:hAnsi="Times New Roman"/>
          <w:sz w:val="24"/>
        </w:rPr>
        <w:t xml:space="preserve"> Report</w:t>
      </w:r>
      <w:r w:rsidR="00685114">
        <w:rPr>
          <w:rFonts w:ascii="Times New Roman" w:hAnsi="Times New Roman"/>
          <w:sz w:val="24"/>
        </w:rPr>
        <w:t>.  G</w:t>
      </w:r>
      <w:r>
        <w:rPr>
          <w:rFonts w:ascii="Times New Roman" w:hAnsi="Times New Roman"/>
          <w:sz w:val="24"/>
        </w:rPr>
        <w:t xml:space="preserve">ains or losses </w:t>
      </w:r>
      <w:r w:rsidR="00352044">
        <w:rPr>
          <w:rFonts w:ascii="Times New Roman" w:hAnsi="Times New Roman"/>
          <w:sz w:val="24"/>
        </w:rPr>
        <w:t xml:space="preserve">for all companies </w:t>
      </w:r>
      <w:r>
        <w:rPr>
          <w:rFonts w:ascii="Times New Roman" w:hAnsi="Times New Roman"/>
          <w:sz w:val="24"/>
        </w:rPr>
        <w:t xml:space="preserve">strictly from </w:t>
      </w:r>
      <w:r w:rsidR="007C2395">
        <w:rPr>
          <w:rFonts w:ascii="Times New Roman" w:hAnsi="Times New Roman"/>
          <w:sz w:val="24"/>
        </w:rPr>
        <w:t xml:space="preserve">fixed price </w:t>
      </w:r>
      <w:r w:rsidR="002E3456">
        <w:rPr>
          <w:rFonts w:ascii="Times New Roman" w:hAnsi="Times New Roman"/>
          <w:sz w:val="24"/>
        </w:rPr>
        <w:t>“</w:t>
      </w:r>
      <w:r>
        <w:rPr>
          <w:rFonts w:ascii="Times New Roman" w:hAnsi="Times New Roman"/>
          <w:sz w:val="24"/>
        </w:rPr>
        <w:t>financial</w:t>
      </w:r>
      <w:r w:rsidR="00303A5C">
        <w:rPr>
          <w:rFonts w:ascii="Times New Roman" w:hAnsi="Times New Roman"/>
          <w:sz w:val="24"/>
        </w:rPr>
        <w:t>”</w:t>
      </w:r>
      <w:r>
        <w:rPr>
          <w:rFonts w:ascii="Times New Roman" w:hAnsi="Times New Roman"/>
          <w:sz w:val="24"/>
        </w:rPr>
        <w:t xml:space="preserve"> hedges</w:t>
      </w:r>
      <w:r w:rsidR="007C2395">
        <w:rPr>
          <w:rStyle w:val="FootnoteReference"/>
          <w:rFonts w:ascii="Times New Roman" w:hAnsi="Times New Roman"/>
          <w:sz w:val="24"/>
        </w:rPr>
        <w:footnoteReference w:id="2"/>
      </w:r>
      <w:r w:rsidR="00A47EE4">
        <w:rPr>
          <w:rFonts w:ascii="Times New Roman" w:hAnsi="Times New Roman"/>
          <w:sz w:val="24"/>
        </w:rPr>
        <w:t xml:space="preserve"> </w:t>
      </w:r>
      <w:r w:rsidR="00685114">
        <w:rPr>
          <w:rFonts w:ascii="Times New Roman" w:hAnsi="Times New Roman"/>
          <w:sz w:val="24"/>
        </w:rPr>
        <w:t xml:space="preserve">are shown on </w:t>
      </w:r>
      <w:r w:rsidR="00A47A83">
        <w:rPr>
          <w:rFonts w:ascii="Times New Roman" w:hAnsi="Times New Roman"/>
          <w:sz w:val="24"/>
        </w:rPr>
        <w:t>lines 34 and 36.  As seen in Attachment A, the net losses on a system basis from financial hedges during the survey period range from a low of approximately $680</w:t>
      </w:r>
      <w:r w:rsidR="00352044">
        <w:rPr>
          <w:rFonts w:ascii="Times New Roman" w:hAnsi="Times New Roman"/>
          <w:sz w:val="24"/>
        </w:rPr>
        <w:t>,000</w:t>
      </w:r>
      <w:r w:rsidR="00A47A83">
        <w:rPr>
          <w:rFonts w:ascii="Times New Roman" w:hAnsi="Times New Roman"/>
          <w:sz w:val="24"/>
        </w:rPr>
        <w:t xml:space="preserve"> to a high of $157</w:t>
      </w:r>
      <w:r w:rsidR="00C26FBB">
        <w:rPr>
          <w:rFonts w:ascii="Times New Roman" w:hAnsi="Times New Roman"/>
          <w:sz w:val="24"/>
        </w:rPr>
        <w:t xml:space="preserve"> million</w:t>
      </w:r>
      <w:r w:rsidR="00A47A83">
        <w:rPr>
          <w:rFonts w:ascii="Times New Roman" w:hAnsi="Times New Roman"/>
          <w:sz w:val="24"/>
        </w:rPr>
        <w:t>. The net losses over a 10 year period range from a low of approximately $18 million to a high of $695 million. 100 percent of Washington’s share of these net losses has been passed onto ratepayers</w:t>
      </w:r>
      <w:r w:rsidR="00ED0FDC">
        <w:rPr>
          <w:rFonts w:ascii="Times New Roman" w:hAnsi="Times New Roman"/>
          <w:sz w:val="24"/>
        </w:rPr>
        <w:t xml:space="preserve"> in prior PGA filings</w:t>
      </w:r>
      <w:r w:rsidR="00A47A83">
        <w:rPr>
          <w:rFonts w:ascii="Times New Roman" w:hAnsi="Times New Roman"/>
          <w:sz w:val="24"/>
        </w:rPr>
        <w:t>.  The additional cost per dekatherm during the survey period to Washington ratepayers from financial hedging losses is shown on line 4</w:t>
      </w:r>
      <w:r w:rsidR="00DC249E">
        <w:rPr>
          <w:rFonts w:ascii="Times New Roman" w:hAnsi="Times New Roman"/>
          <w:sz w:val="24"/>
        </w:rPr>
        <w:t>0</w:t>
      </w:r>
      <w:r w:rsidR="00A47A83">
        <w:rPr>
          <w:rFonts w:ascii="Times New Roman" w:hAnsi="Times New Roman"/>
          <w:sz w:val="24"/>
        </w:rPr>
        <w:t xml:space="preserve"> of the attachment.</w:t>
      </w:r>
    </w:p>
    <w:p w:rsidR="00A47A83" w:rsidRDefault="00A47A83" w:rsidP="00A47A83">
      <w:pPr>
        <w:rPr>
          <w:rFonts w:ascii="Times New Roman" w:hAnsi="Times New Roman"/>
          <w:sz w:val="24"/>
        </w:rPr>
      </w:pPr>
    </w:p>
    <w:p w:rsidR="00A47A83" w:rsidRDefault="00A47A83" w:rsidP="008A389A">
      <w:pPr>
        <w:rPr>
          <w:rFonts w:ascii="Times New Roman" w:hAnsi="Times New Roman"/>
          <w:sz w:val="24"/>
        </w:rPr>
      </w:pPr>
      <w:r>
        <w:rPr>
          <w:rFonts w:ascii="Times New Roman" w:hAnsi="Times New Roman"/>
          <w:sz w:val="24"/>
        </w:rPr>
        <w:t>It should be noted that t</w:t>
      </w:r>
      <w:r w:rsidR="0062225E">
        <w:rPr>
          <w:rFonts w:ascii="Times New Roman" w:hAnsi="Times New Roman"/>
          <w:sz w:val="24"/>
        </w:rPr>
        <w:t>he companies also use</w:t>
      </w:r>
      <w:r w:rsidR="00303A5C">
        <w:rPr>
          <w:rFonts w:ascii="Times New Roman" w:hAnsi="Times New Roman"/>
          <w:sz w:val="24"/>
        </w:rPr>
        <w:t>,</w:t>
      </w:r>
      <w:r w:rsidR="0062225E">
        <w:rPr>
          <w:rFonts w:ascii="Times New Roman" w:hAnsi="Times New Roman"/>
          <w:sz w:val="24"/>
        </w:rPr>
        <w:t xml:space="preserve"> to varying degree</w:t>
      </w:r>
      <w:r w:rsidR="00303A5C">
        <w:rPr>
          <w:rFonts w:ascii="Times New Roman" w:hAnsi="Times New Roman"/>
          <w:sz w:val="24"/>
        </w:rPr>
        <w:t>s,</w:t>
      </w:r>
      <w:r w:rsidR="0062225E">
        <w:rPr>
          <w:rFonts w:ascii="Times New Roman" w:hAnsi="Times New Roman"/>
          <w:sz w:val="24"/>
        </w:rPr>
        <w:t xml:space="preserve"> fixed price </w:t>
      </w:r>
      <w:r w:rsidR="00303A5C">
        <w:rPr>
          <w:rFonts w:ascii="Times New Roman" w:hAnsi="Times New Roman"/>
          <w:sz w:val="24"/>
        </w:rPr>
        <w:t>“</w:t>
      </w:r>
      <w:r w:rsidR="0062225E">
        <w:rPr>
          <w:rFonts w:ascii="Times New Roman" w:hAnsi="Times New Roman"/>
          <w:sz w:val="24"/>
        </w:rPr>
        <w:t>physical</w:t>
      </w:r>
      <w:r w:rsidR="00303A5C">
        <w:rPr>
          <w:rFonts w:ascii="Times New Roman" w:hAnsi="Times New Roman"/>
          <w:sz w:val="24"/>
        </w:rPr>
        <w:t>”</w:t>
      </w:r>
      <w:r w:rsidR="0062225E">
        <w:rPr>
          <w:rFonts w:ascii="Times New Roman" w:hAnsi="Times New Roman"/>
          <w:sz w:val="24"/>
        </w:rPr>
        <w:t xml:space="preserve"> hedges</w:t>
      </w:r>
      <w:r w:rsidR="00303A5C">
        <w:rPr>
          <w:rFonts w:ascii="Times New Roman" w:hAnsi="Times New Roman"/>
          <w:sz w:val="24"/>
        </w:rPr>
        <w:t>,</w:t>
      </w:r>
      <w:r w:rsidR="002E3456">
        <w:rPr>
          <w:rStyle w:val="FootnoteReference"/>
          <w:rFonts w:ascii="Times New Roman" w:hAnsi="Times New Roman"/>
          <w:sz w:val="24"/>
        </w:rPr>
        <w:footnoteReference w:id="3"/>
      </w:r>
      <w:r w:rsidR="0062225E">
        <w:rPr>
          <w:rFonts w:ascii="Times New Roman" w:hAnsi="Times New Roman"/>
          <w:sz w:val="24"/>
        </w:rPr>
        <w:t xml:space="preserve"> which can theoretically have gains or losses if they were able or required to be marked to market based on current spot/index prices. Some companies may use more or less fixed price physical hedges than financial hedges, which if accounted for could </w:t>
      </w:r>
      <w:r w:rsidR="00352044">
        <w:rPr>
          <w:rFonts w:ascii="Times New Roman" w:hAnsi="Times New Roman"/>
          <w:sz w:val="24"/>
        </w:rPr>
        <w:t>increase</w:t>
      </w:r>
      <w:r w:rsidR="0062225E">
        <w:rPr>
          <w:rFonts w:ascii="Times New Roman" w:hAnsi="Times New Roman"/>
          <w:sz w:val="24"/>
        </w:rPr>
        <w:t xml:space="preserve"> the gains or losses on hedges shown in </w:t>
      </w:r>
      <w:r w:rsidR="00A47EE4">
        <w:rPr>
          <w:rFonts w:ascii="Times New Roman" w:hAnsi="Times New Roman"/>
          <w:sz w:val="24"/>
        </w:rPr>
        <w:t>Attachment A</w:t>
      </w:r>
      <w:r w:rsidR="0062225E">
        <w:rPr>
          <w:rFonts w:ascii="Times New Roman" w:hAnsi="Times New Roman"/>
          <w:sz w:val="24"/>
        </w:rPr>
        <w:t xml:space="preserve">. </w:t>
      </w:r>
    </w:p>
    <w:p w:rsidR="0003310E" w:rsidRDefault="0003310E" w:rsidP="008A389A">
      <w:pPr>
        <w:rPr>
          <w:rFonts w:ascii="Times New Roman" w:hAnsi="Times New Roman"/>
          <w:sz w:val="24"/>
        </w:rPr>
      </w:pPr>
    </w:p>
    <w:p w:rsidR="0003310E" w:rsidRDefault="0003310E" w:rsidP="008A389A">
      <w:pPr>
        <w:rPr>
          <w:rFonts w:ascii="Times New Roman" w:hAnsi="Times New Roman"/>
          <w:sz w:val="24"/>
        </w:rPr>
      </w:pPr>
      <w:r>
        <w:rPr>
          <w:rFonts w:ascii="Times New Roman" w:hAnsi="Times New Roman"/>
          <w:sz w:val="24"/>
        </w:rPr>
        <w:t>Attachment B to this</w:t>
      </w:r>
      <w:r w:rsidR="00A47EE4">
        <w:rPr>
          <w:rFonts w:ascii="Times New Roman" w:hAnsi="Times New Roman"/>
          <w:sz w:val="24"/>
        </w:rPr>
        <w:t xml:space="preserve"> </w:t>
      </w:r>
      <w:r w:rsidR="00352044">
        <w:rPr>
          <w:rFonts w:ascii="Times New Roman" w:hAnsi="Times New Roman"/>
          <w:sz w:val="24"/>
        </w:rPr>
        <w:t>R</w:t>
      </w:r>
      <w:r w:rsidR="00A47EE4">
        <w:rPr>
          <w:rFonts w:ascii="Times New Roman" w:hAnsi="Times New Roman"/>
          <w:sz w:val="24"/>
        </w:rPr>
        <w:t xml:space="preserve">eport </w:t>
      </w:r>
      <w:r w:rsidR="008F54C7">
        <w:rPr>
          <w:rFonts w:ascii="Times New Roman" w:hAnsi="Times New Roman"/>
          <w:sz w:val="24"/>
        </w:rPr>
        <w:t xml:space="preserve">is another chart </w:t>
      </w:r>
      <w:r w:rsidR="00352044">
        <w:rPr>
          <w:rFonts w:ascii="Times New Roman" w:hAnsi="Times New Roman"/>
          <w:sz w:val="24"/>
        </w:rPr>
        <w:t>using</w:t>
      </w:r>
      <w:r w:rsidR="008F54C7">
        <w:rPr>
          <w:rFonts w:ascii="Times New Roman" w:hAnsi="Times New Roman"/>
          <w:sz w:val="24"/>
        </w:rPr>
        <w:t xml:space="preserve"> non-confidential data derived from </w:t>
      </w:r>
      <w:r w:rsidR="00A47EE4">
        <w:rPr>
          <w:rFonts w:ascii="Times New Roman" w:hAnsi="Times New Roman"/>
          <w:sz w:val="24"/>
        </w:rPr>
        <w:t xml:space="preserve">the </w:t>
      </w:r>
      <w:r w:rsidR="008F54C7">
        <w:rPr>
          <w:rFonts w:ascii="Times New Roman" w:hAnsi="Times New Roman"/>
          <w:sz w:val="24"/>
        </w:rPr>
        <w:t>companies</w:t>
      </w:r>
      <w:r w:rsidR="00A47EE4">
        <w:rPr>
          <w:rFonts w:ascii="Times New Roman" w:hAnsi="Times New Roman"/>
          <w:sz w:val="24"/>
        </w:rPr>
        <w:t>’</w:t>
      </w:r>
      <w:r w:rsidR="008F54C7">
        <w:rPr>
          <w:rFonts w:ascii="Times New Roman" w:hAnsi="Times New Roman"/>
          <w:sz w:val="24"/>
        </w:rPr>
        <w:t xml:space="preserve"> responses to staff’s data requests. This chart shows the percentage of load financially hedged over a 10 year period and the corresponding gains or losses from those financial hedges. </w:t>
      </w:r>
      <w:r w:rsidR="00BA08A8">
        <w:rPr>
          <w:rFonts w:ascii="Times New Roman" w:hAnsi="Times New Roman"/>
          <w:sz w:val="24"/>
        </w:rPr>
        <w:t xml:space="preserve">The </w:t>
      </w:r>
      <w:r w:rsidR="00352044">
        <w:rPr>
          <w:rFonts w:ascii="Times New Roman" w:hAnsi="Times New Roman"/>
          <w:sz w:val="24"/>
        </w:rPr>
        <w:t>A</w:t>
      </w:r>
      <w:r w:rsidR="00BA08A8">
        <w:rPr>
          <w:rFonts w:ascii="Times New Roman" w:hAnsi="Times New Roman"/>
          <w:sz w:val="24"/>
        </w:rPr>
        <w:t xml:space="preserve">ttachment </w:t>
      </w:r>
      <w:r w:rsidR="008F54C7">
        <w:rPr>
          <w:rFonts w:ascii="Times New Roman" w:hAnsi="Times New Roman"/>
          <w:sz w:val="24"/>
        </w:rPr>
        <w:t>also shows</w:t>
      </w:r>
      <w:r w:rsidR="00BA08A8">
        <w:rPr>
          <w:rFonts w:ascii="Times New Roman" w:hAnsi="Times New Roman"/>
          <w:sz w:val="24"/>
        </w:rPr>
        <w:t xml:space="preserve"> a chart of </w:t>
      </w:r>
      <w:r w:rsidR="008F54C7">
        <w:rPr>
          <w:rFonts w:ascii="Times New Roman" w:hAnsi="Times New Roman"/>
          <w:sz w:val="24"/>
        </w:rPr>
        <w:t xml:space="preserve">natural gas </w:t>
      </w:r>
      <w:r w:rsidR="00BA08A8">
        <w:rPr>
          <w:rFonts w:ascii="Times New Roman" w:hAnsi="Times New Roman"/>
          <w:sz w:val="24"/>
        </w:rPr>
        <w:t>spot prices (each bar shows the monthly price range)</w:t>
      </w:r>
      <w:r w:rsidR="008F54C7">
        <w:rPr>
          <w:rFonts w:ascii="Times New Roman" w:hAnsi="Times New Roman"/>
          <w:sz w:val="24"/>
        </w:rPr>
        <w:t xml:space="preserve"> over approximately the same time period.</w:t>
      </w:r>
      <w:r w:rsidR="00BA08A8">
        <w:rPr>
          <w:rFonts w:ascii="Times New Roman" w:hAnsi="Times New Roman"/>
          <w:sz w:val="24"/>
        </w:rPr>
        <w:t xml:space="preserve"> </w:t>
      </w:r>
      <w:r w:rsidR="006E3DB6">
        <w:rPr>
          <w:rFonts w:ascii="Times New Roman" w:hAnsi="Times New Roman"/>
          <w:sz w:val="24"/>
        </w:rPr>
        <w:t xml:space="preserve">Even during periods of rapid price escalation, the hedging gains appear fairly muted relative to the losses seen in other periods, bringing into question the effectiveness of either hedging in general or the hedging programs employed by </w:t>
      </w:r>
      <w:r w:rsidR="00352044">
        <w:rPr>
          <w:rFonts w:ascii="Times New Roman" w:hAnsi="Times New Roman"/>
          <w:sz w:val="24"/>
        </w:rPr>
        <w:t>certain companies in particular</w:t>
      </w:r>
      <w:r w:rsidR="006E3DB6">
        <w:rPr>
          <w:rFonts w:ascii="Times New Roman" w:hAnsi="Times New Roman"/>
          <w:sz w:val="24"/>
        </w:rPr>
        <w:t>.</w:t>
      </w:r>
      <w:r w:rsidR="00092FEF">
        <w:rPr>
          <w:rFonts w:ascii="Times New Roman" w:hAnsi="Times New Roman"/>
          <w:sz w:val="24"/>
        </w:rPr>
        <w:t xml:space="preserve"> </w:t>
      </w:r>
    </w:p>
    <w:p w:rsidR="0099234F" w:rsidRDefault="0099234F" w:rsidP="008A389A">
      <w:pPr>
        <w:rPr>
          <w:rFonts w:ascii="Times New Roman" w:hAnsi="Times New Roman"/>
          <w:sz w:val="24"/>
        </w:rPr>
      </w:pPr>
    </w:p>
    <w:p w:rsidR="00393924" w:rsidRDefault="0099234F" w:rsidP="008A389A">
      <w:pPr>
        <w:rPr>
          <w:rFonts w:ascii="Times New Roman" w:hAnsi="Times New Roman"/>
          <w:sz w:val="24"/>
        </w:rPr>
      </w:pPr>
      <w:r>
        <w:rPr>
          <w:rFonts w:ascii="Times New Roman" w:hAnsi="Times New Roman"/>
          <w:sz w:val="24"/>
        </w:rPr>
        <w:t>T</w:t>
      </w:r>
      <w:r w:rsidR="000F52EB">
        <w:rPr>
          <w:rFonts w:ascii="Times New Roman" w:hAnsi="Times New Roman"/>
          <w:sz w:val="24"/>
        </w:rPr>
        <w:t xml:space="preserve">he </w:t>
      </w:r>
      <w:r w:rsidR="000927C4">
        <w:rPr>
          <w:rFonts w:ascii="Times New Roman" w:hAnsi="Times New Roman"/>
          <w:sz w:val="24"/>
        </w:rPr>
        <w:t>magnitude of the losses and the</w:t>
      </w:r>
      <w:r>
        <w:rPr>
          <w:rFonts w:ascii="Times New Roman" w:hAnsi="Times New Roman"/>
          <w:sz w:val="24"/>
        </w:rPr>
        <w:t>ir</w:t>
      </w:r>
      <w:r w:rsidR="000927C4">
        <w:rPr>
          <w:rFonts w:ascii="Times New Roman" w:hAnsi="Times New Roman"/>
          <w:sz w:val="24"/>
        </w:rPr>
        <w:t xml:space="preserve"> apparent persistence over the years </w:t>
      </w:r>
      <w:r>
        <w:rPr>
          <w:rFonts w:ascii="Times New Roman" w:hAnsi="Times New Roman"/>
          <w:sz w:val="24"/>
        </w:rPr>
        <w:t>is significant and not lost on staff.</w:t>
      </w:r>
      <w:r w:rsidR="000927C4">
        <w:rPr>
          <w:rFonts w:ascii="Times New Roman" w:hAnsi="Times New Roman"/>
          <w:sz w:val="24"/>
        </w:rPr>
        <w:t xml:space="preserve">  </w:t>
      </w:r>
      <w:r w:rsidR="00296BE5">
        <w:rPr>
          <w:rFonts w:ascii="Times New Roman" w:hAnsi="Times New Roman"/>
          <w:sz w:val="24"/>
        </w:rPr>
        <w:t xml:space="preserve">However, </w:t>
      </w:r>
      <w:r>
        <w:rPr>
          <w:rFonts w:ascii="Times New Roman" w:hAnsi="Times New Roman"/>
          <w:sz w:val="24"/>
        </w:rPr>
        <w:t>the issues implicated by the companies’ hedging practices and po</w:t>
      </w:r>
      <w:r w:rsidR="00ED0FDC">
        <w:rPr>
          <w:rFonts w:ascii="Times New Roman" w:hAnsi="Times New Roman"/>
          <w:sz w:val="24"/>
        </w:rPr>
        <w:t>licies are also significant</w:t>
      </w:r>
      <w:r w:rsidR="00A064F0">
        <w:rPr>
          <w:rFonts w:ascii="Times New Roman" w:hAnsi="Times New Roman"/>
          <w:sz w:val="24"/>
        </w:rPr>
        <w:t xml:space="preserve">, </w:t>
      </w:r>
      <w:r>
        <w:rPr>
          <w:rFonts w:ascii="Times New Roman" w:hAnsi="Times New Roman"/>
          <w:sz w:val="24"/>
        </w:rPr>
        <w:t xml:space="preserve">highly complex, </w:t>
      </w:r>
      <w:r w:rsidR="00A064F0">
        <w:rPr>
          <w:rFonts w:ascii="Times New Roman" w:hAnsi="Times New Roman"/>
          <w:sz w:val="24"/>
        </w:rPr>
        <w:t>and universal in their application.  They</w:t>
      </w:r>
      <w:r w:rsidR="00ED0FDC">
        <w:rPr>
          <w:rFonts w:ascii="Times New Roman" w:hAnsi="Times New Roman"/>
          <w:sz w:val="24"/>
        </w:rPr>
        <w:t xml:space="preserve"> </w:t>
      </w:r>
      <w:r w:rsidR="000F1617">
        <w:rPr>
          <w:rFonts w:ascii="Times New Roman" w:hAnsi="Times New Roman"/>
          <w:sz w:val="24"/>
        </w:rPr>
        <w:t xml:space="preserve">have </w:t>
      </w:r>
      <w:r w:rsidR="00A064F0">
        <w:rPr>
          <w:rFonts w:ascii="Times New Roman" w:hAnsi="Times New Roman"/>
          <w:sz w:val="24"/>
        </w:rPr>
        <w:t xml:space="preserve">also </w:t>
      </w:r>
      <w:r w:rsidR="000F1617">
        <w:rPr>
          <w:rFonts w:ascii="Times New Roman" w:hAnsi="Times New Roman"/>
          <w:sz w:val="24"/>
        </w:rPr>
        <w:t xml:space="preserve">proven </w:t>
      </w:r>
      <w:r>
        <w:rPr>
          <w:rFonts w:ascii="Times New Roman" w:hAnsi="Times New Roman"/>
          <w:sz w:val="24"/>
        </w:rPr>
        <w:t>difficult to examine fully and resolve in the time frame allowed for tariff revisions.</w:t>
      </w:r>
      <w:r w:rsidR="004E5F24">
        <w:rPr>
          <w:rFonts w:ascii="Times New Roman" w:hAnsi="Times New Roman"/>
          <w:sz w:val="24"/>
        </w:rPr>
        <w:t xml:space="preserve">  </w:t>
      </w:r>
    </w:p>
    <w:p w:rsidR="00393924" w:rsidRDefault="00393924" w:rsidP="008A389A">
      <w:pPr>
        <w:rPr>
          <w:rFonts w:ascii="Times New Roman" w:hAnsi="Times New Roman"/>
          <w:sz w:val="24"/>
        </w:rPr>
      </w:pPr>
    </w:p>
    <w:p w:rsidR="00393924" w:rsidRDefault="00A064F0" w:rsidP="008A389A">
      <w:pPr>
        <w:rPr>
          <w:rFonts w:ascii="Times New Roman" w:hAnsi="Times New Roman"/>
          <w:sz w:val="24"/>
        </w:rPr>
      </w:pPr>
      <w:r>
        <w:rPr>
          <w:rFonts w:ascii="Times New Roman" w:hAnsi="Times New Roman"/>
          <w:sz w:val="24"/>
        </w:rPr>
        <w:t xml:space="preserve">Therefore, </w:t>
      </w:r>
      <w:r w:rsidR="00393924">
        <w:rPr>
          <w:rFonts w:ascii="Times New Roman" w:hAnsi="Times New Roman"/>
          <w:sz w:val="24"/>
        </w:rPr>
        <w:t xml:space="preserve">Staff sees </w:t>
      </w:r>
      <w:r>
        <w:rPr>
          <w:rFonts w:ascii="Times New Roman" w:hAnsi="Times New Roman"/>
          <w:sz w:val="24"/>
        </w:rPr>
        <w:t xml:space="preserve">further </w:t>
      </w:r>
      <w:r w:rsidR="00393924">
        <w:rPr>
          <w:rFonts w:ascii="Times New Roman" w:hAnsi="Times New Roman"/>
          <w:sz w:val="24"/>
        </w:rPr>
        <w:t>need to address very basic policies concerning hedging and the</w:t>
      </w:r>
      <w:r w:rsidR="00F06EBF">
        <w:rPr>
          <w:rFonts w:ascii="Times New Roman" w:hAnsi="Times New Roman"/>
          <w:sz w:val="24"/>
        </w:rPr>
        <w:t xml:space="preserve"> PGAs</w:t>
      </w:r>
      <w:r w:rsidR="00393924">
        <w:rPr>
          <w:rFonts w:ascii="Times New Roman" w:hAnsi="Times New Roman"/>
          <w:sz w:val="24"/>
        </w:rPr>
        <w:t xml:space="preserve">. </w:t>
      </w:r>
      <w:r>
        <w:rPr>
          <w:rFonts w:ascii="Times New Roman" w:hAnsi="Times New Roman"/>
          <w:sz w:val="24"/>
        </w:rPr>
        <w:t xml:space="preserve"> </w:t>
      </w:r>
      <w:r w:rsidR="00393924">
        <w:rPr>
          <w:rFonts w:ascii="Times New Roman" w:hAnsi="Times New Roman"/>
          <w:sz w:val="24"/>
        </w:rPr>
        <w:t xml:space="preserve">For example, based on responses to staff data requests and direct communications, the companies regard the main hedging objective to be “price stability.” However, staff considers the annual PGA mechanism currently in place as </w:t>
      </w:r>
      <w:r>
        <w:rPr>
          <w:rFonts w:ascii="Times New Roman" w:hAnsi="Times New Roman"/>
          <w:sz w:val="24"/>
        </w:rPr>
        <w:t xml:space="preserve">already </w:t>
      </w:r>
      <w:r w:rsidR="00393924">
        <w:rPr>
          <w:rFonts w:ascii="Times New Roman" w:hAnsi="Times New Roman"/>
          <w:sz w:val="24"/>
        </w:rPr>
        <w:t>providing that stability to ratepayers. If the goal of hedging is not price stability, what is it?</w:t>
      </w:r>
    </w:p>
    <w:p w:rsidR="00393924" w:rsidRDefault="00393924" w:rsidP="008A389A">
      <w:pPr>
        <w:rPr>
          <w:rFonts w:ascii="Times New Roman" w:hAnsi="Times New Roman"/>
          <w:sz w:val="24"/>
        </w:rPr>
      </w:pPr>
    </w:p>
    <w:p w:rsidR="00A064F0" w:rsidRDefault="00393924" w:rsidP="008A389A">
      <w:pPr>
        <w:rPr>
          <w:rFonts w:ascii="Times New Roman" w:hAnsi="Times New Roman"/>
          <w:sz w:val="24"/>
        </w:rPr>
      </w:pPr>
      <w:r>
        <w:rPr>
          <w:rFonts w:ascii="Times New Roman" w:hAnsi="Times New Roman"/>
          <w:sz w:val="24"/>
        </w:rPr>
        <w:t xml:space="preserve">Whether </w:t>
      </w:r>
      <w:r w:rsidR="00A064F0">
        <w:rPr>
          <w:rFonts w:ascii="Times New Roman" w:hAnsi="Times New Roman"/>
          <w:sz w:val="24"/>
        </w:rPr>
        <w:t xml:space="preserve">or </w:t>
      </w:r>
      <w:r>
        <w:rPr>
          <w:rFonts w:ascii="Times New Roman" w:hAnsi="Times New Roman"/>
          <w:sz w:val="24"/>
        </w:rPr>
        <w:t>not price stability should be the objective, staff identifie</w:t>
      </w:r>
      <w:r w:rsidR="00A064F0">
        <w:rPr>
          <w:rFonts w:ascii="Times New Roman" w:hAnsi="Times New Roman"/>
          <w:sz w:val="24"/>
        </w:rPr>
        <w:t>d</w:t>
      </w:r>
      <w:r>
        <w:rPr>
          <w:rFonts w:ascii="Times New Roman" w:hAnsi="Times New Roman"/>
          <w:sz w:val="24"/>
        </w:rPr>
        <w:t xml:space="preserve"> other areas in the hedging policies/programs that need </w:t>
      </w:r>
      <w:r w:rsidR="00A064F0">
        <w:rPr>
          <w:rFonts w:ascii="Times New Roman" w:hAnsi="Times New Roman"/>
          <w:sz w:val="24"/>
        </w:rPr>
        <w:t>further investigation</w:t>
      </w:r>
      <w:r>
        <w:rPr>
          <w:rFonts w:ascii="Times New Roman" w:hAnsi="Times New Roman"/>
          <w:sz w:val="24"/>
        </w:rPr>
        <w:t>.</w:t>
      </w:r>
      <w:r w:rsidR="00A064F0">
        <w:rPr>
          <w:rFonts w:ascii="Times New Roman" w:hAnsi="Times New Roman"/>
          <w:sz w:val="24"/>
        </w:rPr>
        <w:t xml:space="preserve"> </w:t>
      </w:r>
      <w:r>
        <w:rPr>
          <w:rFonts w:ascii="Times New Roman" w:hAnsi="Times New Roman"/>
          <w:sz w:val="24"/>
        </w:rPr>
        <w:t xml:space="preserve"> Other areas of concern for some or all of the companies include the lack of using other available hedging instruments; </w:t>
      </w:r>
      <w:r w:rsidR="007006DE">
        <w:rPr>
          <w:rFonts w:ascii="Times New Roman" w:hAnsi="Times New Roman"/>
          <w:sz w:val="24"/>
        </w:rPr>
        <w:t xml:space="preserve">the lack of hedging tolerance provisions or any attempt at mitigating hedge losses; the percentage of load hedged on </w:t>
      </w:r>
      <w:r w:rsidR="007006DE">
        <w:rPr>
          <w:rFonts w:ascii="Times New Roman" w:hAnsi="Times New Roman"/>
          <w:sz w:val="24"/>
        </w:rPr>
        <w:lastRenderedPageBreak/>
        <w:t>a programmatic basis versus the degree of discretion in the volumes hedged; the duration of the hedges</w:t>
      </w:r>
      <w:r w:rsidR="00A064F0">
        <w:rPr>
          <w:rFonts w:ascii="Times New Roman" w:hAnsi="Times New Roman"/>
          <w:sz w:val="24"/>
        </w:rPr>
        <w:t xml:space="preserve"> (</w:t>
      </w:r>
      <w:r w:rsidR="007006DE" w:rsidRPr="005D6558">
        <w:rPr>
          <w:rFonts w:ascii="Times New Roman" w:hAnsi="Times New Roman"/>
          <w:i/>
          <w:sz w:val="24"/>
        </w:rPr>
        <w:t>i.e</w:t>
      </w:r>
      <w:r w:rsidR="007006DE">
        <w:rPr>
          <w:rFonts w:ascii="Times New Roman" w:hAnsi="Times New Roman"/>
          <w:sz w:val="24"/>
        </w:rPr>
        <w:t>. how far in advance prices are locked in</w:t>
      </w:r>
      <w:r w:rsidR="00A064F0">
        <w:rPr>
          <w:rFonts w:ascii="Times New Roman" w:hAnsi="Times New Roman"/>
          <w:sz w:val="24"/>
        </w:rPr>
        <w:t>),</w:t>
      </w:r>
      <w:r w:rsidR="007006DE">
        <w:rPr>
          <w:rFonts w:ascii="Times New Roman" w:hAnsi="Times New Roman"/>
          <w:sz w:val="24"/>
        </w:rPr>
        <w:t xml:space="preserve"> </w:t>
      </w:r>
      <w:r w:rsidR="00DC249E">
        <w:rPr>
          <w:rFonts w:ascii="Times New Roman" w:hAnsi="Times New Roman"/>
          <w:sz w:val="24"/>
        </w:rPr>
        <w:t xml:space="preserve">and </w:t>
      </w:r>
      <w:r w:rsidR="007006DE">
        <w:rPr>
          <w:rFonts w:ascii="Times New Roman" w:hAnsi="Times New Roman"/>
          <w:sz w:val="24"/>
        </w:rPr>
        <w:t>the lack of hedging performance review from a gain/loss perspective</w:t>
      </w:r>
      <w:r w:rsidR="00DC249E">
        <w:rPr>
          <w:rFonts w:ascii="Times New Roman" w:hAnsi="Times New Roman"/>
          <w:sz w:val="24"/>
        </w:rPr>
        <w:t>.</w:t>
      </w:r>
    </w:p>
    <w:p w:rsidR="00DC249E" w:rsidRDefault="00DC249E" w:rsidP="008A389A">
      <w:pPr>
        <w:rPr>
          <w:rFonts w:ascii="Times New Roman" w:hAnsi="Times New Roman"/>
          <w:sz w:val="24"/>
        </w:rPr>
      </w:pPr>
    </w:p>
    <w:p w:rsidR="00ED0FDC" w:rsidRDefault="00F06EBF" w:rsidP="008A389A">
      <w:pPr>
        <w:rPr>
          <w:rFonts w:ascii="Times New Roman" w:hAnsi="Times New Roman"/>
          <w:sz w:val="24"/>
        </w:rPr>
      </w:pPr>
      <w:r>
        <w:rPr>
          <w:rFonts w:ascii="Times New Roman" w:hAnsi="Times New Roman"/>
          <w:sz w:val="24"/>
        </w:rPr>
        <w:t xml:space="preserve">Finally, based upon its </w:t>
      </w:r>
      <w:r w:rsidR="007006DE">
        <w:rPr>
          <w:rFonts w:ascii="Times New Roman" w:hAnsi="Times New Roman"/>
          <w:sz w:val="24"/>
        </w:rPr>
        <w:t xml:space="preserve">review of </w:t>
      </w:r>
      <w:r>
        <w:rPr>
          <w:rFonts w:ascii="Times New Roman" w:hAnsi="Times New Roman"/>
          <w:sz w:val="24"/>
        </w:rPr>
        <w:t>the hedging practices and policies for all companies</w:t>
      </w:r>
      <w:r w:rsidR="007006DE">
        <w:rPr>
          <w:rFonts w:ascii="Times New Roman" w:hAnsi="Times New Roman"/>
          <w:sz w:val="24"/>
        </w:rPr>
        <w:t xml:space="preserve">, staff contemplated seeking </w:t>
      </w:r>
      <w:r>
        <w:rPr>
          <w:rFonts w:ascii="Times New Roman" w:hAnsi="Times New Roman"/>
          <w:sz w:val="24"/>
        </w:rPr>
        <w:t xml:space="preserve">ratemaking </w:t>
      </w:r>
      <w:r w:rsidR="007006DE">
        <w:rPr>
          <w:rFonts w:ascii="Times New Roman" w:hAnsi="Times New Roman"/>
          <w:sz w:val="24"/>
        </w:rPr>
        <w:t xml:space="preserve">disallowances </w:t>
      </w:r>
      <w:r>
        <w:rPr>
          <w:rFonts w:ascii="Times New Roman" w:hAnsi="Times New Roman"/>
          <w:sz w:val="24"/>
        </w:rPr>
        <w:t xml:space="preserve">of some or all of the </w:t>
      </w:r>
      <w:r w:rsidR="00535306">
        <w:rPr>
          <w:rFonts w:ascii="Times New Roman" w:hAnsi="Times New Roman"/>
          <w:sz w:val="24"/>
        </w:rPr>
        <w:t xml:space="preserve">survey period </w:t>
      </w:r>
      <w:r>
        <w:rPr>
          <w:rFonts w:ascii="Times New Roman" w:hAnsi="Times New Roman"/>
          <w:sz w:val="24"/>
        </w:rPr>
        <w:t xml:space="preserve">hedging losses for </w:t>
      </w:r>
      <w:r w:rsidR="007006DE">
        <w:rPr>
          <w:rFonts w:ascii="Times New Roman" w:hAnsi="Times New Roman"/>
          <w:sz w:val="24"/>
        </w:rPr>
        <w:t xml:space="preserve">one or more companies. </w:t>
      </w:r>
      <w:r w:rsidR="009C061F">
        <w:rPr>
          <w:rFonts w:ascii="Times New Roman" w:hAnsi="Times New Roman"/>
          <w:sz w:val="24"/>
        </w:rPr>
        <w:t xml:space="preserve"> </w:t>
      </w:r>
      <w:r>
        <w:rPr>
          <w:rFonts w:ascii="Times New Roman" w:hAnsi="Times New Roman"/>
          <w:sz w:val="24"/>
        </w:rPr>
        <w:t>However, several factors</w:t>
      </w:r>
      <w:r w:rsidR="009C061F">
        <w:rPr>
          <w:rFonts w:ascii="Times New Roman" w:hAnsi="Times New Roman"/>
          <w:sz w:val="24"/>
        </w:rPr>
        <w:t xml:space="preserve"> weighed</w:t>
      </w:r>
      <w:r>
        <w:rPr>
          <w:rFonts w:ascii="Times New Roman" w:hAnsi="Times New Roman"/>
          <w:sz w:val="24"/>
        </w:rPr>
        <w:t xml:space="preserve"> against such a recommendation</w:t>
      </w:r>
      <w:r w:rsidR="005D6558">
        <w:rPr>
          <w:rFonts w:ascii="Times New Roman" w:hAnsi="Times New Roman"/>
          <w:sz w:val="24"/>
        </w:rPr>
        <w:t>.</w:t>
      </w:r>
      <w:r w:rsidR="000F65A2">
        <w:rPr>
          <w:rFonts w:ascii="Times New Roman" w:hAnsi="Times New Roman"/>
          <w:sz w:val="24"/>
        </w:rPr>
        <w:t xml:space="preserve"> </w:t>
      </w:r>
      <w:r>
        <w:rPr>
          <w:rFonts w:ascii="Times New Roman" w:hAnsi="Times New Roman"/>
          <w:sz w:val="24"/>
        </w:rPr>
        <w:t xml:space="preserve"> </w:t>
      </w:r>
      <w:r w:rsidR="009C061F">
        <w:rPr>
          <w:rFonts w:ascii="Times New Roman" w:hAnsi="Times New Roman"/>
          <w:sz w:val="24"/>
        </w:rPr>
        <w:t>First, t</w:t>
      </w:r>
      <w:r w:rsidR="000F65A2">
        <w:rPr>
          <w:rFonts w:ascii="Times New Roman" w:hAnsi="Times New Roman"/>
          <w:sz w:val="24"/>
        </w:rPr>
        <w:t xml:space="preserve">he commission has not previously issued a policy statement </w:t>
      </w:r>
      <w:r w:rsidR="009C061F">
        <w:rPr>
          <w:rFonts w:ascii="Times New Roman" w:hAnsi="Times New Roman"/>
          <w:sz w:val="24"/>
        </w:rPr>
        <w:t xml:space="preserve">or order </w:t>
      </w:r>
      <w:r w:rsidR="000F65A2">
        <w:rPr>
          <w:rFonts w:ascii="Times New Roman" w:hAnsi="Times New Roman"/>
          <w:sz w:val="24"/>
        </w:rPr>
        <w:t xml:space="preserve">setting forth guidelines </w:t>
      </w:r>
      <w:r w:rsidR="00685114">
        <w:rPr>
          <w:rFonts w:ascii="Times New Roman" w:hAnsi="Times New Roman"/>
          <w:sz w:val="24"/>
        </w:rPr>
        <w:t>regarding the</w:t>
      </w:r>
      <w:r w:rsidR="000F65A2">
        <w:rPr>
          <w:rFonts w:ascii="Times New Roman" w:hAnsi="Times New Roman"/>
          <w:sz w:val="24"/>
        </w:rPr>
        <w:t xml:space="preserve"> hedging policies and practices </w:t>
      </w:r>
      <w:r w:rsidR="00685114">
        <w:rPr>
          <w:rFonts w:ascii="Times New Roman" w:hAnsi="Times New Roman"/>
          <w:sz w:val="24"/>
        </w:rPr>
        <w:t>of</w:t>
      </w:r>
      <w:r w:rsidR="000F65A2">
        <w:rPr>
          <w:rFonts w:ascii="Times New Roman" w:hAnsi="Times New Roman"/>
          <w:sz w:val="24"/>
        </w:rPr>
        <w:t xml:space="preserve"> natural gas companies. </w:t>
      </w:r>
      <w:r>
        <w:rPr>
          <w:rFonts w:ascii="Times New Roman" w:hAnsi="Times New Roman"/>
          <w:sz w:val="24"/>
        </w:rPr>
        <w:t xml:space="preserve"> </w:t>
      </w:r>
      <w:r w:rsidR="00685114">
        <w:rPr>
          <w:rFonts w:ascii="Times New Roman" w:hAnsi="Times New Roman"/>
          <w:sz w:val="24"/>
        </w:rPr>
        <w:t>The establishment of such guidelines would greatly assist staff in its consideration of a proper ratemaking adjustment.</w:t>
      </w:r>
      <w:r w:rsidR="00676B6A">
        <w:rPr>
          <w:rFonts w:ascii="Times New Roman" w:hAnsi="Times New Roman"/>
          <w:sz w:val="24"/>
        </w:rPr>
        <w:t xml:space="preserve">  </w:t>
      </w:r>
      <w:r w:rsidR="009C061F">
        <w:rPr>
          <w:rFonts w:ascii="Times New Roman" w:hAnsi="Times New Roman"/>
          <w:sz w:val="24"/>
        </w:rPr>
        <w:t>Second,</w:t>
      </w:r>
      <w:r>
        <w:rPr>
          <w:rFonts w:ascii="Times New Roman" w:hAnsi="Times New Roman"/>
          <w:sz w:val="24"/>
        </w:rPr>
        <w:t xml:space="preserve"> t</w:t>
      </w:r>
      <w:r w:rsidR="000F65A2">
        <w:rPr>
          <w:rFonts w:ascii="Times New Roman" w:hAnsi="Times New Roman"/>
          <w:sz w:val="24"/>
        </w:rPr>
        <w:t>he commission</w:t>
      </w:r>
      <w:r>
        <w:rPr>
          <w:rFonts w:ascii="Times New Roman" w:hAnsi="Times New Roman"/>
          <w:sz w:val="24"/>
        </w:rPr>
        <w:t xml:space="preserve"> </w:t>
      </w:r>
      <w:r w:rsidR="009C061F">
        <w:rPr>
          <w:rFonts w:ascii="Times New Roman" w:hAnsi="Times New Roman"/>
          <w:sz w:val="24"/>
        </w:rPr>
        <w:t>has</w:t>
      </w:r>
      <w:r w:rsidR="000F65A2">
        <w:rPr>
          <w:rFonts w:ascii="Times New Roman" w:hAnsi="Times New Roman"/>
          <w:sz w:val="24"/>
        </w:rPr>
        <w:t xml:space="preserve"> address</w:t>
      </w:r>
      <w:r w:rsidR="009C061F">
        <w:rPr>
          <w:rFonts w:ascii="Times New Roman" w:hAnsi="Times New Roman"/>
          <w:sz w:val="24"/>
        </w:rPr>
        <w:t>ed</w:t>
      </w:r>
      <w:r w:rsidR="000F65A2">
        <w:rPr>
          <w:rFonts w:ascii="Times New Roman" w:hAnsi="Times New Roman"/>
          <w:sz w:val="24"/>
        </w:rPr>
        <w:t xml:space="preserve"> mark to market adjustments related to the hedging practices for the electric operations of PSE, </w:t>
      </w:r>
      <w:r>
        <w:rPr>
          <w:rFonts w:ascii="Times New Roman" w:hAnsi="Times New Roman"/>
          <w:sz w:val="24"/>
        </w:rPr>
        <w:t xml:space="preserve">and the </w:t>
      </w:r>
      <w:r w:rsidR="005D6558">
        <w:rPr>
          <w:rFonts w:ascii="Times New Roman" w:hAnsi="Times New Roman"/>
          <w:sz w:val="24"/>
        </w:rPr>
        <w:t>commission</w:t>
      </w:r>
      <w:r w:rsidR="000F65A2">
        <w:rPr>
          <w:rFonts w:ascii="Times New Roman" w:hAnsi="Times New Roman"/>
          <w:sz w:val="24"/>
        </w:rPr>
        <w:t xml:space="preserve"> </w:t>
      </w:r>
      <w:r w:rsidR="00685114">
        <w:rPr>
          <w:rFonts w:ascii="Times New Roman" w:hAnsi="Times New Roman"/>
          <w:sz w:val="24"/>
        </w:rPr>
        <w:t xml:space="preserve">has </w:t>
      </w:r>
      <w:r w:rsidR="000F65A2">
        <w:rPr>
          <w:rFonts w:ascii="Times New Roman" w:hAnsi="Times New Roman"/>
          <w:sz w:val="24"/>
        </w:rPr>
        <w:t>rejected staff-recommended adjustments regarding related</w:t>
      </w:r>
      <w:r w:rsidR="004E5F24">
        <w:rPr>
          <w:rFonts w:ascii="Times New Roman" w:hAnsi="Times New Roman"/>
          <w:sz w:val="24"/>
        </w:rPr>
        <w:t xml:space="preserve"> costs.</w:t>
      </w:r>
      <w:r w:rsidR="004E5F24">
        <w:rPr>
          <w:rStyle w:val="FootnoteReference"/>
          <w:rFonts w:ascii="Times New Roman" w:hAnsi="Times New Roman"/>
          <w:sz w:val="24"/>
        </w:rPr>
        <w:footnoteReference w:id="4"/>
      </w:r>
      <w:r w:rsidR="000F65A2" w:rsidDel="000F65A2">
        <w:rPr>
          <w:rFonts w:ascii="Times New Roman" w:hAnsi="Times New Roman"/>
          <w:sz w:val="24"/>
        </w:rPr>
        <w:t xml:space="preserve"> </w:t>
      </w:r>
      <w:r w:rsidR="009C061F">
        <w:rPr>
          <w:rFonts w:ascii="Times New Roman" w:hAnsi="Times New Roman"/>
          <w:sz w:val="24"/>
        </w:rPr>
        <w:t xml:space="preserve"> Third, </w:t>
      </w:r>
      <w:r w:rsidR="00ED0FDC">
        <w:rPr>
          <w:rFonts w:ascii="Times New Roman" w:hAnsi="Times New Roman"/>
          <w:sz w:val="24"/>
        </w:rPr>
        <w:t>the companies’ historical losses have been recovered through the PGA tariffs without prior dispute by staff</w:t>
      </w:r>
      <w:r w:rsidR="000F1617">
        <w:rPr>
          <w:rFonts w:ascii="Times New Roman" w:hAnsi="Times New Roman"/>
          <w:sz w:val="24"/>
        </w:rPr>
        <w:t xml:space="preserve"> or disallowance by the commission</w:t>
      </w:r>
      <w:r w:rsidR="00ED0FDC">
        <w:rPr>
          <w:rFonts w:ascii="Times New Roman" w:hAnsi="Times New Roman"/>
          <w:sz w:val="24"/>
        </w:rPr>
        <w:t>.</w:t>
      </w:r>
      <w:r w:rsidR="009C061F">
        <w:rPr>
          <w:rFonts w:ascii="Times New Roman" w:hAnsi="Times New Roman"/>
          <w:sz w:val="24"/>
        </w:rPr>
        <w:t xml:space="preserve">  The commission should not diverge from that practice without careful consideration of all relevant factors.</w:t>
      </w:r>
    </w:p>
    <w:p w:rsidR="00ED0FDC" w:rsidRDefault="00ED0FDC" w:rsidP="008A389A">
      <w:pPr>
        <w:rPr>
          <w:rFonts w:ascii="Times New Roman" w:hAnsi="Times New Roman"/>
          <w:sz w:val="24"/>
        </w:rPr>
      </w:pPr>
    </w:p>
    <w:p w:rsidR="003054D5" w:rsidRDefault="00ED0FDC" w:rsidP="008A389A">
      <w:pPr>
        <w:rPr>
          <w:rFonts w:ascii="Times New Roman" w:hAnsi="Times New Roman"/>
          <w:sz w:val="24"/>
        </w:rPr>
      </w:pPr>
      <w:r>
        <w:rPr>
          <w:rFonts w:ascii="Times New Roman" w:hAnsi="Times New Roman"/>
          <w:sz w:val="24"/>
        </w:rPr>
        <w:t xml:space="preserve">Therefore, </w:t>
      </w:r>
      <w:r w:rsidR="00F043B1">
        <w:rPr>
          <w:rFonts w:ascii="Times New Roman" w:hAnsi="Times New Roman"/>
          <w:sz w:val="24"/>
        </w:rPr>
        <w:t xml:space="preserve">taking into account all of these </w:t>
      </w:r>
      <w:r w:rsidR="00F06EBF">
        <w:rPr>
          <w:rFonts w:ascii="Times New Roman" w:hAnsi="Times New Roman"/>
          <w:sz w:val="24"/>
        </w:rPr>
        <w:t xml:space="preserve">issues and </w:t>
      </w:r>
      <w:r w:rsidR="00F043B1">
        <w:rPr>
          <w:rFonts w:ascii="Times New Roman" w:hAnsi="Times New Roman"/>
          <w:sz w:val="24"/>
        </w:rPr>
        <w:t xml:space="preserve">factors, </w:t>
      </w:r>
      <w:r>
        <w:rPr>
          <w:rFonts w:ascii="Times New Roman" w:hAnsi="Times New Roman"/>
          <w:sz w:val="24"/>
        </w:rPr>
        <w:t>staff recommends that the commission issue a CR 101 to determine whether it should engage in a rulemaking</w:t>
      </w:r>
      <w:r w:rsidR="00F06EBF">
        <w:rPr>
          <w:rFonts w:ascii="Times New Roman" w:hAnsi="Times New Roman"/>
          <w:sz w:val="24"/>
        </w:rPr>
        <w:t xml:space="preserve">, </w:t>
      </w:r>
      <w:r>
        <w:rPr>
          <w:rFonts w:ascii="Times New Roman" w:hAnsi="Times New Roman"/>
          <w:sz w:val="24"/>
        </w:rPr>
        <w:t xml:space="preserve">policy statement </w:t>
      </w:r>
      <w:r w:rsidR="00F06EBF">
        <w:rPr>
          <w:rFonts w:ascii="Times New Roman" w:hAnsi="Times New Roman"/>
          <w:sz w:val="24"/>
        </w:rPr>
        <w:t xml:space="preserve">or other action </w:t>
      </w:r>
      <w:r>
        <w:rPr>
          <w:rFonts w:ascii="Times New Roman" w:hAnsi="Times New Roman"/>
          <w:sz w:val="24"/>
        </w:rPr>
        <w:t>regarding the companies</w:t>
      </w:r>
      <w:r w:rsidR="000F1617">
        <w:rPr>
          <w:rFonts w:ascii="Times New Roman" w:hAnsi="Times New Roman"/>
          <w:sz w:val="24"/>
        </w:rPr>
        <w:t>’</w:t>
      </w:r>
      <w:r>
        <w:rPr>
          <w:rFonts w:ascii="Times New Roman" w:hAnsi="Times New Roman"/>
          <w:sz w:val="24"/>
        </w:rPr>
        <w:t xml:space="preserve"> hedging policies and practices.  </w:t>
      </w:r>
      <w:r w:rsidR="000F1617">
        <w:rPr>
          <w:rFonts w:ascii="Times New Roman" w:hAnsi="Times New Roman"/>
          <w:sz w:val="24"/>
        </w:rPr>
        <w:t>This</w:t>
      </w:r>
      <w:r>
        <w:rPr>
          <w:rFonts w:ascii="Times New Roman" w:hAnsi="Times New Roman"/>
          <w:sz w:val="24"/>
        </w:rPr>
        <w:t xml:space="preserve"> recommended process would </w:t>
      </w:r>
      <w:r w:rsidR="00F06EBF">
        <w:rPr>
          <w:rFonts w:ascii="Times New Roman" w:hAnsi="Times New Roman"/>
          <w:sz w:val="24"/>
        </w:rPr>
        <w:t>commence with</w:t>
      </w:r>
      <w:r>
        <w:rPr>
          <w:rFonts w:ascii="Times New Roman" w:hAnsi="Times New Roman"/>
          <w:sz w:val="24"/>
        </w:rPr>
        <w:t xml:space="preserve"> w</w:t>
      </w:r>
      <w:r w:rsidR="00D00A04">
        <w:rPr>
          <w:rFonts w:ascii="Times New Roman" w:hAnsi="Times New Roman"/>
          <w:sz w:val="24"/>
        </w:rPr>
        <w:t xml:space="preserve">orkshops in which all companies </w:t>
      </w:r>
      <w:r>
        <w:rPr>
          <w:rFonts w:ascii="Times New Roman" w:hAnsi="Times New Roman"/>
          <w:sz w:val="24"/>
        </w:rPr>
        <w:t xml:space="preserve">and interested parties </w:t>
      </w:r>
      <w:r w:rsidR="000F1617">
        <w:rPr>
          <w:rFonts w:ascii="Times New Roman" w:hAnsi="Times New Roman"/>
          <w:sz w:val="24"/>
        </w:rPr>
        <w:t xml:space="preserve">would </w:t>
      </w:r>
      <w:r w:rsidR="00D00A04">
        <w:rPr>
          <w:rFonts w:ascii="Times New Roman" w:hAnsi="Times New Roman"/>
          <w:sz w:val="24"/>
        </w:rPr>
        <w:t>participate</w:t>
      </w:r>
      <w:r w:rsidR="000F1617">
        <w:rPr>
          <w:rFonts w:ascii="Times New Roman" w:hAnsi="Times New Roman"/>
          <w:sz w:val="24"/>
        </w:rPr>
        <w:t xml:space="preserve">.  </w:t>
      </w:r>
    </w:p>
    <w:p w:rsidR="00D00A04" w:rsidRDefault="00D00A04" w:rsidP="008A389A">
      <w:pPr>
        <w:rPr>
          <w:rFonts w:ascii="Times New Roman" w:hAnsi="Times New Roman"/>
          <w:sz w:val="24"/>
        </w:rPr>
      </w:pPr>
    </w:p>
    <w:p w:rsidR="00D00A04" w:rsidRDefault="00D00A04" w:rsidP="008A389A">
      <w:pPr>
        <w:rPr>
          <w:rFonts w:ascii="Times New Roman" w:hAnsi="Times New Roman"/>
          <w:sz w:val="24"/>
        </w:rPr>
      </w:pPr>
      <w:r>
        <w:rPr>
          <w:rFonts w:ascii="Times New Roman" w:hAnsi="Times New Roman"/>
          <w:sz w:val="24"/>
        </w:rPr>
        <w:t xml:space="preserve">Topics and questions </w:t>
      </w:r>
      <w:r w:rsidR="000F1617">
        <w:rPr>
          <w:rFonts w:ascii="Times New Roman" w:hAnsi="Times New Roman"/>
          <w:sz w:val="24"/>
        </w:rPr>
        <w:t xml:space="preserve">staff recommends </w:t>
      </w:r>
      <w:r w:rsidR="00F043B1">
        <w:rPr>
          <w:rFonts w:ascii="Times New Roman" w:hAnsi="Times New Roman"/>
          <w:sz w:val="24"/>
        </w:rPr>
        <w:t xml:space="preserve">should </w:t>
      </w:r>
      <w:r w:rsidR="000F1617">
        <w:rPr>
          <w:rFonts w:ascii="Times New Roman" w:hAnsi="Times New Roman"/>
          <w:sz w:val="24"/>
        </w:rPr>
        <w:t xml:space="preserve">be addressed </w:t>
      </w:r>
      <w:r>
        <w:rPr>
          <w:rFonts w:ascii="Times New Roman" w:hAnsi="Times New Roman"/>
          <w:sz w:val="24"/>
        </w:rPr>
        <w:t>in the workshop include but are not limited to the following:</w:t>
      </w:r>
    </w:p>
    <w:p w:rsidR="00D00A04" w:rsidRDefault="00D00A04" w:rsidP="008A389A">
      <w:pPr>
        <w:rPr>
          <w:rFonts w:ascii="Times New Roman" w:hAnsi="Times New Roman"/>
          <w:sz w:val="24"/>
        </w:rPr>
      </w:pP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Why hedge?</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or should be the objective of hedging?</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Should there be a sharing of risk?</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term covered by the hedge program and why?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If the hedge program is initiated against a forecast of expected load, how is that forecast derived? What is the forecast history and why did it change? What is the programs track record on load forecast accuracy?</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are the goals of the hedge program and what numeric indicators / measures will be used to assess the performance of the hedge program?</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range of foreseeable conditions over the hedge program term (can be divided into smaller management periods) and what strategy(s) will be deployed under this range of possibilities?  What numeric indicators / measures will determine where within that range of possibilities the entity resides?</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is the criteria by which approved hedged instruments will be selected and utilized – i.e., which tool do we choose out of the box?</w:t>
      </w:r>
    </w:p>
    <w:p w:rsidR="00D00A04" w:rsidRDefault="00D00A04" w:rsidP="00D00A04">
      <w:pPr>
        <w:pStyle w:val="ListParagraph"/>
        <w:numPr>
          <w:ilvl w:val="0"/>
          <w:numId w:val="3"/>
        </w:numPr>
        <w:rPr>
          <w:rFonts w:ascii="Times New Roman" w:hAnsi="Times New Roman"/>
          <w:sz w:val="24"/>
        </w:rPr>
      </w:pPr>
      <w:r>
        <w:rPr>
          <w:rFonts w:ascii="Times New Roman" w:hAnsi="Times New Roman"/>
          <w:sz w:val="24"/>
        </w:rPr>
        <w:t>What information and situations leads to an actionable hedge condition?  What are the mandatory parameters to establish thorough deal capture for hedge performance traceability at hedge inception?</w:t>
      </w:r>
    </w:p>
    <w:p w:rsidR="000F1617" w:rsidRDefault="000F1617" w:rsidP="001735AA">
      <w:pPr>
        <w:rPr>
          <w:rFonts w:ascii="Times New Roman" w:hAnsi="Times New Roman"/>
          <w:sz w:val="24"/>
        </w:rPr>
      </w:pPr>
    </w:p>
    <w:p w:rsidR="000F1617" w:rsidRDefault="000F1617" w:rsidP="000F1617">
      <w:pPr>
        <w:rPr>
          <w:rFonts w:ascii="Times New Roman" w:hAnsi="Times New Roman"/>
          <w:sz w:val="24"/>
        </w:rPr>
      </w:pPr>
      <w:r>
        <w:rPr>
          <w:rFonts w:ascii="Times New Roman" w:hAnsi="Times New Roman"/>
          <w:sz w:val="24"/>
        </w:rPr>
        <w:t xml:space="preserve">Finally, </w:t>
      </w:r>
      <w:r w:rsidR="00E25E45">
        <w:rPr>
          <w:rFonts w:ascii="Times New Roman" w:hAnsi="Times New Roman"/>
          <w:sz w:val="24"/>
        </w:rPr>
        <w:t xml:space="preserve">staff’s consultant provided </w:t>
      </w:r>
      <w:r>
        <w:rPr>
          <w:rFonts w:ascii="Times New Roman" w:hAnsi="Times New Roman"/>
          <w:sz w:val="24"/>
        </w:rPr>
        <w:t>the attached power points for each company</w:t>
      </w:r>
      <w:r w:rsidR="00E25E45">
        <w:rPr>
          <w:rFonts w:ascii="Times New Roman" w:hAnsi="Times New Roman"/>
          <w:sz w:val="24"/>
        </w:rPr>
        <w:t>. The information included in the power points was derived from staff data requests and consultant data requests. The documents cover a policy review, best practice risk management methodologies, best and worst case scenario</w:t>
      </w:r>
      <w:r w:rsidR="005D6558">
        <w:rPr>
          <w:rFonts w:ascii="Times New Roman" w:hAnsi="Times New Roman"/>
          <w:sz w:val="24"/>
        </w:rPr>
        <w:t>s</w:t>
      </w:r>
      <w:r w:rsidR="00E25E45">
        <w:rPr>
          <w:rFonts w:ascii="Times New Roman" w:hAnsi="Times New Roman"/>
          <w:sz w:val="24"/>
        </w:rPr>
        <w:t xml:space="preserve"> and recommendations. </w:t>
      </w:r>
      <w:r>
        <w:rPr>
          <w:rFonts w:ascii="Times New Roman" w:hAnsi="Times New Roman"/>
          <w:sz w:val="24"/>
        </w:rPr>
        <w:t xml:space="preserve">This information </w:t>
      </w:r>
      <w:r w:rsidR="00F06EBF">
        <w:rPr>
          <w:rFonts w:ascii="Times New Roman" w:hAnsi="Times New Roman"/>
          <w:sz w:val="24"/>
        </w:rPr>
        <w:t xml:space="preserve">was also considered by staff in developing its recommendation and </w:t>
      </w:r>
      <w:r>
        <w:rPr>
          <w:rFonts w:ascii="Times New Roman" w:hAnsi="Times New Roman"/>
          <w:sz w:val="24"/>
        </w:rPr>
        <w:t>would be utilized in the workshops along with the input from other participants.</w:t>
      </w:r>
    </w:p>
    <w:p w:rsidR="000F1617" w:rsidRPr="001735AA" w:rsidRDefault="000F1617" w:rsidP="00E25E45">
      <w:pPr>
        <w:rPr>
          <w:rFonts w:ascii="Times New Roman" w:hAnsi="Times New Roman"/>
          <w:sz w:val="24"/>
        </w:rPr>
      </w:pPr>
    </w:p>
    <w:sectPr w:rsidR="000F1617" w:rsidRPr="001735AA" w:rsidSect="00461047">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70" w:rsidRDefault="00D56670" w:rsidP="0063145D">
      <w:r>
        <w:separator/>
      </w:r>
    </w:p>
  </w:endnote>
  <w:endnote w:type="continuationSeparator" w:id="0">
    <w:p w:rsidR="00D56670" w:rsidRDefault="00D56670" w:rsidP="006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47" w:rsidRPr="00461047" w:rsidRDefault="00461047">
    <w:pPr>
      <w:pStyle w:val="Footer"/>
      <w:rPr>
        <w:rFonts w:ascii="Times New Roman" w:hAnsi="Times New Roman" w:cs="Times New Roman"/>
        <w:sz w:val="20"/>
        <w:szCs w:val="20"/>
      </w:rPr>
    </w:pPr>
    <w:r>
      <w:tab/>
    </w:r>
    <w:r>
      <w:tab/>
    </w:r>
    <w:r>
      <w:rPr>
        <w:rFonts w:ascii="Times New Roman" w:hAnsi="Times New Roman" w:cs="Times New Roman"/>
        <w:sz w:val="20"/>
        <w:szCs w:val="20"/>
      </w:rPr>
      <w:t xml:space="preserve">Page </w:t>
    </w:r>
    <w:r w:rsidRPr="00461047">
      <w:rPr>
        <w:rFonts w:ascii="Times New Roman" w:hAnsi="Times New Roman" w:cs="Times New Roman"/>
        <w:sz w:val="20"/>
        <w:szCs w:val="20"/>
      </w:rPr>
      <w:fldChar w:fldCharType="begin"/>
    </w:r>
    <w:r w:rsidRPr="00461047">
      <w:rPr>
        <w:rFonts w:ascii="Times New Roman" w:hAnsi="Times New Roman" w:cs="Times New Roman"/>
        <w:sz w:val="20"/>
        <w:szCs w:val="20"/>
      </w:rPr>
      <w:instrText xml:space="preserve"> PAGE   \* MERGEFORMAT </w:instrText>
    </w:r>
    <w:r w:rsidRPr="00461047">
      <w:rPr>
        <w:rFonts w:ascii="Times New Roman" w:hAnsi="Times New Roman" w:cs="Times New Roman"/>
        <w:sz w:val="20"/>
        <w:szCs w:val="20"/>
      </w:rPr>
      <w:fldChar w:fldCharType="separate"/>
    </w:r>
    <w:r w:rsidR="00823574">
      <w:rPr>
        <w:rFonts w:ascii="Times New Roman" w:hAnsi="Times New Roman" w:cs="Times New Roman"/>
        <w:noProof/>
        <w:sz w:val="20"/>
        <w:szCs w:val="20"/>
      </w:rPr>
      <w:t>4</w:t>
    </w:r>
    <w:r w:rsidRPr="0046104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70" w:rsidRDefault="00D56670" w:rsidP="0063145D">
      <w:r>
        <w:separator/>
      </w:r>
    </w:p>
  </w:footnote>
  <w:footnote w:type="continuationSeparator" w:id="0">
    <w:p w:rsidR="00D56670" w:rsidRDefault="00D56670" w:rsidP="0063145D">
      <w:r>
        <w:continuationSeparator/>
      </w:r>
    </w:p>
  </w:footnote>
  <w:footnote w:id="1">
    <w:p w:rsidR="00D56670" w:rsidRPr="00685114" w:rsidRDefault="00D56670">
      <w:pPr>
        <w:pStyle w:val="FootnoteText"/>
        <w:rPr>
          <w:rFonts w:ascii="Times New Roman" w:hAnsi="Times New Roman" w:cs="Times New Roman"/>
        </w:rPr>
      </w:pPr>
      <w:r w:rsidRPr="00685114">
        <w:rPr>
          <w:rStyle w:val="FootnoteReference"/>
          <w:rFonts w:ascii="Times New Roman" w:hAnsi="Times New Roman" w:cs="Times New Roman"/>
        </w:rPr>
        <w:footnoteRef/>
      </w:r>
      <w:r w:rsidRPr="00685114">
        <w:rPr>
          <w:rFonts w:ascii="Times New Roman" w:hAnsi="Times New Roman" w:cs="Times New Roman"/>
        </w:rPr>
        <w:t xml:space="preserve"> </w:t>
      </w:r>
      <w:proofErr w:type="gramStart"/>
      <w:r w:rsidRPr="00685114">
        <w:rPr>
          <w:rFonts w:ascii="Times New Roman" w:hAnsi="Times New Roman" w:cs="Times New Roman"/>
        </w:rPr>
        <w:t>Order 01, Dockets UG-121501, UG-121569, UG-121434, UG-121623 and UG-121592.</w:t>
      </w:r>
      <w:proofErr w:type="gramEnd"/>
    </w:p>
  </w:footnote>
  <w:footnote w:id="2">
    <w:p w:rsidR="00D56670" w:rsidRPr="005D6558" w:rsidRDefault="00D56670" w:rsidP="00DC249E">
      <w:pPr>
        <w:spacing w:after="120"/>
        <w:rPr>
          <w:rFonts w:ascii="Times New Roman" w:hAnsi="Times New Roman" w:cs="Times New Roman"/>
        </w:rPr>
      </w:pPr>
      <w:r w:rsidRPr="005D6558">
        <w:rPr>
          <w:rStyle w:val="FootnoteReference"/>
          <w:rFonts w:ascii="Times New Roman" w:hAnsi="Times New Roman" w:cs="Times New Roman"/>
          <w:sz w:val="20"/>
          <w:szCs w:val="20"/>
        </w:rPr>
        <w:footnoteRef/>
      </w:r>
      <w:r w:rsidRPr="005D6558">
        <w:rPr>
          <w:rFonts w:ascii="Times New Roman" w:hAnsi="Times New Roman" w:cs="Times New Roman"/>
          <w:sz w:val="20"/>
          <w:szCs w:val="20"/>
        </w:rPr>
        <w:t xml:space="preserve"> A fixed price financial hedge generally entails conversion of a future supply contract at market prices to a fixed price through the use of financial instruments. The counter-party to the fixed price conversion through a financial instrument is often a financial institution and not the supplier of the natural gas.</w:t>
      </w:r>
    </w:p>
  </w:footnote>
  <w:footnote w:id="3">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A fixed price physical hedge occurs when the supplier of the natural gas will sell a future supply contract at a fixed price to the utility.</w:t>
      </w:r>
    </w:p>
  </w:footnote>
  <w:footnote w:id="4">
    <w:p w:rsidR="00D56670" w:rsidRPr="005D6558" w:rsidRDefault="00D56670">
      <w:pPr>
        <w:pStyle w:val="FootnoteText"/>
        <w:rPr>
          <w:rFonts w:ascii="Times New Roman" w:hAnsi="Times New Roman" w:cs="Times New Roman"/>
        </w:rPr>
      </w:pPr>
      <w:r w:rsidRPr="005D6558">
        <w:rPr>
          <w:rStyle w:val="FootnoteReference"/>
          <w:rFonts w:ascii="Times New Roman" w:hAnsi="Times New Roman" w:cs="Times New Roman"/>
        </w:rPr>
        <w:footnoteRef/>
      </w:r>
      <w:r w:rsidRPr="005D6558">
        <w:rPr>
          <w:rFonts w:ascii="Times New Roman" w:hAnsi="Times New Roman" w:cs="Times New Roman"/>
        </w:rPr>
        <w:t xml:space="preserve"> Docket UE-090704, Order 11 at ¶¶ 142-155 and Docket UE-111048, Order 08 at ¶¶ 222-227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01"/>
    <w:multiLevelType w:val="hybridMultilevel"/>
    <w:tmpl w:val="AD86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D40A1B"/>
    <w:multiLevelType w:val="hybridMultilevel"/>
    <w:tmpl w:val="D54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5D"/>
    <w:rsid w:val="00010A14"/>
    <w:rsid w:val="000165D3"/>
    <w:rsid w:val="00022424"/>
    <w:rsid w:val="00025868"/>
    <w:rsid w:val="00027569"/>
    <w:rsid w:val="0003310E"/>
    <w:rsid w:val="00037199"/>
    <w:rsid w:val="00043C19"/>
    <w:rsid w:val="00074679"/>
    <w:rsid w:val="000800BC"/>
    <w:rsid w:val="000927C4"/>
    <w:rsid w:val="00092CC5"/>
    <w:rsid w:val="00092FEF"/>
    <w:rsid w:val="000932AE"/>
    <w:rsid w:val="000C7DE9"/>
    <w:rsid w:val="000E640C"/>
    <w:rsid w:val="000F1617"/>
    <w:rsid w:val="000F52EB"/>
    <w:rsid w:val="000F65A2"/>
    <w:rsid w:val="0011368D"/>
    <w:rsid w:val="00124386"/>
    <w:rsid w:val="00143E79"/>
    <w:rsid w:val="00145566"/>
    <w:rsid w:val="00145727"/>
    <w:rsid w:val="0015432F"/>
    <w:rsid w:val="001717A1"/>
    <w:rsid w:val="001735AA"/>
    <w:rsid w:val="001C5AB1"/>
    <w:rsid w:val="001E1D7A"/>
    <w:rsid w:val="001F73A1"/>
    <w:rsid w:val="00211F44"/>
    <w:rsid w:val="002300B9"/>
    <w:rsid w:val="00247472"/>
    <w:rsid w:val="00296BE5"/>
    <w:rsid w:val="002C039A"/>
    <w:rsid w:val="002D1298"/>
    <w:rsid w:val="002D6639"/>
    <w:rsid w:val="002E3456"/>
    <w:rsid w:val="002F2F30"/>
    <w:rsid w:val="00303A5C"/>
    <w:rsid w:val="003054D5"/>
    <w:rsid w:val="00314CA7"/>
    <w:rsid w:val="00352044"/>
    <w:rsid w:val="0037364F"/>
    <w:rsid w:val="00393924"/>
    <w:rsid w:val="00395E30"/>
    <w:rsid w:val="003973DE"/>
    <w:rsid w:val="003C3E43"/>
    <w:rsid w:val="00461047"/>
    <w:rsid w:val="004A79BC"/>
    <w:rsid w:val="004B2CE6"/>
    <w:rsid w:val="004C099B"/>
    <w:rsid w:val="004E5F24"/>
    <w:rsid w:val="004E6EFE"/>
    <w:rsid w:val="005313DB"/>
    <w:rsid w:val="00535306"/>
    <w:rsid w:val="00552600"/>
    <w:rsid w:val="00594981"/>
    <w:rsid w:val="005A64A5"/>
    <w:rsid w:val="005A6C74"/>
    <w:rsid w:val="005D6558"/>
    <w:rsid w:val="005F4CCB"/>
    <w:rsid w:val="00605DE6"/>
    <w:rsid w:val="0062225E"/>
    <w:rsid w:val="0063145D"/>
    <w:rsid w:val="0064220A"/>
    <w:rsid w:val="00672F7B"/>
    <w:rsid w:val="00676B6A"/>
    <w:rsid w:val="00685114"/>
    <w:rsid w:val="006964CA"/>
    <w:rsid w:val="006A41EE"/>
    <w:rsid w:val="006E3DB6"/>
    <w:rsid w:val="007006DE"/>
    <w:rsid w:val="007365EB"/>
    <w:rsid w:val="00776485"/>
    <w:rsid w:val="00783A7C"/>
    <w:rsid w:val="007B1D46"/>
    <w:rsid w:val="007C2395"/>
    <w:rsid w:val="0081436A"/>
    <w:rsid w:val="00823574"/>
    <w:rsid w:val="008A389A"/>
    <w:rsid w:val="008A5E2E"/>
    <w:rsid w:val="008A63DE"/>
    <w:rsid w:val="008C112E"/>
    <w:rsid w:val="008F3525"/>
    <w:rsid w:val="008F54C7"/>
    <w:rsid w:val="00910A10"/>
    <w:rsid w:val="00953547"/>
    <w:rsid w:val="00965864"/>
    <w:rsid w:val="00965A6C"/>
    <w:rsid w:val="0099234F"/>
    <w:rsid w:val="009C061F"/>
    <w:rsid w:val="009D2501"/>
    <w:rsid w:val="009E0348"/>
    <w:rsid w:val="009E2BB5"/>
    <w:rsid w:val="00A064F0"/>
    <w:rsid w:val="00A40614"/>
    <w:rsid w:val="00A47A83"/>
    <w:rsid w:val="00A47EE4"/>
    <w:rsid w:val="00A47F11"/>
    <w:rsid w:val="00A83A61"/>
    <w:rsid w:val="00A84C2A"/>
    <w:rsid w:val="00AD3312"/>
    <w:rsid w:val="00AE273E"/>
    <w:rsid w:val="00B13041"/>
    <w:rsid w:val="00B30816"/>
    <w:rsid w:val="00B70D76"/>
    <w:rsid w:val="00B903FB"/>
    <w:rsid w:val="00BA08A8"/>
    <w:rsid w:val="00BC4673"/>
    <w:rsid w:val="00BF6C7F"/>
    <w:rsid w:val="00C26FBB"/>
    <w:rsid w:val="00C852AB"/>
    <w:rsid w:val="00C87FBA"/>
    <w:rsid w:val="00D00A04"/>
    <w:rsid w:val="00D47BB2"/>
    <w:rsid w:val="00D56670"/>
    <w:rsid w:val="00D71BBE"/>
    <w:rsid w:val="00DA1B86"/>
    <w:rsid w:val="00DB1744"/>
    <w:rsid w:val="00DB3023"/>
    <w:rsid w:val="00DC249E"/>
    <w:rsid w:val="00DD2A47"/>
    <w:rsid w:val="00E2520B"/>
    <w:rsid w:val="00E25E45"/>
    <w:rsid w:val="00E6137C"/>
    <w:rsid w:val="00EA1874"/>
    <w:rsid w:val="00ED0FDC"/>
    <w:rsid w:val="00F043B1"/>
    <w:rsid w:val="00F06EBF"/>
    <w:rsid w:val="00F21B68"/>
    <w:rsid w:val="00F57DD5"/>
    <w:rsid w:val="00F90160"/>
    <w:rsid w:val="00FA6BE6"/>
    <w:rsid w:val="00FD102E"/>
    <w:rsid w:val="00FF4396"/>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3145D"/>
    <w:pPr>
      <w:tabs>
        <w:tab w:val="center" w:pos="4680"/>
        <w:tab w:val="right" w:pos="9360"/>
      </w:tabs>
    </w:pPr>
  </w:style>
  <w:style w:type="character" w:customStyle="1" w:styleId="HeaderChar">
    <w:name w:val="Header Char"/>
    <w:basedOn w:val="DefaultParagraphFont"/>
    <w:link w:val="Header"/>
    <w:uiPriority w:val="99"/>
    <w:rsid w:val="0063145D"/>
  </w:style>
  <w:style w:type="paragraph" w:styleId="Footer">
    <w:name w:val="footer"/>
    <w:basedOn w:val="Normal"/>
    <w:link w:val="FooterChar"/>
    <w:uiPriority w:val="99"/>
    <w:unhideWhenUsed/>
    <w:rsid w:val="0063145D"/>
    <w:pPr>
      <w:tabs>
        <w:tab w:val="center" w:pos="4680"/>
        <w:tab w:val="right" w:pos="9360"/>
      </w:tabs>
    </w:pPr>
  </w:style>
  <w:style w:type="character" w:customStyle="1" w:styleId="FooterChar">
    <w:name w:val="Footer Char"/>
    <w:basedOn w:val="DefaultParagraphFont"/>
    <w:link w:val="Footer"/>
    <w:uiPriority w:val="99"/>
    <w:rsid w:val="0063145D"/>
  </w:style>
  <w:style w:type="paragraph" w:styleId="BalloonText">
    <w:name w:val="Balloon Text"/>
    <w:basedOn w:val="Normal"/>
    <w:link w:val="BalloonTextChar"/>
    <w:uiPriority w:val="99"/>
    <w:semiHidden/>
    <w:unhideWhenUsed/>
    <w:rsid w:val="0063145D"/>
    <w:rPr>
      <w:rFonts w:ascii="Tahoma" w:hAnsi="Tahoma" w:cs="Tahoma"/>
      <w:sz w:val="16"/>
      <w:szCs w:val="16"/>
    </w:rPr>
  </w:style>
  <w:style w:type="character" w:customStyle="1" w:styleId="BalloonTextChar">
    <w:name w:val="Balloon Text Char"/>
    <w:basedOn w:val="DefaultParagraphFont"/>
    <w:link w:val="BalloonText"/>
    <w:uiPriority w:val="99"/>
    <w:semiHidden/>
    <w:rsid w:val="0063145D"/>
    <w:rPr>
      <w:rFonts w:ascii="Tahoma" w:hAnsi="Tahoma" w:cs="Tahoma"/>
      <w:sz w:val="16"/>
      <w:szCs w:val="16"/>
    </w:rPr>
  </w:style>
  <w:style w:type="character" w:styleId="CommentReference">
    <w:name w:val="annotation reference"/>
    <w:basedOn w:val="DefaultParagraphFont"/>
    <w:uiPriority w:val="99"/>
    <w:semiHidden/>
    <w:unhideWhenUsed/>
    <w:rsid w:val="00EA1874"/>
    <w:rPr>
      <w:sz w:val="16"/>
      <w:szCs w:val="16"/>
    </w:rPr>
  </w:style>
  <w:style w:type="paragraph" w:styleId="CommentText">
    <w:name w:val="annotation text"/>
    <w:basedOn w:val="Normal"/>
    <w:link w:val="CommentTextChar"/>
    <w:uiPriority w:val="99"/>
    <w:semiHidden/>
    <w:unhideWhenUsed/>
    <w:rsid w:val="00EA1874"/>
    <w:rPr>
      <w:sz w:val="20"/>
      <w:szCs w:val="20"/>
    </w:rPr>
  </w:style>
  <w:style w:type="character" w:customStyle="1" w:styleId="CommentTextChar">
    <w:name w:val="Comment Text Char"/>
    <w:basedOn w:val="DefaultParagraphFont"/>
    <w:link w:val="CommentText"/>
    <w:uiPriority w:val="99"/>
    <w:semiHidden/>
    <w:rsid w:val="00EA1874"/>
    <w:rPr>
      <w:sz w:val="20"/>
      <w:szCs w:val="20"/>
    </w:rPr>
  </w:style>
  <w:style w:type="paragraph" w:styleId="CommentSubject">
    <w:name w:val="annotation subject"/>
    <w:basedOn w:val="CommentText"/>
    <w:next w:val="CommentText"/>
    <w:link w:val="CommentSubjectChar"/>
    <w:uiPriority w:val="99"/>
    <w:semiHidden/>
    <w:unhideWhenUsed/>
    <w:rsid w:val="00EA1874"/>
    <w:rPr>
      <w:b/>
      <w:bCs/>
    </w:rPr>
  </w:style>
  <w:style w:type="character" w:customStyle="1" w:styleId="CommentSubjectChar">
    <w:name w:val="Comment Subject Char"/>
    <w:basedOn w:val="CommentTextChar"/>
    <w:link w:val="CommentSubject"/>
    <w:uiPriority w:val="99"/>
    <w:semiHidden/>
    <w:rsid w:val="00EA1874"/>
    <w:rPr>
      <w:b/>
      <w:bCs/>
      <w:sz w:val="20"/>
      <w:szCs w:val="20"/>
    </w:rPr>
  </w:style>
  <w:style w:type="paragraph" w:styleId="ListParagraph">
    <w:name w:val="List Paragraph"/>
    <w:basedOn w:val="Normal"/>
    <w:uiPriority w:val="34"/>
    <w:qFormat/>
    <w:rsid w:val="00BC4673"/>
    <w:pPr>
      <w:widowControl w:val="0"/>
      <w:autoSpaceDE w:val="0"/>
      <w:autoSpaceDN w:val="0"/>
      <w:adjustRightInd w:val="0"/>
      <w:ind w:left="720"/>
      <w:contextualSpacing/>
    </w:pPr>
    <w:rPr>
      <w:rFonts w:ascii="Courier" w:eastAsia="Times New Roman" w:hAnsi="Courier" w:cs="Times New Roman"/>
      <w:sz w:val="20"/>
      <w:szCs w:val="24"/>
    </w:rPr>
  </w:style>
  <w:style w:type="paragraph" w:styleId="FootnoteText">
    <w:name w:val="footnote text"/>
    <w:basedOn w:val="Normal"/>
    <w:link w:val="FootnoteTextChar"/>
    <w:unhideWhenUsed/>
    <w:rsid w:val="00BC4673"/>
    <w:rPr>
      <w:sz w:val="20"/>
      <w:szCs w:val="20"/>
    </w:rPr>
  </w:style>
  <w:style w:type="character" w:customStyle="1" w:styleId="FootnoteTextChar">
    <w:name w:val="Footnote Text Char"/>
    <w:basedOn w:val="DefaultParagraphFont"/>
    <w:link w:val="FootnoteText"/>
    <w:rsid w:val="00BC4673"/>
    <w:rPr>
      <w:sz w:val="20"/>
      <w:szCs w:val="20"/>
    </w:rPr>
  </w:style>
  <w:style w:type="character" w:styleId="FootnoteReference">
    <w:name w:val="footnote reference"/>
    <w:basedOn w:val="DefaultParagraphFont"/>
    <w:unhideWhenUsed/>
    <w:rsid w:val="00BC4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2012-10-01T07:00:00+00:00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121592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BCAF8CF41AD048A34F4C438B795C5A" ma:contentTypeVersion="139" ma:contentTypeDescription="" ma:contentTypeScope="" ma:versionID="810d5f64ee3ef319a2395fb2ccaf79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9A5C4-3145-4289-8553-3D8E8C261D83}"/>
</file>

<file path=customXml/itemProps2.xml><?xml version="1.0" encoding="utf-8"?>
<ds:datastoreItem xmlns:ds="http://schemas.openxmlformats.org/officeDocument/2006/customXml" ds:itemID="{B6F21520-8990-42B2-8BEA-20F89FCD705B}"/>
</file>

<file path=customXml/itemProps3.xml><?xml version="1.0" encoding="utf-8"?>
<ds:datastoreItem xmlns:ds="http://schemas.openxmlformats.org/officeDocument/2006/customXml" ds:itemID="{BE0AF7CC-48E0-427A-83B8-7D56E43B4ACB}"/>
</file>

<file path=customXml/itemProps4.xml><?xml version="1.0" encoding="utf-8"?>
<ds:datastoreItem xmlns:ds="http://schemas.openxmlformats.org/officeDocument/2006/customXml" ds:itemID="{5C069E35-5966-4000-9775-2BC65EF0774E}"/>
</file>

<file path=customXml/itemProps5.xml><?xml version="1.0" encoding="utf-8"?>
<ds:datastoreItem xmlns:ds="http://schemas.openxmlformats.org/officeDocument/2006/customXml" ds:itemID="{85AD4CA8-5FD8-43DB-9252-75B6D1158F9B}"/>
</file>

<file path=docProps/app.xml><?xml version="1.0" encoding="utf-8"?>
<Properties xmlns="http://schemas.openxmlformats.org/officeDocument/2006/extended-properties" xmlns:vt="http://schemas.openxmlformats.org/officeDocument/2006/docPropsVTypes">
  <Template>Normal.dotm</Template>
  <TotalTime>4</TotalTime>
  <Pages>7</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Keating</dc:creator>
  <cp:lastModifiedBy>Krista Gross</cp:lastModifiedBy>
  <cp:revision>3</cp:revision>
  <dcterms:created xsi:type="dcterms:W3CDTF">2013-03-01T23:44:00Z</dcterms:created>
  <dcterms:modified xsi:type="dcterms:W3CDTF">2013-03-01T23:49:00Z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0x0101006E56B4D1795A2E4DB2F0B01679ED314A00F6BCAF8CF41AD048A34F4C438B795C5A</vt:lpwstr>
  </property>
  <property fmtid="{D5CDD505-2E9C-101B-9397-08002B2CF9AE}" pid="3" name="_docset_NoMedatataSyncRequired">
    <vt:lpwstr>False</vt:lpwstr>
  </property>
</Properties>
</file>