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DEE" w:rsidRPr="00006ADB" w:rsidRDefault="00657DEE">
      <w:pPr>
        <w:rPr>
          <w:rFonts w:ascii="Times New Roman" w:hAnsi="Times New Roman"/>
        </w:rPr>
      </w:pPr>
      <w:r w:rsidRPr="00006ADB">
        <w:rPr>
          <w:rFonts w:ascii="Times New Roman" w:hAnsi="Times New Roman"/>
        </w:rPr>
        <w:t>Agenda Date:</w:t>
      </w:r>
      <w:r w:rsidRPr="00006ADB">
        <w:rPr>
          <w:rFonts w:ascii="Times New Roman" w:hAnsi="Times New Roman"/>
        </w:rPr>
        <w:tab/>
      </w:r>
      <w:r w:rsidR="001D50C9" w:rsidRPr="00006ADB">
        <w:rPr>
          <w:rFonts w:ascii="Times New Roman" w:hAnsi="Times New Roman"/>
        </w:rPr>
        <w:tab/>
      </w:r>
      <w:r w:rsidR="00734177">
        <w:rPr>
          <w:rFonts w:ascii="Times New Roman" w:hAnsi="Times New Roman"/>
        </w:rPr>
        <w:t>S</w:t>
      </w:r>
      <w:r w:rsidR="00404F63" w:rsidRPr="00006ADB">
        <w:rPr>
          <w:rFonts w:ascii="Times New Roman" w:hAnsi="Times New Roman"/>
        </w:rPr>
        <w:t>eptember 10, 2009</w:t>
      </w:r>
    </w:p>
    <w:p w:rsidR="00657DEE" w:rsidRPr="00FE28CD" w:rsidRDefault="00657DEE">
      <w:pPr>
        <w:ind w:left="2160" w:hanging="2160"/>
        <w:rPr>
          <w:rFonts w:ascii="Times New Roman" w:hAnsi="Times New Roman"/>
        </w:rPr>
      </w:pPr>
      <w:r w:rsidRPr="00FE28CD">
        <w:rPr>
          <w:rFonts w:ascii="Times New Roman" w:hAnsi="Times New Roman"/>
        </w:rPr>
        <w:t>Item Number:</w:t>
      </w:r>
      <w:r w:rsidRPr="00FE28CD">
        <w:rPr>
          <w:rFonts w:ascii="Times New Roman" w:hAnsi="Times New Roman"/>
        </w:rPr>
        <w:tab/>
      </w:r>
      <w:r w:rsidR="00191488">
        <w:rPr>
          <w:rFonts w:ascii="Times New Roman" w:hAnsi="Times New Roman"/>
        </w:rPr>
        <w:t>A</w:t>
      </w:r>
      <w:r w:rsidR="00B106B7">
        <w:rPr>
          <w:rFonts w:ascii="Times New Roman" w:hAnsi="Times New Roman"/>
        </w:rPr>
        <w:t>2</w:t>
      </w:r>
    </w:p>
    <w:p w:rsidR="00657DEE" w:rsidRPr="00FE28CD" w:rsidRDefault="00657DEE">
      <w:pPr>
        <w:rPr>
          <w:rFonts w:ascii="Times New Roman" w:hAnsi="Times New Roman"/>
        </w:rPr>
      </w:pPr>
    </w:p>
    <w:p w:rsidR="00657DEE" w:rsidRPr="00D57883" w:rsidRDefault="00657DEE">
      <w:pPr>
        <w:rPr>
          <w:rFonts w:ascii="Times New Roman" w:hAnsi="Times New Roman"/>
          <w:bCs/>
        </w:rPr>
      </w:pPr>
      <w:r w:rsidRPr="00D57883">
        <w:rPr>
          <w:rFonts w:ascii="Times New Roman" w:hAnsi="Times New Roman"/>
          <w:bCs/>
        </w:rPr>
        <w:t>Docket:</w:t>
      </w:r>
      <w:r w:rsidRPr="00D57883">
        <w:rPr>
          <w:rFonts w:ascii="Times New Roman" w:hAnsi="Times New Roman"/>
          <w:bCs/>
        </w:rPr>
        <w:tab/>
      </w:r>
      <w:r w:rsidRPr="00D57883">
        <w:rPr>
          <w:rFonts w:ascii="Times New Roman" w:hAnsi="Times New Roman"/>
          <w:bCs/>
        </w:rPr>
        <w:tab/>
      </w:r>
      <w:r w:rsidR="00FF52A3" w:rsidRPr="00D57883">
        <w:rPr>
          <w:rFonts w:ascii="Times New Roman" w:hAnsi="Times New Roman"/>
          <w:bCs/>
        </w:rPr>
        <w:t>UT-</w:t>
      </w:r>
      <w:r w:rsidR="00320BA0" w:rsidRPr="00D57883">
        <w:rPr>
          <w:rFonts w:ascii="Times New Roman" w:hAnsi="Times New Roman"/>
          <w:bCs/>
        </w:rPr>
        <w:t>073023</w:t>
      </w:r>
    </w:p>
    <w:p w:rsidR="00657DEE" w:rsidRPr="00FE28CD" w:rsidRDefault="00657DEE">
      <w:pPr>
        <w:rPr>
          <w:rFonts w:ascii="Times New Roman" w:hAnsi="Times New Roman"/>
        </w:rPr>
      </w:pPr>
      <w:r w:rsidRPr="00FE28CD">
        <w:rPr>
          <w:rFonts w:ascii="Times New Roman" w:hAnsi="Times New Roman"/>
        </w:rPr>
        <w:t>Company:</w:t>
      </w:r>
      <w:r w:rsidR="00C16695">
        <w:rPr>
          <w:rFonts w:ascii="Times New Roman" w:hAnsi="Times New Roman"/>
        </w:rPr>
        <w:tab/>
      </w:r>
      <w:r w:rsidR="00C16695">
        <w:rPr>
          <w:rFonts w:ascii="Times New Roman" w:hAnsi="Times New Roman"/>
        </w:rPr>
        <w:tab/>
      </w:r>
      <w:r w:rsidR="00320BA0">
        <w:rPr>
          <w:rFonts w:ascii="Times New Roman" w:hAnsi="Times New Roman"/>
        </w:rPr>
        <w:t>Sprint Nextel Corporation</w:t>
      </w:r>
      <w:r w:rsidR="00404F63">
        <w:rPr>
          <w:rFonts w:ascii="Times New Roman" w:hAnsi="Times New Roman"/>
        </w:rPr>
        <w:t xml:space="preserve"> </w:t>
      </w:r>
      <w:r w:rsidR="00FF52A3" w:rsidRPr="00FE28CD">
        <w:rPr>
          <w:rFonts w:ascii="Times New Roman" w:hAnsi="Times New Roman"/>
        </w:rPr>
        <w:t xml:space="preserve"> </w:t>
      </w:r>
    </w:p>
    <w:p w:rsidR="00404F63" w:rsidRDefault="00657DEE">
      <w:pPr>
        <w:rPr>
          <w:rFonts w:ascii="Times New Roman" w:hAnsi="Times New Roman"/>
        </w:rPr>
      </w:pPr>
      <w:r w:rsidRPr="00FE28CD">
        <w:rPr>
          <w:rFonts w:ascii="Times New Roman" w:hAnsi="Times New Roman"/>
        </w:rPr>
        <w:t>Staff:</w:t>
      </w:r>
      <w:r w:rsidRPr="00FE28CD">
        <w:rPr>
          <w:rFonts w:ascii="Times New Roman" w:hAnsi="Times New Roman"/>
        </w:rPr>
        <w:tab/>
      </w:r>
      <w:r w:rsidRPr="00FE28CD">
        <w:rPr>
          <w:rFonts w:ascii="Times New Roman" w:hAnsi="Times New Roman"/>
        </w:rPr>
        <w:tab/>
      </w:r>
      <w:r w:rsidRPr="00FE28CD">
        <w:rPr>
          <w:rFonts w:ascii="Times New Roman" w:hAnsi="Times New Roman"/>
        </w:rPr>
        <w:tab/>
      </w:r>
      <w:r w:rsidR="00FF52A3" w:rsidRPr="00FE28CD">
        <w:rPr>
          <w:rFonts w:ascii="Times New Roman" w:hAnsi="Times New Roman"/>
        </w:rPr>
        <w:t>Jing Liu, Regulatory Analyst</w:t>
      </w:r>
    </w:p>
    <w:p w:rsidR="00056AD2" w:rsidRPr="00FE28CD" w:rsidRDefault="00404F63" w:rsidP="00056AD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56AD2">
        <w:rPr>
          <w:rFonts w:ascii="Times New Roman" w:hAnsi="Times New Roman"/>
        </w:rPr>
        <w:t>Bob Williamson, Utilities Engineer</w:t>
      </w:r>
    </w:p>
    <w:p w:rsidR="00404F63" w:rsidRDefault="00404F63" w:rsidP="00056AD2">
      <w:pPr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</w:rPr>
        <w:t>Tim Zawislak, Regulatory Analyst</w:t>
      </w:r>
    </w:p>
    <w:p w:rsidR="00657DEE" w:rsidRPr="00FE28CD" w:rsidRDefault="00FF52A3" w:rsidP="00514DF5">
      <w:pPr>
        <w:ind w:left="2160"/>
        <w:rPr>
          <w:rFonts w:ascii="Times New Roman" w:hAnsi="Times New Roman"/>
        </w:rPr>
      </w:pPr>
      <w:r w:rsidRPr="00FE28CD">
        <w:rPr>
          <w:rFonts w:ascii="Times New Roman" w:hAnsi="Times New Roman"/>
        </w:rPr>
        <w:t>William Weinman, Assistant Director - Telecommunications</w:t>
      </w:r>
    </w:p>
    <w:p w:rsidR="00657DEE" w:rsidRPr="00FE28CD" w:rsidRDefault="00657DEE">
      <w:pPr>
        <w:rPr>
          <w:rFonts w:ascii="Times New Roman" w:hAnsi="Times New Roman"/>
        </w:rPr>
      </w:pPr>
    </w:p>
    <w:p w:rsidR="00657DEE" w:rsidRDefault="00842F1A">
      <w:pPr>
        <w:rPr>
          <w:rFonts w:ascii="Times New Roman" w:hAnsi="Times New Roman"/>
          <w:b/>
          <w:bCs/>
          <w:u w:val="single"/>
        </w:rPr>
      </w:pPr>
      <w:r w:rsidRPr="00FE28CD">
        <w:rPr>
          <w:rFonts w:ascii="Times New Roman" w:hAnsi="Times New Roman"/>
          <w:b/>
          <w:bCs/>
          <w:u w:val="single"/>
        </w:rPr>
        <w:t>Recommendation</w:t>
      </w:r>
    </w:p>
    <w:p w:rsidR="00717267" w:rsidRPr="00FE28CD" w:rsidRDefault="00717267">
      <w:pPr>
        <w:rPr>
          <w:rFonts w:ascii="Times New Roman" w:hAnsi="Times New Roman"/>
          <w:b/>
          <w:bCs/>
          <w:u w:val="single"/>
        </w:rPr>
      </w:pPr>
    </w:p>
    <w:p w:rsidR="00657DEE" w:rsidRDefault="00320BA0">
      <w:pPr>
        <w:rPr>
          <w:rFonts w:ascii="Times New Roman" w:hAnsi="Times New Roman"/>
        </w:rPr>
      </w:pPr>
      <w:r>
        <w:rPr>
          <w:rFonts w:ascii="Times New Roman" w:hAnsi="Times New Roman"/>
        </w:rPr>
        <w:t>Grant Sprint Nextel Corporation</w:t>
      </w:r>
      <w:r w:rsidR="00942767">
        <w:rPr>
          <w:rFonts w:ascii="Times New Roman" w:hAnsi="Times New Roman"/>
        </w:rPr>
        <w:t>’s petition for</w:t>
      </w:r>
      <w:r w:rsidR="00404F6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 temporary </w:t>
      </w:r>
      <w:r w:rsidR="00860E20">
        <w:rPr>
          <w:rFonts w:ascii="Times New Roman" w:hAnsi="Times New Roman"/>
        </w:rPr>
        <w:t>exemption</w:t>
      </w:r>
      <w:r w:rsidR="00404F63">
        <w:rPr>
          <w:rFonts w:ascii="Times New Roman" w:hAnsi="Times New Roman"/>
        </w:rPr>
        <w:t xml:space="preserve"> </w:t>
      </w:r>
      <w:r w:rsidR="006D161D">
        <w:rPr>
          <w:rFonts w:ascii="Times New Roman" w:hAnsi="Times New Roman"/>
        </w:rPr>
        <w:t>until December 31, 2011</w:t>
      </w:r>
      <w:r w:rsidR="00805B01">
        <w:rPr>
          <w:rFonts w:ascii="Times New Roman" w:hAnsi="Times New Roman"/>
        </w:rPr>
        <w:t xml:space="preserve">, </w:t>
      </w:r>
      <w:r w:rsidR="00717267">
        <w:rPr>
          <w:rFonts w:ascii="Times New Roman" w:hAnsi="Times New Roman"/>
        </w:rPr>
        <w:t>from</w:t>
      </w:r>
      <w:r w:rsidR="004D3D8C">
        <w:rPr>
          <w:rFonts w:ascii="Times New Roman" w:hAnsi="Times New Roman"/>
        </w:rPr>
        <w:t xml:space="preserve"> WAC 480-123-030(1</w:t>
      </w:r>
      <w:r w:rsidR="00852AD4">
        <w:rPr>
          <w:rFonts w:ascii="Times New Roman" w:hAnsi="Times New Roman"/>
        </w:rPr>
        <w:t>)(</w:t>
      </w:r>
      <w:r w:rsidR="004D3D8C">
        <w:rPr>
          <w:rFonts w:ascii="Times New Roman" w:hAnsi="Times New Roman"/>
        </w:rPr>
        <w:t>g)</w:t>
      </w:r>
      <w:r w:rsidR="00717267">
        <w:rPr>
          <w:rFonts w:ascii="Times New Roman" w:hAnsi="Times New Roman"/>
        </w:rPr>
        <w:t xml:space="preserve"> and WAC 480-123-070(6) which require </w:t>
      </w:r>
      <w:r w:rsidR="00E77305">
        <w:rPr>
          <w:rFonts w:ascii="Times New Roman" w:hAnsi="Times New Roman"/>
        </w:rPr>
        <w:t xml:space="preserve">at least </w:t>
      </w:r>
      <w:r w:rsidR="00717267">
        <w:rPr>
          <w:rFonts w:ascii="Times New Roman" w:hAnsi="Times New Roman"/>
        </w:rPr>
        <w:t>four hours of back up power at each cell site</w:t>
      </w:r>
      <w:r w:rsidR="00BB35DE">
        <w:rPr>
          <w:rFonts w:ascii="Times New Roman" w:hAnsi="Times New Roman"/>
        </w:rPr>
        <w:t xml:space="preserve"> </w:t>
      </w:r>
      <w:r w:rsidR="007762A4">
        <w:rPr>
          <w:rFonts w:ascii="Times New Roman" w:hAnsi="Times New Roman"/>
        </w:rPr>
        <w:t>subject to the following conditions:</w:t>
      </w:r>
    </w:p>
    <w:p w:rsidR="00BB35DE" w:rsidRDefault="00BB35DE">
      <w:pPr>
        <w:rPr>
          <w:rFonts w:ascii="Times New Roman" w:hAnsi="Times New Roman"/>
        </w:rPr>
      </w:pPr>
    </w:p>
    <w:p w:rsidR="007762A4" w:rsidRDefault="00B934BD" w:rsidP="00B934BD">
      <w:pPr>
        <w:numPr>
          <w:ilvl w:val="0"/>
          <w:numId w:val="9"/>
        </w:numPr>
        <w:ind w:left="720" w:hanging="270"/>
        <w:rPr>
          <w:rFonts w:ascii="Times New Roman" w:hAnsi="Times New Roman"/>
        </w:rPr>
      </w:pPr>
      <w:r>
        <w:rPr>
          <w:rFonts w:ascii="Times New Roman" w:hAnsi="Times New Roman"/>
        </w:rPr>
        <w:t>The company must provide four hours of back up power at all new cell sites constructed during this period;</w:t>
      </w:r>
    </w:p>
    <w:p w:rsidR="007762A4" w:rsidRDefault="007762A4" w:rsidP="007762A4">
      <w:pPr>
        <w:ind w:left="720"/>
        <w:rPr>
          <w:rFonts w:ascii="Times New Roman" w:hAnsi="Times New Roman"/>
        </w:rPr>
      </w:pPr>
    </w:p>
    <w:p w:rsidR="007762A4" w:rsidRPr="00175BF5" w:rsidRDefault="007762A4" w:rsidP="00B934BD">
      <w:pPr>
        <w:numPr>
          <w:ilvl w:val="0"/>
          <w:numId w:val="9"/>
        </w:numPr>
        <w:ind w:left="720" w:hanging="270"/>
        <w:rPr>
          <w:rFonts w:ascii="Times New Roman" w:hAnsi="Times New Roman"/>
        </w:rPr>
      </w:pPr>
      <w:r w:rsidRPr="00175BF5">
        <w:rPr>
          <w:rFonts w:ascii="Times New Roman" w:hAnsi="Times New Roman"/>
        </w:rPr>
        <w:t xml:space="preserve">The company </w:t>
      </w:r>
      <w:r w:rsidR="00DB6BAF">
        <w:rPr>
          <w:rFonts w:ascii="Times New Roman" w:hAnsi="Times New Roman"/>
        </w:rPr>
        <w:t>must</w:t>
      </w:r>
      <w:r w:rsidRPr="00175BF5">
        <w:rPr>
          <w:rFonts w:ascii="Times New Roman" w:hAnsi="Times New Roman"/>
        </w:rPr>
        <w:t xml:space="preserve"> </w:t>
      </w:r>
      <w:r w:rsidR="00B934BD">
        <w:rPr>
          <w:rFonts w:ascii="Times New Roman" w:hAnsi="Times New Roman"/>
        </w:rPr>
        <w:t>include</w:t>
      </w:r>
      <w:r w:rsidRPr="00175BF5">
        <w:rPr>
          <w:rFonts w:ascii="Times New Roman" w:hAnsi="Times New Roman"/>
        </w:rPr>
        <w:t xml:space="preserve"> a compliance status report on back up power upgrades in its annual </w:t>
      </w:r>
      <w:r w:rsidR="004A7711">
        <w:rPr>
          <w:rFonts w:ascii="Times New Roman" w:hAnsi="Times New Roman"/>
        </w:rPr>
        <w:t>ETC filing with the commission</w:t>
      </w:r>
      <w:r w:rsidR="00B934BD">
        <w:rPr>
          <w:rFonts w:ascii="Times New Roman" w:hAnsi="Times New Roman"/>
        </w:rPr>
        <w:t>;</w:t>
      </w:r>
    </w:p>
    <w:p w:rsidR="007762A4" w:rsidRDefault="007762A4" w:rsidP="007762A4">
      <w:pPr>
        <w:ind w:left="720"/>
        <w:rPr>
          <w:rFonts w:ascii="Times New Roman" w:hAnsi="Times New Roman"/>
        </w:rPr>
      </w:pPr>
    </w:p>
    <w:p w:rsidR="007762A4" w:rsidRPr="00EF4AE4" w:rsidRDefault="007762A4" w:rsidP="00B934BD">
      <w:pPr>
        <w:numPr>
          <w:ilvl w:val="0"/>
          <w:numId w:val="9"/>
        </w:numPr>
        <w:ind w:left="720" w:hanging="2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company </w:t>
      </w:r>
      <w:r w:rsidR="00DB6BAF">
        <w:rPr>
          <w:rFonts w:ascii="Times New Roman" w:hAnsi="Times New Roman"/>
        </w:rPr>
        <w:t>must</w:t>
      </w:r>
      <w:r>
        <w:rPr>
          <w:rFonts w:ascii="Times New Roman" w:hAnsi="Times New Roman"/>
        </w:rPr>
        <w:t xml:space="preserve"> file a final compliance report upon completion of the </w:t>
      </w:r>
      <w:r w:rsidR="00481989">
        <w:rPr>
          <w:rFonts w:ascii="Times New Roman" w:hAnsi="Times New Roman"/>
        </w:rPr>
        <w:t>back up power</w:t>
      </w:r>
      <w:r>
        <w:rPr>
          <w:rFonts w:ascii="Times New Roman" w:hAnsi="Times New Roman"/>
        </w:rPr>
        <w:t xml:space="preserve"> </w:t>
      </w:r>
      <w:r w:rsidR="00474B84">
        <w:rPr>
          <w:rFonts w:ascii="Times New Roman" w:hAnsi="Times New Roman"/>
        </w:rPr>
        <w:t xml:space="preserve">upgrades </w:t>
      </w:r>
      <w:r>
        <w:rPr>
          <w:rFonts w:ascii="Times New Roman" w:hAnsi="Times New Roman"/>
        </w:rPr>
        <w:t xml:space="preserve">or at the expiration of the </w:t>
      </w:r>
      <w:r w:rsidR="00474B84">
        <w:rPr>
          <w:rFonts w:ascii="Times New Roman" w:hAnsi="Times New Roman"/>
        </w:rPr>
        <w:t xml:space="preserve">temporary </w:t>
      </w:r>
      <w:r>
        <w:rPr>
          <w:rFonts w:ascii="Times New Roman" w:hAnsi="Times New Roman"/>
        </w:rPr>
        <w:t xml:space="preserve">exemption, whichever occurs first. </w:t>
      </w:r>
    </w:p>
    <w:p w:rsidR="007762A4" w:rsidRPr="00FE28CD" w:rsidRDefault="007762A4">
      <w:pPr>
        <w:rPr>
          <w:rFonts w:ascii="Times New Roman" w:hAnsi="Times New Roman"/>
        </w:rPr>
      </w:pPr>
    </w:p>
    <w:p w:rsidR="004F5461" w:rsidRPr="00FE28CD" w:rsidRDefault="004F5461">
      <w:pPr>
        <w:rPr>
          <w:rFonts w:ascii="Times New Roman" w:hAnsi="Times New Roman"/>
        </w:rPr>
      </w:pPr>
    </w:p>
    <w:p w:rsidR="00657DEE" w:rsidRPr="00FE28CD" w:rsidRDefault="00657DEE">
      <w:pPr>
        <w:rPr>
          <w:rFonts w:ascii="Times New Roman" w:hAnsi="Times New Roman"/>
          <w:b/>
          <w:u w:val="single"/>
        </w:rPr>
      </w:pPr>
      <w:r w:rsidRPr="00FE28CD">
        <w:rPr>
          <w:rFonts w:ascii="Times New Roman" w:hAnsi="Times New Roman"/>
          <w:b/>
          <w:u w:val="single"/>
        </w:rPr>
        <w:t>Discussion</w:t>
      </w:r>
    </w:p>
    <w:p w:rsidR="007B55C3" w:rsidRPr="007B55C3" w:rsidRDefault="007B55C3" w:rsidP="00B913E3">
      <w:pPr>
        <w:numPr>
          <w:ilvl w:val="0"/>
          <w:numId w:val="4"/>
        </w:numPr>
        <w:jc w:val="center"/>
        <w:rPr>
          <w:rFonts w:ascii="Times New Roman" w:hAnsi="Times New Roman"/>
          <w:b/>
        </w:rPr>
      </w:pPr>
      <w:r w:rsidRPr="007B55C3">
        <w:rPr>
          <w:rFonts w:ascii="Times New Roman" w:hAnsi="Times New Roman"/>
          <w:b/>
        </w:rPr>
        <w:t>Background</w:t>
      </w:r>
    </w:p>
    <w:p w:rsidR="00320BA0" w:rsidRDefault="00320BA0" w:rsidP="00404F63">
      <w:pPr>
        <w:rPr>
          <w:rFonts w:ascii="Times New Roman" w:hAnsi="Times New Roman"/>
        </w:rPr>
      </w:pPr>
    </w:p>
    <w:p w:rsidR="00643E93" w:rsidRDefault="00320BA0" w:rsidP="00404F63">
      <w:pPr>
        <w:rPr>
          <w:rFonts w:ascii="Times New Roman" w:hAnsi="Times New Roman"/>
        </w:rPr>
      </w:pPr>
      <w:r>
        <w:rPr>
          <w:rFonts w:ascii="Times New Roman" w:hAnsi="Times New Roman"/>
        </w:rPr>
        <w:t>On August 21, 2009, Sprint Nextel Corporation (Sprint Nextel</w:t>
      </w:r>
      <w:r w:rsidR="002A0C25">
        <w:rPr>
          <w:rFonts w:ascii="Times New Roman" w:hAnsi="Times New Roman"/>
        </w:rPr>
        <w:t xml:space="preserve"> or </w:t>
      </w:r>
      <w:r w:rsidR="00B50208">
        <w:rPr>
          <w:rFonts w:ascii="Times New Roman" w:hAnsi="Times New Roman"/>
        </w:rPr>
        <w:t>c</w:t>
      </w:r>
      <w:r w:rsidR="002A0C25">
        <w:rPr>
          <w:rFonts w:ascii="Times New Roman" w:hAnsi="Times New Roman"/>
        </w:rPr>
        <w:t>ompany</w:t>
      </w:r>
      <w:r>
        <w:rPr>
          <w:rFonts w:ascii="Times New Roman" w:hAnsi="Times New Roman"/>
        </w:rPr>
        <w:t>) filed a petition with the Washington Utilities and Transportation Commission (</w:t>
      </w:r>
      <w:r w:rsidR="002A0C25">
        <w:rPr>
          <w:rFonts w:ascii="Times New Roman" w:hAnsi="Times New Roman"/>
        </w:rPr>
        <w:t>c</w:t>
      </w:r>
      <w:r w:rsidR="00A61049">
        <w:rPr>
          <w:rFonts w:ascii="Times New Roman" w:hAnsi="Times New Roman"/>
        </w:rPr>
        <w:t xml:space="preserve">ommission) </w:t>
      </w:r>
      <w:r w:rsidR="006D161D">
        <w:rPr>
          <w:rFonts w:ascii="Times New Roman" w:hAnsi="Times New Roman"/>
        </w:rPr>
        <w:t xml:space="preserve">to extend the </w:t>
      </w:r>
      <w:r w:rsidR="0005466C">
        <w:rPr>
          <w:rFonts w:ascii="Times New Roman" w:hAnsi="Times New Roman"/>
        </w:rPr>
        <w:t>temporary</w:t>
      </w:r>
      <w:r>
        <w:rPr>
          <w:rFonts w:ascii="Times New Roman" w:hAnsi="Times New Roman"/>
        </w:rPr>
        <w:t xml:space="preserve"> </w:t>
      </w:r>
      <w:r w:rsidR="00852AD4">
        <w:rPr>
          <w:rFonts w:ascii="Times New Roman" w:hAnsi="Times New Roman"/>
        </w:rPr>
        <w:t>exemption</w:t>
      </w:r>
      <w:r>
        <w:rPr>
          <w:rFonts w:ascii="Times New Roman" w:hAnsi="Times New Roman"/>
        </w:rPr>
        <w:t xml:space="preserve"> </w:t>
      </w:r>
      <w:r w:rsidR="007E2B83">
        <w:rPr>
          <w:rFonts w:ascii="Times New Roman" w:hAnsi="Times New Roman"/>
        </w:rPr>
        <w:t xml:space="preserve">from the four hour back up requirement </w:t>
      </w:r>
      <w:r w:rsidR="006D61F4">
        <w:rPr>
          <w:rFonts w:ascii="Times New Roman" w:hAnsi="Times New Roman"/>
        </w:rPr>
        <w:t>in</w:t>
      </w:r>
      <w:r w:rsidR="007E2B83">
        <w:rPr>
          <w:rFonts w:ascii="Times New Roman" w:hAnsi="Times New Roman"/>
        </w:rPr>
        <w:t xml:space="preserve"> </w:t>
      </w:r>
      <w:r w:rsidR="00A61049">
        <w:rPr>
          <w:rFonts w:ascii="Times New Roman" w:hAnsi="Times New Roman"/>
        </w:rPr>
        <w:t xml:space="preserve">WAC 480-123-030(1)(g) </w:t>
      </w:r>
      <w:r w:rsidR="006D61F4">
        <w:rPr>
          <w:rFonts w:ascii="Times New Roman" w:hAnsi="Times New Roman"/>
        </w:rPr>
        <w:t xml:space="preserve">and </w:t>
      </w:r>
      <w:r w:rsidR="00474B84">
        <w:rPr>
          <w:rFonts w:ascii="Times New Roman" w:hAnsi="Times New Roman"/>
        </w:rPr>
        <w:t xml:space="preserve">the certification required by </w:t>
      </w:r>
      <w:r w:rsidR="006D61F4">
        <w:rPr>
          <w:rFonts w:ascii="Times New Roman" w:hAnsi="Times New Roman"/>
        </w:rPr>
        <w:t>WAC 480-123-070(</w:t>
      </w:r>
      <w:r w:rsidR="007B7B74">
        <w:rPr>
          <w:rFonts w:ascii="Times New Roman" w:hAnsi="Times New Roman"/>
        </w:rPr>
        <w:t>6</w:t>
      </w:r>
      <w:r w:rsidR="006D61F4">
        <w:rPr>
          <w:rFonts w:ascii="Times New Roman" w:hAnsi="Times New Roman"/>
        </w:rPr>
        <w:t>)</w:t>
      </w:r>
      <w:r w:rsidR="006D161D">
        <w:rPr>
          <w:rFonts w:ascii="Times New Roman" w:hAnsi="Times New Roman"/>
        </w:rPr>
        <w:t xml:space="preserve"> granted to</w:t>
      </w:r>
      <w:r w:rsidR="006D61F4">
        <w:rPr>
          <w:rFonts w:ascii="Times New Roman" w:hAnsi="Times New Roman"/>
        </w:rPr>
        <w:t xml:space="preserve"> </w:t>
      </w:r>
      <w:r w:rsidR="002A4D18">
        <w:rPr>
          <w:rFonts w:ascii="Times New Roman" w:hAnsi="Times New Roman"/>
        </w:rPr>
        <w:t>the company</w:t>
      </w:r>
      <w:r w:rsidR="006D61F4">
        <w:rPr>
          <w:rFonts w:ascii="Times New Roman" w:hAnsi="Times New Roman"/>
        </w:rPr>
        <w:t xml:space="preserve"> on October 23, 2007</w:t>
      </w:r>
      <w:r w:rsidR="00411166">
        <w:rPr>
          <w:rFonts w:ascii="Times New Roman" w:hAnsi="Times New Roman"/>
        </w:rPr>
        <w:t>.</w:t>
      </w:r>
      <w:r w:rsidR="006D61F4">
        <w:rPr>
          <w:rFonts w:ascii="Times New Roman" w:hAnsi="Times New Roman"/>
        </w:rPr>
        <w:t xml:space="preserve"> </w:t>
      </w:r>
      <w:r w:rsidR="00411166">
        <w:rPr>
          <w:rFonts w:ascii="Times New Roman" w:hAnsi="Times New Roman"/>
        </w:rPr>
        <w:t xml:space="preserve">The company requests to extend the exemption to </w:t>
      </w:r>
      <w:r w:rsidR="00A61049">
        <w:rPr>
          <w:rFonts w:ascii="Times New Roman" w:hAnsi="Times New Roman"/>
        </w:rPr>
        <w:t xml:space="preserve">December 31, 2011. </w:t>
      </w:r>
    </w:p>
    <w:p w:rsidR="00320BA0" w:rsidRDefault="00320BA0" w:rsidP="00404F63">
      <w:pPr>
        <w:rPr>
          <w:rFonts w:ascii="Times New Roman" w:hAnsi="Times New Roman"/>
        </w:rPr>
      </w:pPr>
    </w:p>
    <w:p w:rsidR="00191488" w:rsidRDefault="002A0C25" w:rsidP="002A0C25">
      <w:pPr>
        <w:pStyle w:val="NoSpacing"/>
      </w:pPr>
      <w:r>
        <w:t xml:space="preserve">Sprint Nextel is </w:t>
      </w:r>
      <w:r w:rsidR="00494B3B">
        <w:t xml:space="preserve">a </w:t>
      </w:r>
      <w:r w:rsidR="00852AD4">
        <w:t>Commercial</w:t>
      </w:r>
      <w:r w:rsidR="00494B3B">
        <w:t xml:space="preserve"> Mobile Radio Service</w:t>
      </w:r>
      <w:r w:rsidR="00BC1C17">
        <w:t xml:space="preserve"> </w:t>
      </w:r>
      <w:r w:rsidR="00494B3B">
        <w:t xml:space="preserve">provider licensed by the Federal Communications Commission (FCC) </w:t>
      </w:r>
      <w:r w:rsidR="002A4D18">
        <w:t xml:space="preserve">and is </w:t>
      </w:r>
      <w:r w:rsidR="00494B3B">
        <w:t>headquartered in</w:t>
      </w:r>
      <w:r>
        <w:t xml:space="preserve"> Overland Park, Kansas. The company was designated as a competitive </w:t>
      </w:r>
      <w:r w:rsidR="00852AD4">
        <w:t>Eligible</w:t>
      </w:r>
      <w:r>
        <w:t xml:space="preserve"> Telecommunications Carrier (ETC) on October 29, 2003</w:t>
      </w:r>
      <w:r w:rsidR="00191488">
        <w:t>,</w:t>
      </w:r>
      <w:r>
        <w:t xml:space="preserve"> in Docket UT-031558 and on January 13, 2005</w:t>
      </w:r>
      <w:r w:rsidR="00191488">
        <w:t>,</w:t>
      </w:r>
      <w:r>
        <w:t xml:space="preserve"> in Docket </w:t>
      </w:r>
    </w:p>
    <w:p w:rsidR="002A0C25" w:rsidRDefault="002A0C25" w:rsidP="002A0C25">
      <w:pPr>
        <w:pStyle w:val="NoSpacing"/>
      </w:pPr>
      <w:r>
        <w:t>UT-043120.</w:t>
      </w:r>
      <w:r>
        <w:rPr>
          <w:rStyle w:val="FootnoteReference"/>
        </w:rPr>
        <w:footnoteReference w:id="1"/>
      </w:r>
      <w:r>
        <w:t xml:space="preserve"> </w:t>
      </w:r>
    </w:p>
    <w:p w:rsidR="002A0C25" w:rsidRDefault="00E264E6" w:rsidP="002A0C25">
      <w:pPr>
        <w:pStyle w:val="NoSpacing"/>
      </w:pPr>
      <w:r>
        <w:lastRenderedPageBreak/>
        <w:t>On October 23</w:t>
      </w:r>
      <w:r w:rsidR="002A0C25">
        <w:t xml:space="preserve">, </w:t>
      </w:r>
      <w:r>
        <w:t xml:space="preserve">2007, </w:t>
      </w:r>
      <w:r w:rsidR="002A0C25">
        <w:t xml:space="preserve">the </w:t>
      </w:r>
      <w:r>
        <w:t>c</w:t>
      </w:r>
      <w:r w:rsidR="002A0C25">
        <w:t xml:space="preserve">ommission amended the </w:t>
      </w:r>
      <w:r w:rsidR="00852AD4">
        <w:t>company’s ETC</w:t>
      </w:r>
      <w:r w:rsidR="002A0C25">
        <w:t xml:space="preserve"> designation area to include 18 additional exchanges following the Sprint</w:t>
      </w:r>
      <w:r w:rsidR="00B50208">
        <w:t xml:space="preserve"> </w:t>
      </w:r>
      <w:r w:rsidR="002A0C25">
        <w:t xml:space="preserve">Nextel merger in August, 2005 and expanded </w:t>
      </w:r>
      <w:r w:rsidR="00AF6F52">
        <w:t xml:space="preserve">its ETC service area to include the entire wire center boundary of the </w:t>
      </w:r>
      <w:r w:rsidR="002A0C25">
        <w:t xml:space="preserve">non-rural wire centers where the </w:t>
      </w:r>
      <w:r w:rsidR="00AF6F52">
        <w:t>c</w:t>
      </w:r>
      <w:r w:rsidR="002A0C25">
        <w:t>ompany was previously designated as an ETC for only a portion of th</w:t>
      </w:r>
      <w:r w:rsidR="00B50208">
        <w:t>os</w:t>
      </w:r>
      <w:r w:rsidR="002A0C25">
        <w:t>e wire centers.</w:t>
      </w:r>
      <w:r>
        <w:rPr>
          <w:rStyle w:val="FootnoteReference"/>
        </w:rPr>
        <w:footnoteReference w:id="2"/>
      </w:r>
      <w:r w:rsidR="002A0C25">
        <w:t xml:space="preserve"> In the same dock</w:t>
      </w:r>
      <w:r w:rsidR="007E2B83">
        <w:t>et, Sprint</w:t>
      </w:r>
      <w:r w:rsidR="00B50208">
        <w:t xml:space="preserve"> Nextel</w:t>
      </w:r>
      <w:r w:rsidR="007E2B83">
        <w:t xml:space="preserve"> was granted a </w:t>
      </w:r>
      <w:r w:rsidR="00411166">
        <w:t>temporary</w:t>
      </w:r>
      <w:r w:rsidR="002A0C25">
        <w:t xml:space="preserve"> exemption from </w:t>
      </w:r>
      <w:r w:rsidR="00AF6F52">
        <w:t xml:space="preserve">the four hour battery back up power requirement in </w:t>
      </w:r>
      <w:r w:rsidR="002A0C25">
        <w:t>WAC 480-123-030(1)(g)</w:t>
      </w:r>
      <w:r w:rsidR="00A41F2E">
        <w:t xml:space="preserve"> and </w:t>
      </w:r>
      <w:r w:rsidR="00474B84">
        <w:t xml:space="preserve">the certification required by </w:t>
      </w:r>
      <w:r w:rsidR="00A41F2E">
        <w:t>WAC 480-123-070(6)</w:t>
      </w:r>
      <w:r w:rsidR="002A0C25">
        <w:t xml:space="preserve">. </w:t>
      </w:r>
      <w:r w:rsidR="00A61049">
        <w:t xml:space="preserve">The exemption will expire on October 23, 2009. </w:t>
      </w:r>
    </w:p>
    <w:p w:rsidR="00A61049" w:rsidRDefault="00A61049" w:rsidP="002A0C25">
      <w:pPr>
        <w:pStyle w:val="NoSpacing"/>
      </w:pPr>
    </w:p>
    <w:p w:rsidR="00B913E3" w:rsidRPr="007B55C3" w:rsidRDefault="00420098" w:rsidP="00B913E3">
      <w:pPr>
        <w:numPr>
          <w:ilvl w:val="0"/>
          <w:numId w:val="4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Analysis</w:t>
      </w:r>
    </w:p>
    <w:p w:rsidR="007E2B83" w:rsidRDefault="007E2B83" w:rsidP="00404F63">
      <w:pPr>
        <w:rPr>
          <w:rFonts w:ascii="Times New Roman" w:hAnsi="Times New Roman"/>
        </w:rPr>
      </w:pPr>
    </w:p>
    <w:p w:rsidR="00C53918" w:rsidRDefault="00411166" w:rsidP="00404F6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As a wireless </w:t>
      </w:r>
      <w:r w:rsidR="00C53918">
        <w:rPr>
          <w:rFonts w:ascii="Times New Roman" w:hAnsi="Times New Roman"/>
        </w:rPr>
        <w:t xml:space="preserve">ETC, Sprint Nextel is subject to the </w:t>
      </w:r>
      <w:r>
        <w:rPr>
          <w:rFonts w:ascii="Times New Roman" w:hAnsi="Times New Roman"/>
        </w:rPr>
        <w:t xml:space="preserve">Washington state </w:t>
      </w:r>
      <w:r w:rsidR="00C53918">
        <w:rPr>
          <w:rFonts w:ascii="Times New Roman" w:hAnsi="Times New Roman"/>
        </w:rPr>
        <w:t xml:space="preserve">rule </w:t>
      </w:r>
      <w:r w:rsidR="00B50208">
        <w:rPr>
          <w:rFonts w:ascii="Times New Roman" w:hAnsi="Times New Roman"/>
        </w:rPr>
        <w:t xml:space="preserve">requiring </w:t>
      </w:r>
      <w:r w:rsidR="00C53918">
        <w:rPr>
          <w:rFonts w:ascii="Times New Roman" w:hAnsi="Times New Roman"/>
        </w:rPr>
        <w:t>four hour</w:t>
      </w:r>
      <w:r w:rsidR="00F460AB">
        <w:rPr>
          <w:rFonts w:ascii="Times New Roman" w:hAnsi="Times New Roman"/>
        </w:rPr>
        <w:t xml:space="preserve">s of </w:t>
      </w:r>
      <w:r w:rsidR="00C53918">
        <w:rPr>
          <w:rFonts w:ascii="Times New Roman" w:hAnsi="Times New Roman"/>
        </w:rPr>
        <w:t xml:space="preserve"> back</w:t>
      </w:r>
      <w:r w:rsidR="00B50208">
        <w:rPr>
          <w:rFonts w:ascii="Times New Roman" w:hAnsi="Times New Roman"/>
        </w:rPr>
        <w:t xml:space="preserve"> </w:t>
      </w:r>
      <w:r w:rsidR="00F96C7B">
        <w:rPr>
          <w:rFonts w:ascii="Times New Roman" w:hAnsi="Times New Roman"/>
        </w:rPr>
        <w:t xml:space="preserve">up </w:t>
      </w:r>
      <w:r w:rsidR="00B50208">
        <w:rPr>
          <w:rFonts w:ascii="Times New Roman" w:hAnsi="Times New Roman"/>
        </w:rPr>
        <w:t>power</w:t>
      </w:r>
      <w:r w:rsidR="00C53918">
        <w:rPr>
          <w:rFonts w:ascii="Times New Roman" w:hAnsi="Times New Roman"/>
        </w:rPr>
        <w:t xml:space="preserve"> at each cell site under WAC 480-123-030(1)(g) and the annual certification of continued compliance </w:t>
      </w:r>
      <w:r w:rsidR="00F37140">
        <w:rPr>
          <w:rFonts w:ascii="Times New Roman" w:hAnsi="Times New Roman"/>
        </w:rPr>
        <w:t>with</w:t>
      </w:r>
      <w:r w:rsidR="00C53918">
        <w:rPr>
          <w:rFonts w:ascii="Times New Roman" w:hAnsi="Times New Roman"/>
        </w:rPr>
        <w:t xml:space="preserve"> the rule under WAC 480-123-070(6). The </w:t>
      </w:r>
      <w:r w:rsidR="0005466C">
        <w:rPr>
          <w:rFonts w:ascii="Times New Roman" w:hAnsi="Times New Roman"/>
        </w:rPr>
        <w:t>c</w:t>
      </w:r>
      <w:r w:rsidR="00F460AB">
        <w:rPr>
          <w:rFonts w:ascii="Times New Roman" w:hAnsi="Times New Roman"/>
        </w:rPr>
        <w:t xml:space="preserve">ommission adopted the </w:t>
      </w:r>
      <w:r w:rsidR="00C53918">
        <w:rPr>
          <w:rFonts w:ascii="Times New Roman" w:hAnsi="Times New Roman"/>
        </w:rPr>
        <w:t>rule after the company was desig</w:t>
      </w:r>
      <w:r w:rsidR="00EF4AE4">
        <w:rPr>
          <w:rFonts w:ascii="Times New Roman" w:hAnsi="Times New Roman"/>
        </w:rPr>
        <w:t>nated as an ETC in Washington.</w:t>
      </w:r>
      <w:r w:rsidR="00C53918">
        <w:rPr>
          <w:rFonts w:ascii="Times New Roman" w:hAnsi="Times New Roman"/>
        </w:rPr>
        <w:t xml:space="preserve"> </w:t>
      </w:r>
    </w:p>
    <w:p w:rsidR="00C53918" w:rsidRDefault="00C53918" w:rsidP="00404F63">
      <w:pPr>
        <w:rPr>
          <w:rFonts w:ascii="Times New Roman" w:hAnsi="Times New Roman"/>
        </w:rPr>
      </w:pPr>
    </w:p>
    <w:p w:rsidR="0047107F" w:rsidRDefault="007E2B83" w:rsidP="00404F6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Order 01 </w:t>
      </w:r>
      <w:r w:rsidR="00F460AB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this docket </w:t>
      </w:r>
      <w:r w:rsidR="00F460AB">
        <w:rPr>
          <w:rFonts w:ascii="Times New Roman" w:hAnsi="Times New Roman"/>
        </w:rPr>
        <w:t xml:space="preserve">grants </w:t>
      </w:r>
      <w:r>
        <w:rPr>
          <w:rFonts w:ascii="Times New Roman" w:hAnsi="Times New Roman"/>
        </w:rPr>
        <w:t>t</w:t>
      </w:r>
      <w:r w:rsidR="00860E20">
        <w:rPr>
          <w:rFonts w:ascii="Times New Roman" w:hAnsi="Times New Roman"/>
        </w:rPr>
        <w:t xml:space="preserve">he company a temporary </w:t>
      </w:r>
      <w:r>
        <w:rPr>
          <w:rFonts w:ascii="Times New Roman" w:hAnsi="Times New Roman"/>
        </w:rPr>
        <w:t xml:space="preserve">exemption from the </w:t>
      </w:r>
      <w:r w:rsidR="00411166">
        <w:rPr>
          <w:rFonts w:ascii="Times New Roman" w:hAnsi="Times New Roman"/>
        </w:rPr>
        <w:t>back up</w:t>
      </w:r>
      <w:r>
        <w:rPr>
          <w:rFonts w:ascii="Times New Roman" w:hAnsi="Times New Roman"/>
        </w:rPr>
        <w:t xml:space="preserve"> power requirement of WAC 480-123-030(1)</w:t>
      </w:r>
      <w:r w:rsidR="007B7B74"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g) and the certification requirements of WAC 480-123-070(6) for a period of two years from October 23, 2007, subject to the following condition: </w:t>
      </w:r>
    </w:p>
    <w:p w:rsidR="007E2B83" w:rsidRDefault="007E2B83" w:rsidP="00404F63">
      <w:pPr>
        <w:rPr>
          <w:rFonts w:ascii="Times New Roman" w:hAnsi="Times New Roman"/>
        </w:rPr>
      </w:pPr>
    </w:p>
    <w:p w:rsidR="007E2B83" w:rsidRDefault="007E2B83" w:rsidP="007E2B83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Within two years </w:t>
      </w:r>
      <w:r w:rsidR="0005466C">
        <w:rPr>
          <w:rFonts w:ascii="Times New Roman" w:hAnsi="Times New Roman"/>
        </w:rPr>
        <w:t>of the date of this Order, the c</w:t>
      </w:r>
      <w:r>
        <w:rPr>
          <w:rFonts w:ascii="Times New Roman" w:hAnsi="Times New Roman"/>
        </w:rPr>
        <w:t xml:space="preserve">ompany </w:t>
      </w:r>
      <w:r w:rsidR="00B50208">
        <w:rPr>
          <w:rFonts w:ascii="Times New Roman" w:hAnsi="Times New Roman"/>
        </w:rPr>
        <w:t xml:space="preserve">must provide four hours of back </w:t>
      </w:r>
      <w:r>
        <w:rPr>
          <w:rFonts w:ascii="Times New Roman" w:hAnsi="Times New Roman"/>
        </w:rPr>
        <w:t>up</w:t>
      </w:r>
      <w:r w:rsidR="0004480F">
        <w:rPr>
          <w:rFonts w:ascii="Times New Roman" w:hAnsi="Times New Roman"/>
        </w:rPr>
        <w:t xml:space="preserve"> power</w:t>
      </w:r>
      <w:r>
        <w:rPr>
          <w:rFonts w:ascii="Times New Roman" w:hAnsi="Times New Roman"/>
        </w:rPr>
        <w:t xml:space="preserve"> at all cell sites using</w:t>
      </w:r>
      <w:r w:rsidR="00B50208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 xml:space="preserve"> reliable alternative power source (battery, fixed generation or fuel cells).</w:t>
      </w:r>
      <w:r w:rsidR="000971E6">
        <w:rPr>
          <w:rStyle w:val="FootnoteReference"/>
          <w:rFonts w:ascii="Times New Roman" w:hAnsi="Times New Roman"/>
        </w:rPr>
        <w:footnoteReference w:id="3"/>
      </w:r>
    </w:p>
    <w:p w:rsidR="00E93486" w:rsidRDefault="00E93486" w:rsidP="00404F63">
      <w:pPr>
        <w:rPr>
          <w:rFonts w:ascii="Times New Roman" w:hAnsi="Times New Roman"/>
        </w:rPr>
      </w:pPr>
    </w:p>
    <w:p w:rsidR="00B50208" w:rsidRDefault="00E264E6" w:rsidP="00404F6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company </w:t>
      </w:r>
      <w:r w:rsidR="00411166">
        <w:rPr>
          <w:rFonts w:ascii="Times New Roman" w:hAnsi="Times New Roman"/>
        </w:rPr>
        <w:t>has</w:t>
      </w:r>
      <w:r>
        <w:rPr>
          <w:rFonts w:ascii="Times New Roman" w:hAnsi="Times New Roman"/>
        </w:rPr>
        <w:t xml:space="preserve"> made efforts to upgrade </w:t>
      </w:r>
      <w:r w:rsidR="00411166">
        <w:rPr>
          <w:rFonts w:ascii="Times New Roman" w:hAnsi="Times New Roman"/>
        </w:rPr>
        <w:t xml:space="preserve">back up power at its </w:t>
      </w:r>
      <w:r w:rsidR="00D15B42">
        <w:rPr>
          <w:rFonts w:ascii="Times New Roman" w:hAnsi="Times New Roman"/>
        </w:rPr>
        <w:t>I</w:t>
      </w:r>
      <w:r w:rsidR="00BC1C17">
        <w:rPr>
          <w:rFonts w:ascii="Times New Roman" w:hAnsi="Times New Roman"/>
        </w:rPr>
        <w:t xml:space="preserve">ntegrated </w:t>
      </w:r>
      <w:r w:rsidR="00D15B42">
        <w:rPr>
          <w:rFonts w:ascii="Times New Roman" w:hAnsi="Times New Roman"/>
        </w:rPr>
        <w:t>D</w:t>
      </w:r>
      <w:r w:rsidR="00BC1C17">
        <w:rPr>
          <w:rFonts w:ascii="Times New Roman" w:hAnsi="Times New Roman"/>
        </w:rPr>
        <w:t xml:space="preserve">ispatch </w:t>
      </w:r>
      <w:r w:rsidR="00D15B42">
        <w:rPr>
          <w:rFonts w:ascii="Times New Roman" w:hAnsi="Times New Roman"/>
        </w:rPr>
        <w:t>E</w:t>
      </w:r>
      <w:r w:rsidR="00BC1C17">
        <w:rPr>
          <w:rFonts w:ascii="Times New Roman" w:hAnsi="Times New Roman"/>
        </w:rPr>
        <w:t xml:space="preserve">nhanced </w:t>
      </w:r>
      <w:r w:rsidR="00D15B42">
        <w:rPr>
          <w:rFonts w:ascii="Times New Roman" w:hAnsi="Times New Roman"/>
        </w:rPr>
        <w:t>N</w:t>
      </w:r>
      <w:r w:rsidR="00BC1C17">
        <w:rPr>
          <w:rFonts w:ascii="Times New Roman" w:hAnsi="Times New Roman"/>
        </w:rPr>
        <w:t>etwork (iDEN)</w:t>
      </w:r>
      <w:r w:rsidR="008F43B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cell site</w:t>
      </w:r>
      <w:r w:rsidR="008A204C">
        <w:rPr>
          <w:rFonts w:ascii="Times New Roman" w:hAnsi="Times New Roman"/>
        </w:rPr>
        <w:t xml:space="preserve">s </w:t>
      </w:r>
      <w:r>
        <w:rPr>
          <w:rFonts w:ascii="Times New Roman" w:hAnsi="Times New Roman"/>
        </w:rPr>
        <w:t xml:space="preserve">in its </w:t>
      </w:r>
      <w:r w:rsidR="00734177">
        <w:rPr>
          <w:rFonts w:ascii="Times New Roman" w:hAnsi="Times New Roman"/>
        </w:rPr>
        <w:t>ETC designated</w:t>
      </w:r>
      <w:r>
        <w:rPr>
          <w:rFonts w:ascii="Times New Roman" w:hAnsi="Times New Roman"/>
        </w:rPr>
        <w:t xml:space="preserve"> area</w:t>
      </w:r>
      <w:r w:rsidR="00B50208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in Washington. </w:t>
      </w:r>
      <w:r w:rsidR="00C230EC">
        <w:rPr>
          <w:rFonts w:ascii="Times New Roman" w:hAnsi="Times New Roman"/>
        </w:rPr>
        <w:t xml:space="preserve">During the past two years, the company reduced the total </w:t>
      </w:r>
      <w:r w:rsidR="00C230EC" w:rsidRPr="00044642">
        <w:rPr>
          <w:rFonts w:ascii="Times New Roman" w:hAnsi="Times New Roman"/>
        </w:rPr>
        <w:t>number of non-compliant sites from 156 to 7</w:t>
      </w:r>
      <w:r w:rsidR="00044642">
        <w:rPr>
          <w:rFonts w:ascii="Times New Roman" w:hAnsi="Times New Roman"/>
        </w:rPr>
        <w:t>6</w:t>
      </w:r>
      <w:r w:rsidR="008A204C">
        <w:rPr>
          <w:rFonts w:ascii="Times New Roman" w:hAnsi="Times New Roman"/>
        </w:rPr>
        <w:t>.</w:t>
      </w:r>
      <w:r w:rsidR="00044642">
        <w:rPr>
          <w:rFonts w:ascii="Times New Roman" w:hAnsi="Times New Roman"/>
        </w:rPr>
        <w:t xml:space="preserve"> </w:t>
      </w:r>
      <w:r w:rsidR="008A204C">
        <w:rPr>
          <w:rFonts w:ascii="Times New Roman" w:hAnsi="Times New Roman"/>
        </w:rPr>
        <w:t xml:space="preserve">The non-complaint cell sites </w:t>
      </w:r>
      <w:r w:rsidR="00B50208">
        <w:rPr>
          <w:rFonts w:ascii="Times New Roman" w:hAnsi="Times New Roman"/>
        </w:rPr>
        <w:t>are</w:t>
      </w:r>
      <w:r w:rsidR="009752FC" w:rsidRPr="00044642">
        <w:rPr>
          <w:rFonts w:ascii="Times New Roman" w:hAnsi="Times New Roman"/>
        </w:rPr>
        <w:t xml:space="preserve"> </w:t>
      </w:r>
      <w:r w:rsidR="00860E20">
        <w:rPr>
          <w:rFonts w:ascii="Times New Roman" w:hAnsi="Times New Roman"/>
        </w:rPr>
        <w:t xml:space="preserve">about </w:t>
      </w:r>
      <w:r w:rsidR="009752FC" w:rsidRPr="00044642">
        <w:rPr>
          <w:rFonts w:ascii="Times New Roman" w:hAnsi="Times New Roman"/>
        </w:rPr>
        <w:t>14</w:t>
      </w:r>
      <w:r w:rsidR="00860E20">
        <w:rPr>
          <w:rFonts w:ascii="Times New Roman" w:hAnsi="Times New Roman"/>
        </w:rPr>
        <w:t xml:space="preserve"> percent </w:t>
      </w:r>
      <w:r w:rsidR="00C53918">
        <w:rPr>
          <w:rFonts w:ascii="Times New Roman" w:hAnsi="Times New Roman"/>
        </w:rPr>
        <w:t xml:space="preserve">of the total </w:t>
      </w:r>
      <w:r w:rsidR="00411166">
        <w:rPr>
          <w:rFonts w:ascii="Times New Roman" w:hAnsi="Times New Roman"/>
        </w:rPr>
        <w:t xml:space="preserve">iDEN </w:t>
      </w:r>
      <w:r w:rsidR="00C53918">
        <w:rPr>
          <w:rFonts w:ascii="Times New Roman" w:hAnsi="Times New Roman"/>
        </w:rPr>
        <w:t>cell sites</w:t>
      </w:r>
      <w:r w:rsidR="008A204C">
        <w:rPr>
          <w:rFonts w:ascii="Times New Roman" w:hAnsi="Times New Roman"/>
        </w:rPr>
        <w:t xml:space="preserve"> located in </w:t>
      </w:r>
      <w:r w:rsidR="00860E20">
        <w:rPr>
          <w:rFonts w:ascii="Times New Roman" w:hAnsi="Times New Roman"/>
        </w:rPr>
        <w:t xml:space="preserve">the </w:t>
      </w:r>
      <w:r w:rsidR="008F43BC">
        <w:rPr>
          <w:rFonts w:ascii="Times New Roman" w:hAnsi="Times New Roman"/>
        </w:rPr>
        <w:t>c</w:t>
      </w:r>
      <w:r w:rsidR="00860E20">
        <w:rPr>
          <w:rFonts w:ascii="Times New Roman" w:hAnsi="Times New Roman"/>
        </w:rPr>
        <w:t xml:space="preserve">ompany’s </w:t>
      </w:r>
      <w:r w:rsidR="00734177">
        <w:rPr>
          <w:rFonts w:ascii="Times New Roman" w:hAnsi="Times New Roman"/>
        </w:rPr>
        <w:t>ETC designated</w:t>
      </w:r>
      <w:r w:rsidR="00860E20">
        <w:rPr>
          <w:rFonts w:ascii="Times New Roman" w:hAnsi="Times New Roman"/>
        </w:rPr>
        <w:t xml:space="preserve"> area in </w:t>
      </w:r>
      <w:r w:rsidR="008A204C">
        <w:rPr>
          <w:rFonts w:ascii="Times New Roman" w:hAnsi="Times New Roman"/>
        </w:rPr>
        <w:t>Washington</w:t>
      </w:r>
      <w:r w:rsidR="00044642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B50208" w:rsidRPr="00C21219" w:rsidRDefault="003A5213" w:rsidP="00411166">
      <w:pPr>
        <w:rPr>
          <w:rFonts w:ascii="Times New Roman" w:hAnsi="Times New Roman"/>
          <w:highlight w:val="lightGray"/>
        </w:rPr>
      </w:pPr>
      <w:r w:rsidRPr="00C21219">
        <w:rPr>
          <w:rFonts w:ascii="Times New Roman" w:hAnsi="Times New Roman"/>
          <w:b/>
          <w:highlight w:val="lightGray"/>
        </w:rPr>
        <w:t xml:space="preserve">  </w:t>
      </w:r>
      <w:r w:rsidR="00E264E6" w:rsidRPr="00C21219">
        <w:rPr>
          <w:rFonts w:ascii="Times New Roman" w:hAnsi="Times New Roman"/>
          <w:b/>
          <w:highlight w:val="lightGray"/>
        </w:rPr>
        <w:t xml:space="preserve">  </w:t>
      </w:r>
    </w:p>
    <w:p w:rsidR="00E264E6" w:rsidRPr="00D046C2" w:rsidRDefault="00E264E6" w:rsidP="00B50208">
      <w:pPr>
        <w:rPr>
          <w:rFonts w:ascii="Times New Roman" w:hAnsi="Times New Roman"/>
        </w:rPr>
      </w:pPr>
      <w:r w:rsidRPr="00D046C2">
        <w:rPr>
          <w:rFonts w:ascii="Times New Roman" w:hAnsi="Times New Roman"/>
        </w:rPr>
        <w:t xml:space="preserve">The compliance </w:t>
      </w:r>
      <w:r w:rsidRPr="00D57883">
        <w:rPr>
          <w:rFonts w:ascii="Times New Roman" w:hAnsi="Times New Roman"/>
        </w:rPr>
        <w:t>status is reported</w:t>
      </w:r>
      <w:r w:rsidRPr="00D57883">
        <w:rPr>
          <w:rFonts w:ascii="Times New Roman" w:hAnsi="Times New Roman"/>
          <w:b/>
        </w:rPr>
        <w:t xml:space="preserve"> </w:t>
      </w:r>
      <w:r w:rsidRPr="00D57883">
        <w:rPr>
          <w:rFonts w:ascii="Times New Roman" w:hAnsi="Times New Roman"/>
        </w:rPr>
        <w:t>as</w:t>
      </w:r>
      <w:r w:rsidRPr="00D57883">
        <w:rPr>
          <w:rFonts w:ascii="Times New Roman" w:hAnsi="Times New Roman"/>
          <w:b/>
        </w:rPr>
        <w:t xml:space="preserve"> </w:t>
      </w:r>
      <w:r w:rsidRPr="00D046C2">
        <w:rPr>
          <w:rFonts w:ascii="Times New Roman" w:hAnsi="Times New Roman"/>
        </w:rPr>
        <w:t>follows</w:t>
      </w:r>
      <w:r w:rsidR="00FC62D9" w:rsidRPr="00D046C2">
        <w:rPr>
          <w:rStyle w:val="FootnoteReference"/>
          <w:rFonts w:ascii="Times New Roman" w:hAnsi="Times New Roman"/>
        </w:rPr>
        <w:footnoteReference w:id="4"/>
      </w:r>
      <w:r w:rsidR="00E34F5C">
        <w:rPr>
          <w:rFonts w:ascii="Times New Roman" w:hAnsi="Times New Roman"/>
        </w:rPr>
        <w:t>:</w:t>
      </w:r>
    </w:p>
    <w:p w:rsidR="005D1005" w:rsidRDefault="005D1005" w:rsidP="00404F63">
      <w:pPr>
        <w:rPr>
          <w:rFonts w:ascii="Times New Roman" w:hAnsi="Times New Roman"/>
          <w:highlight w:val="lightGray"/>
        </w:rPr>
      </w:pPr>
    </w:p>
    <w:p w:rsidR="00B934BD" w:rsidRPr="00C21219" w:rsidRDefault="00B934BD" w:rsidP="00404F63">
      <w:pPr>
        <w:rPr>
          <w:rFonts w:ascii="Times New Roman" w:hAnsi="Times New Roman"/>
          <w:highlight w:val="lightGray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4"/>
        <w:gridCol w:w="2214"/>
        <w:gridCol w:w="2214"/>
        <w:gridCol w:w="2214"/>
      </w:tblGrid>
      <w:tr w:rsidR="00E264E6" w:rsidRPr="00C21219" w:rsidTr="00860E20">
        <w:trPr>
          <w:tblHeader/>
        </w:trPr>
        <w:tc>
          <w:tcPr>
            <w:tcW w:w="2214" w:type="dxa"/>
            <w:shd w:val="clear" w:color="auto" w:fill="auto"/>
          </w:tcPr>
          <w:p w:rsidR="00E264E6" w:rsidRPr="00D046C2" w:rsidRDefault="00E264E6" w:rsidP="00AF009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14" w:type="dxa"/>
            <w:shd w:val="clear" w:color="auto" w:fill="auto"/>
          </w:tcPr>
          <w:p w:rsidR="00E264E6" w:rsidRPr="00D046C2" w:rsidRDefault="00E264E6" w:rsidP="00AF0096">
            <w:pPr>
              <w:jc w:val="center"/>
              <w:rPr>
                <w:rFonts w:ascii="Times New Roman" w:hAnsi="Times New Roman"/>
                <w:b/>
              </w:rPr>
            </w:pPr>
            <w:r w:rsidRPr="00D046C2">
              <w:rPr>
                <w:rFonts w:ascii="Times New Roman" w:hAnsi="Times New Roman"/>
                <w:b/>
              </w:rPr>
              <w:t>In Compliance</w:t>
            </w:r>
          </w:p>
        </w:tc>
        <w:tc>
          <w:tcPr>
            <w:tcW w:w="2214" w:type="dxa"/>
            <w:shd w:val="clear" w:color="auto" w:fill="auto"/>
          </w:tcPr>
          <w:p w:rsidR="00E264E6" w:rsidRPr="00D046C2" w:rsidRDefault="00E264E6" w:rsidP="00AF0096">
            <w:pPr>
              <w:jc w:val="center"/>
              <w:rPr>
                <w:rFonts w:ascii="Times New Roman" w:hAnsi="Times New Roman"/>
                <w:b/>
              </w:rPr>
            </w:pPr>
            <w:r w:rsidRPr="00D046C2">
              <w:rPr>
                <w:rFonts w:ascii="Times New Roman" w:hAnsi="Times New Roman"/>
                <w:b/>
              </w:rPr>
              <w:t>Not In Compliance</w:t>
            </w:r>
          </w:p>
        </w:tc>
        <w:tc>
          <w:tcPr>
            <w:tcW w:w="2214" w:type="dxa"/>
            <w:shd w:val="clear" w:color="auto" w:fill="auto"/>
          </w:tcPr>
          <w:p w:rsidR="00E264E6" w:rsidRPr="00D046C2" w:rsidRDefault="00E264E6" w:rsidP="00AF0096">
            <w:pPr>
              <w:jc w:val="center"/>
              <w:rPr>
                <w:rFonts w:ascii="Times New Roman" w:hAnsi="Times New Roman"/>
                <w:b/>
              </w:rPr>
            </w:pPr>
            <w:r w:rsidRPr="00D046C2">
              <w:rPr>
                <w:rFonts w:ascii="Times New Roman" w:hAnsi="Times New Roman"/>
                <w:b/>
              </w:rPr>
              <w:t>Total</w:t>
            </w:r>
          </w:p>
        </w:tc>
      </w:tr>
      <w:tr w:rsidR="00E264E6" w:rsidRPr="00C21219" w:rsidTr="00C230EC">
        <w:tc>
          <w:tcPr>
            <w:tcW w:w="2214" w:type="dxa"/>
            <w:shd w:val="clear" w:color="auto" w:fill="auto"/>
          </w:tcPr>
          <w:p w:rsidR="00E264E6" w:rsidRPr="00D046C2" w:rsidRDefault="00E264E6" w:rsidP="00404F63">
            <w:pPr>
              <w:rPr>
                <w:rFonts w:ascii="Times New Roman" w:hAnsi="Times New Roman"/>
              </w:rPr>
            </w:pPr>
            <w:r w:rsidRPr="00D046C2">
              <w:rPr>
                <w:rFonts w:ascii="Times New Roman" w:hAnsi="Times New Roman"/>
              </w:rPr>
              <w:t>Class 1</w:t>
            </w:r>
          </w:p>
        </w:tc>
        <w:tc>
          <w:tcPr>
            <w:tcW w:w="2214" w:type="dxa"/>
            <w:shd w:val="clear" w:color="auto" w:fill="auto"/>
          </w:tcPr>
          <w:p w:rsidR="00E264E6" w:rsidRPr="00D046C2" w:rsidRDefault="00E264E6" w:rsidP="00AF0096">
            <w:pPr>
              <w:jc w:val="center"/>
              <w:rPr>
                <w:rFonts w:ascii="Times New Roman" w:hAnsi="Times New Roman"/>
              </w:rPr>
            </w:pPr>
            <w:r w:rsidRPr="00D046C2">
              <w:rPr>
                <w:rFonts w:ascii="Times New Roman" w:hAnsi="Times New Roman"/>
              </w:rPr>
              <w:t>8</w:t>
            </w:r>
            <w:r w:rsidR="00873D1C" w:rsidRPr="00D046C2">
              <w:rPr>
                <w:rFonts w:ascii="Times New Roman" w:hAnsi="Times New Roman"/>
              </w:rPr>
              <w:t>1</w:t>
            </w:r>
          </w:p>
        </w:tc>
        <w:tc>
          <w:tcPr>
            <w:tcW w:w="2214" w:type="dxa"/>
            <w:shd w:val="clear" w:color="auto" w:fill="auto"/>
          </w:tcPr>
          <w:p w:rsidR="00E264E6" w:rsidRPr="00D046C2" w:rsidRDefault="00873D1C" w:rsidP="00AF0096">
            <w:pPr>
              <w:jc w:val="center"/>
              <w:rPr>
                <w:rFonts w:ascii="Times New Roman" w:hAnsi="Times New Roman"/>
              </w:rPr>
            </w:pPr>
            <w:r w:rsidRPr="00D046C2">
              <w:rPr>
                <w:rFonts w:ascii="Times New Roman" w:hAnsi="Times New Roman"/>
              </w:rPr>
              <w:t>1</w:t>
            </w:r>
          </w:p>
        </w:tc>
        <w:tc>
          <w:tcPr>
            <w:tcW w:w="2214" w:type="dxa"/>
            <w:shd w:val="clear" w:color="auto" w:fill="auto"/>
          </w:tcPr>
          <w:p w:rsidR="00E264E6" w:rsidRPr="00D046C2" w:rsidRDefault="00C53918" w:rsidP="00C53918">
            <w:pPr>
              <w:jc w:val="center"/>
              <w:rPr>
                <w:rFonts w:ascii="Times New Roman" w:hAnsi="Times New Roman"/>
              </w:rPr>
            </w:pPr>
            <w:r w:rsidRPr="00D046C2">
              <w:rPr>
                <w:rFonts w:ascii="Times New Roman" w:hAnsi="Times New Roman"/>
              </w:rPr>
              <w:t>82</w:t>
            </w:r>
          </w:p>
        </w:tc>
      </w:tr>
      <w:tr w:rsidR="00E264E6" w:rsidRPr="00C21219" w:rsidTr="00C230EC">
        <w:tc>
          <w:tcPr>
            <w:tcW w:w="2214" w:type="dxa"/>
            <w:shd w:val="clear" w:color="auto" w:fill="auto"/>
          </w:tcPr>
          <w:p w:rsidR="00E264E6" w:rsidRPr="00D046C2" w:rsidRDefault="00E264E6" w:rsidP="00404F63">
            <w:pPr>
              <w:rPr>
                <w:rFonts w:ascii="Times New Roman" w:hAnsi="Times New Roman"/>
              </w:rPr>
            </w:pPr>
            <w:r w:rsidRPr="00D046C2">
              <w:rPr>
                <w:rFonts w:ascii="Times New Roman" w:hAnsi="Times New Roman"/>
              </w:rPr>
              <w:t>Class 2</w:t>
            </w:r>
          </w:p>
        </w:tc>
        <w:tc>
          <w:tcPr>
            <w:tcW w:w="2214" w:type="dxa"/>
            <w:shd w:val="clear" w:color="auto" w:fill="auto"/>
          </w:tcPr>
          <w:p w:rsidR="00E264E6" w:rsidRPr="00D046C2" w:rsidRDefault="00E264E6" w:rsidP="00C230EC">
            <w:pPr>
              <w:jc w:val="center"/>
              <w:rPr>
                <w:rFonts w:ascii="Times New Roman" w:hAnsi="Times New Roman"/>
                <w:b/>
              </w:rPr>
            </w:pPr>
            <w:r w:rsidRPr="00D046C2">
              <w:rPr>
                <w:rFonts w:ascii="Times New Roman" w:hAnsi="Times New Roman"/>
              </w:rPr>
              <w:t>3</w:t>
            </w:r>
            <w:r w:rsidR="00C230EC" w:rsidRPr="00D046C2">
              <w:rPr>
                <w:rFonts w:ascii="Times New Roman" w:hAnsi="Times New Roman"/>
              </w:rPr>
              <w:t>8</w:t>
            </w:r>
          </w:p>
        </w:tc>
        <w:tc>
          <w:tcPr>
            <w:tcW w:w="2214" w:type="dxa"/>
            <w:shd w:val="clear" w:color="auto" w:fill="auto"/>
          </w:tcPr>
          <w:p w:rsidR="00E264E6" w:rsidRPr="00D046C2" w:rsidRDefault="00C230EC" w:rsidP="00AF0096">
            <w:pPr>
              <w:jc w:val="center"/>
              <w:rPr>
                <w:rFonts w:ascii="Times New Roman" w:hAnsi="Times New Roman"/>
              </w:rPr>
            </w:pPr>
            <w:r w:rsidRPr="00D046C2">
              <w:rPr>
                <w:rFonts w:ascii="Times New Roman" w:hAnsi="Times New Roman"/>
              </w:rPr>
              <w:t>0</w:t>
            </w:r>
          </w:p>
        </w:tc>
        <w:tc>
          <w:tcPr>
            <w:tcW w:w="2214" w:type="dxa"/>
            <w:shd w:val="clear" w:color="auto" w:fill="auto"/>
          </w:tcPr>
          <w:p w:rsidR="00E264E6" w:rsidRPr="00D046C2" w:rsidRDefault="00C53918" w:rsidP="00AF0096">
            <w:pPr>
              <w:jc w:val="center"/>
              <w:rPr>
                <w:rFonts w:ascii="Times New Roman" w:hAnsi="Times New Roman"/>
              </w:rPr>
            </w:pPr>
            <w:r w:rsidRPr="00D046C2">
              <w:rPr>
                <w:rFonts w:ascii="Times New Roman" w:hAnsi="Times New Roman"/>
              </w:rPr>
              <w:t>38</w:t>
            </w:r>
          </w:p>
        </w:tc>
      </w:tr>
      <w:tr w:rsidR="00E264E6" w:rsidRPr="00C21219" w:rsidTr="00C230EC">
        <w:tc>
          <w:tcPr>
            <w:tcW w:w="2214" w:type="dxa"/>
            <w:shd w:val="clear" w:color="auto" w:fill="auto"/>
          </w:tcPr>
          <w:p w:rsidR="00E264E6" w:rsidRPr="00D046C2" w:rsidRDefault="00E264E6" w:rsidP="00404F63">
            <w:pPr>
              <w:rPr>
                <w:rFonts w:ascii="Times New Roman" w:hAnsi="Times New Roman"/>
              </w:rPr>
            </w:pPr>
            <w:r w:rsidRPr="00D046C2">
              <w:rPr>
                <w:rFonts w:ascii="Times New Roman" w:hAnsi="Times New Roman"/>
              </w:rPr>
              <w:t>Class 3</w:t>
            </w:r>
          </w:p>
        </w:tc>
        <w:tc>
          <w:tcPr>
            <w:tcW w:w="2214" w:type="dxa"/>
            <w:shd w:val="clear" w:color="auto" w:fill="auto"/>
          </w:tcPr>
          <w:p w:rsidR="00E264E6" w:rsidRPr="00D046C2" w:rsidRDefault="00E264E6" w:rsidP="00AF0096">
            <w:pPr>
              <w:jc w:val="center"/>
              <w:rPr>
                <w:rFonts w:ascii="Times New Roman" w:hAnsi="Times New Roman"/>
              </w:rPr>
            </w:pPr>
            <w:r w:rsidRPr="00D046C2">
              <w:rPr>
                <w:rFonts w:ascii="Times New Roman" w:hAnsi="Times New Roman"/>
              </w:rPr>
              <w:t>344</w:t>
            </w:r>
          </w:p>
        </w:tc>
        <w:tc>
          <w:tcPr>
            <w:tcW w:w="2214" w:type="dxa"/>
            <w:shd w:val="clear" w:color="auto" w:fill="auto"/>
          </w:tcPr>
          <w:p w:rsidR="00E264E6" w:rsidRPr="00D046C2" w:rsidRDefault="00E264E6" w:rsidP="00AF0096">
            <w:pPr>
              <w:jc w:val="center"/>
              <w:rPr>
                <w:rFonts w:ascii="Times New Roman" w:hAnsi="Times New Roman"/>
              </w:rPr>
            </w:pPr>
            <w:r w:rsidRPr="00D046C2">
              <w:rPr>
                <w:rFonts w:ascii="Times New Roman" w:hAnsi="Times New Roman"/>
              </w:rPr>
              <w:t>75</w:t>
            </w:r>
          </w:p>
        </w:tc>
        <w:tc>
          <w:tcPr>
            <w:tcW w:w="2214" w:type="dxa"/>
            <w:shd w:val="clear" w:color="auto" w:fill="auto"/>
          </w:tcPr>
          <w:p w:rsidR="00E264E6" w:rsidRPr="00D046C2" w:rsidRDefault="00C53918" w:rsidP="00AF0096">
            <w:pPr>
              <w:jc w:val="center"/>
              <w:rPr>
                <w:rFonts w:ascii="Times New Roman" w:hAnsi="Times New Roman"/>
              </w:rPr>
            </w:pPr>
            <w:r w:rsidRPr="00D046C2">
              <w:rPr>
                <w:rFonts w:ascii="Times New Roman" w:hAnsi="Times New Roman"/>
              </w:rPr>
              <w:t>419</w:t>
            </w:r>
          </w:p>
        </w:tc>
      </w:tr>
      <w:tr w:rsidR="009752FC" w:rsidRPr="00C21219" w:rsidTr="00C230EC">
        <w:tc>
          <w:tcPr>
            <w:tcW w:w="2214" w:type="dxa"/>
            <w:shd w:val="clear" w:color="auto" w:fill="auto"/>
          </w:tcPr>
          <w:p w:rsidR="009752FC" w:rsidRPr="00C21219" w:rsidRDefault="009752FC" w:rsidP="00404F63">
            <w:pPr>
              <w:rPr>
                <w:rFonts w:ascii="Times New Roman" w:hAnsi="Times New Roman"/>
                <w:b/>
                <w:highlight w:val="lightGray"/>
              </w:rPr>
            </w:pPr>
            <w:r w:rsidRPr="00D046C2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2214" w:type="dxa"/>
            <w:shd w:val="clear" w:color="auto" w:fill="auto"/>
          </w:tcPr>
          <w:p w:rsidR="009752FC" w:rsidRPr="00C21219" w:rsidRDefault="00C53918" w:rsidP="00AF0096">
            <w:pPr>
              <w:jc w:val="center"/>
              <w:rPr>
                <w:rFonts w:ascii="Times New Roman" w:hAnsi="Times New Roman"/>
                <w:b/>
              </w:rPr>
            </w:pPr>
            <w:r w:rsidRPr="00C21219">
              <w:rPr>
                <w:rFonts w:ascii="Times New Roman" w:hAnsi="Times New Roman"/>
                <w:b/>
              </w:rPr>
              <w:t>463</w:t>
            </w:r>
          </w:p>
        </w:tc>
        <w:tc>
          <w:tcPr>
            <w:tcW w:w="2214" w:type="dxa"/>
            <w:shd w:val="clear" w:color="auto" w:fill="auto"/>
          </w:tcPr>
          <w:p w:rsidR="009752FC" w:rsidRPr="00C21219" w:rsidRDefault="00C53918" w:rsidP="00AF0096">
            <w:pPr>
              <w:jc w:val="center"/>
              <w:rPr>
                <w:rFonts w:ascii="Times New Roman" w:hAnsi="Times New Roman"/>
                <w:b/>
              </w:rPr>
            </w:pPr>
            <w:r w:rsidRPr="00C21219">
              <w:rPr>
                <w:rFonts w:ascii="Times New Roman" w:hAnsi="Times New Roman"/>
                <w:b/>
              </w:rPr>
              <w:t>76</w:t>
            </w:r>
          </w:p>
        </w:tc>
        <w:tc>
          <w:tcPr>
            <w:tcW w:w="2214" w:type="dxa"/>
            <w:shd w:val="clear" w:color="auto" w:fill="auto"/>
          </w:tcPr>
          <w:p w:rsidR="009752FC" w:rsidRPr="00C21219" w:rsidRDefault="00C53918" w:rsidP="00C53918">
            <w:pPr>
              <w:jc w:val="center"/>
              <w:rPr>
                <w:rFonts w:ascii="Times New Roman" w:hAnsi="Times New Roman"/>
                <w:b/>
              </w:rPr>
            </w:pPr>
            <w:r w:rsidRPr="00C21219">
              <w:rPr>
                <w:rFonts w:ascii="Times New Roman" w:hAnsi="Times New Roman"/>
                <w:b/>
              </w:rPr>
              <w:t>539</w:t>
            </w:r>
          </w:p>
        </w:tc>
      </w:tr>
    </w:tbl>
    <w:p w:rsidR="00E264E6" w:rsidRPr="00C21219" w:rsidRDefault="00E264E6" w:rsidP="00404F63">
      <w:pPr>
        <w:rPr>
          <w:rFonts w:ascii="Times New Roman" w:hAnsi="Times New Roman"/>
          <w:b/>
        </w:rPr>
      </w:pPr>
    </w:p>
    <w:p w:rsidR="00044642" w:rsidRDefault="00411166" w:rsidP="00044642">
      <w:pPr>
        <w:rPr>
          <w:rFonts w:ascii="Times New Roman" w:hAnsi="Times New Roman"/>
        </w:rPr>
      </w:pPr>
      <w:r w:rsidRPr="00D046C2">
        <w:rPr>
          <w:rFonts w:ascii="Times New Roman" w:hAnsi="Times New Roman"/>
        </w:rPr>
        <w:t>The company’</w:t>
      </w:r>
      <w:r w:rsidR="00D15B42">
        <w:rPr>
          <w:rFonts w:ascii="Times New Roman" w:hAnsi="Times New Roman"/>
        </w:rPr>
        <w:t xml:space="preserve">s cell sites with </w:t>
      </w:r>
      <w:r w:rsidR="005D1005">
        <w:rPr>
          <w:rFonts w:ascii="Times New Roman" w:hAnsi="Times New Roman"/>
        </w:rPr>
        <w:t>Code</w:t>
      </w:r>
      <w:r>
        <w:rPr>
          <w:rFonts w:ascii="Times New Roman" w:hAnsi="Times New Roman"/>
        </w:rPr>
        <w:t xml:space="preserve"> </w:t>
      </w:r>
      <w:r w:rsidR="00D15B42">
        <w:rPr>
          <w:rFonts w:ascii="Times New Roman" w:hAnsi="Times New Roman"/>
        </w:rPr>
        <w:t>Division Multiple A</w:t>
      </w:r>
      <w:r>
        <w:rPr>
          <w:rFonts w:ascii="Times New Roman" w:hAnsi="Times New Roman"/>
        </w:rPr>
        <w:t>ccess technology all comply with the four hour back up power standard.</w:t>
      </w:r>
    </w:p>
    <w:p w:rsidR="00411166" w:rsidRDefault="00411166" w:rsidP="00044642">
      <w:pPr>
        <w:rPr>
          <w:rFonts w:ascii="Times New Roman" w:hAnsi="Times New Roman"/>
        </w:rPr>
      </w:pPr>
    </w:p>
    <w:p w:rsidR="00C53918" w:rsidRDefault="00C53918" w:rsidP="00C5391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company’s cell sites provide overlapping coverage for neighboring areas. </w:t>
      </w:r>
      <w:r w:rsidR="00411166">
        <w:rPr>
          <w:rFonts w:ascii="Times New Roman" w:hAnsi="Times New Roman"/>
        </w:rPr>
        <w:t>Before the implementation of Washington state rule, i</w:t>
      </w:r>
      <w:r w:rsidR="007B7B74">
        <w:rPr>
          <w:rFonts w:ascii="Times New Roman" w:hAnsi="Times New Roman"/>
        </w:rPr>
        <w:t xml:space="preserve">ts </w:t>
      </w:r>
      <w:r w:rsidR="007B7B74" w:rsidRPr="00860E20">
        <w:rPr>
          <w:rFonts w:ascii="Times New Roman" w:hAnsi="Times New Roman"/>
        </w:rPr>
        <w:t xml:space="preserve">cell </w:t>
      </w:r>
      <w:r w:rsidR="007B7B74">
        <w:rPr>
          <w:rFonts w:ascii="Times New Roman" w:hAnsi="Times New Roman"/>
        </w:rPr>
        <w:t xml:space="preserve">sites equipped with iDEN technology </w:t>
      </w:r>
      <w:r w:rsidR="00411166">
        <w:rPr>
          <w:rFonts w:ascii="Times New Roman" w:hAnsi="Times New Roman"/>
        </w:rPr>
        <w:t>were</w:t>
      </w:r>
      <w:r w:rsidR="007B7B74">
        <w:rPr>
          <w:rFonts w:ascii="Times New Roman" w:hAnsi="Times New Roman"/>
        </w:rPr>
        <w:t xml:space="preserve"> engineered with a minimum of two, rather than four hours of</w:t>
      </w:r>
      <w:r w:rsidR="00D15B42">
        <w:rPr>
          <w:rFonts w:ascii="Times New Roman" w:hAnsi="Times New Roman"/>
        </w:rPr>
        <w:t xml:space="preserve"> back up</w:t>
      </w:r>
      <w:r w:rsidR="007B7B74">
        <w:rPr>
          <w:rFonts w:ascii="Times New Roman" w:hAnsi="Times New Roman"/>
        </w:rPr>
        <w:t xml:space="preserve"> battery standby power. However, i</w:t>
      </w:r>
      <w:r>
        <w:rPr>
          <w:rFonts w:ascii="Times New Roman" w:hAnsi="Times New Roman"/>
        </w:rPr>
        <w:t>f power failure occurs at a particular cell site, an adjacent cell site</w:t>
      </w:r>
      <w:r w:rsidR="009037C2">
        <w:rPr>
          <w:rFonts w:ascii="Times New Roman" w:hAnsi="Times New Roman"/>
        </w:rPr>
        <w:t xml:space="preserve"> </w:t>
      </w:r>
      <w:r w:rsidR="00411166">
        <w:rPr>
          <w:rFonts w:ascii="Times New Roman" w:hAnsi="Times New Roman"/>
        </w:rPr>
        <w:t>can provide coverage for most, if not all, of the affected area</w:t>
      </w:r>
      <w:r w:rsidR="009037C2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The company anticipates that even if all Class 3 cell sites </w:t>
      </w:r>
      <w:r w:rsidRPr="00044642">
        <w:rPr>
          <w:rFonts w:ascii="Times New Roman" w:hAnsi="Times New Roman"/>
        </w:rPr>
        <w:t>were to lose commercial power, the Class 1 and Class 2 cell</w:t>
      </w:r>
      <w:r w:rsidR="009037C2">
        <w:rPr>
          <w:rFonts w:ascii="Times New Roman" w:hAnsi="Times New Roman"/>
        </w:rPr>
        <w:t xml:space="preserve"> </w:t>
      </w:r>
      <w:r w:rsidRPr="00044642">
        <w:rPr>
          <w:rFonts w:ascii="Times New Roman" w:hAnsi="Times New Roman"/>
        </w:rPr>
        <w:t>s</w:t>
      </w:r>
      <w:r w:rsidR="009037C2">
        <w:rPr>
          <w:rFonts w:ascii="Times New Roman" w:hAnsi="Times New Roman"/>
        </w:rPr>
        <w:t>ites</w:t>
      </w:r>
      <w:r w:rsidRPr="00044642">
        <w:rPr>
          <w:rFonts w:ascii="Times New Roman" w:hAnsi="Times New Roman"/>
        </w:rPr>
        <w:t xml:space="preserve"> </w:t>
      </w:r>
      <w:r w:rsidR="00411166">
        <w:rPr>
          <w:rFonts w:ascii="Times New Roman" w:hAnsi="Times New Roman"/>
        </w:rPr>
        <w:t>would be</w:t>
      </w:r>
      <w:r w:rsidR="00640A7E">
        <w:rPr>
          <w:rFonts w:ascii="Times New Roman" w:hAnsi="Times New Roman"/>
        </w:rPr>
        <w:t xml:space="preserve"> capable of </w:t>
      </w:r>
      <w:r w:rsidRPr="00044642">
        <w:rPr>
          <w:rFonts w:ascii="Times New Roman" w:hAnsi="Times New Roman"/>
        </w:rPr>
        <w:t xml:space="preserve"> provid</w:t>
      </w:r>
      <w:r w:rsidR="00640A7E">
        <w:rPr>
          <w:rFonts w:ascii="Times New Roman" w:hAnsi="Times New Roman"/>
        </w:rPr>
        <w:t>ing</w:t>
      </w:r>
      <w:r w:rsidRPr="000446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approximately</w:t>
      </w:r>
      <w:r w:rsidRPr="00044642">
        <w:rPr>
          <w:rFonts w:ascii="Times New Roman" w:hAnsi="Times New Roman"/>
        </w:rPr>
        <w:t xml:space="preserve"> 85</w:t>
      </w:r>
      <w:r w:rsidR="00F460AB">
        <w:rPr>
          <w:rFonts w:ascii="Times New Roman" w:hAnsi="Times New Roman"/>
        </w:rPr>
        <w:t xml:space="preserve"> percent</w:t>
      </w:r>
      <w:r w:rsidRPr="00044642">
        <w:rPr>
          <w:rFonts w:ascii="Times New Roman" w:hAnsi="Times New Roman"/>
        </w:rPr>
        <w:t xml:space="preserve"> coverage </w:t>
      </w:r>
      <w:r w:rsidR="009037C2">
        <w:rPr>
          <w:rFonts w:ascii="Times New Roman" w:hAnsi="Times New Roman"/>
        </w:rPr>
        <w:t xml:space="preserve">of those Class 3 sites. </w:t>
      </w:r>
    </w:p>
    <w:p w:rsidR="00411166" w:rsidRDefault="00411166" w:rsidP="00C53918">
      <w:pPr>
        <w:rPr>
          <w:rFonts w:ascii="Times New Roman" w:hAnsi="Times New Roman"/>
        </w:rPr>
      </w:pPr>
    </w:p>
    <w:p w:rsidR="00FF5837" w:rsidRDefault="00C230EC">
      <w:pPr>
        <w:rPr>
          <w:rFonts w:ascii="Times New Roman" w:hAnsi="Times New Roman"/>
        </w:rPr>
      </w:pPr>
      <w:r>
        <w:rPr>
          <w:rFonts w:ascii="Times New Roman" w:hAnsi="Times New Roman"/>
        </w:rPr>
        <w:t>The</w:t>
      </w:r>
      <w:r w:rsidR="00924CED">
        <w:rPr>
          <w:rFonts w:ascii="Times New Roman" w:hAnsi="Times New Roman"/>
        </w:rPr>
        <w:t xml:space="preserve"> company </w:t>
      </w:r>
      <w:r w:rsidR="004D16AA">
        <w:rPr>
          <w:rFonts w:ascii="Times New Roman" w:hAnsi="Times New Roman"/>
        </w:rPr>
        <w:t xml:space="preserve">also </w:t>
      </w:r>
      <w:r w:rsidR="00C60022">
        <w:rPr>
          <w:rFonts w:ascii="Times New Roman" w:hAnsi="Times New Roman"/>
        </w:rPr>
        <w:t xml:space="preserve">has additional emergency response mechanisms in place </w:t>
      </w:r>
      <w:r w:rsidR="00C53918">
        <w:rPr>
          <w:rFonts w:ascii="Times New Roman" w:hAnsi="Times New Roman"/>
        </w:rPr>
        <w:t>to cope with</w:t>
      </w:r>
      <w:r w:rsidR="00C60022">
        <w:rPr>
          <w:rFonts w:ascii="Times New Roman" w:hAnsi="Times New Roman"/>
        </w:rPr>
        <w:t xml:space="preserve"> power outage</w:t>
      </w:r>
      <w:r w:rsidR="00BD1621">
        <w:rPr>
          <w:rFonts w:ascii="Times New Roman" w:hAnsi="Times New Roman"/>
        </w:rPr>
        <w:t xml:space="preserve"> emergencie</w:t>
      </w:r>
      <w:r w:rsidR="00C60022">
        <w:rPr>
          <w:rFonts w:ascii="Times New Roman" w:hAnsi="Times New Roman"/>
        </w:rPr>
        <w:t>s</w:t>
      </w:r>
      <w:r w:rsidR="00924CED">
        <w:rPr>
          <w:rFonts w:ascii="Times New Roman" w:hAnsi="Times New Roman"/>
        </w:rPr>
        <w:t xml:space="preserve">. </w:t>
      </w:r>
      <w:r w:rsidR="00FF5837">
        <w:rPr>
          <w:rFonts w:ascii="Times New Roman" w:hAnsi="Times New Roman"/>
        </w:rPr>
        <w:t>T</w:t>
      </w:r>
      <w:r w:rsidR="00924CED">
        <w:rPr>
          <w:rFonts w:ascii="Times New Roman" w:hAnsi="Times New Roman"/>
        </w:rPr>
        <w:t>he company has portable generators and equipment at key locations throughout its service area</w:t>
      </w:r>
      <w:r w:rsidR="00DD1FC1">
        <w:rPr>
          <w:rFonts w:ascii="Times New Roman" w:hAnsi="Times New Roman"/>
        </w:rPr>
        <w:t xml:space="preserve"> to </w:t>
      </w:r>
      <w:r w:rsidR="00F460AB">
        <w:rPr>
          <w:rFonts w:ascii="Times New Roman" w:hAnsi="Times New Roman"/>
        </w:rPr>
        <w:t>en</w:t>
      </w:r>
      <w:r w:rsidR="00DD1FC1">
        <w:rPr>
          <w:rFonts w:ascii="Times New Roman" w:hAnsi="Times New Roman"/>
        </w:rPr>
        <w:t xml:space="preserve">sure </w:t>
      </w:r>
      <w:r w:rsidR="00411166">
        <w:rPr>
          <w:rFonts w:ascii="Times New Roman" w:hAnsi="Times New Roman"/>
        </w:rPr>
        <w:t>continuous service during power outages</w:t>
      </w:r>
      <w:r w:rsidR="009037C2">
        <w:rPr>
          <w:rFonts w:ascii="Times New Roman" w:hAnsi="Times New Roman"/>
        </w:rPr>
        <w:t xml:space="preserve">. The company </w:t>
      </w:r>
      <w:r w:rsidR="00F460AB">
        <w:rPr>
          <w:rFonts w:ascii="Times New Roman" w:hAnsi="Times New Roman"/>
        </w:rPr>
        <w:t>use</w:t>
      </w:r>
      <w:r w:rsidR="00411166">
        <w:rPr>
          <w:rFonts w:ascii="Times New Roman" w:hAnsi="Times New Roman"/>
        </w:rPr>
        <w:t>s</w:t>
      </w:r>
      <w:r w:rsidR="00924CED">
        <w:rPr>
          <w:rFonts w:ascii="Times New Roman" w:hAnsi="Times New Roman"/>
        </w:rPr>
        <w:t xml:space="preserve"> an alarm system to alert its on</w:t>
      </w:r>
      <w:r w:rsidR="00474B84">
        <w:rPr>
          <w:rFonts w:ascii="Times New Roman" w:hAnsi="Times New Roman"/>
        </w:rPr>
        <w:t>-</w:t>
      </w:r>
      <w:r w:rsidR="00924CED">
        <w:rPr>
          <w:rFonts w:ascii="Times New Roman" w:hAnsi="Times New Roman"/>
        </w:rPr>
        <w:t xml:space="preserve">call technicians </w:t>
      </w:r>
      <w:r w:rsidR="00DD1FC1">
        <w:rPr>
          <w:rFonts w:ascii="Times New Roman" w:hAnsi="Times New Roman"/>
        </w:rPr>
        <w:t>of cell site</w:t>
      </w:r>
      <w:r w:rsidR="00924CED">
        <w:rPr>
          <w:rFonts w:ascii="Times New Roman" w:hAnsi="Times New Roman"/>
        </w:rPr>
        <w:t xml:space="preserve"> power outages. The alarm system works in stages and allows the technicians to evaluate and prioritize their deployment of back up power equipment during</w:t>
      </w:r>
      <w:r w:rsidR="009037C2">
        <w:rPr>
          <w:rFonts w:ascii="Times New Roman" w:hAnsi="Times New Roman"/>
        </w:rPr>
        <w:t xml:space="preserve"> the</w:t>
      </w:r>
      <w:r w:rsidR="00924CED">
        <w:rPr>
          <w:rFonts w:ascii="Times New Roman" w:hAnsi="Times New Roman"/>
        </w:rPr>
        <w:t xml:space="preserve"> </w:t>
      </w:r>
      <w:r w:rsidR="00BD1621">
        <w:rPr>
          <w:rFonts w:ascii="Times New Roman" w:hAnsi="Times New Roman"/>
        </w:rPr>
        <w:t xml:space="preserve">power outages. </w:t>
      </w:r>
      <w:r w:rsidRPr="00044642">
        <w:rPr>
          <w:rFonts w:ascii="Times New Roman" w:hAnsi="Times New Roman"/>
        </w:rPr>
        <w:t>The company also maintains several</w:t>
      </w:r>
      <w:r w:rsidR="00DA009C">
        <w:rPr>
          <w:rFonts w:ascii="Times New Roman" w:hAnsi="Times New Roman"/>
        </w:rPr>
        <w:t xml:space="preserve"> “Cells o</w:t>
      </w:r>
      <w:r>
        <w:rPr>
          <w:rFonts w:ascii="Times New Roman" w:hAnsi="Times New Roman"/>
        </w:rPr>
        <w:t>n Wheels”</w:t>
      </w:r>
      <w:r w:rsidR="00557C31">
        <w:rPr>
          <w:rFonts w:ascii="Times New Roman" w:hAnsi="Times New Roman"/>
        </w:rPr>
        <w:t xml:space="preserve"> </w:t>
      </w:r>
      <w:r w:rsidR="00C21219">
        <w:rPr>
          <w:rFonts w:ascii="Times New Roman" w:hAnsi="Times New Roman"/>
        </w:rPr>
        <w:t>w</w:t>
      </w:r>
      <w:r>
        <w:rPr>
          <w:rFonts w:ascii="Times New Roman" w:hAnsi="Times New Roman"/>
        </w:rPr>
        <w:t>hich are port</w:t>
      </w:r>
      <w:r w:rsidR="00852AD4">
        <w:rPr>
          <w:rFonts w:ascii="Times New Roman" w:hAnsi="Times New Roman"/>
        </w:rPr>
        <w:t xml:space="preserve">able </w:t>
      </w:r>
      <w:r w:rsidR="00734177">
        <w:rPr>
          <w:rFonts w:ascii="Times New Roman" w:hAnsi="Times New Roman"/>
        </w:rPr>
        <w:t>self-contained</w:t>
      </w:r>
      <w:r w:rsidR="00852AD4">
        <w:rPr>
          <w:rFonts w:ascii="Times New Roman" w:hAnsi="Times New Roman"/>
        </w:rPr>
        <w:t xml:space="preserve"> cell sites and </w:t>
      </w:r>
      <w:r>
        <w:rPr>
          <w:rFonts w:ascii="Times New Roman" w:hAnsi="Times New Roman"/>
        </w:rPr>
        <w:t>can provide temporary coverage</w:t>
      </w:r>
      <w:r w:rsidR="00DD1FC1">
        <w:rPr>
          <w:rFonts w:ascii="Times New Roman" w:hAnsi="Times New Roman"/>
        </w:rPr>
        <w:t xml:space="preserve"> </w:t>
      </w:r>
      <w:r w:rsidR="00734177">
        <w:rPr>
          <w:rFonts w:ascii="Times New Roman" w:hAnsi="Times New Roman"/>
        </w:rPr>
        <w:t>in emergency situations</w:t>
      </w:r>
      <w:r>
        <w:rPr>
          <w:rFonts w:ascii="Times New Roman" w:hAnsi="Times New Roman"/>
        </w:rPr>
        <w:t xml:space="preserve">. </w:t>
      </w:r>
      <w:r w:rsidR="007B7B74">
        <w:rPr>
          <w:rFonts w:ascii="Times New Roman" w:hAnsi="Times New Roman"/>
        </w:rPr>
        <w:t xml:space="preserve">Although these measures have limitations and cannot </w:t>
      </w:r>
      <w:r w:rsidR="00175BF5">
        <w:rPr>
          <w:rFonts w:ascii="Times New Roman" w:hAnsi="Times New Roman"/>
        </w:rPr>
        <w:t>completely replace the on</w:t>
      </w:r>
      <w:r w:rsidR="00481989">
        <w:rPr>
          <w:rFonts w:ascii="Times New Roman" w:hAnsi="Times New Roman"/>
        </w:rPr>
        <w:t xml:space="preserve"> </w:t>
      </w:r>
      <w:r w:rsidR="00175BF5">
        <w:rPr>
          <w:rFonts w:ascii="Times New Roman" w:hAnsi="Times New Roman"/>
        </w:rPr>
        <w:t xml:space="preserve">site back up power, they greatly reduce the risks of customers losing </w:t>
      </w:r>
      <w:r w:rsidR="00481989">
        <w:rPr>
          <w:rFonts w:ascii="Times New Roman" w:hAnsi="Times New Roman"/>
        </w:rPr>
        <w:t xml:space="preserve">services during power outages. </w:t>
      </w:r>
    </w:p>
    <w:p w:rsidR="00175BF5" w:rsidRDefault="00175BF5">
      <w:pPr>
        <w:rPr>
          <w:rFonts w:ascii="Times New Roman" w:hAnsi="Times New Roman"/>
        </w:rPr>
      </w:pPr>
    </w:p>
    <w:p w:rsidR="00D70830" w:rsidRDefault="00D70830" w:rsidP="00527AAB">
      <w:pPr>
        <w:rPr>
          <w:rFonts w:ascii="Times New Roman" w:hAnsi="Times New Roman"/>
        </w:rPr>
      </w:pPr>
      <w:r w:rsidRPr="00D70830">
        <w:rPr>
          <w:rFonts w:ascii="Times New Roman" w:hAnsi="Times New Roman"/>
        </w:rPr>
        <w:t>The compan</w:t>
      </w:r>
      <w:r w:rsidR="00044642">
        <w:rPr>
          <w:rFonts w:ascii="Times New Roman" w:hAnsi="Times New Roman"/>
        </w:rPr>
        <w:t>y estimates that it will cost a</w:t>
      </w:r>
      <w:r w:rsidRPr="00D70830">
        <w:rPr>
          <w:rFonts w:ascii="Times New Roman" w:hAnsi="Times New Roman"/>
        </w:rPr>
        <w:t>t least $1.5 million in order to bring</w:t>
      </w:r>
      <w:r w:rsidR="00C21219">
        <w:rPr>
          <w:rFonts w:ascii="Times New Roman" w:hAnsi="Times New Roman"/>
        </w:rPr>
        <w:t xml:space="preserve"> the remaining</w:t>
      </w:r>
      <w:r w:rsidRPr="00D70830">
        <w:rPr>
          <w:rFonts w:ascii="Times New Roman" w:hAnsi="Times New Roman"/>
        </w:rPr>
        <w:t xml:space="preserve"> cell sites</w:t>
      </w:r>
      <w:r>
        <w:rPr>
          <w:rFonts w:ascii="Times New Roman" w:hAnsi="Times New Roman"/>
        </w:rPr>
        <w:t xml:space="preserve"> </w:t>
      </w:r>
      <w:r w:rsidR="00C21219">
        <w:rPr>
          <w:rFonts w:ascii="Times New Roman" w:hAnsi="Times New Roman"/>
        </w:rPr>
        <w:t xml:space="preserve">into </w:t>
      </w:r>
      <w:r w:rsidR="00D046C2">
        <w:rPr>
          <w:rFonts w:ascii="Times New Roman" w:hAnsi="Times New Roman"/>
        </w:rPr>
        <w:t>c</w:t>
      </w:r>
      <w:r w:rsidR="00C21219">
        <w:rPr>
          <w:rFonts w:ascii="Times New Roman" w:hAnsi="Times New Roman"/>
        </w:rPr>
        <w:t>ompliance.</w:t>
      </w:r>
      <w:r>
        <w:rPr>
          <w:rFonts w:ascii="Times New Roman" w:hAnsi="Times New Roman"/>
        </w:rPr>
        <w:t xml:space="preserve"> </w:t>
      </w:r>
      <w:r w:rsidR="00411166">
        <w:rPr>
          <w:rFonts w:ascii="Times New Roman" w:hAnsi="Times New Roman"/>
        </w:rPr>
        <w:t xml:space="preserve">It will be a significant portion of the federal high cost support </w:t>
      </w:r>
      <w:r w:rsidR="005D1005">
        <w:rPr>
          <w:rFonts w:ascii="Times New Roman" w:hAnsi="Times New Roman"/>
        </w:rPr>
        <w:t>the company</w:t>
      </w:r>
      <w:r w:rsidR="00411166">
        <w:rPr>
          <w:rFonts w:ascii="Times New Roman" w:hAnsi="Times New Roman"/>
        </w:rPr>
        <w:t xml:space="preserve"> </w:t>
      </w:r>
      <w:r w:rsidR="00E946EA">
        <w:rPr>
          <w:rFonts w:ascii="Times New Roman" w:hAnsi="Times New Roman"/>
        </w:rPr>
        <w:t>anticipates</w:t>
      </w:r>
      <w:r w:rsidR="00411166">
        <w:rPr>
          <w:rFonts w:ascii="Times New Roman" w:hAnsi="Times New Roman"/>
        </w:rPr>
        <w:t xml:space="preserve"> to receive</w:t>
      </w:r>
      <w:r w:rsidRPr="00E47131">
        <w:rPr>
          <w:rFonts w:ascii="Times New Roman" w:hAnsi="Times New Roman"/>
        </w:rPr>
        <w:t>. The</w:t>
      </w:r>
      <w:r w:rsidR="00CB5136">
        <w:rPr>
          <w:rFonts w:ascii="Times New Roman" w:hAnsi="Times New Roman"/>
        </w:rPr>
        <w:t xml:space="preserve"> company </w:t>
      </w:r>
      <w:r w:rsidR="00860E20">
        <w:rPr>
          <w:rFonts w:ascii="Times New Roman" w:hAnsi="Times New Roman"/>
        </w:rPr>
        <w:t xml:space="preserve">does not expect an increase in </w:t>
      </w:r>
      <w:r>
        <w:rPr>
          <w:rFonts w:ascii="Times New Roman" w:hAnsi="Times New Roman"/>
        </w:rPr>
        <w:t xml:space="preserve">federal high cost support for its Washington service area due to </w:t>
      </w:r>
      <w:r w:rsidRPr="004B1321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 xml:space="preserve">interim </w:t>
      </w:r>
      <w:r w:rsidRPr="004B1321">
        <w:rPr>
          <w:rFonts w:ascii="Times New Roman" w:hAnsi="Times New Roman"/>
        </w:rPr>
        <w:t xml:space="preserve">cap </w:t>
      </w:r>
      <w:r>
        <w:rPr>
          <w:rFonts w:ascii="Times New Roman" w:hAnsi="Times New Roman"/>
        </w:rPr>
        <w:t xml:space="preserve">the FCC recently imposed </w:t>
      </w:r>
      <w:r w:rsidRPr="004B1321">
        <w:rPr>
          <w:rFonts w:ascii="Times New Roman" w:hAnsi="Times New Roman"/>
        </w:rPr>
        <w:t>on competitive ETCs</w:t>
      </w:r>
      <w:r w:rsidR="00DD1FC1">
        <w:rPr>
          <w:rFonts w:ascii="Times New Roman" w:hAnsi="Times New Roman"/>
        </w:rPr>
        <w:t xml:space="preserve"> for the </w:t>
      </w:r>
      <w:r w:rsidRPr="004B1321">
        <w:rPr>
          <w:rFonts w:ascii="Times New Roman" w:hAnsi="Times New Roman"/>
        </w:rPr>
        <w:t>receipt of federal</w:t>
      </w:r>
      <w:r>
        <w:rPr>
          <w:rFonts w:ascii="Times New Roman" w:hAnsi="Times New Roman"/>
        </w:rPr>
        <w:t xml:space="preserve"> High Cost Fund</w:t>
      </w:r>
      <w:r w:rsidR="00CB5136">
        <w:rPr>
          <w:rFonts w:ascii="Times New Roman" w:hAnsi="Times New Roman"/>
        </w:rPr>
        <w:t>s</w:t>
      </w:r>
      <w:r w:rsidR="00860E20">
        <w:rPr>
          <w:rFonts w:ascii="Times New Roman" w:hAnsi="Times New Roman"/>
        </w:rPr>
        <w:t xml:space="preserve"> in a state</w:t>
      </w:r>
      <w:r w:rsidRPr="004B1321">
        <w:rPr>
          <w:rFonts w:ascii="Times New Roman" w:hAnsi="Times New Roman"/>
        </w:rPr>
        <w:t>.</w:t>
      </w:r>
      <w:r>
        <w:rPr>
          <w:rStyle w:val="FootnoteReference"/>
          <w:rFonts w:ascii="Times New Roman" w:hAnsi="Times New Roman"/>
        </w:rPr>
        <w:footnoteReference w:id="5"/>
      </w:r>
      <w:r w:rsidRPr="004B1321">
        <w:rPr>
          <w:rFonts w:ascii="Times New Roman" w:hAnsi="Times New Roman"/>
        </w:rPr>
        <w:t xml:space="preserve"> </w:t>
      </w:r>
      <w:r w:rsidR="00860E20">
        <w:rPr>
          <w:rFonts w:ascii="Times New Roman" w:hAnsi="Times New Roman"/>
        </w:rPr>
        <w:t xml:space="preserve">In addition, the company voluntarily </w:t>
      </w:r>
      <w:r w:rsidR="00860E20" w:rsidRPr="00527AAB">
        <w:rPr>
          <w:rFonts w:ascii="Times New Roman" w:hAnsi="Times New Roman"/>
        </w:rPr>
        <w:t xml:space="preserve">committed to </w:t>
      </w:r>
      <w:r w:rsidR="00E21EB1">
        <w:rPr>
          <w:rFonts w:ascii="Times New Roman" w:hAnsi="Times New Roman"/>
        </w:rPr>
        <w:t xml:space="preserve">a </w:t>
      </w:r>
      <w:r w:rsidR="00860E20" w:rsidRPr="00527AAB">
        <w:rPr>
          <w:rFonts w:ascii="Times New Roman" w:hAnsi="Times New Roman"/>
        </w:rPr>
        <w:t>20</w:t>
      </w:r>
      <w:r w:rsidR="00F460AB">
        <w:rPr>
          <w:rFonts w:ascii="Times New Roman" w:hAnsi="Times New Roman"/>
        </w:rPr>
        <w:t xml:space="preserve"> percent</w:t>
      </w:r>
      <w:r w:rsidR="00860E20" w:rsidRPr="00527AAB">
        <w:rPr>
          <w:rFonts w:ascii="Times New Roman" w:hAnsi="Times New Roman"/>
        </w:rPr>
        <w:t xml:space="preserve"> per year </w:t>
      </w:r>
      <w:r w:rsidR="00860E20" w:rsidRPr="00527AAB">
        <w:rPr>
          <w:rFonts w:ascii="Times New Roman" w:hAnsi="Times New Roman"/>
        </w:rPr>
        <w:lastRenderedPageBreak/>
        <w:t>reduction in its fe</w:t>
      </w:r>
      <w:r w:rsidR="00852AD4">
        <w:rPr>
          <w:rFonts w:ascii="Times New Roman" w:hAnsi="Times New Roman"/>
        </w:rPr>
        <w:t>d</w:t>
      </w:r>
      <w:r w:rsidR="00860E20" w:rsidRPr="00527AAB">
        <w:rPr>
          <w:rFonts w:ascii="Times New Roman" w:hAnsi="Times New Roman"/>
        </w:rPr>
        <w:t xml:space="preserve">eral high cost support </w:t>
      </w:r>
      <w:r w:rsidR="00E21EB1">
        <w:rPr>
          <w:rFonts w:ascii="Times New Roman" w:hAnsi="Times New Roman"/>
        </w:rPr>
        <w:t>funding</w:t>
      </w:r>
      <w:r w:rsidR="00860E20" w:rsidRPr="00527AAB">
        <w:rPr>
          <w:rFonts w:ascii="Times New Roman" w:hAnsi="Times New Roman"/>
        </w:rPr>
        <w:t xml:space="preserve"> when it merged with Clearwire Corporation.</w:t>
      </w:r>
      <w:r w:rsidR="00860E20" w:rsidRPr="00527AAB">
        <w:rPr>
          <w:rStyle w:val="FootnoteReference"/>
          <w:rFonts w:ascii="Times New Roman" w:hAnsi="Times New Roman"/>
        </w:rPr>
        <w:footnoteReference w:id="6"/>
      </w:r>
      <w:r w:rsidR="00860E20" w:rsidRPr="00527AAB">
        <w:rPr>
          <w:rFonts w:ascii="Times New Roman" w:hAnsi="Times New Roman"/>
        </w:rPr>
        <w:t xml:space="preserve"> </w:t>
      </w:r>
    </w:p>
    <w:p w:rsidR="00D70830" w:rsidRDefault="00D70830" w:rsidP="00D70830">
      <w:pPr>
        <w:rPr>
          <w:rFonts w:ascii="Times New Roman" w:hAnsi="Times New Roman"/>
        </w:rPr>
      </w:pPr>
    </w:p>
    <w:p w:rsidR="000971E6" w:rsidRDefault="00D7083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Staff </w:t>
      </w:r>
      <w:r w:rsidR="00E946EA">
        <w:rPr>
          <w:rFonts w:ascii="Times New Roman" w:hAnsi="Times New Roman"/>
        </w:rPr>
        <w:t>weighs the costs and benefits of the immediate enforcement of the rule</w:t>
      </w:r>
      <w:r>
        <w:rPr>
          <w:rFonts w:ascii="Times New Roman" w:hAnsi="Times New Roman"/>
        </w:rPr>
        <w:t xml:space="preserve">. </w:t>
      </w:r>
      <w:r w:rsidR="00D15B42">
        <w:rPr>
          <w:rFonts w:ascii="Times New Roman" w:hAnsi="Times New Roman"/>
        </w:rPr>
        <w:t>I</w:t>
      </w:r>
      <w:r>
        <w:rPr>
          <w:rFonts w:ascii="Times New Roman" w:hAnsi="Times New Roman"/>
        </w:rPr>
        <w:t>t is important for all cell sites to have</w:t>
      </w:r>
      <w:r w:rsidR="00752850">
        <w:rPr>
          <w:rFonts w:ascii="Times New Roman" w:hAnsi="Times New Roman"/>
        </w:rPr>
        <w:t xml:space="preserve"> the</w:t>
      </w:r>
      <w:r>
        <w:rPr>
          <w:rFonts w:ascii="Times New Roman" w:hAnsi="Times New Roman"/>
        </w:rPr>
        <w:t xml:space="preserve"> </w:t>
      </w:r>
      <w:r w:rsidR="00044642">
        <w:rPr>
          <w:rFonts w:ascii="Times New Roman" w:hAnsi="Times New Roman"/>
        </w:rPr>
        <w:t>required</w:t>
      </w:r>
      <w:r>
        <w:rPr>
          <w:rFonts w:ascii="Times New Roman" w:hAnsi="Times New Roman"/>
        </w:rPr>
        <w:t xml:space="preserve"> </w:t>
      </w:r>
      <w:r w:rsidR="00E946EA">
        <w:rPr>
          <w:rFonts w:ascii="Times New Roman" w:hAnsi="Times New Roman"/>
        </w:rPr>
        <w:t xml:space="preserve">level of </w:t>
      </w:r>
      <w:r>
        <w:rPr>
          <w:rFonts w:ascii="Times New Roman" w:hAnsi="Times New Roman"/>
        </w:rPr>
        <w:t>back up power</w:t>
      </w:r>
      <w:r w:rsidR="00CE4279">
        <w:rPr>
          <w:rFonts w:ascii="Times New Roman" w:hAnsi="Times New Roman"/>
        </w:rPr>
        <w:t xml:space="preserve"> to </w:t>
      </w:r>
      <w:r w:rsidR="00044642">
        <w:rPr>
          <w:rFonts w:ascii="Times New Roman" w:hAnsi="Times New Roman"/>
        </w:rPr>
        <w:t xml:space="preserve">be sufficiently </w:t>
      </w:r>
      <w:r w:rsidR="00CE4279">
        <w:rPr>
          <w:rFonts w:ascii="Times New Roman" w:hAnsi="Times New Roman"/>
        </w:rPr>
        <w:t>prepare</w:t>
      </w:r>
      <w:r w:rsidR="00044642">
        <w:rPr>
          <w:rFonts w:ascii="Times New Roman" w:hAnsi="Times New Roman"/>
        </w:rPr>
        <w:t>d</w:t>
      </w:r>
      <w:r w:rsidR="00CE4279">
        <w:rPr>
          <w:rFonts w:ascii="Times New Roman" w:hAnsi="Times New Roman"/>
        </w:rPr>
        <w:t xml:space="preserve"> for outages</w:t>
      </w:r>
      <w:r w:rsidR="005D1005">
        <w:rPr>
          <w:rFonts w:ascii="Times New Roman" w:hAnsi="Times New Roman"/>
        </w:rPr>
        <w:t>,</w:t>
      </w:r>
      <w:r w:rsidR="0052483E">
        <w:rPr>
          <w:rFonts w:ascii="Times New Roman" w:hAnsi="Times New Roman"/>
        </w:rPr>
        <w:t xml:space="preserve"> but </w:t>
      </w:r>
      <w:r w:rsidR="00CE4279">
        <w:rPr>
          <w:rFonts w:ascii="Times New Roman" w:hAnsi="Times New Roman"/>
        </w:rPr>
        <w:t xml:space="preserve">the cost </w:t>
      </w:r>
      <w:r w:rsidR="00E946EA">
        <w:rPr>
          <w:rFonts w:ascii="Times New Roman" w:hAnsi="Times New Roman"/>
        </w:rPr>
        <w:t>of immediate compliance is prohibitive.</w:t>
      </w:r>
      <w:r w:rsidR="00CE4279">
        <w:rPr>
          <w:rFonts w:ascii="Times New Roman" w:hAnsi="Times New Roman"/>
        </w:rPr>
        <w:t xml:space="preserve"> </w:t>
      </w:r>
      <w:r w:rsidR="00E946EA">
        <w:rPr>
          <w:rFonts w:ascii="Times New Roman" w:hAnsi="Times New Roman"/>
        </w:rPr>
        <w:t>It would limit the company’s resources in other network investment</w:t>
      </w:r>
      <w:r w:rsidR="0052483E">
        <w:rPr>
          <w:rFonts w:ascii="Times New Roman" w:hAnsi="Times New Roman"/>
        </w:rPr>
        <w:t>s</w:t>
      </w:r>
      <w:r w:rsidR="00E946EA">
        <w:rPr>
          <w:rFonts w:ascii="Times New Roman" w:hAnsi="Times New Roman"/>
        </w:rPr>
        <w:t>. Moreover, t</w:t>
      </w:r>
      <w:r w:rsidR="00FC62D9">
        <w:rPr>
          <w:rFonts w:ascii="Times New Roman" w:hAnsi="Times New Roman"/>
        </w:rPr>
        <w:t>he overlapping coverag</w:t>
      </w:r>
      <w:r w:rsidR="00752850">
        <w:rPr>
          <w:rFonts w:ascii="Times New Roman" w:hAnsi="Times New Roman"/>
        </w:rPr>
        <w:t>e</w:t>
      </w:r>
      <w:r w:rsidR="00FC62D9">
        <w:rPr>
          <w:rFonts w:ascii="Times New Roman" w:hAnsi="Times New Roman"/>
        </w:rPr>
        <w:t xml:space="preserve"> </w:t>
      </w:r>
      <w:r w:rsidR="00E946EA">
        <w:rPr>
          <w:rFonts w:ascii="Times New Roman" w:hAnsi="Times New Roman"/>
        </w:rPr>
        <w:t xml:space="preserve">provided </w:t>
      </w:r>
      <w:r w:rsidR="00FC62D9">
        <w:rPr>
          <w:rFonts w:ascii="Times New Roman" w:hAnsi="Times New Roman"/>
        </w:rPr>
        <w:t>by Class 1 and Class 2 cell sites significan</w:t>
      </w:r>
      <w:r w:rsidR="00E946EA">
        <w:rPr>
          <w:rFonts w:ascii="Times New Roman" w:hAnsi="Times New Roman"/>
        </w:rPr>
        <w:t>tly reduces the risks of service interruption even if not all Class 3 sites meet the four hour back up power standard</w:t>
      </w:r>
      <w:r w:rsidR="00527AAB">
        <w:rPr>
          <w:rFonts w:ascii="Times New Roman" w:hAnsi="Times New Roman"/>
        </w:rPr>
        <w:t>.</w:t>
      </w:r>
      <w:r w:rsidR="00FC62D9">
        <w:rPr>
          <w:rFonts w:ascii="Times New Roman" w:hAnsi="Times New Roman"/>
        </w:rPr>
        <w:t xml:space="preserve"> The </w:t>
      </w:r>
      <w:r w:rsidR="00E946EA">
        <w:rPr>
          <w:rFonts w:ascii="Times New Roman" w:hAnsi="Times New Roman"/>
        </w:rPr>
        <w:t xml:space="preserve">company’s </w:t>
      </w:r>
      <w:r w:rsidR="00FC62D9">
        <w:rPr>
          <w:rFonts w:ascii="Times New Roman" w:hAnsi="Times New Roman"/>
        </w:rPr>
        <w:t>emergency response measure</w:t>
      </w:r>
      <w:r w:rsidR="00E47131">
        <w:rPr>
          <w:rFonts w:ascii="Times New Roman" w:hAnsi="Times New Roman"/>
        </w:rPr>
        <w:t>s</w:t>
      </w:r>
      <w:r w:rsidR="00FC62D9">
        <w:rPr>
          <w:rFonts w:ascii="Times New Roman" w:hAnsi="Times New Roman"/>
        </w:rPr>
        <w:t xml:space="preserve"> further mitigate the adverse consequence of power outages lasting between two and four hours. </w:t>
      </w:r>
      <w:r w:rsidR="00527AAB">
        <w:rPr>
          <w:rFonts w:ascii="Times New Roman" w:hAnsi="Times New Roman"/>
        </w:rPr>
        <w:t>W</w:t>
      </w:r>
      <w:r w:rsidR="00F860E7">
        <w:rPr>
          <w:rFonts w:ascii="Times New Roman" w:hAnsi="Times New Roman"/>
        </w:rPr>
        <w:t xml:space="preserve">ashington residents will receive </w:t>
      </w:r>
      <w:r w:rsidR="00A8503E">
        <w:rPr>
          <w:rFonts w:ascii="Times New Roman" w:hAnsi="Times New Roman"/>
        </w:rPr>
        <w:t xml:space="preserve">a greater </w:t>
      </w:r>
      <w:r w:rsidR="00F860E7">
        <w:rPr>
          <w:rFonts w:ascii="Times New Roman" w:hAnsi="Times New Roman"/>
        </w:rPr>
        <w:t xml:space="preserve">benefit from the company’s </w:t>
      </w:r>
      <w:r w:rsidR="00527AAB">
        <w:rPr>
          <w:rFonts w:ascii="Times New Roman" w:hAnsi="Times New Roman"/>
        </w:rPr>
        <w:t>use of federal universal service fund</w:t>
      </w:r>
      <w:r w:rsidR="00F460AB">
        <w:rPr>
          <w:rFonts w:ascii="Times New Roman" w:hAnsi="Times New Roman"/>
        </w:rPr>
        <w:t>s</w:t>
      </w:r>
      <w:r w:rsidR="00527AAB">
        <w:rPr>
          <w:rFonts w:ascii="Times New Roman" w:hAnsi="Times New Roman"/>
        </w:rPr>
        <w:t xml:space="preserve"> </w:t>
      </w:r>
      <w:r w:rsidR="00942767">
        <w:rPr>
          <w:rFonts w:ascii="Times New Roman" w:hAnsi="Times New Roman"/>
        </w:rPr>
        <w:t>to</w:t>
      </w:r>
      <w:r w:rsidR="00527AAB">
        <w:rPr>
          <w:rFonts w:ascii="Times New Roman" w:hAnsi="Times New Roman"/>
        </w:rPr>
        <w:t xml:space="preserve"> expand network coverage and enhanc</w:t>
      </w:r>
      <w:r w:rsidR="00942767">
        <w:rPr>
          <w:rFonts w:ascii="Times New Roman" w:hAnsi="Times New Roman"/>
        </w:rPr>
        <w:t>e</w:t>
      </w:r>
      <w:r w:rsidR="00527AAB">
        <w:rPr>
          <w:rFonts w:ascii="Times New Roman" w:hAnsi="Times New Roman"/>
        </w:rPr>
        <w:t xml:space="preserve"> capacity </w:t>
      </w:r>
      <w:r w:rsidR="00A8503E">
        <w:rPr>
          <w:rFonts w:ascii="Times New Roman" w:hAnsi="Times New Roman"/>
        </w:rPr>
        <w:t xml:space="preserve">while </w:t>
      </w:r>
      <w:r w:rsidR="00E946EA">
        <w:rPr>
          <w:rFonts w:ascii="Times New Roman" w:hAnsi="Times New Roman"/>
        </w:rPr>
        <w:t>gradually upgrading</w:t>
      </w:r>
      <w:r w:rsidR="00A8503E">
        <w:rPr>
          <w:rFonts w:ascii="Times New Roman" w:hAnsi="Times New Roman"/>
        </w:rPr>
        <w:t xml:space="preserve"> back</w:t>
      </w:r>
      <w:r w:rsidR="00E946EA">
        <w:rPr>
          <w:rFonts w:ascii="Times New Roman" w:hAnsi="Times New Roman"/>
        </w:rPr>
        <w:t xml:space="preserve"> </w:t>
      </w:r>
      <w:r w:rsidR="00A8503E">
        <w:rPr>
          <w:rFonts w:ascii="Times New Roman" w:hAnsi="Times New Roman"/>
        </w:rPr>
        <w:t>up power over the next two years.</w:t>
      </w:r>
      <w:r w:rsidR="00527AAB">
        <w:rPr>
          <w:rFonts w:ascii="Times New Roman" w:hAnsi="Times New Roman"/>
        </w:rPr>
        <w:t xml:space="preserve"> </w:t>
      </w:r>
      <w:r w:rsidR="00E946EA">
        <w:rPr>
          <w:rFonts w:ascii="Times New Roman" w:hAnsi="Times New Roman"/>
        </w:rPr>
        <w:t>Therefore, s</w:t>
      </w:r>
      <w:r w:rsidR="00CE4279">
        <w:rPr>
          <w:rFonts w:ascii="Times New Roman" w:hAnsi="Times New Roman"/>
        </w:rPr>
        <w:t xml:space="preserve">taff </w:t>
      </w:r>
      <w:r w:rsidR="00E946EA">
        <w:rPr>
          <w:rFonts w:ascii="Times New Roman" w:hAnsi="Times New Roman"/>
        </w:rPr>
        <w:t>concludes</w:t>
      </w:r>
      <w:r w:rsidR="00CE4279">
        <w:rPr>
          <w:rFonts w:ascii="Times New Roman" w:hAnsi="Times New Roman"/>
        </w:rPr>
        <w:t xml:space="preserve"> </w:t>
      </w:r>
      <w:r w:rsidR="00E946EA">
        <w:rPr>
          <w:rFonts w:ascii="Times New Roman" w:hAnsi="Times New Roman"/>
        </w:rPr>
        <w:t xml:space="preserve">that an extension of the rule exemption is in the public interest and </w:t>
      </w:r>
      <w:r w:rsidR="00CE4279">
        <w:rPr>
          <w:rFonts w:ascii="Times New Roman" w:hAnsi="Times New Roman"/>
        </w:rPr>
        <w:t xml:space="preserve">the proposed timeline for full compliance is reasonable. </w:t>
      </w:r>
    </w:p>
    <w:p w:rsidR="00D70830" w:rsidRDefault="00D70830">
      <w:pPr>
        <w:rPr>
          <w:rFonts w:ascii="Times New Roman" w:hAnsi="Times New Roman"/>
        </w:rPr>
      </w:pPr>
    </w:p>
    <w:p w:rsidR="00175BF5" w:rsidRDefault="00E471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company commits that all new cell sites in its </w:t>
      </w:r>
      <w:r w:rsidR="00734177">
        <w:rPr>
          <w:rFonts w:ascii="Times New Roman" w:hAnsi="Times New Roman"/>
        </w:rPr>
        <w:t>ETC designated</w:t>
      </w:r>
      <w:r>
        <w:rPr>
          <w:rFonts w:ascii="Times New Roman" w:hAnsi="Times New Roman"/>
        </w:rPr>
        <w:t xml:space="preserve"> area</w:t>
      </w:r>
      <w:r w:rsidR="0052483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in </w:t>
      </w:r>
      <w:r w:rsidR="00852AD4">
        <w:rPr>
          <w:rFonts w:ascii="Times New Roman" w:hAnsi="Times New Roman"/>
        </w:rPr>
        <w:t>Washington</w:t>
      </w:r>
      <w:r>
        <w:rPr>
          <w:rFonts w:ascii="Times New Roman" w:hAnsi="Times New Roman"/>
        </w:rPr>
        <w:t xml:space="preserve"> will comply with the four hour back up power </w:t>
      </w:r>
      <w:r w:rsidR="00752850">
        <w:rPr>
          <w:rFonts w:ascii="Times New Roman" w:hAnsi="Times New Roman"/>
        </w:rPr>
        <w:t>requirement</w:t>
      </w:r>
      <w:r>
        <w:rPr>
          <w:rFonts w:ascii="Times New Roman" w:hAnsi="Times New Roman"/>
        </w:rPr>
        <w:t xml:space="preserve">. It also agrees to file annual and final compliance status reports </w:t>
      </w:r>
      <w:r w:rsidR="00E946EA">
        <w:rPr>
          <w:rFonts w:ascii="Times New Roman" w:hAnsi="Times New Roman"/>
        </w:rPr>
        <w:t>on back up power upgrades</w:t>
      </w:r>
      <w:r>
        <w:rPr>
          <w:rFonts w:ascii="Times New Roman" w:hAnsi="Times New Roman"/>
        </w:rPr>
        <w:t>.</w:t>
      </w:r>
      <w:r w:rsidR="00175BF5">
        <w:rPr>
          <w:rFonts w:ascii="Times New Roman" w:hAnsi="Times New Roman"/>
        </w:rPr>
        <w:t xml:space="preserve"> </w:t>
      </w:r>
      <w:r w:rsidR="0055224E">
        <w:rPr>
          <w:rFonts w:ascii="Times New Roman" w:hAnsi="Times New Roman"/>
        </w:rPr>
        <w:t>Staff believes the commitments</w:t>
      </w:r>
      <w:r w:rsidR="00EF4AE4">
        <w:rPr>
          <w:rFonts w:ascii="Times New Roman" w:hAnsi="Times New Roman"/>
        </w:rPr>
        <w:t xml:space="preserve"> are consistent with the company’s intent </w:t>
      </w:r>
      <w:r w:rsidR="005D1005">
        <w:rPr>
          <w:rFonts w:ascii="Times New Roman" w:hAnsi="Times New Roman"/>
        </w:rPr>
        <w:t>for</w:t>
      </w:r>
      <w:r w:rsidR="00EF4AE4">
        <w:rPr>
          <w:rFonts w:ascii="Times New Roman" w:hAnsi="Times New Roman"/>
        </w:rPr>
        <w:t xml:space="preserve"> rule compliance</w:t>
      </w:r>
      <w:r w:rsidR="0055224E">
        <w:rPr>
          <w:rFonts w:ascii="Times New Roman" w:hAnsi="Times New Roman"/>
        </w:rPr>
        <w:t>. Staff recommends that the commission grants the company’s petition for a</w:t>
      </w:r>
      <w:r w:rsidR="0052483E">
        <w:rPr>
          <w:rFonts w:ascii="Times New Roman" w:hAnsi="Times New Roman"/>
        </w:rPr>
        <w:t xml:space="preserve"> temporary </w:t>
      </w:r>
      <w:r w:rsidR="00EF4AE4">
        <w:rPr>
          <w:rFonts w:ascii="Times New Roman" w:hAnsi="Times New Roman"/>
        </w:rPr>
        <w:t xml:space="preserve">exemption </w:t>
      </w:r>
      <w:r w:rsidR="0055224E">
        <w:rPr>
          <w:rFonts w:ascii="Times New Roman" w:hAnsi="Times New Roman"/>
        </w:rPr>
        <w:t>conditioned on these commitment</w:t>
      </w:r>
      <w:r w:rsidR="00EF4AE4">
        <w:rPr>
          <w:rFonts w:ascii="Times New Roman" w:hAnsi="Times New Roman"/>
        </w:rPr>
        <w:t>s</w:t>
      </w:r>
      <w:r w:rsidR="0055224E">
        <w:rPr>
          <w:rFonts w:ascii="Times New Roman" w:hAnsi="Times New Roman"/>
        </w:rPr>
        <w:t xml:space="preserve">. </w:t>
      </w:r>
    </w:p>
    <w:p w:rsidR="00175BF5" w:rsidRDefault="00175BF5">
      <w:pPr>
        <w:rPr>
          <w:rFonts w:ascii="Times New Roman" w:hAnsi="Times New Roman"/>
        </w:rPr>
      </w:pPr>
    </w:p>
    <w:p w:rsidR="006D0781" w:rsidRPr="00247ADF" w:rsidRDefault="00D60E7F">
      <w:pPr>
        <w:rPr>
          <w:rFonts w:ascii="Times New Roman" w:hAnsi="Times New Roman"/>
        </w:rPr>
      </w:pPr>
      <w:r w:rsidRPr="00FE28CD">
        <w:rPr>
          <w:rFonts w:ascii="Times New Roman" w:hAnsi="Times New Roman"/>
          <w:b/>
          <w:u w:val="single"/>
        </w:rPr>
        <w:t>Conclusion</w:t>
      </w:r>
    </w:p>
    <w:p w:rsidR="006D0781" w:rsidRDefault="006D0781">
      <w:pPr>
        <w:rPr>
          <w:rFonts w:ascii="Times New Roman" w:hAnsi="Times New Roman"/>
          <w:b/>
          <w:u w:val="single"/>
        </w:rPr>
      </w:pPr>
    </w:p>
    <w:p w:rsidR="004C5FF8" w:rsidRPr="00FE28CD" w:rsidRDefault="00942767" w:rsidP="004C5FF8">
      <w:pPr>
        <w:rPr>
          <w:rFonts w:ascii="Times New Roman" w:hAnsi="Times New Roman"/>
        </w:rPr>
      </w:pPr>
      <w:r>
        <w:rPr>
          <w:rFonts w:ascii="Times New Roman" w:hAnsi="Times New Roman"/>
        </w:rPr>
        <w:t>For the above reasons</w:t>
      </w:r>
      <w:r w:rsidR="00CE4279">
        <w:rPr>
          <w:rFonts w:ascii="Times New Roman" w:hAnsi="Times New Roman"/>
        </w:rPr>
        <w:t>, s</w:t>
      </w:r>
      <w:r w:rsidR="00D70830">
        <w:rPr>
          <w:rFonts w:ascii="Times New Roman" w:hAnsi="Times New Roman"/>
        </w:rPr>
        <w:t xml:space="preserve">taff recommends that the commission grant </w:t>
      </w:r>
      <w:r w:rsidR="00CE4279">
        <w:rPr>
          <w:rFonts w:ascii="Times New Roman" w:hAnsi="Times New Roman"/>
        </w:rPr>
        <w:t>Sprint Nextel</w:t>
      </w:r>
      <w:r>
        <w:rPr>
          <w:rFonts w:ascii="Times New Roman" w:hAnsi="Times New Roman"/>
        </w:rPr>
        <w:t xml:space="preserve">’s petition </w:t>
      </w:r>
      <w:r w:rsidR="004C5FF8">
        <w:rPr>
          <w:rFonts w:ascii="Times New Roman" w:hAnsi="Times New Roman"/>
        </w:rPr>
        <w:t xml:space="preserve">for a temporary exemption from WAC 480-123-030(1)(g) which require four hours of back up battery power at each cell site </w:t>
      </w:r>
      <w:r w:rsidR="00474B84">
        <w:rPr>
          <w:rFonts w:ascii="Times New Roman" w:hAnsi="Times New Roman"/>
        </w:rPr>
        <w:t xml:space="preserve">and the certification requirement of WAC 480-123-070(6) </w:t>
      </w:r>
      <w:r w:rsidR="004C5FF8">
        <w:rPr>
          <w:rFonts w:ascii="Times New Roman" w:hAnsi="Times New Roman"/>
        </w:rPr>
        <w:t>until December 31, 2011.</w:t>
      </w:r>
      <w:r w:rsidR="00F96C7B">
        <w:rPr>
          <w:rFonts w:ascii="Times New Roman" w:hAnsi="Times New Roman"/>
        </w:rPr>
        <w:t xml:space="preserve"> The company must</w:t>
      </w:r>
      <w:r w:rsidR="00E946EA">
        <w:rPr>
          <w:rFonts w:ascii="Times New Roman" w:hAnsi="Times New Roman"/>
        </w:rPr>
        <w:t xml:space="preserve"> use reliable power </w:t>
      </w:r>
      <w:r w:rsidR="00F96C7B">
        <w:rPr>
          <w:rFonts w:ascii="Times New Roman" w:hAnsi="Times New Roman"/>
        </w:rPr>
        <w:t xml:space="preserve">sources (battery, fixed generator or fuel cells) to meet the four hour back up power standard. </w:t>
      </w:r>
    </w:p>
    <w:p w:rsidR="004C5FF8" w:rsidRPr="00FE28CD" w:rsidRDefault="004C5FF8" w:rsidP="004C5FF8">
      <w:pPr>
        <w:rPr>
          <w:rFonts w:ascii="Times New Roman" w:hAnsi="Times New Roman"/>
        </w:rPr>
      </w:pPr>
    </w:p>
    <w:p w:rsidR="00752850" w:rsidRDefault="00D432B1" w:rsidP="00D7083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The recommended exemption</w:t>
      </w:r>
      <w:r w:rsidR="00752850">
        <w:rPr>
          <w:rFonts w:ascii="Times New Roman" w:hAnsi="Times New Roman"/>
        </w:rPr>
        <w:t xml:space="preserve"> is</w:t>
      </w:r>
      <w:r w:rsidR="00D70830">
        <w:rPr>
          <w:rFonts w:ascii="Times New Roman" w:hAnsi="Times New Roman"/>
        </w:rPr>
        <w:t xml:space="preserve"> subject to the following conditions: </w:t>
      </w:r>
    </w:p>
    <w:p w:rsidR="004C5FF8" w:rsidRDefault="004C5FF8" w:rsidP="00D70830">
      <w:pPr>
        <w:rPr>
          <w:rFonts w:ascii="Times New Roman" w:hAnsi="Times New Roman"/>
        </w:rPr>
      </w:pPr>
    </w:p>
    <w:p w:rsidR="00175BF5" w:rsidRDefault="00B934BD" w:rsidP="00B934BD">
      <w:pPr>
        <w:numPr>
          <w:ilvl w:val="0"/>
          <w:numId w:val="11"/>
        </w:numPr>
        <w:ind w:left="720" w:hanging="270"/>
        <w:rPr>
          <w:rFonts w:ascii="Times New Roman" w:hAnsi="Times New Roman"/>
        </w:rPr>
      </w:pPr>
      <w:r>
        <w:rPr>
          <w:rFonts w:ascii="Times New Roman" w:hAnsi="Times New Roman"/>
        </w:rPr>
        <w:t>The company must provide four hours of back up power at all new cell sites constructed during this period;</w:t>
      </w:r>
    </w:p>
    <w:p w:rsidR="00175BF5" w:rsidRDefault="00175BF5" w:rsidP="00B934BD">
      <w:pPr>
        <w:ind w:left="720" w:hanging="270"/>
        <w:rPr>
          <w:rFonts w:ascii="Times New Roman" w:hAnsi="Times New Roman"/>
        </w:rPr>
      </w:pPr>
    </w:p>
    <w:p w:rsidR="00FB6AD2" w:rsidRPr="00175BF5" w:rsidRDefault="00752850" w:rsidP="00B934BD">
      <w:pPr>
        <w:numPr>
          <w:ilvl w:val="0"/>
          <w:numId w:val="11"/>
        </w:numPr>
        <w:ind w:left="720" w:hanging="270"/>
        <w:rPr>
          <w:rFonts w:ascii="Times New Roman" w:hAnsi="Times New Roman"/>
        </w:rPr>
      </w:pPr>
      <w:r w:rsidRPr="00175BF5">
        <w:rPr>
          <w:rFonts w:ascii="Times New Roman" w:hAnsi="Times New Roman"/>
        </w:rPr>
        <w:t>T</w:t>
      </w:r>
      <w:r w:rsidR="00D70830" w:rsidRPr="00175BF5">
        <w:rPr>
          <w:rFonts w:ascii="Times New Roman" w:hAnsi="Times New Roman"/>
        </w:rPr>
        <w:t xml:space="preserve">he company </w:t>
      </w:r>
      <w:r w:rsidR="00DB6BAF">
        <w:rPr>
          <w:rFonts w:ascii="Times New Roman" w:hAnsi="Times New Roman"/>
        </w:rPr>
        <w:t>must</w:t>
      </w:r>
      <w:r w:rsidR="00D70830" w:rsidRPr="00175BF5">
        <w:rPr>
          <w:rFonts w:ascii="Times New Roman" w:hAnsi="Times New Roman"/>
        </w:rPr>
        <w:t xml:space="preserve"> </w:t>
      </w:r>
      <w:r w:rsidR="00B934BD">
        <w:rPr>
          <w:rFonts w:ascii="Times New Roman" w:hAnsi="Times New Roman"/>
        </w:rPr>
        <w:t>include</w:t>
      </w:r>
      <w:r w:rsidR="00D70830" w:rsidRPr="00175BF5">
        <w:rPr>
          <w:rFonts w:ascii="Times New Roman" w:hAnsi="Times New Roman"/>
        </w:rPr>
        <w:t xml:space="preserve"> a</w:t>
      </w:r>
      <w:r w:rsidR="00B934BD">
        <w:rPr>
          <w:rFonts w:ascii="Times New Roman" w:hAnsi="Times New Roman"/>
        </w:rPr>
        <w:t xml:space="preserve"> </w:t>
      </w:r>
      <w:r w:rsidR="00D70830" w:rsidRPr="00175BF5">
        <w:rPr>
          <w:rFonts w:ascii="Times New Roman" w:hAnsi="Times New Roman"/>
        </w:rPr>
        <w:t>compliance status report</w:t>
      </w:r>
      <w:r w:rsidR="00CE4279" w:rsidRPr="00175BF5">
        <w:rPr>
          <w:rFonts w:ascii="Times New Roman" w:hAnsi="Times New Roman"/>
        </w:rPr>
        <w:t xml:space="preserve"> on back up power upgrade</w:t>
      </w:r>
      <w:r w:rsidRPr="00175BF5">
        <w:rPr>
          <w:rFonts w:ascii="Times New Roman" w:hAnsi="Times New Roman"/>
        </w:rPr>
        <w:t>s</w:t>
      </w:r>
      <w:r w:rsidR="00D70830" w:rsidRPr="00175BF5">
        <w:rPr>
          <w:rFonts w:ascii="Times New Roman" w:hAnsi="Times New Roman"/>
        </w:rPr>
        <w:t xml:space="preserve"> </w:t>
      </w:r>
      <w:r w:rsidR="00CE4279" w:rsidRPr="00175BF5">
        <w:rPr>
          <w:rFonts w:ascii="Times New Roman" w:hAnsi="Times New Roman"/>
        </w:rPr>
        <w:t xml:space="preserve">in its annual ETC filing with the </w:t>
      </w:r>
      <w:r w:rsidRPr="00175BF5">
        <w:rPr>
          <w:rFonts w:ascii="Times New Roman" w:hAnsi="Times New Roman"/>
        </w:rPr>
        <w:t>commission</w:t>
      </w:r>
      <w:r w:rsidR="00B934BD">
        <w:rPr>
          <w:rFonts w:ascii="Times New Roman" w:hAnsi="Times New Roman"/>
        </w:rPr>
        <w:t>;</w:t>
      </w:r>
    </w:p>
    <w:p w:rsidR="001876E1" w:rsidRDefault="001876E1" w:rsidP="00B934BD">
      <w:pPr>
        <w:ind w:left="720" w:hanging="270"/>
        <w:rPr>
          <w:rFonts w:ascii="Times New Roman" w:hAnsi="Times New Roman"/>
        </w:rPr>
      </w:pPr>
    </w:p>
    <w:p w:rsidR="001876E1" w:rsidRPr="00EF4AE4" w:rsidRDefault="00752850" w:rsidP="00B934BD">
      <w:pPr>
        <w:numPr>
          <w:ilvl w:val="0"/>
          <w:numId w:val="11"/>
        </w:numPr>
        <w:ind w:left="720" w:hanging="270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E47131">
        <w:rPr>
          <w:rFonts w:ascii="Times New Roman" w:hAnsi="Times New Roman"/>
        </w:rPr>
        <w:t xml:space="preserve">he company </w:t>
      </w:r>
      <w:r w:rsidR="00DB6BAF">
        <w:rPr>
          <w:rFonts w:ascii="Times New Roman" w:hAnsi="Times New Roman"/>
        </w:rPr>
        <w:t>must</w:t>
      </w:r>
      <w:r w:rsidR="00E47131">
        <w:rPr>
          <w:rFonts w:ascii="Times New Roman" w:hAnsi="Times New Roman"/>
        </w:rPr>
        <w:t xml:space="preserve"> </w:t>
      </w:r>
      <w:r w:rsidR="00CE4279">
        <w:rPr>
          <w:rFonts w:ascii="Times New Roman" w:hAnsi="Times New Roman"/>
        </w:rPr>
        <w:t xml:space="preserve">file a final compliance report </w:t>
      </w:r>
      <w:r w:rsidR="00D70830">
        <w:rPr>
          <w:rFonts w:ascii="Times New Roman" w:hAnsi="Times New Roman"/>
        </w:rPr>
        <w:t xml:space="preserve">upon </w:t>
      </w:r>
      <w:r w:rsidR="00107BB2">
        <w:rPr>
          <w:rFonts w:ascii="Times New Roman" w:hAnsi="Times New Roman"/>
        </w:rPr>
        <w:t xml:space="preserve">completion of the </w:t>
      </w:r>
      <w:r w:rsidR="00474B84">
        <w:rPr>
          <w:rFonts w:ascii="Times New Roman" w:hAnsi="Times New Roman"/>
        </w:rPr>
        <w:t>back up power upgrades</w:t>
      </w:r>
      <w:r w:rsidR="00D70830">
        <w:rPr>
          <w:rFonts w:ascii="Times New Roman" w:hAnsi="Times New Roman"/>
        </w:rPr>
        <w:t xml:space="preserve"> or at the </w:t>
      </w:r>
      <w:r w:rsidR="00852AD4">
        <w:rPr>
          <w:rFonts w:ascii="Times New Roman" w:hAnsi="Times New Roman"/>
        </w:rPr>
        <w:t>expiration</w:t>
      </w:r>
      <w:r w:rsidR="00D70830">
        <w:rPr>
          <w:rFonts w:ascii="Times New Roman" w:hAnsi="Times New Roman"/>
        </w:rPr>
        <w:t xml:space="preserve"> of </w:t>
      </w:r>
      <w:r w:rsidR="00CE4279">
        <w:rPr>
          <w:rFonts w:ascii="Times New Roman" w:hAnsi="Times New Roman"/>
        </w:rPr>
        <w:t xml:space="preserve">the </w:t>
      </w:r>
      <w:r w:rsidR="00474B84">
        <w:rPr>
          <w:rFonts w:ascii="Times New Roman" w:hAnsi="Times New Roman"/>
        </w:rPr>
        <w:t xml:space="preserve">temporary </w:t>
      </w:r>
      <w:r w:rsidR="00CE4279">
        <w:rPr>
          <w:rFonts w:ascii="Times New Roman" w:hAnsi="Times New Roman"/>
        </w:rPr>
        <w:t>exemption</w:t>
      </w:r>
      <w:r w:rsidR="00D70830">
        <w:rPr>
          <w:rFonts w:ascii="Times New Roman" w:hAnsi="Times New Roman"/>
        </w:rPr>
        <w:t xml:space="preserve">, whichever occurs first. </w:t>
      </w:r>
    </w:p>
    <w:sectPr w:rsidR="001876E1" w:rsidRPr="00EF4AE4" w:rsidSect="00C230EC">
      <w:headerReference w:type="default" r:id="rId12"/>
      <w:pgSz w:w="12240" w:h="15840"/>
      <w:pgMar w:top="1440" w:right="2160" w:bottom="144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8AF" w:rsidRDefault="002318AF">
      <w:r>
        <w:separator/>
      </w:r>
    </w:p>
  </w:endnote>
  <w:endnote w:type="continuationSeparator" w:id="0">
    <w:p w:rsidR="002318AF" w:rsidRDefault="00231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8AF" w:rsidRDefault="002318AF">
      <w:r>
        <w:separator/>
      </w:r>
    </w:p>
  </w:footnote>
  <w:footnote w:type="continuationSeparator" w:id="0">
    <w:p w:rsidR="002318AF" w:rsidRDefault="002318AF">
      <w:r>
        <w:continuationSeparator/>
      </w:r>
    </w:p>
  </w:footnote>
  <w:footnote w:id="1">
    <w:p w:rsidR="0052483E" w:rsidRPr="00D1668D" w:rsidRDefault="0052483E" w:rsidP="002A0C25">
      <w:pPr>
        <w:pStyle w:val="FootnoteText"/>
        <w:rPr>
          <w:rFonts w:ascii="Times New Roman" w:hAnsi="Times New Roman"/>
        </w:rPr>
      </w:pPr>
      <w:r w:rsidRPr="00D1668D"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>In Docket UT-031558, the c</w:t>
      </w:r>
      <w:r w:rsidRPr="00D1668D">
        <w:rPr>
          <w:rFonts w:ascii="Times New Roman" w:hAnsi="Times New Roman"/>
        </w:rPr>
        <w:t>ommission designated Sprint Corporation as an ETC in certain wire centers served by Qwest Corporation and Verizon Northwest, Inc. (non-rural wire cente</w:t>
      </w:r>
      <w:r>
        <w:rPr>
          <w:rFonts w:ascii="Times New Roman" w:hAnsi="Times New Roman"/>
        </w:rPr>
        <w:t>rs).  In Docket UT-043120, the c</w:t>
      </w:r>
      <w:r w:rsidRPr="00D1668D">
        <w:rPr>
          <w:rFonts w:ascii="Times New Roman" w:hAnsi="Times New Roman"/>
        </w:rPr>
        <w:t xml:space="preserve">ommission designated Sprint as an ETC </w:t>
      </w:r>
      <w:r>
        <w:rPr>
          <w:rFonts w:ascii="Times New Roman" w:hAnsi="Times New Roman"/>
        </w:rPr>
        <w:t>f</w:t>
      </w:r>
      <w:r w:rsidRPr="00D1668D">
        <w:rPr>
          <w:rFonts w:ascii="Times New Roman" w:hAnsi="Times New Roman"/>
        </w:rPr>
        <w:t xml:space="preserve">or the portions of its licensed service </w:t>
      </w:r>
      <w:r>
        <w:rPr>
          <w:rFonts w:ascii="Times New Roman" w:hAnsi="Times New Roman"/>
        </w:rPr>
        <w:t xml:space="preserve">area </w:t>
      </w:r>
      <w:r w:rsidRPr="00D1668D">
        <w:rPr>
          <w:rFonts w:ascii="Times New Roman" w:hAnsi="Times New Roman"/>
        </w:rPr>
        <w:t xml:space="preserve">that coincide or overlap, in whole or in part, with exchange areas served by some rural telephone companies (rural wire centers). </w:t>
      </w:r>
    </w:p>
  </w:footnote>
  <w:footnote w:id="2">
    <w:p w:rsidR="0052483E" w:rsidRPr="00D1668D" w:rsidRDefault="0052483E">
      <w:pPr>
        <w:pStyle w:val="FootnoteText"/>
        <w:rPr>
          <w:rFonts w:ascii="Times New Roman" w:hAnsi="Times New Roman"/>
        </w:rPr>
      </w:pPr>
      <w:r w:rsidRPr="00D1668D">
        <w:rPr>
          <w:rStyle w:val="FootnoteReference"/>
          <w:rFonts w:ascii="Times New Roman" w:hAnsi="Times New Roman"/>
        </w:rPr>
        <w:footnoteRef/>
      </w:r>
      <w:r w:rsidRPr="00D166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Docket </w:t>
      </w:r>
      <w:r w:rsidRPr="00D1668D">
        <w:rPr>
          <w:rFonts w:ascii="Times New Roman" w:hAnsi="Times New Roman"/>
        </w:rPr>
        <w:t>UT-073023</w:t>
      </w:r>
      <w:r>
        <w:rPr>
          <w:rFonts w:ascii="Times New Roman" w:hAnsi="Times New Roman"/>
        </w:rPr>
        <w:t>,</w:t>
      </w:r>
      <w:r w:rsidRPr="00D1668D">
        <w:rPr>
          <w:rFonts w:ascii="Times New Roman" w:hAnsi="Times New Roman"/>
        </w:rPr>
        <w:t xml:space="preserve"> Order 01. </w:t>
      </w:r>
    </w:p>
  </w:footnote>
  <w:footnote w:id="3">
    <w:p w:rsidR="0052483E" w:rsidRPr="00D1668D" w:rsidRDefault="0052483E">
      <w:pPr>
        <w:pStyle w:val="FootnoteText"/>
        <w:rPr>
          <w:rFonts w:ascii="Times New Roman" w:hAnsi="Times New Roman"/>
        </w:rPr>
      </w:pPr>
      <w:r w:rsidRPr="00D1668D">
        <w:rPr>
          <w:rStyle w:val="FootnoteReference"/>
          <w:rFonts w:ascii="Times New Roman" w:hAnsi="Times New Roman"/>
        </w:rPr>
        <w:footnoteRef/>
      </w:r>
      <w:r w:rsidRPr="00411166">
        <w:rPr>
          <w:rFonts w:ascii="Times New Roman" w:hAnsi="Times New Roman"/>
          <w:i/>
        </w:rPr>
        <w:t>Id.</w:t>
      </w:r>
      <w:r w:rsidRPr="00D1668D">
        <w:rPr>
          <w:rFonts w:ascii="Times New Roman" w:hAnsi="Times New Roman"/>
        </w:rPr>
        <w:t>, ¶</w:t>
      </w:r>
      <w:r>
        <w:rPr>
          <w:rFonts w:ascii="Times New Roman" w:hAnsi="Times New Roman"/>
        </w:rPr>
        <w:t xml:space="preserve"> </w:t>
      </w:r>
      <w:r w:rsidRPr="00D1668D">
        <w:rPr>
          <w:rFonts w:ascii="Times New Roman" w:hAnsi="Times New Roman"/>
        </w:rPr>
        <w:t xml:space="preserve">37. </w:t>
      </w:r>
    </w:p>
  </w:footnote>
  <w:footnote w:id="4">
    <w:p w:rsidR="0052483E" w:rsidRPr="00D1668D" w:rsidRDefault="0052483E">
      <w:pPr>
        <w:pStyle w:val="FootnoteText"/>
        <w:rPr>
          <w:rFonts w:ascii="Times New Roman" w:hAnsi="Times New Roman"/>
        </w:rPr>
      </w:pPr>
      <w:r w:rsidRPr="00D1668D">
        <w:rPr>
          <w:rStyle w:val="FootnoteReference"/>
          <w:rFonts w:ascii="Times New Roman" w:hAnsi="Times New Roman"/>
        </w:rPr>
        <w:footnoteRef/>
      </w:r>
      <w:r w:rsidRPr="00D1668D">
        <w:rPr>
          <w:rFonts w:ascii="Times New Roman" w:hAnsi="Times New Roman"/>
        </w:rPr>
        <w:t xml:space="preserve">Two of the Class Two sites are counted as compliant because currently the two sites house portable generators that are connected to each site. </w:t>
      </w:r>
      <w:r>
        <w:rPr>
          <w:rFonts w:ascii="Times New Roman" w:hAnsi="Times New Roman"/>
        </w:rPr>
        <w:t xml:space="preserve">Each portable generator is capable of providing 72 hours of power generation before refueling is required. </w:t>
      </w:r>
      <w:r w:rsidRPr="00D1668D">
        <w:rPr>
          <w:rFonts w:ascii="Times New Roman" w:hAnsi="Times New Roman"/>
        </w:rPr>
        <w:t xml:space="preserve">Although the portable generators may be temporarily relocated to provide back up power to another impacted site in </w:t>
      </w:r>
      <w:r>
        <w:rPr>
          <w:rFonts w:ascii="Times New Roman" w:hAnsi="Times New Roman"/>
        </w:rPr>
        <w:t xml:space="preserve">an </w:t>
      </w:r>
      <w:r w:rsidRPr="00D1668D">
        <w:rPr>
          <w:rFonts w:ascii="Times New Roman" w:hAnsi="Times New Roman"/>
        </w:rPr>
        <w:t xml:space="preserve">emergency situation, </w:t>
      </w:r>
      <w:r>
        <w:rPr>
          <w:rFonts w:ascii="Times New Roman" w:hAnsi="Times New Roman"/>
        </w:rPr>
        <w:t>they are</w:t>
      </w:r>
      <w:r w:rsidRPr="00D1668D">
        <w:rPr>
          <w:rFonts w:ascii="Times New Roman" w:hAnsi="Times New Roman"/>
        </w:rPr>
        <w:t xml:space="preserve"> on site</w:t>
      </w:r>
      <w:r>
        <w:rPr>
          <w:rFonts w:ascii="Times New Roman" w:hAnsi="Times New Roman"/>
        </w:rPr>
        <w:t xml:space="preserve"> at least</w:t>
      </w:r>
      <w:r w:rsidRPr="00D166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95 percent of the time.</w:t>
      </w:r>
      <w:r w:rsidRPr="00D1668D">
        <w:rPr>
          <w:rFonts w:ascii="Times New Roman" w:hAnsi="Times New Roman"/>
        </w:rPr>
        <w:t xml:space="preserve">  </w:t>
      </w:r>
    </w:p>
  </w:footnote>
  <w:footnote w:id="5">
    <w:p w:rsidR="0052483E" w:rsidRPr="00D1668D" w:rsidRDefault="0052483E" w:rsidP="00D70830">
      <w:pPr>
        <w:pStyle w:val="FootnoteText"/>
        <w:rPr>
          <w:rFonts w:ascii="Times New Roman" w:hAnsi="Times New Roman"/>
        </w:rPr>
      </w:pPr>
      <w:r w:rsidRPr="00D9239D">
        <w:rPr>
          <w:rStyle w:val="FootnoteReference"/>
          <w:rFonts w:ascii="Times New Roman" w:hAnsi="Times New Roman"/>
        </w:rPr>
        <w:footnoteRef/>
      </w:r>
      <w:r w:rsidRPr="00D9239D">
        <w:rPr>
          <w:rFonts w:ascii="Times New Roman" w:hAnsi="Times New Roman"/>
        </w:rPr>
        <w:t xml:space="preserve"> </w:t>
      </w:r>
      <w:r w:rsidRPr="00D1668D">
        <w:rPr>
          <w:rFonts w:ascii="Times New Roman" w:hAnsi="Times New Roman"/>
          <w:i/>
        </w:rPr>
        <w:t>In the Matter of High-Cost Universal Service Support, et al.</w:t>
      </w:r>
      <w:r>
        <w:rPr>
          <w:rFonts w:ascii="Times New Roman" w:hAnsi="Times New Roman"/>
        </w:rPr>
        <w:t>,</w:t>
      </w:r>
      <w:r w:rsidRPr="00D1668D">
        <w:rPr>
          <w:rFonts w:ascii="Times New Roman" w:hAnsi="Times New Roman"/>
          <w:i/>
        </w:rPr>
        <w:t xml:space="preserve"> </w:t>
      </w:r>
      <w:r w:rsidRPr="00D1668D">
        <w:rPr>
          <w:rFonts w:ascii="Times New Roman" w:hAnsi="Times New Roman"/>
        </w:rPr>
        <w:t>Order, WC Docket No.05-337 and CC Docket No.96-45, FCC 08-122 (Released May 1, 2008).</w:t>
      </w:r>
    </w:p>
  </w:footnote>
  <w:footnote w:id="6">
    <w:p w:rsidR="0052483E" w:rsidRPr="00D1668D" w:rsidRDefault="0052483E" w:rsidP="00860E20">
      <w:pPr>
        <w:pStyle w:val="FootnoteText"/>
        <w:rPr>
          <w:rFonts w:ascii="Times New Roman" w:hAnsi="Times New Roman"/>
        </w:rPr>
      </w:pPr>
      <w:r w:rsidRPr="00D1668D">
        <w:rPr>
          <w:rStyle w:val="FootnoteReference"/>
          <w:rFonts w:ascii="Times New Roman" w:hAnsi="Times New Roman"/>
        </w:rPr>
        <w:footnoteRef/>
      </w:r>
      <w:r w:rsidRPr="00D1668D">
        <w:rPr>
          <w:rFonts w:ascii="Times New Roman" w:hAnsi="Times New Roman"/>
        </w:rPr>
        <w:t xml:space="preserve"> </w:t>
      </w:r>
      <w:r w:rsidRPr="00D1668D">
        <w:rPr>
          <w:rFonts w:ascii="Times New Roman" w:hAnsi="Times New Roman"/>
          <w:i/>
        </w:rPr>
        <w:t xml:space="preserve">In the Matter of Sprint Nextel Corporation and Clearwire Corporation Applications for Consent </w:t>
      </w:r>
      <w:r>
        <w:rPr>
          <w:rFonts w:ascii="Times New Roman" w:hAnsi="Times New Roman"/>
          <w:i/>
        </w:rPr>
        <w:t>to Transfer Control of Licenses</w:t>
      </w:r>
      <w:r w:rsidRPr="00D1668D">
        <w:rPr>
          <w:rFonts w:ascii="Times New Roman" w:hAnsi="Times New Roman"/>
          <w:i/>
        </w:rPr>
        <w:t>, Leases, and Authorizations,</w:t>
      </w:r>
      <w:r w:rsidRPr="00D1668D">
        <w:rPr>
          <w:rFonts w:ascii="Times New Roman" w:hAnsi="Times New Roman"/>
        </w:rPr>
        <w:t xml:space="preserve"> Memorandum Opinion and Order, WT Docket No.08-94, FCC 08-259 (Released November 7, 2008), ¶</w:t>
      </w:r>
      <w:r>
        <w:rPr>
          <w:rFonts w:ascii="Times New Roman" w:hAnsi="Times New Roman"/>
        </w:rPr>
        <w:t xml:space="preserve"> </w:t>
      </w:r>
      <w:r w:rsidRPr="00D1668D">
        <w:rPr>
          <w:rFonts w:ascii="Times New Roman" w:hAnsi="Times New Roman"/>
        </w:rPr>
        <w:t xml:space="preserve">107. </w:t>
      </w:r>
      <w:r w:rsidRPr="00D1668D">
        <w:rPr>
          <w:rFonts w:ascii="Times New Roman" w:hAnsi="Times New Roman"/>
          <w:i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83E" w:rsidRPr="00FF52A3" w:rsidRDefault="0052483E">
    <w:pPr>
      <w:pStyle w:val="Header"/>
      <w:rPr>
        <w:rFonts w:ascii="Times New Roman" w:hAnsi="Times New Roman"/>
        <w:sz w:val="20"/>
        <w:szCs w:val="20"/>
      </w:rPr>
    </w:pPr>
    <w:r w:rsidRPr="00FF52A3">
      <w:rPr>
        <w:rFonts w:ascii="Times New Roman" w:hAnsi="Times New Roman"/>
        <w:sz w:val="20"/>
        <w:szCs w:val="20"/>
      </w:rPr>
      <w:t>DOCKET UT-0</w:t>
    </w:r>
    <w:r>
      <w:rPr>
        <w:rFonts w:ascii="Times New Roman" w:hAnsi="Times New Roman"/>
        <w:sz w:val="20"/>
        <w:szCs w:val="20"/>
      </w:rPr>
      <w:t>73023</w:t>
    </w:r>
  </w:p>
  <w:p w:rsidR="0052483E" w:rsidRPr="00FF52A3" w:rsidRDefault="0052483E">
    <w:pPr>
      <w:pStyle w:val="Head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September 10</w:t>
    </w:r>
    <w:r w:rsidRPr="00FF52A3">
      <w:rPr>
        <w:rFonts w:ascii="Times New Roman" w:hAnsi="Times New Roman"/>
        <w:sz w:val="20"/>
        <w:szCs w:val="20"/>
      </w:rPr>
      <w:t>, 200</w:t>
    </w:r>
    <w:r>
      <w:rPr>
        <w:rFonts w:ascii="Times New Roman" w:hAnsi="Times New Roman"/>
        <w:sz w:val="20"/>
        <w:szCs w:val="20"/>
      </w:rPr>
      <w:t>9</w:t>
    </w:r>
  </w:p>
  <w:p w:rsidR="0052483E" w:rsidRPr="00FF52A3" w:rsidRDefault="0052483E">
    <w:pPr>
      <w:pStyle w:val="Header"/>
      <w:rPr>
        <w:rStyle w:val="PageNumber"/>
        <w:rFonts w:ascii="Times New Roman" w:hAnsi="Times New Roman"/>
        <w:sz w:val="20"/>
        <w:szCs w:val="20"/>
      </w:rPr>
    </w:pPr>
    <w:r w:rsidRPr="00FF52A3">
      <w:rPr>
        <w:rFonts w:ascii="Times New Roman" w:hAnsi="Times New Roman"/>
        <w:sz w:val="20"/>
        <w:szCs w:val="20"/>
      </w:rPr>
      <w:t xml:space="preserve">Page </w:t>
    </w:r>
    <w:r w:rsidR="00D23DA2" w:rsidRPr="00FF52A3">
      <w:rPr>
        <w:rStyle w:val="PageNumber"/>
        <w:rFonts w:ascii="Times New Roman" w:hAnsi="Times New Roman"/>
        <w:sz w:val="20"/>
        <w:szCs w:val="20"/>
      </w:rPr>
      <w:fldChar w:fldCharType="begin"/>
    </w:r>
    <w:r w:rsidRPr="00FF52A3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="00D23DA2" w:rsidRPr="00FF52A3">
      <w:rPr>
        <w:rStyle w:val="PageNumber"/>
        <w:rFonts w:ascii="Times New Roman" w:hAnsi="Times New Roman"/>
        <w:sz w:val="20"/>
        <w:szCs w:val="20"/>
      </w:rPr>
      <w:fldChar w:fldCharType="separate"/>
    </w:r>
    <w:r w:rsidR="000B5598">
      <w:rPr>
        <w:rStyle w:val="PageNumber"/>
        <w:rFonts w:ascii="Times New Roman" w:hAnsi="Times New Roman"/>
        <w:noProof/>
        <w:sz w:val="20"/>
        <w:szCs w:val="20"/>
      </w:rPr>
      <w:t>5</w:t>
    </w:r>
    <w:r w:rsidR="00D23DA2" w:rsidRPr="00FF52A3">
      <w:rPr>
        <w:rStyle w:val="PageNumber"/>
        <w:rFonts w:ascii="Times New Roman" w:hAnsi="Times New Roman"/>
        <w:sz w:val="20"/>
        <w:szCs w:val="20"/>
      </w:rPr>
      <w:fldChar w:fldCharType="end"/>
    </w:r>
  </w:p>
  <w:p w:rsidR="0052483E" w:rsidRDefault="0052483E">
    <w:pPr>
      <w:pStyle w:val="Header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5224"/>
    <w:multiLevelType w:val="hybridMultilevel"/>
    <w:tmpl w:val="6FF2F2C6"/>
    <w:lvl w:ilvl="0" w:tplc="4BB022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00877"/>
    <w:multiLevelType w:val="hybridMultilevel"/>
    <w:tmpl w:val="A480485C"/>
    <w:lvl w:ilvl="0" w:tplc="C4AA5B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12BB2"/>
    <w:multiLevelType w:val="hybridMultilevel"/>
    <w:tmpl w:val="33B4E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E07AB"/>
    <w:multiLevelType w:val="hybridMultilevel"/>
    <w:tmpl w:val="E6DAB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41124A"/>
    <w:multiLevelType w:val="hybridMultilevel"/>
    <w:tmpl w:val="01C8CFEC"/>
    <w:lvl w:ilvl="0" w:tplc="C528381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804274"/>
    <w:multiLevelType w:val="hybridMultilevel"/>
    <w:tmpl w:val="435694E2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">
    <w:nsid w:val="53687254"/>
    <w:multiLevelType w:val="hybridMultilevel"/>
    <w:tmpl w:val="CD689D38"/>
    <w:lvl w:ilvl="0" w:tplc="28AA67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1A0EA6"/>
    <w:multiLevelType w:val="hybridMultilevel"/>
    <w:tmpl w:val="9F18D1DA"/>
    <w:lvl w:ilvl="0" w:tplc="937EC4A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E4720"/>
    <w:multiLevelType w:val="hybridMultilevel"/>
    <w:tmpl w:val="B324D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106BB9"/>
    <w:multiLevelType w:val="hybridMultilevel"/>
    <w:tmpl w:val="C9DC9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0F5B86"/>
    <w:multiLevelType w:val="hybridMultilevel"/>
    <w:tmpl w:val="525862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9"/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hideSpellingErrors/>
  <w:hideGrammaticalError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4DF5"/>
    <w:rsid w:val="00003464"/>
    <w:rsid w:val="00006ADB"/>
    <w:rsid w:val="00017B73"/>
    <w:rsid w:val="00023DE6"/>
    <w:rsid w:val="0002747B"/>
    <w:rsid w:val="00041921"/>
    <w:rsid w:val="00044642"/>
    <w:rsid w:val="0004480F"/>
    <w:rsid w:val="0005466C"/>
    <w:rsid w:val="00056AD2"/>
    <w:rsid w:val="0005707E"/>
    <w:rsid w:val="000600D1"/>
    <w:rsid w:val="00086FEC"/>
    <w:rsid w:val="00090E8E"/>
    <w:rsid w:val="000950D8"/>
    <w:rsid w:val="000971E6"/>
    <w:rsid w:val="000A4914"/>
    <w:rsid w:val="000B5598"/>
    <w:rsid w:val="000C2FEA"/>
    <w:rsid w:val="000E1E78"/>
    <w:rsid w:val="000F4316"/>
    <w:rsid w:val="00103A63"/>
    <w:rsid w:val="00103E7F"/>
    <w:rsid w:val="00107BB2"/>
    <w:rsid w:val="00120256"/>
    <w:rsid w:val="0012488A"/>
    <w:rsid w:val="00132722"/>
    <w:rsid w:val="0014502A"/>
    <w:rsid w:val="00150B8A"/>
    <w:rsid w:val="00161B2F"/>
    <w:rsid w:val="00172CAE"/>
    <w:rsid w:val="00175BF5"/>
    <w:rsid w:val="001813B0"/>
    <w:rsid w:val="00184C74"/>
    <w:rsid w:val="001876E1"/>
    <w:rsid w:val="00191488"/>
    <w:rsid w:val="001A38F4"/>
    <w:rsid w:val="001A3ACF"/>
    <w:rsid w:val="001A7A80"/>
    <w:rsid w:val="001B3065"/>
    <w:rsid w:val="001D50C9"/>
    <w:rsid w:val="001F0AC2"/>
    <w:rsid w:val="001F43AB"/>
    <w:rsid w:val="001F5226"/>
    <w:rsid w:val="002166F5"/>
    <w:rsid w:val="002201FA"/>
    <w:rsid w:val="00221334"/>
    <w:rsid w:val="002218FE"/>
    <w:rsid w:val="0022715D"/>
    <w:rsid w:val="002318AF"/>
    <w:rsid w:val="00232936"/>
    <w:rsid w:val="00242044"/>
    <w:rsid w:val="00247ADF"/>
    <w:rsid w:val="00263FBF"/>
    <w:rsid w:val="00270563"/>
    <w:rsid w:val="002833CC"/>
    <w:rsid w:val="00284B9A"/>
    <w:rsid w:val="00291E22"/>
    <w:rsid w:val="00293D3F"/>
    <w:rsid w:val="002A0C25"/>
    <w:rsid w:val="002A1E39"/>
    <w:rsid w:val="002A4A2E"/>
    <w:rsid w:val="002A4D18"/>
    <w:rsid w:val="002A69C5"/>
    <w:rsid w:val="002D038D"/>
    <w:rsid w:val="002D568A"/>
    <w:rsid w:val="002D7613"/>
    <w:rsid w:val="002D7D4F"/>
    <w:rsid w:val="002D7F3B"/>
    <w:rsid w:val="002E21B2"/>
    <w:rsid w:val="002E405C"/>
    <w:rsid w:val="00302F20"/>
    <w:rsid w:val="0030567B"/>
    <w:rsid w:val="00305BB9"/>
    <w:rsid w:val="00310695"/>
    <w:rsid w:val="003143F4"/>
    <w:rsid w:val="00320BA0"/>
    <w:rsid w:val="003236BB"/>
    <w:rsid w:val="00324442"/>
    <w:rsid w:val="00326660"/>
    <w:rsid w:val="00333905"/>
    <w:rsid w:val="00342205"/>
    <w:rsid w:val="003442EC"/>
    <w:rsid w:val="00352A4E"/>
    <w:rsid w:val="00356B42"/>
    <w:rsid w:val="00360E85"/>
    <w:rsid w:val="003636B8"/>
    <w:rsid w:val="00375B75"/>
    <w:rsid w:val="00382064"/>
    <w:rsid w:val="003868FA"/>
    <w:rsid w:val="003A5213"/>
    <w:rsid w:val="003A683D"/>
    <w:rsid w:val="003D5138"/>
    <w:rsid w:val="003E0FBD"/>
    <w:rsid w:val="003F2C07"/>
    <w:rsid w:val="00404F63"/>
    <w:rsid w:val="0040737A"/>
    <w:rsid w:val="00411166"/>
    <w:rsid w:val="00420098"/>
    <w:rsid w:val="004438CB"/>
    <w:rsid w:val="004452DB"/>
    <w:rsid w:val="00451443"/>
    <w:rsid w:val="004516E3"/>
    <w:rsid w:val="00451873"/>
    <w:rsid w:val="00461EFC"/>
    <w:rsid w:val="00462163"/>
    <w:rsid w:val="0047107F"/>
    <w:rsid w:val="00473775"/>
    <w:rsid w:val="00474B84"/>
    <w:rsid w:val="004755CF"/>
    <w:rsid w:val="00481989"/>
    <w:rsid w:val="00482F68"/>
    <w:rsid w:val="00484473"/>
    <w:rsid w:val="004912E0"/>
    <w:rsid w:val="0049372E"/>
    <w:rsid w:val="00494B3B"/>
    <w:rsid w:val="004A7711"/>
    <w:rsid w:val="004B19C8"/>
    <w:rsid w:val="004C118C"/>
    <w:rsid w:val="004C47C9"/>
    <w:rsid w:val="004C5FF8"/>
    <w:rsid w:val="004D16AA"/>
    <w:rsid w:val="004D3D8C"/>
    <w:rsid w:val="004E6F25"/>
    <w:rsid w:val="004E7CDE"/>
    <w:rsid w:val="004F0EA8"/>
    <w:rsid w:val="004F4C49"/>
    <w:rsid w:val="004F4D42"/>
    <w:rsid w:val="004F5461"/>
    <w:rsid w:val="005108F0"/>
    <w:rsid w:val="00514DF5"/>
    <w:rsid w:val="00515FA0"/>
    <w:rsid w:val="005174F8"/>
    <w:rsid w:val="00521DDB"/>
    <w:rsid w:val="0052483E"/>
    <w:rsid w:val="00524B4F"/>
    <w:rsid w:val="00527A8D"/>
    <w:rsid w:val="00527AAB"/>
    <w:rsid w:val="0053276E"/>
    <w:rsid w:val="00533486"/>
    <w:rsid w:val="005406B0"/>
    <w:rsid w:val="0055224E"/>
    <w:rsid w:val="0055417B"/>
    <w:rsid w:val="00557C31"/>
    <w:rsid w:val="005612BB"/>
    <w:rsid w:val="00572462"/>
    <w:rsid w:val="00590B2E"/>
    <w:rsid w:val="005B3A55"/>
    <w:rsid w:val="005D1005"/>
    <w:rsid w:val="005D3AAC"/>
    <w:rsid w:val="005D734C"/>
    <w:rsid w:val="005E47C6"/>
    <w:rsid w:val="005E749B"/>
    <w:rsid w:val="006066DC"/>
    <w:rsid w:val="00610BCD"/>
    <w:rsid w:val="00616B69"/>
    <w:rsid w:val="00620579"/>
    <w:rsid w:val="0063311A"/>
    <w:rsid w:val="00636915"/>
    <w:rsid w:val="00637BF6"/>
    <w:rsid w:val="00640A7E"/>
    <w:rsid w:val="00643E93"/>
    <w:rsid w:val="00657DEE"/>
    <w:rsid w:val="00692D3C"/>
    <w:rsid w:val="00694D8A"/>
    <w:rsid w:val="00696535"/>
    <w:rsid w:val="006A214B"/>
    <w:rsid w:val="006A637B"/>
    <w:rsid w:val="006C4DD6"/>
    <w:rsid w:val="006C55EA"/>
    <w:rsid w:val="006D0781"/>
    <w:rsid w:val="006D161D"/>
    <w:rsid w:val="006D3A0C"/>
    <w:rsid w:val="006D4C40"/>
    <w:rsid w:val="006D61F4"/>
    <w:rsid w:val="006F6FE6"/>
    <w:rsid w:val="00717267"/>
    <w:rsid w:val="00734177"/>
    <w:rsid w:val="00743C03"/>
    <w:rsid w:val="00752850"/>
    <w:rsid w:val="007572AD"/>
    <w:rsid w:val="00767FFB"/>
    <w:rsid w:val="00772E7B"/>
    <w:rsid w:val="00772E85"/>
    <w:rsid w:val="00774C02"/>
    <w:rsid w:val="007762A4"/>
    <w:rsid w:val="007A2371"/>
    <w:rsid w:val="007A57E2"/>
    <w:rsid w:val="007A59CB"/>
    <w:rsid w:val="007A7FEC"/>
    <w:rsid w:val="007B5093"/>
    <w:rsid w:val="007B55C3"/>
    <w:rsid w:val="007B6B76"/>
    <w:rsid w:val="007B7B74"/>
    <w:rsid w:val="007D0FF9"/>
    <w:rsid w:val="007D15C6"/>
    <w:rsid w:val="007D7821"/>
    <w:rsid w:val="007E2B83"/>
    <w:rsid w:val="007F6F19"/>
    <w:rsid w:val="00805B01"/>
    <w:rsid w:val="00813F7E"/>
    <w:rsid w:val="00820996"/>
    <w:rsid w:val="00842D42"/>
    <w:rsid w:val="00842F1A"/>
    <w:rsid w:val="00852AD4"/>
    <w:rsid w:val="0085784F"/>
    <w:rsid w:val="00860E20"/>
    <w:rsid w:val="00862FFC"/>
    <w:rsid w:val="008712CB"/>
    <w:rsid w:val="00873D1C"/>
    <w:rsid w:val="00877398"/>
    <w:rsid w:val="00881E30"/>
    <w:rsid w:val="00884AC3"/>
    <w:rsid w:val="00894A88"/>
    <w:rsid w:val="008A204C"/>
    <w:rsid w:val="008B4975"/>
    <w:rsid w:val="008C0B25"/>
    <w:rsid w:val="008C7AF4"/>
    <w:rsid w:val="008C7B64"/>
    <w:rsid w:val="008F43BC"/>
    <w:rsid w:val="00900E9C"/>
    <w:rsid w:val="00902FCD"/>
    <w:rsid w:val="009037C2"/>
    <w:rsid w:val="00905DEC"/>
    <w:rsid w:val="009124BA"/>
    <w:rsid w:val="00924CED"/>
    <w:rsid w:val="00925136"/>
    <w:rsid w:val="009419FB"/>
    <w:rsid w:val="00942644"/>
    <w:rsid w:val="00942767"/>
    <w:rsid w:val="00944D02"/>
    <w:rsid w:val="00947AAF"/>
    <w:rsid w:val="00950258"/>
    <w:rsid w:val="00966914"/>
    <w:rsid w:val="00967966"/>
    <w:rsid w:val="009752FC"/>
    <w:rsid w:val="00981184"/>
    <w:rsid w:val="00990FE9"/>
    <w:rsid w:val="009A0B2F"/>
    <w:rsid w:val="009C5FEA"/>
    <w:rsid w:val="009C6250"/>
    <w:rsid w:val="009C6C28"/>
    <w:rsid w:val="009C709B"/>
    <w:rsid w:val="009C7531"/>
    <w:rsid w:val="009D62D2"/>
    <w:rsid w:val="009D6358"/>
    <w:rsid w:val="009E14F9"/>
    <w:rsid w:val="009E4589"/>
    <w:rsid w:val="009F193A"/>
    <w:rsid w:val="009F58ED"/>
    <w:rsid w:val="00A0431F"/>
    <w:rsid w:val="00A12394"/>
    <w:rsid w:val="00A14FB9"/>
    <w:rsid w:val="00A24535"/>
    <w:rsid w:val="00A2465B"/>
    <w:rsid w:val="00A272FA"/>
    <w:rsid w:val="00A32572"/>
    <w:rsid w:val="00A35F86"/>
    <w:rsid w:val="00A41F2E"/>
    <w:rsid w:val="00A56497"/>
    <w:rsid w:val="00A61049"/>
    <w:rsid w:val="00A659F5"/>
    <w:rsid w:val="00A67911"/>
    <w:rsid w:val="00A810F2"/>
    <w:rsid w:val="00A82021"/>
    <w:rsid w:val="00A820FB"/>
    <w:rsid w:val="00A84967"/>
    <w:rsid w:val="00A8503E"/>
    <w:rsid w:val="00A93EB3"/>
    <w:rsid w:val="00A97191"/>
    <w:rsid w:val="00A97657"/>
    <w:rsid w:val="00AA19AF"/>
    <w:rsid w:val="00AC02FB"/>
    <w:rsid w:val="00AD0E05"/>
    <w:rsid w:val="00AD4D61"/>
    <w:rsid w:val="00AD6B75"/>
    <w:rsid w:val="00AD6F3E"/>
    <w:rsid w:val="00AD76DE"/>
    <w:rsid w:val="00AD7E35"/>
    <w:rsid w:val="00AF0096"/>
    <w:rsid w:val="00AF0940"/>
    <w:rsid w:val="00AF3D3E"/>
    <w:rsid w:val="00AF6F52"/>
    <w:rsid w:val="00B106B7"/>
    <w:rsid w:val="00B11E36"/>
    <w:rsid w:val="00B12ADD"/>
    <w:rsid w:val="00B1706C"/>
    <w:rsid w:val="00B275D0"/>
    <w:rsid w:val="00B307AD"/>
    <w:rsid w:val="00B32406"/>
    <w:rsid w:val="00B33E84"/>
    <w:rsid w:val="00B352E6"/>
    <w:rsid w:val="00B355D5"/>
    <w:rsid w:val="00B40424"/>
    <w:rsid w:val="00B42AB2"/>
    <w:rsid w:val="00B47703"/>
    <w:rsid w:val="00B50208"/>
    <w:rsid w:val="00B551DF"/>
    <w:rsid w:val="00B61A94"/>
    <w:rsid w:val="00B754A6"/>
    <w:rsid w:val="00B913E3"/>
    <w:rsid w:val="00B931A0"/>
    <w:rsid w:val="00B934BD"/>
    <w:rsid w:val="00B96B7B"/>
    <w:rsid w:val="00BA0BCA"/>
    <w:rsid w:val="00BA2930"/>
    <w:rsid w:val="00BB35DE"/>
    <w:rsid w:val="00BB4DCE"/>
    <w:rsid w:val="00BC1C17"/>
    <w:rsid w:val="00BD1621"/>
    <w:rsid w:val="00BD2AEB"/>
    <w:rsid w:val="00BD6CA0"/>
    <w:rsid w:val="00BE1470"/>
    <w:rsid w:val="00BE6B5A"/>
    <w:rsid w:val="00BF08DD"/>
    <w:rsid w:val="00C00DBC"/>
    <w:rsid w:val="00C06C70"/>
    <w:rsid w:val="00C16367"/>
    <w:rsid w:val="00C16695"/>
    <w:rsid w:val="00C21219"/>
    <w:rsid w:val="00C230EC"/>
    <w:rsid w:val="00C2733D"/>
    <w:rsid w:val="00C36BCD"/>
    <w:rsid w:val="00C53918"/>
    <w:rsid w:val="00C60022"/>
    <w:rsid w:val="00C64EE1"/>
    <w:rsid w:val="00C66739"/>
    <w:rsid w:val="00C81063"/>
    <w:rsid w:val="00C936B6"/>
    <w:rsid w:val="00CB5136"/>
    <w:rsid w:val="00CC1661"/>
    <w:rsid w:val="00CC20F8"/>
    <w:rsid w:val="00CC225E"/>
    <w:rsid w:val="00CC6B64"/>
    <w:rsid w:val="00CC6DC5"/>
    <w:rsid w:val="00CD0905"/>
    <w:rsid w:val="00CD2804"/>
    <w:rsid w:val="00CD2D1B"/>
    <w:rsid w:val="00CE4279"/>
    <w:rsid w:val="00CF5A34"/>
    <w:rsid w:val="00CF633D"/>
    <w:rsid w:val="00CF7F7D"/>
    <w:rsid w:val="00D046C2"/>
    <w:rsid w:val="00D071A0"/>
    <w:rsid w:val="00D119F5"/>
    <w:rsid w:val="00D12029"/>
    <w:rsid w:val="00D134DB"/>
    <w:rsid w:val="00D15B42"/>
    <w:rsid w:val="00D1668D"/>
    <w:rsid w:val="00D16A05"/>
    <w:rsid w:val="00D23DA2"/>
    <w:rsid w:val="00D253D2"/>
    <w:rsid w:val="00D25AE6"/>
    <w:rsid w:val="00D31421"/>
    <w:rsid w:val="00D432B1"/>
    <w:rsid w:val="00D4457B"/>
    <w:rsid w:val="00D52558"/>
    <w:rsid w:val="00D57883"/>
    <w:rsid w:val="00D60E7F"/>
    <w:rsid w:val="00D70830"/>
    <w:rsid w:val="00D7356D"/>
    <w:rsid w:val="00D738A7"/>
    <w:rsid w:val="00D85773"/>
    <w:rsid w:val="00D9239D"/>
    <w:rsid w:val="00D93228"/>
    <w:rsid w:val="00D93AF1"/>
    <w:rsid w:val="00DA009C"/>
    <w:rsid w:val="00DA3E24"/>
    <w:rsid w:val="00DA67E1"/>
    <w:rsid w:val="00DA7F3C"/>
    <w:rsid w:val="00DA7FD8"/>
    <w:rsid w:val="00DB6BAF"/>
    <w:rsid w:val="00DC4204"/>
    <w:rsid w:val="00DD1FC1"/>
    <w:rsid w:val="00DD5534"/>
    <w:rsid w:val="00DD714B"/>
    <w:rsid w:val="00DE1F61"/>
    <w:rsid w:val="00DE2161"/>
    <w:rsid w:val="00DE5048"/>
    <w:rsid w:val="00DF75AC"/>
    <w:rsid w:val="00E03F36"/>
    <w:rsid w:val="00E21EB1"/>
    <w:rsid w:val="00E23B44"/>
    <w:rsid w:val="00E24D0C"/>
    <w:rsid w:val="00E264E6"/>
    <w:rsid w:val="00E3473B"/>
    <w:rsid w:val="00E34F5C"/>
    <w:rsid w:val="00E46016"/>
    <w:rsid w:val="00E4706F"/>
    <w:rsid w:val="00E47131"/>
    <w:rsid w:val="00E502D4"/>
    <w:rsid w:val="00E656A1"/>
    <w:rsid w:val="00E74AAD"/>
    <w:rsid w:val="00E750E1"/>
    <w:rsid w:val="00E77305"/>
    <w:rsid w:val="00E857E4"/>
    <w:rsid w:val="00E869F7"/>
    <w:rsid w:val="00E93486"/>
    <w:rsid w:val="00E946EA"/>
    <w:rsid w:val="00EA10A4"/>
    <w:rsid w:val="00EA4553"/>
    <w:rsid w:val="00EA7AA5"/>
    <w:rsid w:val="00EB4C6C"/>
    <w:rsid w:val="00EE685F"/>
    <w:rsid w:val="00EF3176"/>
    <w:rsid w:val="00EF36E7"/>
    <w:rsid w:val="00EF4AE4"/>
    <w:rsid w:val="00EF5719"/>
    <w:rsid w:val="00EF6A79"/>
    <w:rsid w:val="00F0004B"/>
    <w:rsid w:val="00F05FAC"/>
    <w:rsid w:val="00F1162C"/>
    <w:rsid w:val="00F1459D"/>
    <w:rsid w:val="00F15784"/>
    <w:rsid w:val="00F37140"/>
    <w:rsid w:val="00F372C3"/>
    <w:rsid w:val="00F434F2"/>
    <w:rsid w:val="00F460AB"/>
    <w:rsid w:val="00F6054D"/>
    <w:rsid w:val="00F61F0A"/>
    <w:rsid w:val="00F80171"/>
    <w:rsid w:val="00F81DEF"/>
    <w:rsid w:val="00F860E7"/>
    <w:rsid w:val="00F96C7B"/>
    <w:rsid w:val="00F97EE9"/>
    <w:rsid w:val="00FA2678"/>
    <w:rsid w:val="00FB6AD2"/>
    <w:rsid w:val="00FC3640"/>
    <w:rsid w:val="00FC5ECC"/>
    <w:rsid w:val="00FC62D9"/>
    <w:rsid w:val="00FE28CD"/>
    <w:rsid w:val="00FE5517"/>
    <w:rsid w:val="00FF52A3"/>
    <w:rsid w:val="00FF5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502A"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50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4502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4502A"/>
  </w:style>
  <w:style w:type="table" w:styleId="TableGrid">
    <w:name w:val="Table Grid"/>
    <w:basedOn w:val="TableNormal"/>
    <w:rsid w:val="003422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D7D4F"/>
    <w:rPr>
      <w:rFonts w:eastAsia="Calibri"/>
      <w:sz w:val="24"/>
      <w:szCs w:val="22"/>
    </w:rPr>
  </w:style>
  <w:style w:type="paragraph" w:styleId="FootnoteText">
    <w:name w:val="footnote text"/>
    <w:basedOn w:val="Normal"/>
    <w:link w:val="FootnoteTextChar"/>
    <w:uiPriority w:val="99"/>
    <w:rsid w:val="003143F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143F4"/>
    <w:rPr>
      <w:rFonts w:ascii="Palatino Linotype" w:hAnsi="Palatino Linotype"/>
    </w:rPr>
  </w:style>
  <w:style w:type="character" w:styleId="FootnoteReference">
    <w:name w:val="footnote reference"/>
    <w:basedOn w:val="DefaultParagraphFont"/>
    <w:uiPriority w:val="99"/>
    <w:rsid w:val="003143F4"/>
    <w:rPr>
      <w:vertAlign w:val="superscript"/>
    </w:rPr>
  </w:style>
  <w:style w:type="character" w:styleId="CommentReference">
    <w:name w:val="annotation reference"/>
    <w:basedOn w:val="DefaultParagraphFont"/>
    <w:rsid w:val="00A0431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43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0431F"/>
    <w:rPr>
      <w:rFonts w:ascii="Palatino Linotype" w:hAnsi="Palatino Linotype"/>
    </w:rPr>
  </w:style>
  <w:style w:type="paragraph" w:styleId="CommentSubject">
    <w:name w:val="annotation subject"/>
    <w:basedOn w:val="CommentText"/>
    <w:next w:val="CommentText"/>
    <w:link w:val="CommentSubjectChar"/>
    <w:rsid w:val="00A043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0431F"/>
    <w:rPr>
      <w:b/>
      <w:bCs/>
    </w:rPr>
  </w:style>
  <w:style w:type="paragraph" w:styleId="Revision">
    <w:name w:val="Revision"/>
    <w:hidden/>
    <w:uiPriority w:val="99"/>
    <w:semiHidden/>
    <w:rsid w:val="00A0431F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rsid w:val="00A043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43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6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2007-05-07T07:00:00+00:00</OpenedDate>
    <Date1 xmlns="dc463f71-b30c-4ab2-9473-d307f9d35888">2009-09-10T07:00:00+00:00</Date1>
    <IsDocumentOrder xmlns="dc463f71-b30c-4ab2-9473-d307f9d35888" xsi:nil="true"/>
    <IsHighlyConfidential xmlns="dc463f71-b30c-4ab2-9473-d307f9d35888">false</IsHighlyConfidential>
    <CaseCompanyNames xmlns="dc463f71-b30c-4ab2-9473-d307f9d35888">Sprint Nextel Corporation (ETC)</CaseCompanyNames>
    <DocketNumber xmlns="dc463f71-b30c-4ab2-9473-d307f9d35888">073023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D5799389774734F8D9C1E6C138B0B6A" ma:contentTypeVersion="132" ma:contentTypeDescription="" ma:contentTypeScope="" ma:versionID="5973692de895f3ec8d72a6a77789d1d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FD720F-AE69-47F5-84F6-2F1D17596BB6}"/>
</file>

<file path=customXml/itemProps2.xml><?xml version="1.0" encoding="utf-8"?>
<ds:datastoreItem xmlns:ds="http://schemas.openxmlformats.org/officeDocument/2006/customXml" ds:itemID="{028A1C38-20C1-402D-B642-E113CE20F5C9}"/>
</file>

<file path=customXml/itemProps3.xml><?xml version="1.0" encoding="utf-8"?>
<ds:datastoreItem xmlns:ds="http://schemas.openxmlformats.org/officeDocument/2006/customXml" ds:itemID="{76BDE76A-EB45-4B98-99AE-DCB24A048F04}"/>
</file>

<file path=customXml/itemProps4.xml><?xml version="1.0" encoding="utf-8"?>
<ds:datastoreItem xmlns:ds="http://schemas.openxmlformats.org/officeDocument/2006/customXml" ds:itemID="{45AFAFA2-0F0D-4AD4-BE81-538AF35CD88C}"/>
</file>

<file path=customXml/itemProps5.xml><?xml version="1.0" encoding="utf-8"?>
<ds:datastoreItem xmlns:ds="http://schemas.openxmlformats.org/officeDocument/2006/customXml" ds:itemID="{B3E85D98-A825-4B83-A4DE-CC76C9D98C98}"/>
</file>

<file path=customXml/itemProps6.xml><?xml version="1.0" encoding="utf-8"?>
<ds:datastoreItem xmlns:ds="http://schemas.openxmlformats.org/officeDocument/2006/customXml" ds:itemID="{14B510F0-1D01-4EC6-8905-732EEF3C2E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</vt:lpstr>
    </vt:vector>
  </TitlesOfParts>
  <Company>WUTC</Company>
  <LinksUpToDate>false</LinksUpToDate>
  <CharactersWithSpaces>8361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subject/>
  <dc:creator>VDeferia</dc:creator>
  <cp:keywords/>
  <dc:description/>
  <cp:lastModifiedBy>Lisa Wyse, Records Manager</cp:lastModifiedBy>
  <cp:revision>2</cp:revision>
  <cp:lastPrinted>2009-09-04T21:45:00Z</cp:lastPrinted>
  <dcterms:created xsi:type="dcterms:W3CDTF">2009-09-04T23:22:00Z</dcterms:created>
  <dcterms:modified xsi:type="dcterms:W3CDTF">2009-09-04T23:22:00Z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0x0101006E56B4D1795A2E4DB2F0B01679ED314A009D5799389774734F8D9C1E6C138B0B6A</vt:lpwstr>
  </property>
  <property fmtid="{D5CDD505-2E9C-101B-9397-08002B2CF9AE}" pid="4" name="_docset_NoMedatataSyncRequired">
    <vt:lpwstr>False</vt:lpwstr>
  </property>
</Properties>
</file>