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1C4D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bookmarkStart w:id="0" w:name="_GoBack"/>
      <w:bookmarkEnd w:id="0"/>
    </w:p>
    <w:p w14:paraId="470793DC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08C02941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4EFB5D48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1C36759D" w14:textId="77777777" w:rsidR="00501FFC" w:rsidRDefault="00501FFC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704AD56F" w14:textId="77777777" w:rsidR="00F748D8" w:rsidRPr="004A2910" w:rsidRDefault="00F748D8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14:paraId="01EAF585" w14:textId="77777777" w:rsidR="00F748D8" w:rsidRPr="004A2910" w:rsidRDefault="00F748D8" w:rsidP="00F748D8">
      <w:pPr>
        <w:jc w:val="both"/>
        <w:rPr>
          <w:sz w:val="24"/>
        </w:rPr>
      </w:pPr>
    </w:p>
    <w:p w14:paraId="2DD99BE6" w14:textId="77777777"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4A2910" w14:paraId="25151584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03EA352" w14:textId="77777777" w:rsidR="00595D41" w:rsidRPr="00595D41" w:rsidRDefault="000C21A6" w:rsidP="00595D41">
            <w:pPr>
              <w:rPr>
                <w:sz w:val="24"/>
              </w:rPr>
            </w:pPr>
            <w:r>
              <w:rPr>
                <w:sz w:val="24"/>
              </w:rPr>
              <w:t>WASHINGTON UTILITIES AND TRANSPORTATION COMMISSION</w:t>
            </w:r>
          </w:p>
          <w:p w14:paraId="4E0C4652" w14:textId="77777777" w:rsidR="00595D41" w:rsidRPr="00595D41" w:rsidRDefault="00595D41" w:rsidP="00595D41">
            <w:pPr>
              <w:rPr>
                <w:sz w:val="24"/>
              </w:rPr>
            </w:pPr>
          </w:p>
          <w:p w14:paraId="47F2A735" w14:textId="77777777" w:rsidR="00595D41" w:rsidRPr="00595D41" w:rsidRDefault="00595D41" w:rsidP="00595D41">
            <w:pPr>
              <w:rPr>
                <w:sz w:val="24"/>
              </w:rPr>
            </w:pPr>
            <w:r w:rsidRPr="00595D41">
              <w:rPr>
                <w:sz w:val="24"/>
              </w:rPr>
              <w:tab/>
              <w:t>Complainant,</w:t>
            </w:r>
          </w:p>
          <w:p w14:paraId="430579EA" w14:textId="77777777" w:rsidR="00595D41" w:rsidRPr="00595D41" w:rsidRDefault="00595D41" w:rsidP="00595D41">
            <w:pPr>
              <w:rPr>
                <w:sz w:val="24"/>
              </w:rPr>
            </w:pPr>
          </w:p>
          <w:p w14:paraId="4422E1CC" w14:textId="77777777" w:rsidR="00595D41" w:rsidRPr="00595D41" w:rsidRDefault="00595D41" w:rsidP="00595D41">
            <w:pPr>
              <w:rPr>
                <w:sz w:val="24"/>
              </w:rPr>
            </w:pPr>
            <w:r w:rsidRPr="00595D41">
              <w:rPr>
                <w:sz w:val="24"/>
              </w:rPr>
              <w:t>v.</w:t>
            </w:r>
          </w:p>
          <w:p w14:paraId="093D1625" w14:textId="77777777" w:rsidR="006B2E8A" w:rsidRDefault="006B2E8A" w:rsidP="00595D41">
            <w:pPr>
              <w:rPr>
                <w:sz w:val="24"/>
              </w:rPr>
            </w:pPr>
          </w:p>
          <w:p w14:paraId="0787446A" w14:textId="77777777" w:rsidR="00595D41" w:rsidRPr="00595D41" w:rsidRDefault="000C21A6" w:rsidP="00595D41">
            <w:pPr>
              <w:rPr>
                <w:sz w:val="24"/>
              </w:rPr>
            </w:pPr>
            <w:r>
              <w:rPr>
                <w:sz w:val="24"/>
              </w:rPr>
              <w:t xml:space="preserve">WASTE CONTROL, INC. </w:t>
            </w:r>
          </w:p>
          <w:p w14:paraId="6B58481C" w14:textId="77777777" w:rsidR="00595D41" w:rsidRPr="00595D41" w:rsidRDefault="00595D41" w:rsidP="00595D41">
            <w:pPr>
              <w:rPr>
                <w:sz w:val="24"/>
              </w:rPr>
            </w:pPr>
          </w:p>
          <w:p w14:paraId="34D33D74" w14:textId="77777777" w:rsidR="00F748D8" w:rsidRDefault="00595D41" w:rsidP="00595D41">
            <w:pPr>
              <w:spacing w:after="19"/>
              <w:rPr>
                <w:sz w:val="24"/>
              </w:rPr>
            </w:pPr>
            <w:r w:rsidRPr="00595D41">
              <w:rPr>
                <w:sz w:val="24"/>
              </w:rPr>
              <w:tab/>
              <w:t>Respondent.</w:t>
            </w:r>
          </w:p>
          <w:p w14:paraId="26E9588B" w14:textId="77777777" w:rsidR="004F69A5" w:rsidRPr="004A2910" w:rsidRDefault="004F69A5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F69852" w14:textId="77777777" w:rsidR="00F748D8" w:rsidRPr="004A2910" w:rsidRDefault="004C3D65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DOCKET </w:t>
            </w:r>
            <w:r w:rsidR="000C21A6">
              <w:rPr>
                <w:sz w:val="24"/>
              </w:rPr>
              <w:t>TG-140560</w:t>
            </w:r>
          </w:p>
          <w:p w14:paraId="6F3E7B18" w14:textId="77777777" w:rsidR="00F748D8" w:rsidRPr="004A2910" w:rsidRDefault="00F748D8" w:rsidP="00C5478B">
            <w:pPr>
              <w:rPr>
                <w:sz w:val="24"/>
              </w:rPr>
            </w:pPr>
          </w:p>
          <w:p w14:paraId="4B054AD8" w14:textId="77777777" w:rsidR="00F748D8" w:rsidRPr="004A2910" w:rsidRDefault="00AF24BB" w:rsidP="000C21A6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AFFIDAVIT OF</w:t>
            </w:r>
            <w:r w:rsidR="000C21A6">
              <w:rPr>
                <w:sz w:val="24"/>
              </w:rPr>
              <w:t xml:space="preserve"> MELISSA CHEESMAN </w:t>
            </w:r>
            <w:r w:rsidR="00F748D8" w:rsidRPr="004A2910">
              <w:rPr>
                <w:sz w:val="24"/>
              </w:rPr>
              <w:t xml:space="preserve"> </w:t>
            </w:r>
          </w:p>
        </w:tc>
      </w:tr>
    </w:tbl>
    <w:p w14:paraId="34E722A6" w14:textId="77777777" w:rsidR="00F748D8" w:rsidRDefault="00F748D8" w:rsidP="00F748D8">
      <w:pPr>
        <w:jc w:val="both"/>
        <w:rPr>
          <w:sz w:val="24"/>
        </w:rPr>
      </w:pPr>
    </w:p>
    <w:p w14:paraId="22290EE7" w14:textId="77777777" w:rsidR="00F748D8" w:rsidRDefault="00F748D8" w:rsidP="00F748D8">
      <w:pPr>
        <w:jc w:val="both"/>
        <w:rPr>
          <w:sz w:val="24"/>
        </w:rPr>
      </w:pPr>
    </w:p>
    <w:p w14:paraId="1C2D6A2B" w14:textId="77777777" w:rsidR="00AF24BB" w:rsidRDefault="00AF24BB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 xml:space="preserve">I, </w:t>
      </w:r>
      <w:r w:rsidR="000C21A6">
        <w:rPr>
          <w:sz w:val="24"/>
        </w:rPr>
        <w:t>Melissa Cheesman</w:t>
      </w:r>
      <w:r w:rsidRPr="00E11389">
        <w:rPr>
          <w:sz w:val="24"/>
        </w:rPr>
        <w:t>, under penalty of perjury under the laws of the State of Washington, declare as follows:</w:t>
      </w:r>
    </w:p>
    <w:p w14:paraId="154EBA95" w14:textId="77777777" w:rsidR="00AF24BB" w:rsidRDefault="00AF24BB" w:rsidP="00AF24BB">
      <w:pPr>
        <w:rPr>
          <w:sz w:val="24"/>
        </w:rPr>
      </w:pPr>
      <w:r w:rsidRPr="00E11389">
        <w:rPr>
          <w:sz w:val="24"/>
        </w:rPr>
        <w:t xml:space="preserve"> </w:t>
      </w:r>
    </w:p>
    <w:p w14:paraId="08589A22" w14:textId="77777777" w:rsidR="00AF24BB" w:rsidRDefault="00AF24BB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 xml:space="preserve">I am over 18 years of age, a citizen of the United States, a resident of the </w:t>
      </w:r>
      <w:r>
        <w:rPr>
          <w:sz w:val="24"/>
        </w:rPr>
        <w:t>S</w:t>
      </w:r>
      <w:r w:rsidRPr="00E11389">
        <w:rPr>
          <w:sz w:val="24"/>
        </w:rPr>
        <w:t xml:space="preserve">tate of Washington, and competent to be a witness. </w:t>
      </w:r>
    </w:p>
    <w:p w14:paraId="4A1DC013" w14:textId="77777777" w:rsidR="00AF24BB" w:rsidRDefault="00AF24BB" w:rsidP="00AF24BB">
      <w:pPr>
        <w:rPr>
          <w:sz w:val="24"/>
        </w:rPr>
      </w:pPr>
    </w:p>
    <w:p w14:paraId="725E7BCE" w14:textId="77777777" w:rsidR="000C21A6" w:rsidRDefault="00AF24BB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>I am employed by</w:t>
      </w:r>
      <w:r w:rsidR="000C21A6">
        <w:rPr>
          <w:sz w:val="24"/>
        </w:rPr>
        <w:t xml:space="preserve"> the Washington Utilities and Transportation Commission (“Commission”) as a Regulatory Analyst</w:t>
      </w:r>
      <w:r w:rsidR="00764C8C">
        <w:rPr>
          <w:sz w:val="24"/>
        </w:rPr>
        <w:t xml:space="preserve">.  </w:t>
      </w:r>
      <w:r w:rsidRPr="00E11389">
        <w:rPr>
          <w:sz w:val="24"/>
        </w:rPr>
        <w:t xml:space="preserve">I </w:t>
      </w:r>
      <w:r w:rsidR="00CF116B">
        <w:rPr>
          <w:sz w:val="24"/>
        </w:rPr>
        <w:t>am the</w:t>
      </w:r>
      <w:r w:rsidR="000C21A6">
        <w:rPr>
          <w:sz w:val="24"/>
        </w:rPr>
        <w:t xml:space="preserve"> same Melissa Cheesman who has filed testimony on behalf of S</w:t>
      </w:r>
      <w:r w:rsidR="00CF116B">
        <w:rPr>
          <w:sz w:val="24"/>
        </w:rPr>
        <w:t xml:space="preserve">taff in the current proceeding between Commission Staff and </w:t>
      </w:r>
      <w:r w:rsidR="000C21A6">
        <w:rPr>
          <w:sz w:val="24"/>
        </w:rPr>
        <w:t>Waste Control, Inc. (“WCI” or “Company”) in Docket TG-140560.</w:t>
      </w:r>
    </w:p>
    <w:p w14:paraId="2DC0850C" w14:textId="77777777" w:rsidR="000C21A6" w:rsidRDefault="000C21A6" w:rsidP="000C21A6">
      <w:pPr>
        <w:pStyle w:val="ListParagraph"/>
        <w:rPr>
          <w:sz w:val="24"/>
        </w:rPr>
      </w:pPr>
    </w:p>
    <w:p w14:paraId="4DBCF6E6" w14:textId="77777777" w:rsidR="000C21A6" w:rsidRPr="000C21A6" w:rsidRDefault="000C21A6" w:rsidP="000C21A6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>
        <w:rPr>
          <w:sz w:val="24"/>
        </w:rPr>
        <w:t>I underwent cross examination from the Company’s attorney during the evidentiary hearing held at the Commission on March 11, 2015. In the course of that cross-examination, I was asked to accept multiple items and figures “subject to check” as permitted in the Commission’s procedural rules in WAC 480-07-470.</w:t>
      </w:r>
    </w:p>
    <w:p w14:paraId="6558B1B7" w14:textId="77777777" w:rsidR="00AF24BB" w:rsidRDefault="00AF24BB" w:rsidP="00AF24BB">
      <w:pPr>
        <w:rPr>
          <w:sz w:val="24"/>
        </w:rPr>
      </w:pPr>
    </w:p>
    <w:p w14:paraId="16A6A35B" w14:textId="77777777" w:rsidR="000C21A6" w:rsidRDefault="000C21A6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>
        <w:rPr>
          <w:sz w:val="24"/>
        </w:rPr>
        <w:t>I am filing this affidavit to correct the items listed below that I accepted “subject to check” during my cross-examination.</w:t>
      </w:r>
    </w:p>
    <w:p w14:paraId="11D5A6CA" w14:textId="77777777" w:rsidR="00A277FA" w:rsidRDefault="00A277FA" w:rsidP="00A277FA">
      <w:pPr>
        <w:pStyle w:val="ListParagraph"/>
        <w:rPr>
          <w:sz w:val="24"/>
        </w:rPr>
      </w:pPr>
    </w:p>
    <w:p w14:paraId="4C6C46DC" w14:textId="77777777" w:rsidR="000C21A6" w:rsidRDefault="00A277FA" w:rsidP="000C21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185, lines 19 through </w:t>
      </w:r>
      <w:r w:rsidR="00B82CAD">
        <w:rPr>
          <w:sz w:val="24"/>
        </w:rPr>
        <w:t>23 of the hearing transcript</w:t>
      </w:r>
      <w:r w:rsidR="00B82CAD">
        <w:rPr>
          <w:rStyle w:val="FootnoteReference"/>
          <w:sz w:val="24"/>
        </w:rPr>
        <w:footnoteReference w:id="1"/>
      </w:r>
      <w:r>
        <w:rPr>
          <w:sz w:val="24"/>
        </w:rPr>
        <w:t xml:space="preserve"> document</w:t>
      </w:r>
      <w:r w:rsidR="00B82CAD">
        <w:rPr>
          <w:sz w:val="24"/>
        </w:rPr>
        <w:t xml:space="preserve"> my response to accept subject to check that footnote 24 on page 7 of Staff’s initial brief cites exclusively to publicly traded companies.</w:t>
      </w:r>
      <w:r>
        <w:rPr>
          <w:sz w:val="24"/>
        </w:rPr>
        <w:t xml:space="preserve">  Below is a true and correct excerpt of Page 185, lines 19 through 23. </w:t>
      </w:r>
    </w:p>
    <w:p w14:paraId="70E73797" w14:textId="77777777" w:rsidR="00A277FA" w:rsidRDefault="00A277FA" w:rsidP="00A277FA">
      <w:pPr>
        <w:pStyle w:val="ListParagraph"/>
        <w:ind w:left="1080"/>
        <w:rPr>
          <w:sz w:val="24"/>
        </w:rPr>
      </w:pPr>
    </w:p>
    <w:p w14:paraId="714C9B9B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Can we interpret my question to be Staff? You: </w:t>
      </w:r>
    </w:p>
    <w:p w14:paraId="22FA7DF9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S</w:t>
      </w:r>
      <w:r w:rsidRPr="00A277FA">
        <w:rPr>
          <w:sz w:val="21"/>
          <w:szCs w:val="21"/>
        </w:rPr>
        <w:t xml:space="preserve">taff. "Staff" is general, and I'm saying you cite to </w:t>
      </w:r>
    </w:p>
    <w:p w14:paraId="7EBF8C40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those cases, they appear to all be publicly traded </w:t>
      </w:r>
    </w:p>
    <w:p w14:paraId="15746871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companies, are they not? </w:t>
      </w:r>
    </w:p>
    <w:p w14:paraId="2DD76DD3" w14:textId="77777777" w:rsidR="00A277FA" w:rsidRDefault="00A277FA" w:rsidP="00A277FA">
      <w:pPr>
        <w:ind w:left="1440"/>
        <w:rPr>
          <w:rFonts w:ascii="Courier New" w:hAnsi="Courier New" w:cs="Courier New"/>
          <w:sz w:val="21"/>
          <w:szCs w:val="21"/>
        </w:rPr>
      </w:pPr>
    </w:p>
    <w:p w14:paraId="3C9D0906" w14:textId="77777777" w:rsidR="00B82CAD" w:rsidRPr="00A277FA" w:rsidRDefault="00A277FA" w:rsidP="00A277FA">
      <w:pPr>
        <w:ind w:left="144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A.  </w:t>
      </w:r>
      <w:r w:rsidRPr="00A277FA">
        <w:rPr>
          <w:rFonts w:ascii="Courier New" w:hAnsi="Courier New" w:cs="Courier New"/>
          <w:sz w:val="21"/>
          <w:szCs w:val="21"/>
        </w:rPr>
        <w:t>I can say yes, subject to check.</w:t>
      </w:r>
    </w:p>
    <w:p w14:paraId="6F700F0E" w14:textId="77777777" w:rsidR="00A277FA" w:rsidRDefault="00A277FA" w:rsidP="00A277FA">
      <w:pPr>
        <w:pStyle w:val="ListParagraph"/>
        <w:ind w:left="1440"/>
        <w:rPr>
          <w:sz w:val="24"/>
        </w:rPr>
      </w:pPr>
    </w:p>
    <w:p w14:paraId="38FE9129" w14:textId="77777777" w:rsidR="00B82CAD" w:rsidRDefault="00B82CAD" w:rsidP="00B82CAD">
      <w:pPr>
        <w:pStyle w:val="ListParagraph"/>
        <w:ind w:left="1080"/>
        <w:rPr>
          <w:sz w:val="24"/>
        </w:rPr>
      </w:pPr>
      <w:r>
        <w:rPr>
          <w:sz w:val="24"/>
        </w:rPr>
        <w:t xml:space="preserve">Correction: Footnote 24 on page </w:t>
      </w:r>
      <w:r w:rsidR="00437684">
        <w:rPr>
          <w:sz w:val="24"/>
        </w:rPr>
        <w:t xml:space="preserve">7 </w:t>
      </w:r>
      <w:r>
        <w:rPr>
          <w:sz w:val="24"/>
        </w:rPr>
        <w:t xml:space="preserve">of Staff’s initial brief cites to electric and gas utility cases at the Commission involving Avista Corporation and PacifiCorp. Avista is publicly traded on the New York Stock Exchange. PacifiCorp is privately-held. </w:t>
      </w:r>
    </w:p>
    <w:p w14:paraId="19139C27" w14:textId="77777777" w:rsidR="00B82CAD" w:rsidRDefault="00B82CAD" w:rsidP="00B82CAD">
      <w:pPr>
        <w:pStyle w:val="ListParagraph"/>
        <w:ind w:left="1080"/>
        <w:rPr>
          <w:sz w:val="24"/>
        </w:rPr>
      </w:pPr>
    </w:p>
    <w:p w14:paraId="205A37DF" w14:textId="77777777" w:rsidR="00B82CAD" w:rsidRDefault="00B82CAD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</w:t>
      </w:r>
      <w:r w:rsidR="00A277FA">
        <w:rPr>
          <w:sz w:val="24"/>
        </w:rPr>
        <w:t>Page 196, lines 10 through 20</w:t>
      </w:r>
      <w:r>
        <w:rPr>
          <w:sz w:val="24"/>
        </w:rPr>
        <w:t xml:space="preserve"> documents my response to accept subject to check a hypothetical scenario described by opposing counsel.</w:t>
      </w:r>
      <w:r w:rsidR="00A277FA">
        <w:rPr>
          <w:sz w:val="24"/>
        </w:rPr>
        <w:t xml:space="preserve"> Below is a true and correct excerpt of Page 196, lines 10 through 20. </w:t>
      </w:r>
    </w:p>
    <w:p w14:paraId="401E263A" w14:textId="77777777" w:rsidR="00A277FA" w:rsidRDefault="00A277FA" w:rsidP="00A277FA">
      <w:pPr>
        <w:pStyle w:val="Default"/>
        <w:ind w:left="1440"/>
        <w:rPr>
          <w:sz w:val="21"/>
          <w:szCs w:val="21"/>
        </w:rPr>
      </w:pPr>
    </w:p>
    <w:p w14:paraId="5FAD4C18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So let's walk through this a little bit. So if, </w:t>
      </w:r>
    </w:p>
    <w:p w14:paraId="164D2A6F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for instance, a property is worth $100,000, the annual </w:t>
      </w:r>
    </w:p>
    <w:p w14:paraId="2961A583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return at 15 percent would be $15,000, and this would mean, </w:t>
      </w:r>
    </w:p>
    <w:p w14:paraId="22176D7B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by your calculations -- or by our calculations, $1,250 in </w:t>
      </w:r>
    </w:p>
    <w:p w14:paraId="77CFC7D2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monthly rent, then, which would be allowed, because you -- </w:t>
      </w:r>
    </w:p>
    <w:p w14:paraId="7931AFB5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you'd multiply -- you'd divide, rather, 15,000 by 12 and </w:t>
      </w:r>
    </w:p>
    <w:p w14:paraId="022EACAB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get 1,250 per month; is that correct? Are my numbers </w:t>
      </w:r>
    </w:p>
    <w:p w14:paraId="53A2BD9D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correct? </w:t>
      </w:r>
    </w:p>
    <w:p w14:paraId="2551114C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</w:p>
    <w:p w14:paraId="3211523F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A. Subject to check. </w:t>
      </w:r>
    </w:p>
    <w:p w14:paraId="5D8D1938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</w:p>
    <w:p w14:paraId="090D6D7C" w14:textId="77777777" w:rsidR="00A277FA" w:rsidRPr="00A277FA" w:rsidRDefault="00A277FA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Okay. </w:t>
      </w:r>
    </w:p>
    <w:p w14:paraId="632DF65A" w14:textId="77777777" w:rsidR="00A277FA" w:rsidRPr="00A277FA" w:rsidRDefault="00A277FA" w:rsidP="00A277FA">
      <w:pPr>
        <w:ind w:left="1440"/>
        <w:rPr>
          <w:rFonts w:ascii="Courier New" w:hAnsi="Courier New" w:cs="Courier New"/>
          <w:sz w:val="21"/>
          <w:szCs w:val="21"/>
        </w:rPr>
      </w:pPr>
    </w:p>
    <w:p w14:paraId="7550BF65" w14:textId="77777777" w:rsidR="00A277FA" w:rsidRDefault="00A277FA" w:rsidP="00A277FA">
      <w:pPr>
        <w:ind w:left="1440"/>
        <w:rPr>
          <w:rFonts w:ascii="Courier New" w:hAnsi="Courier New" w:cs="Courier New"/>
          <w:sz w:val="21"/>
          <w:szCs w:val="21"/>
        </w:rPr>
      </w:pPr>
      <w:r w:rsidRPr="00A277FA">
        <w:rPr>
          <w:rFonts w:ascii="Courier New" w:hAnsi="Courier New" w:cs="Courier New"/>
          <w:sz w:val="21"/>
          <w:szCs w:val="21"/>
        </w:rPr>
        <w:t>A. I can agree to that, subject to check.</w:t>
      </w:r>
    </w:p>
    <w:p w14:paraId="35CB8AB1" w14:textId="77777777" w:rsidR="00A277FA" w:rsidRDefault="00A277FA" w:rsidP="00A277FA">
      <w:pPr>
        <w:pStyle w:val="ListParagraph"/>
        <w:ind w:left="1080"/>
        <w:rPr>
          <w:sz w:val="24"/>
        </w:rPr>
      </w:pPr>
    </w:p>
    <w:p w14:paraId="5C946BA9" w14:textId="77777777" w:rsidR="00A277FA" w:rsidRDefault="00A277FA" w:rsidP="00A277FA">
      <w:pPr>
        <w:pStyle w:val="ListParagraph"/>
        <w:ind w:left="1080"/>
        <w:rPr>
          <w:sz w:val="24"/>
        </w:rPr>
      </w:pPr>
      <w:r>
        <w:rPr>
          <w:sz w:val="24"/>
        </w:rPr>
        <w:t xml:space="preserve">Correction: </w:t>
      </w:r>
      <w:r w:rsidR="00CF116B">
        <w:rPr>
          <w:sz w:val="24"/>
        </w:rPr>
        <w:t>The</w:t>
      </w:r>
      <w:r>
        <w:rPr>
          <w:sz w:val="24"/>
        </w:rPr>
        <w:t xml:space="preserve"> question appears to have confused accounting terminology. Staff’s annual recommended affiliate</w:t>
      </w:r>
      <w:r w:rsidR="00BC005F">
        <w:rPr>
          <w:sz w:val="24"/>
        </w:rPr>
        <w:t xml:space="preserve"> land</w:t>
      </w:r>
      <w:r>
        <w:rPr>
          <w:sz w:val="24"/>
        </w:rPr>
        <w:t xml:space="preserve"> rents are calculated by adding allocated annual depreciation expense plus allocated annual operating expenses plus the calculated annual return. The $1,250 represents the monthly return, not the allowable rent, assuming that opposing counsel means to say that the property has $100,000 worth of average net investment instead of “a property is worth” and the hypothetical landlord’s capital structure was 100 percent equity, thus zero percent debt.</w:t>
      </w:r>
    </w:p>
    <w:p w14:paraId="44F3178C" w14:textId="77777777" w:rsidR="00A277FA" w:rsidRPr="00A277FA" w:rsidRDefault="00A277FA" w:rsidP="00A277FA">
      <w:pPr>
        <w:rPr>
          <w:rFonts w:ascii="Courier New" w:hAnsi="Courier New" w:cs="Courier New"/>
          <w:b/>
          <w:sz w:val="24"/>
        </w:rPr>
      </w:pPr>
    </w:p>
    <w:p w14:paraId="3CDB37F1" w14:textId="77777777" w:rsidR="001D5DE1" w:rsidRDefault="001D5DE1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196, lines 21 through Page 197, line 14 documents my response to accept subject to check calculations for a hypothetical scenario described by opposing counsel. Below is a true and correct excerpt of Page 196, line 21 through Page 197, line 14. </w:t>
      </w:r>
    </w:p>
    <w:p w14:paraId="40FDE979" w14:textId="77777777" w:rsidR="001D5DE1" w:rsidRDefault="001D5DE1" w:rsidP="001D5DE1">
      <w:pPr>
        <w:pStyle w:val="ListParagraph"/>
        <w:ind w:left="1080"/>
        <w:rPr>
          <w:sz w:val="24"/>
        </w:rPr>
      </w:pPr>
    </w:p>
    <w:p w14:paraId="67F2A763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Q. Going back to Mr. Demas's table, where you said </w:t>
      </w:r>
    </w:p>
    <w:p w14:paraId="630C7866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you're not impressing a hypothetical capital structure, </w:t>
      </w:r>
    </w:p>
    <w:p w14:paraId="7073CF6C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isn't it true that the Staff has, in turn, advocated </w:t>
      </w:r>
    </w:p>
    <w:p w14:paraId="25E9516E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calculations that the test -- that would return </w:t>
      </w:r>
    </w:p>
    <w:p w14:paraId="02E5B1B8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lastRenderedPageBreak/>
        <w:t xml:space="preserve">approximately 6.33 percent equity percentage with a  </w:t>
      </w:r>
    </w:p>
    <w:p w14:paraId="40DFA1A2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12.5 percent on equity -- 12.52 percent on equity and a </w:t>
      </w:r>
    </w:p>
    <w:p w14:paraId="5E4889C3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concomitant 93.67 percent of debt incurred using a </w:t>
      </w:r>
    </w:p>
    <w:p w14:paraId="1FD9DA61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1.93 percent of cost of debt? </w:t>
      </w:r>
    </w:p>
    <w:p w14:paraId="039B7B3B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And I'm cal- -- I'm asking you to look at the </w:t>
      </w:r>
    </w:p>
    <w:p w14:paraId="7ED33E8D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calculations in Table 1 on the left side, which source the </w:t>
      </w:r>
    </w:p>
    <w:p w14:paraId="0913A94D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assumptions as Staff Data Request Response No. 5. </w:t>
      </w:r>
    </w:p>
    <w:p w14:paraId="5252AF09" w14:textId="77777777" w:rsidR="001D5DE1" w:rsidRDefault="001D5DE1" w:rsidP="001D5DE1">
      <w:pPr>
        <w:pStyle w:val="Default"/>
        <w:ind w:left="1440"/>
        <w:rPr>
          <w:sz w:val="21"/>
          <w:szCs w:val="21"/>
        </w:rPr>
      </w:pPr>
    </w:p>
    <w:p w14:paraId="4911D1B9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A. So, yes, Staff is advocating a 6.33 percent for </w:t>
      </w:r>
    </w:p>
    <w:p w14:paraId="4BA77DCC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equity. </w:t>
      </w:r>
    </w:p>
    <w:p w14:paraId="7391E1E8" w14:textId="77777777" w:rsidR="001D5DE1" w:rsidRDefault="001D5DE1" w:rsidP="001D5DE1">
      <w:pPr>
        <w:pStyle w:val="Default"/>
        <w:ind w:left="1440"/>
        <w:rPr>
          <w:sz w:val="21"/>
          <w:szCs w:val="21"/>
        </w:rPr>
      </w:pPr>
    </w:p>
    <w:p w14:paraId="3E948994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Q. For the sake of discussion -- and again, subject </w:t>
      </w:r>
    </w:p>
    <w:p w14:paraId="636EB5D3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to check -- is it true that the scenario you have advocated </w:t>
      </w:r>
    </w:p>
    <w:p w14:paraId="29424F4C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would then result, under the numbers that I just showed </w:t>
      </w:r>
    </w:p>
    <w:p w14:paraId="6FE8E2CF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you, in allowable rent for that same $100,000 building of </w:t>
      </w:r>
    </w:p>
    <w:p w14:paraId="545214FC" w14:textId="77777777" w:rsidR="001D5DE1" w:rsidRPr="001D5DE1" w:rsidRDefault="001D5DE1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$2,600 per year? Subject to check. </w:t>
      </w:r>
    </w:p>
    <w:p w14:paraId="6BFBF610" w14:textId="77777777" w:rsidR="001D5DE1" w:rsidRDefault="001D5DE1" w:rsidP="001D5DE1">
      <w:pPr>
        <w:ind w:left="1440"/>
        <w:rPr>
          <w:rFonts w:ascii="Courier New" w:hAnsi="Courier New" w:cs="Courier New"/>
          <w:sz w:val="21"/>
          <w:szCs w:val="21"/>
        </w:rPr>
      </w:pPr>
    </w:p>
    <w:p w14:paraId="3C1BC0F1" w14:textId="77777777" w:rsidR="00B82CAD" w:rsidRPr="001D5DE1" w:rsidRDefault="001D5DE1" w:rsidP="001D5DE1">
      <w:pPr>
        <w:ind w:left="720" w:firstLine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A. </w:t>
      </w:r>
      <w:r w:rsidRPr="001D5DE1">
        <w:rPr>
          <w:rFonts w:ascii="Courier New" w:hAnsi="Courier New" w:cs="Courier New"/>
          <w:sz w:val="21"/>
          <w:szCs w:val="21"/>
        </w:rPr>
        <w:t>Sub- -- I can -- subject to check.</w:t>
      </w:r>
    </w:p>
    <w:p w14:paraId="0FC5C495" w14:textId="77777777" w:rsidR="001D5DE1" w:rsidRPr="001D5DE1" w:rsidRDefault="001D5DE1" w:rsidP="001D5DE1">
      <w:pPr>
        <w:pStyle w:val="ListParagraph"/>
        <w:ind w:left="1815"/>
        <w:rPr>
          <w:rFonts w:ascii="Courier New" w:hAnsi="Courier New" w:cs="Courier New"/>
          <w:sz w:val="24"/>
        </w:rPr>
      </w:pPr>
    </w:p>
    <w:p w14:paraId="3113323D" w14:textId="77777777" w:rsidR="001D5DE1" w:rsidRDefault="001D5DE1" w:rsidP="001D5DE1">
      <w:pPr>
        <w:pStyle w:val="ListParagraph"/>
        <w:ind w:left="1080"/>
        <w:rPr>
          <w:sz w:val="24"/>
        </w:rPr>
      </w:pPr>
      <w:r>
        <w:rPr>
          <w:sz w:val="24"/>
        </w:rPr>
        <w:t>Correction:</w:t>
      </w:r>
      <w:r w:rsidRPr="001D5DE1">
        <w:rPr>
          <w:sz w:val="24"/>
        </w:rPr>
        <w:t xml:space="preserve"> </w:t>
      </w:r>
      <w:r>
        <w:rPr>
          <w:sz w:val="24"/>
        </w:rPr>
        <w:t xml:space="preserve">Staff’s annual recommended affiliate </w:t>
      </w:r>
      <w:r w:rsidR="00BC005F">
        <w:rPr>
          <w:sz w:val="24"/>
        </w:rPr>
        <w:t xml:space="preserve">land </w:t>
      </w:r>
      <w:r>
        <w:rPr>
          <w:sz w:val="24"/>
        </w:rPr>
        <w:t>rents are calculated by adding allocated annual depreciation expense plus allocated annual operating expenses plus the calculated annual return.</w:t>
      </w:r>
      <w:r w:rsidR="00111724">
        <w:rPr>
          <w:sz w:val="24"/>
        </w:rPr>
        <w:t xml:space="preserve">  The $2,600 referenced in opposing counsel’s question represents the return, not</w:t>
      </w:r>
      <w:r w:rsidR="00F07479">
        <w:rPr>
          <w:sz w:val="24"/>
        </w:rPr>
        <w:t xml:space="preserve"> the</w:t>
      </w:r>
      <w:r w:rsidR="00111724">
        <w:rPr>
          <w:sz w:val="24"/>
        </w:rPr>
        <w:t xml:space="preserve"> allowable rent.</w:t>
      </w:r>
    </w:p>
    <w:p w14:paraId="487B2B25" w14:textId="77777777" w:rsidR="00111724" w:rsidRDefault="00111724" w:rsidP="001D5DE1">
      <w:pPr>
        <w:pStyle w:val="ListParagraph"/>
        <w:ind w:left="1080"/>
        <w:rPr>
          <w:sz w:val="24"/>
        </w:rPr>
      </w:pPr>
    </w:p>
    <w:p w14:paraId="3833143E" w14:textId="77777777" w:rsidR="001D5DE1" w:rsidRDefault="001D5DE1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Statement</w:t>
      </w:r>
      <w:r w:rsidR="00111724">
        <w:rPr>
          <w:sz w:val="24"/>
        </w:rPr>
        <w:t xml:space="preserve">: Page 197, line 15 through Page 198, line 3 documents my response to accept subject to check calculations for a hypothetical scenario described by opposing counsel.  Below is a true and correct </w:t>
      </w:r>
      <w:r w:rsidR="00892A83">
        <w:rPr>
          <w:sz w:val="24"/>
        </w:rPr>
        <w:t>excerpt</w:t>
      </w:r>
      <w:r w:rsidR="00111724">
        <w:rPr>
          <w:sz w:val="24"/>
        </w:rPr>
        <w:t xml:space="preserve"> of Page 197, line 15 through Page 198, line 3. </w:t>
      </w:r>
    </w:p>
    <w:p w14:paraId="1A9C5449" w14:textId="77777777" w:rsidR="00892A83" w:rsidRDefault="00892A83" w:rsidP="00892A83">
      <w:pPr>
        <w:pStyle w:val="ListParagraph"/>
        <w:ind w:left="1080"/>
        <w:rPr>
          <w:sz w:val="24"/>
        </w:rPr>
      </w:pPr>
    </w:p>
    <w:p w14:paraId="7A5A2C1D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Okay. Do you have any reason now to doubt that </w:t>
      </w:r>
    </w:p>
    <w:p w14:paraId="705B4C31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calculation? You're willing -- you're free to do it right </w:t>
      </w:r>
    </w:p>
    <w:p w14:paraId="7986F726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now. </w:t>
      </w:r>
    </w:p>
    <w:p w14:paraId="49C456AE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0C3E1E04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Well, I -- I would have to look at what you're </w:t>
      </w:r>
    </w:p>
    <w:p w14:paraId="461239E6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looking at and then do the calculation. </w:t>
      </w:r>
    </w:p>
    <w:p w14:paraId="4443FA1B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7EDEB792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Yeah. I'm not looking at a computation. I'm just </w:t>
      </w:r>
    </w:p>
    <w:p w14:paraId="41354D1B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looking at a question that I wanted to ask you about this, </w:t>
      </w:r>
    </w:p>
    <w:p w14:paraId="34DBE265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and I'm saying: $100,000 building at your -- at 6.33 </w:t>
      </w:r>
    </w:p>
    <w:p w14:paraId="72891182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equity per -- return, you would get allowable rent of 2,600 </w:t>
      </w:r>
    </w:p>
    <w:p w14:paraId="0F7199BF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per year? </w:t>
      </w:r>
    </w:p>
    <w:p w14:paraId="1423EF0F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4196CE8B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$100,000 building at 6.33 percent -- </w:t>
      </w:r>
    </w:p>
    <w:p w14:paraId="517E77E5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7BCA7E61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-- returns $2,600 per year under your </w:t>
      </w:r>
    </w:p>
    <w:p w14:paraId="225F488D" w14:textId="77777777" w:rsidR="00111724" w:rsidRPr="00892A83" w:rsidRDefault="00111724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recommendation? </w:t>
      </w:r>
    </w:p>
    <w:p w14:paraId="3C6EFFB2" w14:textId="77777777" w:rsidR="00892A83" w:rsidRPr="00892A83" w:rsidRDefault="00892A83" w:rsidP="00892A83">
      <w:pPr>
        <w:ind w:left="1440"/>
        <w:rPr>
          <w:rFonts w:ascii="Courier New" w:hAnsi="Courier New" w:cs="Courier New"/>
          <w:sz w:val="21"/>
          <w:szCs w:val="21"/>
        </w:rPr>
      </w:pPr>
    </w:p>
    <w:p w14:paraId="09542B88" w14:textId="77777777" w:rsidR="00111724" w:rsidRPr="00892A83" w:rsidRDefault="00111724" w:rsidP="00892A83">
      <w:pPr>
        <w:pStyle w:val="ListParagraph"/>
        <w:numPr>
          <w:ilvl w:val="0"/>
          <w:numId w:val="9"/>
        </w:numPr>
        <w:rPr>
          <w:rFonts w:ascii="Courier New" w:hAnsi="Courier New" w:cs="Courier New"/>
          <w:sz w:val="21"/>
          <w:szCs w:val="21"/>
        </w:rPr>
      </w:pPr>
      <w:r w:rsidRPr="00892A83">
        <w:rPr>
          <w:rFonts w:ascii="Courier New" w:hAnsi="Courier New" w:cs="Courier New"/>
          <w:sz w:val="21"/>
          <w:szCs w:val="21"/>
        </w:rPr>
        <w:t>Again, subject to check.</w:t>
      </w:r>
    </w:p>
    <w:p w14:paraId="7D16A80A" w14:textId="77777777" w:rsidR="00892A83" w:rsidRDefault="00892A83" w:rsidP="00892A83">
      <w:pPr>
        <w:ind w:left="1080"/>
        <w:rPr>
          <w:rFonts w:ascii="Courier New" w:hAnsi="Courier New" w:cs="Courier New"/>
          <w:sz w:val="24"/>
        </w:rPr>
      </w:pPr>
    </w:p>
    <w:p w14:paraId="69398B34" w14:textId="77777777" w:rsidR="00892A83" w:rsidRDefault="00892A83" w:rsidP="00BA5CC0">
      <w:pPr>
        <w:widowControl/>
        <w:ind w:left="1080"/>
        <w:rPr>
          <w:sz w:val="24"/>
        </w:rPr>
      </w:pPr>
      <w:r w:rsidRPr="00892A83">
        <w:rPr>
          <w:sz w:val="24"/>
        </w:rPr>
        <w:t>Correction:</w:t>
      </w:r>
      <w:r>
        <w:rPr>
          <w:sz w:val="24"/>
        </w:rPr>
        <w:t xml:space="preserve"> </w:t>
      </w:r>
      <w:r w:rsidR="00AD6ECB">
        <w:rPr>
          <w:sz w:val="24"/>
        </w:rPr>
        <w:t xml:space="preserve">Staff’s annual recommended affiliate land rents are calculated by adding allocated annual depreciation expense plus allocated annual operating </w:t>
      </w:r>
      <w:r w:rsidR="00AD6ECB">
        <w:rPr>
          <w:sz w:val="24"/>
        </w:rPr>
        <w:lastRenderedPageBreak/>
        <w:t xml:space="preserve">expenses plus the calculated annual return.  </w:t>
      </w:r>
      <w:r>
        <w:rPr>
          <w:sz w:val="24"/>
        </w:rPr>
        <w:t xml:space="preserve">The $2,600 referenced in opposing counsel’s question represents the return, not </w:t>
      </w:r>
      <w:r w:rsidR="00F07479">
        <w:rPr>
          <w:sz w:val="24"/>
        </w:rPr>
        <w:t xml:space="preserve">the </w:t>
      </w:r>
      <w:r>
        <w:rPr>
          <w:sz w:val="24"/>
        </w:rPr>
        <w:t>allowable rent.</w:t>
      </w:r>
    </w:p>
    <w:p w14:paraId="5F9E4898" w14:textId="77777777" w:rsidR="00892A83" w:rsidRPr="00892A83" w:rsidRDefault="00892A83" w:rsidP="00892A83">
      <w:pPr>
        <w:ind w:left="1080"/>
        <w:rPr>
          <w:sz w:val="24"/>
        </w:rPr>
      </w:pPr>
    </w:p>
    <w:p w14:paraId="5653CEFA" w14:textId="77777777" w:rsidR="001D5DE1" w:rsidRDefault="001D5DE1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Statement</w:t>
      </w:r>
      <w:r w:rsidR="00892A83">
        <w:rPr>
          <w:sz w:val="24"/>
        </w:rPr>
        <w:t xml:space="preserve">: Page 198, line 25 through Page 199, line 9 documents my response to accept subject to check calculations relating to a hypothetical scenario described by opposing counsel.  Below is a true and correct excerpt of Page 198, line 25 through Page 199, line 9. </w:t>
      </w:r>
    </w:p>
    <w:p w14:paraId="68382BE7" w14:textId="77777777" w:rsidR="00892A83" w:rsidRDefault="00892A83" w:rsidP="00892A83">
      <w:pPr>
        <w:pStyle w:val="ListParagraph"/>
        <w:ind w:left="1080"/>
        <w:rPr>
          <w:sz w:val="24"/>
        </w:rPr>
      </w:pPr>
    </w:p>
    <w:p w14:paraId="4DF92A03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So that $100,000 building, Ms. Cheesman, has  </w:t>
      </w:r>
    </w:p>
    <w:p w14:paraId="6ACDA0E9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$2,600 per year in allowable rent, and divided by 12, that </w:t>
      </w:r>
    </w:p>
    <w:p w14:paraId="6DA2F318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would be $216 a month, wouldn't it? </w:t>
      </w:r>
    </w:p>
    <w:p w14:paraId="1F54C1A7" w14:textId="77777777" w:rsid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1195E6BB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Yes. </w:t>
      </w:r>
    </w:p>
    <w:p w14:paraId="3EC15D37" w14:textId="77777777" w:rsid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1B21D32F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Okay. Would you agree that that's a 2.6 -- you </w:t>
      </w:r>
    </w:p>
    <w:p w14:paraId="7BAF817F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agree, then, that's a 2.6 return, calculated on a monthly </w:t>
      </w:r>
    </w:p>
    <w:p w14:paraId="1707D3A9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basis now of $216, under my scenario? </w:t>
      </w:r>
    </w:p>
    <w:p w14:paraId="224FAAE0" w14:textId="77777777" w:rsid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655B1ADB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You said 2.6 return -- </w:t>
      </w:r>
    </w:p>
    <w:p w14:paraId="73222856" w14:textId="77777777" w:rsidR="00892A83" w:rsidRDefault="00892A83" w:rsidP="00892A83">
      <w:pPr>
        <w:pStyle w:val="Default"/>
        <w:ind w:left="1440"/>
        <w:rPr>
          <w:sz w:val="21"/>
          <w:szCs w:val="21"/>
        </w:rPr>
      </w:pPr>
    </w:p>
    <w:p w14:paraId="007250D9" w14:textId="77777777" w:rsidR="00892A83" w:rsidRPr="00892A83" w:rsidRDefault="00892A83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$216 a month allowable rent under your formula? </w:t>
      </w:r>
    </w:p>
    <w:p w14:paraId="3C9453FF" w14:textId="77777777" w:rsidR="00892A83" w:rsidRDefault="00892A83" w:rsidP="00892A83">
      <w:pPr>
        <w:ind w:left="1440"/>
        <w:rPr>
          <w:rFonts w:ascii="Courier New" w:hAnsi="Courier New" w:cs="Courier New"/>
          <w:sz w:val="21"/>
          <w:szCs w:val="21"/>
        </w:rPr>
      </w:pPr>
    </w:p>
    <w:p w14:paraId="21673C33" w14:textId="77777777" w:rsidR="00892A83" w:rsidRPr="00892A83" w:rsidRDefault="00892A83" w:rsidP="00892A83">
      <w:pPr>
        <w:ind w:left="1440"/>
        <w:rPr>
          <w:rFonts w:ascii="Courier New" w:hAnsi="Courier New" w:cs="Courier New"/>
          <w:sz w:val="24"/>
        </w:rPr>
      </w:pPr>
      <w:r w:rsidRPr="00892A83">
        <w:rPr>
          <w:rFonts w:ascii="Courier New" w:hAnsi="Courier New" w:cs="Courier New"/>
          <w:sz w:val="21"/>
          <w:szCs w:val="21"/>
        </w:rPr>
        <w:t>A. Right, subject to check.</w:t>
      </w:r>
    </w:p>
    <w:p w14:paraId="107D3850" w14:textId="77777777" w:rsidR="00892A83" w:rsidRDefault="00892A83" w:rsidP="00892A83">
      <w:pPr>
        <w:pStyle w:val="ListParagraph"/>
        <w:ind w:left="1080"/>
        <w:rPr>
          <w:sz w:val="24"/>
        </w:rPr>
      </w:pPr>
    </w:p>
    <w:p w14:paraId="2EE608FD" w14:textId="77777777" w:rsidR="00892A83" w:rsidRDefault="00892A83" w:rsidP="00892A83">
      <w:pPr>
        <w:pStyle w:val="ListParagraph"/>
        <w:ind w:left="1080"/>
        <w:rPr>
          <w:sz w:val="24"/>
        </w:rPr>
      </w:pPr>
      <w:r>
        <w:rPr>
          <w:sz w:val="24"/>
        </w:rPr>
        <w:t>Correction:</w:t>
      </w:r>
      <w:r w:rsidRPr="00892A83">
        <w:rPr>
          <w:sz w:val="24"/>
        </w:rPr>
        <w:t xml:space="preserve"> </w:t>
      </w:r>
      <w:r>
        <w:rPr>
          <w:sz w:val="24"/>
        </w:rPr>
        <w:t>Staff’s annual recommended affiliate</w:t>
      </w:r>
      <w:r w:rsidR="00F07479">
        <w:rPr>
          <w:sz w:val="24"/>
        </w:rPr>
        <w:t xml:space="preserve"> land</w:t>
      </w:r>
      <w:r>
        <w:rPr>
          <w:sz w:val="24"/>
        </w:rPr>
        <w:t xml:space="preserve"> rents are calculated by adding allocated annual depreciation expense plus allocated annual operating expenses plus the calculated annual return. The $216 represents only the monthly return, not the allowable rent.</w:t>
      </w:r>
      <w:r w:rsidRPr="00892A83">
        <w:rPr>
          <w:sz w:val="24"/>
        </w:rPr>
        <w:t xml:space="preserve"> </w:t>
      </w:r>
      <w:r>
        <w:rPr>
          <w:sz w:val="24"/>
        </w:rPr>
        <w:t xml:space="preserve">Based on Staff’s recommendation in the above scenario, the return would be 2.8 percent, which reflects the underlying cost of capital. </w:t>
      </w:r>
    </w:p>
    <w:p w14:paraId="49F3A707" w14:textId="77777777" w:rsidR="00892A83" w:rsidRDefault="00892A83" w:rsidP="00892A83">
      <w:pPr>
        <w:pStyle w:val="ListParagraph"/>
        <w:ind w:left="1080"/>
        <w:rPr>
          <w:sz w:val="24"/>
        </w:rPr>
      </w:pPr>
    </w:p>
    <w:p w14:paraId="235B9E92" w14:textId="77777777" w:rsidR="00912327" w:rsidRDefault="001D5DE1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Statement</w:t>
      </w:r>
      <w:r w:rsidR="00912327">
        <w:rPr>
          <w:sz w:val="24"/>
        </w:rPr>
        <w:t>: Page 222, lines 1 through 14 documents my statement describing my prior written testimony, subject to check.  Below is a true and correct excerpt of Page 222, lines 1 through 14.</w:t>
      </w:r>
    </w:p>
    <w:p w14:paraId="0CDF1784" w14:textId="77777777" w:rsidR="00912327" w:rsidRDefault="00912327" w:rsidP="00912327">
      <w:pPr>
        <w:pStyle w:val="ListParagraph"/>
        <w:ind w:left="1080"/>
        <w:rPr>
          <w:sz w:val="24"/>
        </w:rPr>
      </w:pPr>
    </w:p>
    <w:p w14:paraId="6595D993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Q. While you critique the Company's allocation of </w:t>
      </w:r>
    </w:p>
    <w:p w14:paraId="40C8C634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costs based on the number of entities sharing the facility </w:t>
      </w:r>
    </w:p>
    <w:p w14:paraId="71687EA5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as overly simplistic, how is your use of net book value of </w:t>
      </w:r>
    </w:p>
    <w:p w14:paraId="50CF8444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aggregated fixed assets better when it's clear that many of </w:t>
      </w:r>
    </w:p>
    <w:p w14:paraId="4411F626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those assets are not shared, have differing lives, and in </w:t>
      </w:r>
    </w:p>
    <w:p w14:paraId="001CFAA8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many cases, have no relationship to each other in terms of </w:t>
      </w:r>
    </w:p>
    <w:p w14:paraId="72C8B341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fixed assets and a completely different entity? </w:t>
      </w:r>
    </w:p>
    <w:p w14:paraId="1891B59C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</w:p>
    <w:p w14:paraId="28F0E03D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A. So, in my testimony, I don't say that it's overly </w:t>
      </w:r>
    </w:p>
    <w:p w14:paraId="3BD75156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simplistic, and that's subject to check. I do use the </w:t>
      </w:r>
    </w:p>
    <w:p w14:paraId="4E582D87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adjective "unsupported," and the reason why, again, I </w:t>
      </w:r>
    </w:p>
    <w:p w14:paraId="27D7735B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used -- I don't think it's overly simplistic to use the </w:t>
      </w:r>
    </w:p>
    <w:p w14:paraId="0F711F56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book value of assets because it does take into account that </w:t>
      </w:r>
    </w:p>
    <w:p w14:paraId="01CBDF57" w14:textId="77777777" w:rsidR="00912327" w:rsidRDefault="00912327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they're -- each company, on its books, has different assets </w:t>
      </w:r>
      <w:r w:rsidRPr="00912327">
        <w:rPr>
          <w:sz w:val="21"/>
          <w:szCs w:val="21"/>
        </w:rPr>
        <w:t>that aren't shared.</w:t>
      </w:r>
    </w:p>
    <w:p w14:paraId="0543CFD2" w14:textId="77777777" w:rsidR="00912327" w:rsidRDefault="00912327" w:rsidP="00912327">
      <w:pPr>
        <w:pStyle w:val="Default"/>
        <w:rPr>
          <w:sz w:val="21"/>
          <w:szCs w:val="21"/>
        </w:rPr>
      </w:pPr>
    </w:p>
    <w:p w14:paraId="15885C26" w14:textId="77777777" w:rsidR="00912327" w:rsidRPr="00912327" w:rsidRDefault="00912327" w:rsidP="00912327">
      <w:pPr>
        <w:pStyle w:val="Default"/>
        <w:ind w:left="1080"/>
        <w:rPr>
          <w:rFonts w:ascii="Times New Roman" w:hAnsi="Times New Roman" w:cs="Times New Roman"/>
        </w:rPr>
      </w:pPr>
      <w:r w:rsidRPr="00912327">
        <w:rPr>
          <w:rFonts w:ascii="Times New Roman" w:hAnsi="Times New Roman" w:cs="Times New Roman"/>
        </w:rPr>
        <w:lastRenderedPageBreak/>
        <w:t>Correction: Staff’s testimony at Exhibit MC-13T, page 3, Footnote 3, characterizes the Company’s proposed allocation as “overly simplistic</w:t>
      </w:r>
      <w:r>
        <w:rPr>
          <w:rFonts w:ascii="Times New Roman" w:hAnsi="Times New Roman" w:cs="Times New Roman"/>
        </w:rPr>
        <w:t>.</w:t>
      </w:r>
      <w:r w:rsidRPr="00912327">
        <w:rPr>
          <w:rFonts w:ascii="Times New Roman" w:hAnsi="Times New Roman" w:cs="Times New Roman"/>
        </w:rPr>
        <w:t xml:space="preserve">” </w:t>
      </w:r>
    </w:p>
    <w:p w14:paraId="2B43D266" w14:textId="77777777" w:rsidR="00912327" w:rsidRPr="00912327" w:rsidRDefault="00912327" w:rsidP="00912327">
      <w:pPr>
        <w:pStyle w:val="Default"/>
        <w:ind w:left="720"/>
        <w:rPr>
          <w:sz w:val="21"/>
          <w:szCs w:val="21"/>
        </w:rPr>
      </w:pPr>
    </w:p>
    <w:p w14:paraId="63EB4AE9" w14:textId="77777777" w:rsidR="001D5DE1" w:rsidRDefault="00912327" w:rsidP="002962C7">
      <w:pPr>
        <w:pStyle w:val="ListParagraph"/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233, lines 19 through 25 documents my statement recalling the amount of utilities expense paid by WCR. Below is a true and correct excerpt of Page 233, lines 19 through 25. </w:t>
      </w:r>
    </w:p>
    <w:p w14:paraId="54A5C983" w14:textId="77777777" w:rsidR="00CF116B" w:rsidRDefault="00CF116B" w:rsidP="00CF116B">
      <w:pPr>
        <w:pStyle w:val="Default"/>
        <w:ind w:left="1440"/>
        <w:rPr>
          <w:sz w:val="21"/>
          <w:szCs w:val="21"/>
        </w:rPr>
      </w:pPr>
    </w:p>
    <w:p w14:paraId="7730884B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Q. Didn't allocate utility expense that WCR paid for </w:t>
      </w:r>
    </w:p>
    <w:p w14:paraId="1BE9A00E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WCI in the three months in Utility Workpaper 12? </w:t>
      </w:r>
    </w:p>
    <w:p w14:paraId="6CAE07D5" w14:textId="77777777" w:rsidR="00CF116B" w:rsidRDefault="00CF116B" w:rsidP="00CF116B">
      <w:pPr>
        <w:pStyle w:val="Default"/>
        <w:ind w:left="1440"/>
        <w:rPr>
          <w:sz w:val="21"/>
          <w:szCs w:val="21"/>
        </w:rPr>
      </w:pPr>
    </w:p>
    <w:p w14:paraId="6B6F72E8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A. Oh, the -- yes. The 6,000 of -- and this is </w:t>
      </w:r>
    </w:p>
    <w:p w14:paraId="2D982A4A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subject to check -- approximately 28,000 of the expense </w:t>
      </w:r>
    </w:p>
    <w:p w14:paraId="419B2409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that the Company provided during settlement, Staff did not </w:t>
      </w:r>
    </w:p>
    <w:p w14:paraId="77C24E39" w14:textId="77777777" w:rsidR="00912327" w:rsidRDefault="00912327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change its initial position based on information provided </w:t>
      </w:r>
      <w:r w:rsidRPr="00912327">
        <w:rPr>
          <w:sz w:val="21"/>
          <w:szCs w:val="21"/>
        </w:rPr>
        <w:t>in settlement.</w:t>
      </w:r>
    </w:p>
    <w:p w14:paraId="743FE28E" w14:textId="77777777" w:rsidR="00CF116B" w:rsidRDefault="00CF116B" w:rsidP="00CF1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E3598C" w14:textId="77777777" w:rsidR="00CF116B" w:rsidRDefault="00CF116B" w:rsidP="00CF116B">
      <w:pPr>
        <w:pStyle w:val="Default"/>
        <w:ind w:left="1080"/>
        <w:rPr>
          <w:rFonts w:ascii="Times New Roman" w:hAnsi="Times New Roman" w:cs="Times New Roman"/>
        </w:rPr>
      </w:pPr>
      <w:r w:rsidRPr="00CF116B">
        <w:rPr>
          <w:rFonts w:ascii="Times New Roman" w:hAnsi="Times New Roman" w:cs="Times New Roman"/>
        </w:rPr>
        <w:t xml:space="preserve">Correction: Staff’s statement “approximately 28,000” is a misstatement. The correct value should read “approximately 59,000.” </w:t>
      </w:r>
    </w:p>
    <w:p w14:paraId="19EF225C" w14:textId="77777777" w:rsidR="00AF24BB" w:rsidRDefault="00AF24BB" w:rsidP="00AF24BB">
      <w:pPr>
        <w:ind w:left="-720"/>
        <w:rPr>
          <w:sz w:val="24"/>
        </w:rPr>
      </w:pPr>
    </w:p>
    <w:p w14:paraId="0605D661" w14:textId="77777777" w:rsidR="00AF24BB" w:rsidRPr="00E11389" w:rsidRDefault="00AF24BB" w:rsidP="00AF24BB">
      <w:pPr>
        <w:rPr>
          <w:sz w:val="24"/>
        </w:rPr>
      </w:pPr>
      <w:r>
        <w:rPr>
          <w:sz w:val="24"/>
        </w:rPr>
        <w:tab/>
      </w:r>
      <w:r w:rsidRPr="00E11389">
        <w:rPr>
          <w:sz w:val="24"/>
        </w:rPr>
        <w:t>DATED at Olympia, Washington, and effective</w:t>
      </w:r>
      <w:r w:rsidR="00A05916">
        <w:rPr>
          <w:sz w:val="24"/>
        </w:rPr>
        <w:t xml:space="preserve"> this </w:t>
      </w:r>
      <w:r w:rsidR="002962C7">
        <w:rPr>
          <w:sz w:val="24"/>
        </w:rPr>
        <w:t>18</w:t>
      </w:r>
      <w:r w:rsidR="002962C7">
        <w:rPr>
          <w:sz w:val="24"/>
          <w:vertAlign w:val="superscript"/>
        </w:rPr>
        <w:t xml:space="preserve">th </w:t>
      </w:r>
      <w:r w:rsidR="00A05916">
        <w:rPr>
          <w:sz w:val="24"/>
        </w:rPr>
        <w:t>day of</w:t>
      </w:r>
      <w:r w:rsidR="002962C7">
        <w:rPr>
          <w:sz w:val="24"/>
        </w:rPr>
        <w:t xml:space="preserve"> March</w:t>
      </w:r>
      <w:r w:rsidRPr="00E11389">
        <w:rPr>
          <w:sz w:val="24"/>
        </w:rPr>
        <w:t xml:space="preserve"> 201</w:t>
      </w:r>
      <w:r w:rsidR="002962C7">
        <w:rPr>
          <w:sz w:val="24"/>
        </w:rPr>
        <w:t xml:space="preserve">5. </w:t>
      </w:r>
    </w:p>
    <w:p w14:paraId="28FDE822" w14:textId="77777777" w:rsidR="00AF24BB" w:rsidRPr="00A05916" w:rsidRDefault="00AF24BB" w:rsidP="00AF24BB">
      <w:pPr>
        <w:rPr>
          <w:sz w:val="24"/>
        </w:rPr>
      </w:pPr>
    </w:p>
    <w:p w14:paraId="2FBF303A" w14:textId="77777777" w:rsidR="00AF24BB" w:rsidRPr="00E11389" w:rsidRDefault="00AF24BB" w:rsidP="00AF24BB">
      <w:pPr>
        <w:rPr>
          <w:sz w:val="24"/>
        </w:rPr>
      </w:pPr>
    </w:p>
    <w:p w14:paraId="54A9ECAC" w14:textId="77777777" w:rsidR="00F748D8" w:rsidRDefault="00AF24BB" w:rsidP="00AF24BB">
      <w:pPr>
        <w:ind w:left="4320"/>
        <w:rPr>
          <w:sz w:val="24"/>
        </w:rPr>
      </w:pPr>
      <w:r w:rsidRPr="00E11389">
        <w:rPr>
          <w:sz w:val="24"/>
        </w:rPr>
        <w:t>__________________________</w:t>
      </w:r>
      <w:r w:rsidR="002962C7">
        <w:rPr>
          <w:sz w:val="24"/>
        </w:rPr>
        <w:t>__________</w:t>
      </w:r>
    </w:p>
    <w:p w14:paraId="15E966E4" w14:textId="77777777" w:rsidR="00AF24BB" w:rsidRDefault="002962C7" w:rsidP="00AF24BB">
      <w:pPr>
        <w:ind w:left="4320"/>
        <w:rPr>
          <w:sz w:val="24"/>
        </w:rPr>
      </w:pPr>
      <w:r>
        <w:rPr>
          <w:sz w:val="24"/>
        </w:rPr>
        <w:t xml:space="preserve">MELISSA CHEESMAN </w:t>
      </w:r>
    </w:p>
    <w:p w14:paraId="361CFB97" w14:textId="77777777" w:rsidR="00A05916" w:rsidRPr="004A2910" w:rsidRDefault="00A05916" w:rsidP="00AF24BB">
      <w:pPr>
        <w:ind w:left="4320"/>
        <w:rPr>
          <w:sz w:val="24"/>
        </w:rPr>
      </w:pPr>
    </w:p>
    <w:p w14:paraId="10ECA3A1" w14:textId="77777777" w:rsidR="00F748D8" w:rsidRDefault="00F748D8"/>
    <w:sectPr w:rsidR="00F748D8" w:rsidSect="00F748D8">
      <w:footerReference w:type="default" r:id="rId11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2503C" w14:textId="77777777" w:rsidR="00FC109E" w:rsidRDefault="00FC109E">
      <w:r>
        <w:separator/>
      </w:r>
    </w:p>
  </w:endnote>
  <w:endnote w:type="continuationSeparator" w:id="0">
    <w:p w14:paraId="50092E15" w14:textId="77777777" w:rsidR="00FC109E" w:rsidRDefault="00F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7561" w14:textId="77777777" w:rsidR="00AE2CEE" w:rsidRDefault="00AE2CEE" w:rsidP="00E66938">
    <w:pPr>
      <w:pStyle w:val="Footer"/>
      <w:tabs>
        <w:tab w:val="clear" w:pos="4320"/>
        <w:tab w:val="clear" w:pos="8640"/>
        <w:tab w:val="left" w:pos="1560"/>
      </w:tabs>
    </w:pPr>
  </w:p>
  <w:p w14:paraId="4C84E01B" w14:textId="77777777" w:rsidR="00AE2CEE" w:rsidRPr="00737B08" w:rsidRDefault="00AE2CEE">
    <w:pPr>
      <w:pStyle w:val="Footer"/>
    </w:pPr>
    <w:r>
      <w:t xml:space="preserve">AFFIDAVIT OF </w:t>
    </w:r>
    <w:r w:rsidR="00E66938">
      <w:t>MELISSA CHEESMAN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C77DE1">
      <w:rPr>
        <w:rStyle w:val="PageNumber"/>
        <w:noProof/>
      </w:rPr>
      <w:t>5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3BA7" w14:textId="77777777" w:rsidR="00FC109E" w:rsidRDefault="00FC109E">
      <w:r>
        <w:separator/>
      </w:r>
    </w:p>
  </w:footnote>
  <w:footnote w:type="continuationSeparator" w:id="0">
    <w:p w14:paraId="75B49B5E" w14:textId="77777777" w:rsidR="00FC109E" w:rsidRDefault="00FC109E">
      <w:r>
        <w:continuationSeparator/>
      </w:r>
    </w:p>
  </w:footnote>
  <w:footnote w:id="1">
    <w:p w14:paraId="64A4B53E" w14:textId="77777777" w:rsidR="00B82CAD" w:rsidRPr="00A277FA" w:rsidRDefault="00B82C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77FA">
        <w:rPr>
          <w:i/>
        </w:rPr>
        <w:t>WUTC v. Waste Control, Inc.</w:t>
      </w:r>
      <w:r w:rsidR="00A277FA">
        <w:t xml:space="preserve">, Docket TG-140560, Hearing Transcript, March 11, 2015, Reported by Ryan Ziegler.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CBE"/>
    <w:multiLevelType w:val="hybridMultilevel"/>
    <w:tmpl w:val="94EEE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A49"/>
    <w:multiLevelType w:val="hybridMultilevel"/>
    <w:tmpl w:val="74F416DC"/>
    <w:lvl w:ilvl="0" w:tplc="7F0C6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97521"/>
    <w:multiLevelType w:val="hybridMultilevel"/>
    <w:tmpl w:val="7D0822EC"/>
    <w:lvl w:ilvl="0" w:tplc="16AE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7D24"/>
    <w:multiLevelType w:val="hybridMultilevel"/>
    <w:tmpl w:val="146E0A2E"/>
    <w:lvl w:ilvl="0" w:tplc="E89C5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D6BEF"/>
    <w:multiLevelType w:val="hybridMultilevel"/>
    <w:tmpl w:val="B07407E4"/>
    <w:lvl w:ilvl="0" w:tplc="E02A70E6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2F162F"/>
    <w:multiLevelType w:val="hybridMultilevel"/>
    <w:tmpl w:val="B1EAE7A4"/>
    <w:lvl w:ilvl="0" w:tplc="2B4A0BCA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764008"/>
    <w:multiLevelType w:val="hybridMultilevel"/>
    <w:tmpl w:val="D8F25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25DB8"/>
    <w:rsid w:val="000C21A6"/>
    <w:rsid w:val="00111724"/>
    <w:rsid w:val="00124B0E"/>
    <w:rsid w:val="001A3E51"/>
    <w:rsid w:val="001D5DE1"/>
    <w:rsid w:val="00255923"/>
    <w:rsid w:val="002962C7"/>
    <w:rsid w:val="002A754E"/>
    <w:rsid w:val="00301085"/>
    <w:rsid w:val="003C5390"/>
    <w:rsid w:val="003E3B7E"/>
    <w:rsid w:val="003F1945"/>
    <w:rsid w:val="00420F5F"/>
    <w:rsid w:val="00437684"/>
    <w:rsid w:val="004A26FF"/>
    <w:rsid w:val="004A4F64"/>
    <w:rsid w:val="004C3D65"/>
    <w:rsid w:val="004F5F89"/>
    <w:rsid w:val="004F69A5"/>
    <w:rsid w:val="00501FFC"/>
    <w:rsid w:val="00595D41"/>
    <w:rsid w:val="005E07C2"/>
    <w:rsid w:val="00641F98"/>
    <w:rsid w:val="0065561B"/>
    <w:rsid w:val="006B2E8A"/>
    <w:rsid w:val="00737B08"/>
    <w:rsid w:val="007464F1"/>
    <w:rsid w:val="00764C8C"/>
    <w:rsid w:val="0076699B"/>
    <w:rsid w:val="007C1BA6"/>
    <w:rsid w:val="00835284"/>
    <w:rsid w:val="0088523F"/>
    <w:rsid w:val="0089062F"/>
    <w:rsid w:val="00892A83"/>
    <w:rsid w:val="00912327"/>
    <w:rsid w:val="009B43D6"/>
    <w:rsid w:val="009C2DB0"/>
    <w:rsid w:val="009D3E3D"/>
    <w:rsid w:val="009D6057"/>
    <w:rsid w:val="00A05916"/>
    <w:rsid w:val="00A277FA"/>
    <w:rsid w:val="00A30C52"/>
    <w:rsid w:val="00A80028"/>
    <w:rsid w:val="00A918DE"/>
    <w:rsid w:val="00AD6ECB"/>
    <w:rsid w:val="00AE2CEE"/>
    <w:rsid w:val="00AE4455"/>
    <w:rsid w:val="00AE7597"/>
    <w:rsid w:val="00AF24BB"/>
    <w:rsid w:val="00B73973"/>
    <w:rsid w:val="00B82CAD"/>
    <w:rsid w:val="00B8788E"/>
    <w:rsid w:val="00BA5CC0"/>
    <w:rsid w:val="00BB292E"/>
    <w:rsid w:val="00BC005F"/>
    <w:rsid w:val="00BF2F67"/>
    <w:rsid w:val="00BF3CD1"/>
    <w:rsid w:val="00C360A4"/>
    <w:rsid w:val="00C5478B"/>
    <w:rsid w:val="00C77DE1"/>
    <w:rsid w:val="00CE3557"/>
    <w:rsid w:val="00CF116B"/>
    <w:rsid w:val="00D22816"/>
    <w:rsid w:val="00DA492F"/>
    <w:rsid w:val="00E66938"/>
    <w:rsid w:val="00E966F4"/>
    <w:rsid w:val="00ED4DA4"/>
    <w:rsid w:val="00F07479"/>
    <w:rsid w:val="00F414D4"/>
    <w:rsid w:val="00F748D8"/>
    <w:rsid w:val="00F77C60"/>
    <w:rsid w:val="00FC109E"/>
    <w:rsid w:val="00FE097F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35C604"/>
  <w15:docId w15:val="{086816AA-5405-40B4-B3C1-571A42CC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AF24BB"/>
    <w:pPr>
      <w:ind w:left="720"/>
      <w:contextualSpacing/>
    </w:pPr>
  </w:style>
  <w:style w:type="paragraph" w:customStyle="1" w:styleId="Default">
    <w:name w:val="Default"/>
    <w:rsid w:val="00A277F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Affidavit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2015-03-18T20:40:01+00:00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4F188F-D835-41ED-A278-E2C5D5C1CA93}"/>
</file>

<file path=customXml/itemProps2.xml><?xml version="1.0" encoding="utf-8"?>
<ds:datastoreItem xmlns:ds="http://schemas.openxmlformats.org/officeDocument/2006/customXml" ds:itemID="{53EAE6C6-77F2-4948-BA97-2BC0DD74AB4B}"/>
</file>

<file path=customXml/itemProps3.xml><?xml version="1.0" encoding="utf-8"?>
<ds:datastoreItem xmlns:ds="http://schemas.openxmlformats.org/officeDocument/2006/customXml" ds:itemID="{C191DCFB-D936-49D9-B154-DE0CE7473E1C}"/>
</file>

<file path=customXml/itemProps4.xml><?xml version="1.0" encoding="utf-8"?>
<ds:datastoreItem xmlns:ds="http://schemas.openxmlformats.org/officeDocument/2006/customXml" ds:itemID="{9FA130C6-EF81-48AE-9B7F-9BDA5F8BCF67}"/>
</file>

<file path=customXml/itemProps5.xml><?xml version="1.0" encoding="utf-8"?>
<ds:datastoreItem xmlns:ds="http://schemas.openxmlformats.org/officeDocument/2006/customXml" ds:itemID="{F1084130-3B63-451F-94B1-384B2BE82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Gross, Krista (UTC)</cp:lastModifiedBy>
  <cp:revision>3</cp:revision>
  <cp:lastPrinted>2015-03-18T15:30:00Z</cp:lastPrinted>
  <dcterms:created xsi:type="dcterms:W3CDTF">2015-03-18T16:11:00Z</dcterms:created>
  <dcterms:modified xsi:type="dcterms:W3CDTF">2015-03-18T16:12:00Z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