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6ED" w14:textId="0CFC1BAD" w:rsidR="008A4054" w:rsidRPr="006B52CB" w:rsidRDefault="00657DEE" w:rsidP="00B05229">
      <w:bookmarkStart w:id="0" w:name="_GoBack"/>
      <w:bookmarkEnd w:id="0"/>
      <w:r w:rsidRPr="006B52CB">
        <w:t>Agenda Date:</w:t>
      </w:r>
      <w:r w:rsidRPr="006B52CB">
        <w:tab/>
      </w:r>
      <w:r w:rsidR="00744C90" w:rsidRPr="006B52CB">
        <w:tab/>
      </w:r>
      <w:r w:rsidR="00CA145E">
        <w:t>January 26, 2017</w:t>
      </w:r>
    </w:p>
    <w:p w14:paraId="7EAFB139" w14:textId="3EBE7565" w:rsidR="00657DEE" w:rsidRPr="006B52CB" w:rsidRDefault="00657DEE" w:rsidP="00B05229">
      <w:r w:rsidRPr="006B52CB">
        <w:t>Item Number:</w:t>
      </w:r>
      <w:r w:rsidR="00063802" w:rsidRPr="006B52CB">
        <w:tab/>
      </w:r>
      <w:r w:rsidRPr="006B52CB">
        <w:tab/>
      </w:r>
      <w:r w:rsidR="00CA145E">
        <w:t>A</w:t>
      </w:r>
      <w:r w:rsidR="00620310">
        <w:t>2</w:t>
      </w:r>
    </w:p>
    <w:p w14:paraId="352EE193" w14:textId="77777777" w:rsidR="00657DEE" w:rsidRPr="006B52CB" w:rsidRDefault="00657DEE" w:rsidP="00B05229"/>
    <w:p w14:paraId="6290A6A2" w14:textId="3DE0C28F" w:rsidR="00657DEE" w:rsidRPr="006B52CB" w:rsidRDefault="00657DEE" w:rsidP="00B05229">
      <w:pPr>
        <w:rPr>
          <w:b/>
        </w:rPr>
      </w:pPr>
      <w:r w:rsidRPr="006B52CB">
        <w:rPr>
          <w:b/>
        </w:rPr>
        <w:t>Docket</w:t>
      </w:r>
      <w:r w:rsidR="002C648F" w:rsidRPr="006B52CB">
        <w:rPr>
          <w:b/>
        </w:rPr>
        <w:t>:</w:t>
      </w:r>
      <w:r w:rsidR="002C648F" w:rsidRPr="006B52CB">
        <w:rPr>
          <w:b/>
        </w:rPr>
        <w:tab/>
      </w:r>
      <w:r w:rsidR="002C648F" w:rsidRPr="006B52CB">
        <w:rPr>
          <w:b/>
        </w:rPr>
        <w:tab/>
      </w:r>
      <w:r w:rsidR="005A7B7E" w:rsidRPr="006B52CB">
        <w:rPr>
          <w:b/>
        </w:rPr>
        <w:t>UE</w:t>
      </w:r>
      <w:r w:rsidR="00CF5C63" w:rsidRPr="006B52CB">
        <w:rPr>
          <w:b/>
        </w:rPr>
        <w:t>-</w:t>
      </w:r>
      <w:r w:rsidR="005A7B7E" w:rsidRPr="006B52CB">
        <w:rPr>
          <w:b/>
        </w:rPr>
        <w:t>1</w:t>
      </w:r>
      <w:r w:rsidR="002B32BE" w:rsidRPr="006B52CB">
        <w:rPr>
          <w:b/>
        </w:rPr>
        <w:t>52072</w:t>
      </w:r>
    </w:p>
    <w:p w14:paraId="625573B6" w14:textId="77777777" w:rsidR="006F767C" w:rsidRPr="006B52CB" w:rsidRDefault="006F767C" w:rsidP="00B05229">
      <w:pPr>
        <w:rPr>
          <w:b/>
        </w:rPr>
      </w:pPr>
      <w:r w:rsidRPr="006B52CB">
        <w:rPr>
          <w:b/>
        </w:rPr>
        <w:tab/>
      </w:r>
      <w:r w:rsidRPr="006B52CB">
        <w:rPr>
          <w:b/>
        </w:rPr>
        <w:tab/>
      </w:r>
      <w:r w:rsidRPr="006B52CB">
        <w:rPr>
          <w:b/>
        </w:rPr>
        <w:tab/>
      </w:r>
    </w:p>
    <w:p w14:paraId="051DD986" w14:textId="77777777" w:rsidR="00657DEE" w:rsidRPr="006B52CB" w:rsidRDefault="00657DEE" w:rsidP="00B05229">
      <w:r w:rsidRPr="006B52CB">
        <w:t>Company:</w:t>
      </w:r>
      <w:r w:rsidRPr="006B52CB">
        <w:tab/>
      </w:r>
      <w:r w:rsidRPr="006B52CB">
        <w:tab/>
      </w:r>
      <w:r w:rsidR="007C213A" w:rsidRPr="006B52CB">
        <w:t>Pacific Power &amp; Light Company</w:t>
      </w:r>
    </w:p>
    <w:p w14:paraId="3EC77D03" w14:textId="77777777" w:rsidR="00B05229" w:rsidRPr="006B52CB" w:rsidRDefault="00B05229" w:rsidP="00B05229"/>
    <w:p w14:paraId="4A5558EB" w14:textId="77777777" w:rsidR="003329DB" w:rsidRPr="006B52CB" w:rsidRDefault="00657DEE" w:rsidP="00B05229">
      <w:r w:rsidRPr="006B52CB">
        <w:t>Staff:</w:t>
      </w:r>
      <w:r w:rsidRPr="006B52CB">
        <w:tab/>
      </w:r>
      <w:r w:rsidRPr="006B52CB">
        <w:tab/>
      </w:r>
      <w:r w:rsidRPr="006B52CB">
        <w:tab/>
      </w:r>
      <w:r w:rsidR="00445455" w:rsidRPr="006B52CB">
        <w:t xml:space="preserve">Amy White, Regulatory Analyst </w:t>
      </w:r>
    </w:p>
    <w:p w14:paraId="474109E2" w14:textId="77777777" w:rsidR="002B32BE" w:rsidRPr="006B52CB" w:rsidRDefault="002B32BE" w:rsidP="00B05229">
      <w:r w:rsidRPr="006B52CB">
        <w:tab/>
      </w:r>
      <w:r w:rsidRPr="006B52CB">
        <w:tab/>
      </w:r>
      <w:r w:rsidRPr="006B52CB">
        <w:tab/>
      </w:r>
      <w:r w:rsidR="00445455" w:rsidRPr="006B52CB">
        <w:t>Kyle Frankiewich, Regulatory Analyst</w:t>
      </w:r>
    </w:p>
    <w:p w14:paraId="30AED8FF" w14:textId="77777777" w:rsidR="00B05229" w:rsidRDefault="00B05229" w:rsidP="00B05229"/>
    <w:p w14:paraId="25250D21" w14:textId="77777777" w:rsidR="001923BA" w:rsidRPr="006B52CB" w:rsidRDefault="00D75C47" w:rsidP="00B05229">
      <w:r w:rsidRPr="006B52CB">
        <w:tab/>
      </w:r>
      <w:r w:rsidRPr="006B52CB">
        <w:tab/>
      </w:r>
    </w:p>
    <w:p w14:paraId="19755F4A" w14:textId="77777777" w:rsidR="009363BA" w:rsidRDefault="00BF3D13" w:rsidP="00B05229">
      <w:pPr>
        <w:pStyle w:val="Heading1"/>
        <w:spacing w:before="0" w:after="0"/>
        <w:rPr>
          <w:u w:val="single"/>
        </w:rPr>
      </w:pPr>
      <w:r w:rsidRPr="005925FE">
        <w:rPr>
          <w:u w:val="single"/>
        </w:rPr>
        <w:t>Recommendation</w:t>
      </w:r>
    </w:p>
    <w:p w14:paraId="2D31B192" w14:textId="77777777" w:rsidR="005925FE" w:rsidRPr="005925FE" w:rsidRDefault="005925FE" w:rsidP="005925FE"/>
    <w:p w14:paraId="46D56B7B" w14:textId="77777777" w:rsidR="009652E7" w:rsidRDefault="009652E7" w:rsidP="00B05229">
      <w:r w:rsidRPr="006B52CB">
        <w:t xml:space="preserve">Take no action, </w:t>
      </w:r>
      <w:r w:rsidR="007C213A" w:rsidRPr="006B52CB">
        <w:t xml:space="preserve">thereby </w:t>
      </w:r>
      <w:r w:rsidR="007C03E1" w:rsidRPr="006B52CB">
        <w:t>acknowledging</w:t>
      </w:r>
      <w:r w:rsidR="007C213A" w:rsidRPr="006B52CB">
        <w:t xml:space="preserve"> the </w:t>
      </w:r>
      <w:r w:rsidR="009F0E4D" w:rsidRPr="006B52CB">
        <w:t xml:space="preserve">2017 </w:t>
      </w:r>
      <w:r w:rsidR="002B32BE" w:rsidRPr="006B52CB">
        <w:t>Annual Conservation Plan</w:t>
      </w:r>
      <w:r w:rsidR="007C213A" w:rsidRPr="006B52CB">
        <w:t xml:space="preserve"> </w:t>
      </w:r>
      <w:r w:rsidR="009F0E4D" w:rsidRPr="006B52CB">
        <w:t>(</w:t>
      </w:r>
      <w:r w:rsidR="006B52CB" w:rsidRPr="006B52CB">
        <w:t>ACP</w:t>
      </w:r>
      <w:r w:rsidR="009F0E4D" w:rsidRPr="006B52CB">
        <w:t>) filed by</w:t>
      </w:r>
      <w:r w:rsidR="007C213A" w:rsidRPr="006B52CB">
        <w:t xml:space="preserve"> Pacific Power &amp; Light Company (Pacific Power or company).</w:t>
      </w:r>
    </w:p>
    <w:p w14:paraId="3C415035" w14:textId="77777777" w:rsidR="00B05229" w:rsidRPr="006B52CB" w:rsidRDefault="00B05229" w:rsidP="00B05229">
      <w:pPr>
        <w:rPr>
          <w:color w:val="1F497D"/>
        </w:rPr>
      </w:pPr>
    </w:p>
    <w:p w14:paraId="0489201C" w14:textId="77777777" w:rsidR="00CA45F4" w:rsidRDefault="00092E6A" w:rsidP="00B05229">
      <w:pPr>
        <w:pStyle w:val="Heading1"/>
        <w:spacing w:before="0" w:after="0"/>
        <w:rPr>
          <w:u w:val="single"/>
        </w:rPr>
      </w:pPr>
      <w:r w:rsidRPr="005925FE">
        <w:rPr>
          <w:u w:val="single"/>
        </w:rPr>
        <w:t>Background</w:t>
      </w:r>
    </w:p>
    <w:p w14:paraId="66760361" w14:textId="77777777" w:rsidR="005925FE" w:rsidRPr="005925FE" w:rsidRDefault="005925FE" w:rsidP="005925FE"/>
    <w:p w14:paraId="1BA17E28" w14:textId="4FB1973C" w:rsidR="00B35C74" w:rsidRPr="006B52CB" w:rsidRDefault="007C213A" w:rsidP="00B05229">
      <w:r w:rsidRPr="006B52CB">
        <w:t>On December 1</w:t>
      </w:r>
      <w:r w:rsidR="009F0E4D" w:rsidRPr="006B52CB">
        <w:t>7</w:t>
      </w:r>
      <w:r w:rsidRPr="006B52CB">
        <w:t>, 201</w:t>
      </w:r>
      <w:r w:rsidR="009F0E4D" w:rsidRPr="006B52CB">
        <w:t>5</w:t>
      </w:r>
      <w:r w:rsidRPr="006B52CB">
        <w:t xml:space="preserve">, the Washington Utilities and Transportation Commission (commission) issued Order 01 in this docket, approving the company’s </w:t>
      </w:r>
      <w:r w:rsidR="007C03E1" w:rsidRPr="006B52CB">
        <w:t>10</w:t>
      </w:r>
      <w:r w:rsidRPr="006B52CB">
        <w:t xml:space="preserve">-year conservation potential of </w:t>
      </w:r>
      <w:r w:rsidR="009F0E4D" w:rsidRPr="006B52CB">
        <w:t>458,530</w:t>
      </w:r>
      <w:r w:rsidRPr="006B52CB">
        <w:t xml:space="preserve"> megawatt-hours (MWh) and </w:t>
      </w:r>
      <w:r w:rsidR="00CD26E9">
        <w:t xml:space="preserve">a </w:t>
      </w:r>
      <w:r w:rsidRPr="006B52CB">
        <w:t>201</w:t>
      </w:r>
      <w:r w:rsidR="009F0E4D" w:rsidRPr="006B52CB">
        <w:t>6</w:t>
      </w:r>
      <w:r w:rsidRPr="006B52CB">
        <w:t>-201</w:t>
      </w:r>
      <w:r w:rsidR="009F0E4D" w:rsidRPr="006B52CB">
        <w:t>7</w:t>
      </w:r>
      <w:r w:rsidRPr="006B52CB">
        <w:t xml:space="preserve"> biennial </w:t>
      </w:r>
      <w:r w:rsidRPr="006B52CB">
        <w:lastRenderedPageBreak/>
        <w:t xml:space="preserve">target of </w:t>
      </w:r>
      <w:r w:rsidR="009F0E4D" w:rsidRPr="006B52CB">
        <w:t>87</w:t>
      </w:r>
      <w:r w:rsidRPr="006B52CB">
        <w:t>,</w:t>
      </w:r>
      <w:r w:rsidR="009F0E4D" w:rsidRPr="006B52CB">
        <w:t>814</w:t>
      </w:r>
      <w:r w:rsidR="00D035FC" w:rsidRPr="006B52CB">
        <w:t xml:space="preserve"> MWh</w:t>
      </w:r>
      <w:r w:rsidR="00776257" w:rsidRPr="006B52CB">
        <w:t xml:space="preserve">. The company’s </w:t>
      </w:r>
      <w:r w:rsidR="008F6DEE">
        <w:t xml:space="preserve">2016-2017 </w:t>
      </w:r>
      <w:r w:rsidR="00776257" w:rsidRPr="006B52CB">
        <w:t xml:space="preserve">Biennial Conservation Plan (BCP) projected 91,630 MWh of savings </w:t>
      </w:r>
      <w:r w:rsidR="00B35C74" w:rsidRPr="006B52CB">
        <w:t>with a budget of $</w:t>
      </w:r>
      <w:r w:rsidR="000B5CF1" w:rsidRPr="006B52CB">
        <w:t>2</w:t>
      </w:r>
      <w:r w:rsidR="004541E8" w:rsidRPr="006B52CB">
        <w:t>2</w:t>
      </w:r>
      <w:r w:rsidR="000B5CF1" w:rsidRPr="006B52CB">
        <w:t>.</w:t>
      </w:r>
      <w:r w:rsidR="004541E8" w:rsidRPr="006B52CB">
        <w:t>7</w:t>
      </w:r>
      <w:r w:rsidR="00B35C74" w:rsidRPr="006B52CB">
        <w:t xml:space="preserve"> million</w:t>
      </w:r>
      <w:r w:rsidR="00C7703C" w:rsidRPr="006B52CB">
        <w:t>.</w:t>
      </w:r>
      <w:r w:rsidR="00C7703C" w:rsidRPr="006B52CB">
        <w:rPr>
          <w:rStyle w:val="FootnoteReference"/>
        </w:rPr>
        <w:footnoteReference w:id="2"/>
      </w:r>
      <w:r w:rsidR="009910D2">
        <w:t xml:space="preserve"> </w:t>
      </w:r>
    </w:p>
    <w:p w14:paraId="1D718FE9" w14:textId="5A27FEED" w:rsidR="00C17186" w:rsidRPr="006B52CB" w:rsidRDefault="00C17186" w:rsidP="00B05229"/>
    <w:p w14:paraId="2CE41453" w14:textId="2581F290" w:rsidR="00C17186" w:rsidRPr="006B52CB" w:rsidRDefault="00C17186" w:rsidP="00B05229">
      <w:r w:rsidRPr="006B52CB">
        <w:t xml:space="preserve">On September 1, 2016, </w:t>
      </w:r>
      <w:r w:rsidR="000B6766">
        <w:t xml:space="preserve">in </w:t>
      </w:r>
      <w:r w:rsidR="007F1C81">
        <w:t>D</w:t>
      </w:r>
      <w:r w:rsidR="000B6766">
        <w:t xml:space="preserve">ocket UE-152253, </w:t>
      </w:r>
      <w:r w:rsidRPr="006B52CB">
        <w:t xml:space="preserve">the commission ordered that “Pacific Power must </w:t>
      </w:r>
      <w:r w:rsidR="006B52CB" w:rsidRPr="006B52CB">
        <w:t>i</w:t>
      </w:r>
      <w:r w:rsidRPr="006B52CB">
        <w:t>ncrease its annual conservation targets by 2.5 percent for the current 2016-2017 biennium, and by 5 percent per biennium thereafter through the period when decoupling is in effect.”</w:t>
      </w:r>
      <w:r w:rsidRPr="006B52CB">
        <w:rPr>
          <w:rStyle w:val="FootnoteReference"/>
        </w:rPr>
        <w:footnoteReference w:id="3"/>
      </w:r>
      <w:r w:rsidR="009910D2">
        <w:t xml:space="preserve"> </w:t>
      </w:r>
      <w:r w:rsidR="006B52CB" w:rsidRPr="006B52CB">
        <w:t xml:space="preserve">The 2017 ACP is the first required filing from Pacific Power since this order was </w:t>
      </w:r>
      <w:r w:rsidR="00803DED">
        <w:t>issued.</w:t>
      </w:r>
      <w:r w:rsidR="009910D2">
        <w:t xml:space="preserve"> Accordingly, Pacific Power’s revised </w:t>
      </w:r>
      <w:r w:rsidR="002251B5">
        <w:t>2016-</w:t>
      </w:r>
      <w:r w:rsidR="009910D2">
        <w:t>2017 target is now 90,009 MWh, 2.5</w:t>
      </w:r>
      <w:r w:rsidR="00A07A39">
        <w:t xml:space="preserve"> percent </w:t>
      </w:r>
      <w:r w:rsidR="009910D2">
        <w:t>higher than the BCP target of 87,814 MWh.</w:t>
      </w:r>
    </w:p>
    <w:p w14:paraId="4B9C1E1B" w14:textId="77777777" w:rsidR="008D230C" w:rsidRDefault="008D230C" w:rsidP="008D230C"/>
    <w:p w14:paraId="3348D703" w14:textId="30D3F013" w:rsidR="008D230C" w:rsidRPr="006B52CB" w:rsidRDefault="008D230C" w:rsidP="008D230C">
      <w:r>
        <w:t xml:space="preserve">On </w:t>
      </w:r>
      <w:r w:rsidR="00294150">
        <w:t>November 15</w:t>
      </w:r>
      <w:r>
        <w:t>, 2016, a</w:t>
      </w:r>
      <w:r w:rsidRPr="006B52CB">
        <w:t xml:space="preserve">s required by WAC 480-109-120 and conditions 4 and 5 of the commission’s order, the company </w:t>
      </w:r>
      <w:r>
        <w:t xml:space="preserve">timely </w:t>
      </w:r>
      <w:r w:rsidRPr="006B52CB">
        <w:t>filed revisions to their BCP by submitting their 2017 Annual Conservation Plan.</w:t>
      </w:r>
    </w:p>
    <w:p w14:paraId="0C6D5A25" w14:textId="77777777" w:rsidR="008D230C" w:rsidRDefault="008D230C" w:rsidP="008D230C"/>
    <w:p w14:paraId="0EAB524F" w14:textId="6BA35A7D" w:rsidR="008D230C" w:rsidRPr="006B52CB" w:rsidRDefault="00264C62" w:rsidP="008D230C">
      <w:r>
        <w:t>Pacific Power, a part of PacifiCorp, provides electricity to 740,000 customers in Washington, Oregon and California. Their Washington service areas is comprised of most of Yakima and Walla Walla counties and parts of Columbia, Garfield and Kittitas counties, and includes about 128,000 customers and 300,000 residents.</w:t>
      </w:r>
    </w:p>
    <w:p w14:paraId="44EC750A" w14:textId="77777777" w:rsidR="00B35C74" w:rsidRPr="006B52CB" w:rsidRDefault="00B35C74" w:rsidP="00B05229"/>
    <w:p w14:paraId="0D4ED1B7" w14:textId="77777777" w:rsidR="00F32FFE" w:rsidRDefault="003915F4" w:rsidP="00B05229">
      <w:pPr>
        <w:rPr>
          <w:b/>
          <w:u w:val="single"/>
        </w:rPr>
      </w:pPr>
      <w:r w:rsidRPr="005925FE">
        <w:rPr>
          <w:b/>
          <w:u w:val="single"/>
        </w:rPr>
        <w:t>Discussion</w:t>
      </w:r>
    </w:p>
    <w:p w14:paraId="586C9C2B" w14:textId="77777777" w:rsidR="005925FE" w:rsidRPr="005925FE" w:rsidRDefault="005925FE" w:rsidP="00B05229">
      <w:pPr>
        <w:rPr>
          <w:b/>
          <w:u w:val="single"/>
        </w:rPr>
      </w:pPr>
    </w:p>
    <w:p w14:paraId="12C2FC4B" w14:textId="7E80DFC2" w:rsidR="00620310" w:rsidRDefault="00B05229">
      <w:pPr>
        <w:rPr>
          <w:b/>
          <w:bCs/>
          <w:color w:val="000000"/>
        </w:rPr>
      </w:pPr>
      <w:r>
        <w:rPr>
          <w:b/>
          <w:i/>
        </w:rPr>
        <w:t>Budget:</w:t>
      </w:r>
      <w:r w:rsidR="006104C9" w:rsidRPr="006B52CB">
        <w:rPr>
          <w:b/>
          <w:i/>
        </w:rPr>
        <w:t xml:space="preserve"> </w:t>
      </w:r>
      <w:r w:rsidR="00D035FC" w:rsidRPr="006B52CB">
        <w:rPr>
          <w:rFonts w:eastAsia="Calibri"/>
        </w:rPr>
        <w:t xml:space="preserve">Pacific Power </w:t>
      </w:r>
      <w:r w:rsidR="00BA551A" w:rsidRPr="006B52CB">
        <w:rPr>
          <w:rFonts w:eastAsia="Calibri"/>
        </w:rPr>
        <w:t xml:space="preserve">has revised its projected budgets for 2017, </w:t>
      </w:r>
      <w:r w:rsidR="002B21FC" w:rsidRPr="006B52CB">
        <w:rPr>
          <w:rFonts w:eastAsia="Calibri"/>
        </w:rPr>
        <w:t>adjusting</w:t>
      </w:r>
      <w:r w:rsidR="00BA551A" w:rsidRPr="006B52CB">
        <w:rPr>
          <w:rFonts w:eastAsia="Calibri"/>
        </w:rPr>
        <w:t xml:space="preserve"> total expenditures </w:t>
      </w:r>
      <w:r w:rsidR="002B21FC" w:rsidRPr="006B52CB">
        <w:rPr>
          <w:rFonts w:eastAsia="Calibri"/>
        </w:rPr>
        <w:t>upwards by $884,805 to $23.6 million</w:t>
      </w:r>
      <w:r w:rsidR="00BA551A" w:rsidRPr="006B52CB">
        <w:rPr>
          <w:rFonts w:eastAsia="Calibri"/>
        </w:rPr>
        <w:t xml:space="preserve">, a 3.9 percent increase. </w:t>
      </w:r>
      <w:r w:rsidR="00063802" w:rsidRPr="006B52CB">
        <w:rPr>
          <w:rFonts w:eastAsia="Calibri"/>
        </w:rPr>
        <w:t>The following table summarizes the</w:t>
      </w:r>
      <w:r w:rsidR="006B52CB" w:rsidRPr="006B52CB">
        <w:rPr>
          <w:rFonts w:eastAsia="Calibri"/>
        </w:rPr>
        <w:t>se</w:t>
      </w:r>
      <w:r w:rsidR="00063802" w:rsidRPr="006B52CB">
        <w:rPr>
          <w:rFonts w:eastAsia="Calibri"/>
        </w:rPr>
        <w:t xml:space="preserve"> changes</w:t>
      </w:r>
      <w:r w:rsidR="006B52CB" w:rsidRPr="006B52CB">
        <w:rPr>
          <w:rFonts w:eastAsia="Calibri"/>
        </w:rPr>
        <w:t>.</w:t>
      </w:r>
      <w:r w:rsidR="006B52CB" w:rsidRPr="006B52CB">
        <w:rPr>
          <w:rStyle w:val="FootnoteReference"/>
          <w:bCs/>
          <w:color w:val="000000"/>
        </w:rPr>
        <w:footnoteReference w:id="4"/>
      </w:r>
    </w:p>
    <w:p w14:paraId="257F0830" w14:textId="77777777" w:rsidR="00E7712A" w:rsidRDefault="00E7712A">
      <w:pPr>
        <w:rPr>
          <w:b/>
          <w:bCs/>
          <w:color w:val="000000"/>
        </w:rPr>
      </w:pPr>
    </w:p>
    <w:tbl>
      <w:tblPr>
        <w:tblW w:w="9040" w:type="dxa"/>
        <w:tblLook w:val="04A0" w:firstRow="1" w:lastRow="0" w:firstColumn="1" w:lastColumn="0" w:noHBand="0" w:noVBand="1"/>
      </w:tblPr>
      <w:tblGrid>
        <w:gridCol w:w="3632"/>
        <w:gridCol w:w="1416"/>
        <w:gridCol w:w="1416"/>
        <w:gridCol w:w="1296"/>
        <w:gridCol w:w="1280"/>
      </w:tblGrid>
      <w:tr w:rsidR="002B21FC" w:rsidRPr="006B52CB" w14:paraId="481178FA" w14:textId="77777777" w:rsidTr="00BF3FC7">
        <w:trPr>
          <w:trHeight w:val="345"/>
        </w:trPr>
        <w:tc>
          <w:tcPr>
            <w:tcW w:w="3920" w:type="dxa"/>
            <w:tcBorders>
              <w:top w:val="single" w:sz="12" w:space="0" w:color="000000"/>
              <w:left w:val="nil"/>
              <w:bottom w:val="single" w:sz="12" w:space="0" w:color="000000"/>
              <w:right w:val="nil"/>
            </w:tcBorders>
            <w:shd w:val="clear" w:color="auto" w:fill="auto"/>
            <w:vAlign w:val="center"/>
            <w:hideMark/>
          </w:tcPr>
          <w:p w14:paraId="0AC55CDB" w14:textId="2B42669E" w:rsidR="002B21FC" w:rsidRPr="006B52CB" w:rsidRDefault="002B21FC" w:rsidP="00BF3FC7">
            <w:pPr>
              <w:rPr>
                <w:b/>
                <w:bCs/>
                <w:color w:val="000000"/>
              </w:rPr>
            </w:pPr>
            <w:r w:rsidRPr="006B52CB">
              <w:rPr>
                <w:b/>
                <w:bCs/>
                <w:color w:val="000000" w:themeColor="text1"/>
              </w:rPr>
              <w:t>Program Budget</w:t>
            </w:r>
          </w:p>
        </w:tc>
        <w:tc>
          <w:tcPr>
            <w:tcW w:w="1300" w:type="dxa"/>
            <w:tcBorders>
              <w:top w:val="single" w:sz="12" w:space="0" w:color="000000"/>
              <w:left w:val="nil"/>
              <w:bottom w:val="single" w:sz="12" w:space="0" w:color="000000"/>
              <w:right w:val="nil"/>
            </w:tcBorders>
            <w:shd w:val="clear" w:color="auto" w:fill="auto"/>
            <w:vAlign w:val="center"/>
            <w:hideMark/>
          </w:tcPr>
          <w:p w14:paraId="5087EEC9" w14:textId="77777777" w:rsidR="002B21FC" w:rsidRPr="006B52CB" w:rsidRDefault="002B21FC" w:rsidP="00B05229">
            <w:pPr>
              <w:jc w:val="center"/>
              <w:rPr>
                <w:b/>
                <w:bCs/>
                <w:color w:val="000000"/>
              </w:rPr>
            </w:pPr>
            <w:r w:rsidRPr="006B52CB">
              <w:rPr>
                <w:b/>
                <w:bCs/>
                <w:color w:val="000000" w:themeColor="text1"/>
              </w:rPr>
              <w:t xml:space="preserve">Initial </w:t>
            </w:r>
          </w:p>
        </w:tc>
        <w:tc>
          <w:tcPr>
            <w:tcW w:w="1300" w:type="dxa"/>
            <w:tcBorders>
              <w:top w:val="single" w:sz="12" w:space="0" w:color="000000"/>
              <w:left w:val="nil"/>
              <w:bottom w:val="single" w:sz="12" w:space="0" w:color="000000"/>
              <w:right w:val="nil"/>
            </w:tcBorders>
            <w:shd w:val="clear" w:color="auto" w:fill="auto"/>
            <w:vAlign w:val="center"/>
            <w:hideMark/>
          </w:tcPr>
          <w:p w14:paraId="09E07BD3" w14:textId="77777777" w:rsidR="002B21FC" w:rsidRPr="006B52CB" w:rsidRDefault="002B21FC" w:rsidP="00B05229">
            <w:pPr>
              <w:jc w:val="center"/>
              <w:rPr>
                <w:b/>
                <w:bCs/>
                <w:color w:val="000000"/>
              </w:rPr>
            </w:pPr>
            <w:r w:rsidRPr="006B52CB">
              <w:rPr>
                <w:b/>
                <w:bCs/>
                <w:color w:val="000000" w:themeColor="text1"/>
              </w:rPr>
              <w:t xml:space="preserve">Revised </w:t>
            </w:r>
          </w:p>
        </w:tc>
        <w:tc>
          <w:tcPr>
            <w:tcW w:w="1200" w:type="dxa"/>
            <w:tcBorders>
              <w:top w:val="single" w:sz="12" w:space="0" w:color="000000"/>
              <w:left w:val="nil"/>
              <w:bottom w:val="single" w:sz="12" w:space="0" w:color="000000"/>
              <w:right w:val="nil"/>
            </w:tcBorders>
            <w:shd w:val="clear" w:color="auto" w:fill="auto"/>
            <w:vAlign w:val="center"/>
            <w:hideMark/>
          </w:tcPr>
          <w:p w14:paraId="03FB0939" w14:textId="77777777" w:rsidR="002B21FC" w:rsidRPr="006B52CB" w:rsidRDefault="002B21FC" w:rsidP="00B05229">
            <w:pPr>
              <w:jc w:val="center"/>
              <w:rPr>
                <w:b/>
                <w:bCs/>
                <w:color w:val="000000"/>
              </w:rPr>
            </w:pPr>
            <w:r w:rsidRPr="006B52CB">
              <w:rPr>
                <w:b/>
                <w:bCs/>
                <w:color w:val="000000"/>
              </w:rPr>
              <w:t>Change ($)</w:t>
            </w:r>
          </w:p>
        </w:tc>
        <w:tc>
          <w:tcPr>
            <w:tcW w:w="1320" w:type="dxa"/>
            <w:tcBorders>
              <w:top w:val="single" w:sz="12" w:space="0" w:color="000000"/>
              <w:left w:val="nil"/>
              <w:bottom w:val="single" w:sz="12" w:space="0" w:color="000000"/>
              <w:right w:val="nil"/>
            </w:tcBorders>
            <w:shd w:val="clear" w:color="auto" w:fill="auto"/>
            <w:vAlign w:val="center"/>
            <w:hideMark/>
          </w:tcPr>
          <w:p w14:paraId="509D92B1" w14:textId="77777777" w:rsidR="002B21FC" w:rsidRPr="006B52CB" w:rsidRDefault="002B21FC" w:rsidP="00B05229">
            <w:pPr>
              <w:jc w:val="center"/>
              <w:rPr>
                <w:b/>
                <w:bCs/>
                <w:color w:val="000000"/>
              </w:rPr>
            </w:pPr>
            <w:r w:rsidRPr="006B52CB">
              <w:rPr>
                <w:b/>
                <w:bCs/>
                <w:color w:val="000000" w:themeColor="text1"/>
              </w:rPr>
              <w:t>Change (%)</w:t>
            </w:r>
          </w:p>
        </w:tc>
      </w:tr>
      <w:tr w:rsidR="002B21FC" w:rsidRPr="006B52CB" w14:paraId="3F111820" w14:textId="77777777" w:rsidTr="002B21FC">
        <w:trPr>
          <w:trHeight w:val="345"/>
        </w:trPr>
        <w:tc>
          <w:tcPr>
            <w:tcW w:w="3920" w:type="dxa"/>
            <w:tcBorders>
              <w:top w:val="nil"/>
              <w:left w:val="nil"/>
              <w:bottom w:val="single" w:sz="8" w:space="0" w:color="000000"/>
              <w:right w:val="nil"/>
            </w:tcBorders>
            <w:shd w:val="clear" w:color="auto" w:fill="auto"/>
            <w:vAlign w:val="center"/>
            <w:hideMark/>
          </w:tcPr>
          <w:p w14:paraId="615ADF24" w14:textId="77777777" w:rsidR="002B21FC" w:rsidRPr="006B52CB" w:rsidRDefault="002B21FC" w:rsidP="00B05229">
            <w:pPr>
              <w:rPr>
                <w:b/>
                <w:bCs/>
                <w:color w:val="000000"/>
              </w:rPr>
            </w:pPr>
            <w:r w:rsidRPr="006B52CB">
              <w:rPr>
                <w:b/>
                <w:bCs/>
                <w:color w:val="000000"/>
              </w:rPr>
              <w:t>Residential programs</w:t>
            </w:r>
          </w:p>
        </w:tc>
        <w:tc>
          <w:tcPr>
            <w:tcW w:w="1300" w:type="dxa"/>
            <w:tcBorders>
              <w:top w:val="nil"/>
              <w:left w:val="nil"/>
              <w:bottom w:val="single" w:sz="8" w:space="0" w:color="000000"/>
              <w:right w:val="nil"/>
            </w:tcBorders>
            <w:shd w:val="clear" w:color="auto" w:fill="auto"/>
            <w:vAlign w:val="center"/>
            <w:hideMark/>
          </w:tcPr>
          <w:p w14:paraId="762F5D7D" w14:textId="77777777" w:rsidR="002B21FC" w:rsidRPr="006B52CB" w:rsidRDefault="002B21FC" w:rsidP="00B05229">
            <w:pPr>
              <w:jc w:val="right"/>
              <w:rPr>
                <w:b/>
                <w:bCs/>
                <w:color w:val="000000"/>
              </w:rPr>
            </w:pPr>
            <w:r w:rsidRPr="006B52CB">
              <w:rPr>
                <w:b/>
                <w:bCs/>
                <w:color w:val="000000"/>
              </w:rPr>
              <w:t>$9,364,755</w:t>
            </w:r>
          </w:p>
        </w:tc>
        <w:tc>
          <w:tcPr>
            <w:tcW w:w="1300" w:type="dxa"/>
            <w:tcBorders>
              <w:top w:val="nil"/>
              <w:left w:val="nil"/>
              <w:bottom w:val="single" w:sz="8" w:space="0" w:color="000000"/>
              <w:right w:val="nil"/>
            </w:tcBorders>
            <w:shd w:val="clear" w:color="auto" w:fill="auto"/>
            <w:vAlign w:val="center"/>
            <w:hideMark/>
          </w:tcPr>
          <w:p w14:paraId="12227674" w14:textId="77777777" w:rsidR="002B21FC" w:rsidRPr="006B52CB" w:rsidRDefault="002B21FC" w:rsidP="00B05229">
            <w:pPr>
              <w:jc w:val="right"/>
              <w:rPr>
                <w:b/>
                <w:bCs/>
                <w:color w:val="000000"/>
              </w:rPr>
            </w:pPr>
            <w:r w:rsidRPr="006B52CB">
              <w:rPr>
                <w:b/>
                <w:bCs/>
                <w:color w:val="000000"/>
              </w:rPr>
              <w:t>$8,487,037</w:t>
            </w:r>
          </w:p>
        </w:tc>
        <w:tc>
          <w:tcPr>
            <w:tcW w:w="1200" w:type="dxa"/>
            <w:tcBorders>
              <w:top w:val="nil"/>
              <w:left w:val="nil"/>
              <w:bottom w:val="single" w:sz="8" w:space="0" w:color="000000"/>
              <w:right w:val="nil"/>
            </w:tcBorders>
            <w:shd w:val="clear" w:color="auto" w:fill="auto"/>
            <w:vAlign w:val="center"/>
            <w:hideMark/>
          </w:tcPr>
          <w:p w14:paraId="4F27054D" w14:textId="77777777" w:rsidR="002B21FC" w:rsidRPr="006B52CB" w:rsidRDefault="002B21FC" w:rsidP="00B05229">
            <w:pPr>
              <w:jc w:val="right"/>
              <w:rPr>
                <w:b/>
                <w:bCs/>
                <w:color w:val="000000"/>
              </w:rPr>
            </w:pPr>
            <w:r w:rsidRPr="006B52CB">
              <w:rPr>
                <w:b/>
                <w:bCs/>
                <w:color w:val="000000"/>
              </w:rPr>
              <w:t>-$877,718</w:t>
            </w:r>
          </w:p>
        </w:tc>
        <w:tc>
          <w:tcPr>
            <w:tcW w:w="1320" w:type="dxa"/>
            <w:tcBorders>
              <w:top w:val="nil"/>
              <w:left w:val="nil"/>
              <w:bottom w:val="single" w:sz="8" w:space="0" w:color="000000"/>
              <w:right w:val="nil"/>
            </w:tcBorders>
            <w:shd w:val="clear" w:color="auto" w:fill="auto"/>
            <w:vAlign w:val="center"/>
            <w:hideMark/>
          </w:tcPr>
          <w:p w14:paraId="2703278D" w14:textId="31151A2D" w:rsidR="002B21FC" w:rsidRPr="006B52CB" w:rsidRDefault="002B21FC">
            <w:pPr>
              <w:jc w:val="right"/>
              <w:rPr>
                <w:b/>
                <w:bCs/>
                <w:color w:val="000000"/>
              </w:rPr>
            </w:pPr>
            <w:r w:rsidRPr="006B52CB">
              <w:rPr>
                <w:b/>
                <w:bCs/>
                <w:color w:val="000000"/>
              </w:rPr>
              <w:t>-9.</w:t>
            </w:r>
            <w:r w:rsidR="008A405C">
              <w:rPr>
                <w:b/>
                <w:bCs/>
                <w:color w:val="000000"/>
              </w:rPr>
              <w:t>4</w:t>
            </w:r>
            <w:r w:rsidRPr="006B52CB">
              <w:rPr>
                <w:b/>
                <w:bCs/>
                <w:color w:val="000000"/>
              </w:rPr>
              <w:t>%</w:t>
            </w:r>
          </w:p>
        </w:tc>
      </w:tr>
      <w:tr w:rsidR="002B21FC" w:rsidRPr="006B52CB" w14:paraId="5CA92314"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0DD75D8B" w14:textId="77E42A12" w:rsidR="002B21FC" w:rsidRPr="006B52CB" w:rsidRDefault="00B05229" w:rsidP="00B05229">
            <w:pPr>
              <w:rPr>
                <w:i/>
                <w:iCs/>
                <w:color w:val="000000"/>
              </w:rPr>
            </w:pPr>
            <w:r>
              <w:rPr>
                <w:i/>
                <w:iCs/>
                <w:color w:val="000000"/>
              </w:rPr>
              <w:t xml:space="preserve">   </w:t>
            </w:r>
            <w:r w:rsidR="002B21FC" w:rsidRPr="006B52CB">
              <w:rPr>
                <w:i/>
                <w:iCs/>
                <w:color w:val="000000"/>
              </w:rPr>
              <w:t xml:space="preserve"> Low-income weatherization</w:t>
            </w:r>
          </w:p>
        </w:tc>
        <w:tc>
          <w:tcPr>
            <w:tcW w:w="1300" w:type="dxa"/>
            <w:tcBorders>
              <w:top w:val="nil"/>
              <w:left w:val="nil"/>
              <w:bottom w:val="single" w:sz="8" w:space="0" w:color="000000"/>
              <w:right w:val="nil"/>
            </w:tcBorders>
            <w:shd w:val="clear" w:color="auto" w:fill="auto"/>
            <w:vAlign w:val="center"/>
            <w:hideMark/>
          </w:tcPr>
          <w:p w14:paraId="1A2C4FC7" w14:textId="77777777" w:rsidR="002B21FC" w:rsidRPr="006B52CB" w:rsidRDefault="002B21FC" w:rsidP="00B05229">
            <w:pPr>
              <w:jc w:val="right"/>
              <w:rPr>
                <w:color w:val="000000"/>
              </w:rPr>
            </w:pPr>
            <w:r w:rsidRPr="006B52CB">
              <w:rPr>
                <w:color w:val="000000"/>
              </w:rPr>
              <w:t>$1,780,000</w:t>
            </w:r>
          </w:p>
        </w:tc>
        <w:tc>
          <w:tcPr>
            <w:tcW w:w="1300" w:type="dxa"/>
            <w:tcBorders>
              <w:top w:val="nil"/>
              <w:left w:val="nil"/>
              <w:bottom w:val="single" w:sz="8" w:space="0" w:color="000000"/>
              <w:right w:val="nil"/>
            </w:tcBorders>
            <w:shd w:val="clear" w:color="auto" w:fill="auto"/>
            <w:vAlign w:val="center"/>
            <w:hideMark/>
          </w:tcPr>
          <w:p w14:paraId="30FD3433" w14:textId="77777777" w:rsidR="002B21FC" w:rsidRPr="006B52CB" w:rsidRDefault="002B21FC" w:rsidP="00B05229">
            <w:pPr>
              <w:jc w:val="right"/>
              <w:rPr>
                <w:color w:val="000000"/>
              </w:rPr>
            </w:pPr>
            <w:r w:rsidRPr="006B52CB">
              <w:rPr>
                <w:color w:val="000000"/>
              </w:rPr>
              <w:t>$1,780,000</w:t>
            </w:r>
          </w:p>
        </w:tc>
        <w:tc>
          <w:tcPr>
            <w:tcW w:w="1200" w:type="dxa"/>
            <w:tcBorders>
              <w:top w:val="nil"/>
              <w:left w:val="nil"/>
              <w:bottom w:val="single" w:sz="8" w:space="0" w:color="000000"/>
              <w:right w:val="nil"/>
            </w:tcBorders>
            <w:shd w:val="clear" w:color="auto" w:fill="auto"/>
            <w:vAlign w:val="center"/>
            <w:hideMark/>
          </w:tcPr>
          <w:p w14:paraId="7CC85720" w14:textId="77777777" w:rsidR="002B21FC" w:rsidRPr="006B52CB" w:rsidRDefault="002B21FC" w:rsidP="00B05229">
            <w:pPr>
              <w:jc w:val="right"/>
              <w:rPr>
                <w:color w:val="000000"/>
              </w:rPr>
            </w:pPr>
            <w:r w:rsidRPr="006B52CB">
              <w:rPr>
                <w:color w:val="000000"/>
              </w:rPr>
              <w:t>$0</w:t>
            </w:r>
          </w:p>
        </w:tc>
        <w:tc>
          <w:tcPr>
            <w:tcW w:w="1320" w:type="dxa"/>
            <w:tcBorders>
              <w:top w:val="nil"/>
              <w:left w:val="nil"/>
              <w:bottom w:val="single" w:sz="8" w:space="0" w:color="000000"/>
              <w:right w:val="nil"/>
            </w:tcBorders>
            <w:shd w:val="clear" w:color="auto" w:fill="auto"/>
            <w:vAlign w:val="center"/>
            <w:hideMark/>
          </w:tcPr>
          <w:p w14:paraId="2CC35538" w14:textId="1199FE34" w:rsidR="002B21FC" w:rsidRPr="006B52CB" w:rsidRDefault="002B21FC">
            <w:pPr>
              <w:jc w:val="right"/>
              <w:rPr>
                <w:color w:val="000000"/>
              </w:rPr>
            </w:pPr>
            <w:r w:rsidRPr="006B52CB">
              <w:rPr>
                <w:color w:val="000000"/>
              </w:rPr>
              <w:t>0.0%</w:t>
            </w:r>
          </w:p>
        </w:tc>
      </w:tr>
      <w:tr w:rsidR="002B21FC" w:rsidRPr="006B52CB" w14:paraId="494F4BDE"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5FB39905" w14:textId="353665B8" w:rsidR="002B21FC" w:rsidRPr="006B52CB" w:rsidRDefault="00B05229" w:rsidP="00B05229">
            <w:pPr>
              <w:rPr>
                <w:i/>
                <w:iCs/>
                <w:color w:val="000000"/>
              </w:rPr>
            </w:pPr>
            <w:r>
              <w:rPr>
                <w:i/>
                <w:iCs/>
                <w:color w:val="000000"/>
              </w:rPr>
              <w:t xml:space="preserve">   </w:t>
            </w:r>
            <w:r w:rsidR="002B21FC" w:rsidRPr="006B52CB">
              <w:rPr>
                <w:i/>
                <w:iCs/>
                <w:color w:val="000000"/>
              </w:rPr>
              <w:t xml:space="preserve"> Home Energy Savings</w:t>
            </w:r>
          </w:p>
        </w:tc>
        <w:tc>
          <w:tcPr>
            <w:tcW w:w="1300" w:type="dxa"/>
            <w:tcBorders>
              <w:top w:val="nil"/>
              <w:left w:val="nil"/>
              <w:bottom w:val="single" w:sz="8" w:space="0" w:color="000000"/>
              <w:right w:val="nil"/>
            </w:tcBorders>
            <w:shd w:val="clear" w:color="auto" w:fill="auto"/>
            <w:vAlign w:val="center"/>
            <w:hideMark/>
          </w:tcPr>
          <w:p w14:paraId="08023E18" w14:textId="77777777" w:rsidR="002B21FC" w:rsidRPr="006B52CB" w:rsidRDefault="002B21FC" w:rsidP="00B05229">
            <w:pPr>
              <w:jc w:val="right"/>
              <w:rPr>
                <w:color w:val="000000"/>
              </w:rPr>
            </w:pPr>
            <w:r w:rsidRPr="006B52CB">
              <w:rPr>
                <w:color w:val="000000"/>
              </w:rPr>
              <w:t>$6,843,322</w:t>
            </w:r>
          </w:p>
        </w:tc>
        <w:tc>
          <w:tcPr>
            <w:tcW w:w="1300" w:type="dxa"/>
            <w:tcBorders>
              <w:top w:val="nil"/>
              <w:left w:val="nil"/>
              <w:bottom w:val="single" w:sz="8" w:space="0" w:color="000000"/>
              <w:right w:val="nil"/>
            </w:tcBorders>
            <w:shd w:val="clear" w:color="auto" w:fill="auto"/>
            <w:vAlign w:val="center"/>
            <w:hideMark/>
          </w:tcPr>
          <w:p w14:paraId="5914DA10" w14:textId="77777777" w:rsidR="002B21FC" w:rsidRPr="006B52CB" w:rsidRDefault="002B21FC" w:rsidP="00B05229">
            <w:pPr>
              <w:jc w:val="right"/>
              <w:rPr>
                <w:color w:val="000000"/>
              </w:rPr>
            </w:pPr>
            <w:r w:rsidRPr="006B52CB">
              <w:rPr>
                <w:color w:val="000000"/>
              </w:rPr>
              <w:t>$5,965,604</w:t>
            </w:r>
          </w:p>
        </w:tc>
        <w:tc>
          <w:tcPr>
            <w:tcW w:w="1200" w:type="dxa"/>
            <w:tcBorders>
              <w:top w:val="nil"/>
              <w:left w:val="nil"/>
              <w:bottom w:val="single" w:sz="8" w:space="0" w:color="000000"/>
              <w:right w:val="nil"/>
            </w:tcBorders>
            <w:shd w:val="clear" w:color="auto" w:fill="auto"/>
            <w:vAlign w:val="center"/>
            <w:hideMark/>
          </w:tcPr>
          <w:p w14:paraId="0FFE6C43" w14:textId="77777777" w:rsidR="002B21FC" w:rsidRPr="006B52CB" w:rsidRDefault="002B21FC" w:rsidP="00B05229">
            <w:pPr>
              <w:jc w:val="right"/>
              <w:rPr>
                <w:color w:val="000000"/>
              </w:rPr>
            </w:pPr>
            <w:r w:rsidRPr="006B52CB">
              <w:rPr>
                <w:color w:val="000000"/>
              </w:rPr>
              <w:t>-$877,718</w:t>
            </w:r>
          </w:p>
        </w:tc>
        <w:tc>
          <w:tcPr>
            <w:tcW w:w="1320" w:type="dxa"/>
            <w:tcBorders>
              <w:top w:val="nil"/>
              <w:left w:val="nil"/>
              <w:bottom w:val="single" w:sz="8" w:space="0" w:color="000000"/>
              <w:right w:val="nil"/>
            </w:tcBorders>
            <w:shd w:val="clear" w:color="auto" w:fill="auto"/>
            <w:vAlign w:val="center"/>
            <w:hideMark/>
          </w:tcPr>
          <w:p w14:paraId="2E8BEEA7" w14:textId="5BB9B9CD" w:rsidR="002B21FC" w:rsidRPr="006B52CB" w:rsidRDefault="002B21FC">
            <w:pPr>
              <w:jc w:val="right"/>
              <w:rPr>
                <w:color w:val="000000"/>
              </w:rPr>
            </w:pPr>
            <w:r w:rsidRPr="006B52CB">
              <w:rPr>
                <w:color w:val="000000"/>
              </w:rPr>
              <w:t>-12.8%</w:t>
            </w:r>
          </w:p>
        </w:tc>
      </w:tr>
      <w:tr w:rsidR="002B21FC" w:rsidRPr="006B52CB" w14:paraId="4D548184"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021E5D44" w14:textId="53220B7B" w:rsidR="002B21FC" w:rsidRPr="006B52CB" w:rsidRDefault="00B05229" w:rsidP="00B05229">
            <w:pPr>
              <w:rPr>
                <w:i/>
                <w:iCs/>
                <w:color w:val="000000"/>
              </w:rPr>
            </w:pPr>
            <w:r>
              <w:rPr>
                <w:i/>
                <w:iCs/>
                <w:color w:val="000000"/>
              </w:rPr>
              <w:t xml:space="preserve">   </w:t>
            </w:r>
            <w:r w:rsidR="002B21FC" w:rsidRPr="006B52CB">
              <w:rPr>
                <w:i/>
                <w:iCs/>
                <w:color w:val="000000"/>
              </w:rPr>
              <w:t xml:space="preserve"> Home Energy Reports</w:t>
            </w:r>
          </w:p>
        </w:tc>
        <w:tc>
          <w:tcPr>
            <w:tcW w:w="1300" w:type="dxa"/>
            <w:tcBorders>
              <w:top w:val="nil"/>
              <w:left w:val="nil"/>
              <w:bottom w:val="single" w:sz="8" w:space="0" w:color="000000"/>
              <w:right w:val="nil"/>
            </w:tcBorders>
            <w:shd w:val="clear" w:color="auto" w:fill="auto"/>
            <w:vAlign w:val="center"/>
            <w:hideMark/>
          </w:tcPr>
          <w:p w14:paraId="61ECB678" w14:textId="77777777" w:rsidR="002B21FC" w:rsidRPr="006B52CB" w:rsidRDefault="002B21FC" w:rsidP="00B05229">
            <w:pPr>
              <w:jc w:val="right"/>
              <w:rPr>
                <w:color w:val="000000"/>
              </w:rPr>
            </w:pPr>
            <w:r w:rsidRPr="006B52CB">
              <w:rPr>
                <w:color w:val="000000"/>
              </w:rPr>
              <w:t>$741,433</w:t>
            </w:r>
          </w:p>
        </w:tc>
        <w:tc>
          <w:tcPr>
            <w:tcW w:w="1300" w:type="dxa"/>
            <w:tcBorders>
              <w:top w:val="nil"/>
              <w:left w:val="nil"/>
              <w:bottom w:val="single" w:sz="8" w:space="0" w:color="000000"/>
              <w:right w:val="nil"/>
            </w:tcBorders>
            <w:shd w:val="clear" w:color="auto" w:fill="auto"/>
            <w:vAlign w:val="center"/>
            <w:hideMark/>
          </w:tcPr>
          <w:p w14:paraId="5120FF59" w14:textId="77777777" w:rsidR="002B21FC" w:rsidRPr="006B52CB" w:rsidRDefault="002B21FC" w:rsidP="00B05229">
            <w:pPr>
              <w:jc w:val="right"/>
              <w:rPr>
                <w:color w:val="000000"/>
              </w:rPr>
            </w:pPr>
            <w:r w:rsidRPr="006B52CB">
              <w:rPr>
                <w:color w:val="000000"/>
              </w:rPr>
              <w:t>$741,433</w:t>
            </w:r>
          </w:p>
        </w:tc>
        <w:tc>
          <w:tcPr>
            <w:tcW w:w="1200" w:type="dxa"/>
            <w:tcBorders>
              <w:top w:val="nil"/>
              <w:left w:val="nil"/>
              <w:bottom w:val="single" w:sz="8" w:space="0" w:color="000000"/>
              <w:right w:val="nil"/>
            </w:tcBorders>
            <w:shd w:val="clear" w:color="auto" w:fill="auto"/>
            <w:vAlign w:val="center"/>
            <w:hideMark/>
          </w:tcPr>
          <w:p w14:paraId="79F0DD6F" w14:textId="77777777" w:rsidR="002B21FC" w:rsidRPr="006B52CB" w:rsidRDefault="002B21FC" w:rsidP="00B05229">
            <w:pPr>
              <w:jc w:val="right"/>
              <w:rPr>
                <w:color w:val="000000"/>
              </w:rPr>
            </w:pPr>
            <w:r w:rsidRPr="006B52CB">
              <w:rPr>
                <w:color w:val="000000"/>
              </w:rPr>
              <w:t>$0</w:t>
            </w:r>
          </w:p>
        </w:tc>
        <w:tc>
          <w:tcPr>
            <w:tcW w:w="1320" w:type="dxa"/>
            <w:tcBorders>
              <w:top w:val="nil"/>
              <w:left w:val="nil"/>
              <w:bottom w:val="single" w:sz="8" w:space="0" w:color="000000"/>
              <w:right w:val="nil"/>
            </w:tcBorders>
            <w:shd w:val="clear" w:color="auto" w:fill="auto"/>
            <w:vAlign w:val="center"/>
            <w:hideMark/>
          </w:tcPr>
          <w:p w14:paraId="286BDEF1" w14:textId="7F19CE0D" w:rsidR="002B21FC" w:rsidRPr="006B52CB" w:rsidRDefault="002B21FC" w:rsidP="00B05229">
            <w:pPr>
              <w:jc w:val="right"/>
              <w:rPr>
                <w:color w:val="000000"/>
              </w:rPr>
            </w:pPr>
            <w:r w:rsidRPr="006B52CB">
              <w:rPr>
                <w:color w:val="000000"/>
              </w:rPr>
              <w:t>0.0%</w:t>
            </w:r>
          </w:p>
        </w:tc>
      </w:tr>
      <w:tr w:rsidR="002B21FC" w:rsidRPr="006B52CB" w14:paraId="13C46D8E"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3DF9871C" w14:textId="77777777" w:rsidR="002B21FC" w:rsidRPr="006B52CB" w:rsidRDefault="002B21FC" w:rsidP="00B05229">
            <w:pPr>
              <w:rPr>
                <w:b/>
                <w:bCs/>
                <w:color w:val="000000"/>
              </w:rPr>
            </w:pPr>
            <w:r w:rsidRPr="006B52CB">
              <w:rPr>
                <w:b/>
                <w:bCs/>
                <w:color w:val="000000"/>
              </w:rPr>
              <w:t>Business programs</w:t>
            </w:r>
          </w:p>
        </w:tc>
        <w:tc>
          <w:tcPr>
            <w:tcW w:w="1300" w:type="dxa"/>
            <w:tcBorders>
              <w:top w:val="nil"/>
              <w:left w:val="nil"/>
              <w:bottom w:val="single" w:sz="8" w:space="0" w:color="000000"/>
              <w:right w:val="nil"/>
            </w:tcBorders>
            <w:shd w:val="clear" w:color="auto" w:fill="auto"/>
            <w:vAlign w:val="center"/>
            <w:hideMark/>
          </w:tcPr>
          <w:p w14:paraId="28C11511" w14:textId="77777777" w:rsidR="002B21FC" w:rsidRPr="006B52CB" w:rsidRDefault="002B21FC" w:rsidP="00B05229">
            <w:pPr>
              <w:jc w:val="right"/>
              <w:rPr>
                <w:b/>
                <w:bCs/>
                <w:color w:val="000000"/>
              </w:rPr>
            </w:pPr>
            <w:r w:rsidRPr="006B52CB">
              <w:rPr>
                <w:b/>
                <w:bCs/>
                <w:color w:val="000000"/>
              </w:rPr>
              <w:t>$11,616,614</w:t>
            </w:r>
          </w:p>
        </w:tc>
        <w:tc>
          <w:tcPr>
            <w:tcW w:w="1300" w:type="dxa"/>
            <w:tcBorders>
              <w:top w:val="nil"/>
              <w:left w:val="nil"/>
              <w:bottom w:val="single" w:sz="8" w:space="0" w:color="000000"/>
              <w:right w:val="nil"/>
            </w:tcBorders>
            <w:shd w:val="clear" w:color="auto" w:fill="auto"/>
            <w:vAlign w:val="center"/>
            <w:hideMark/>
          </w:tcPr>
          <w:p w14:paraId="1251E321" w14:textId="77777777" w:rsidR="002B21FC" w:rsidRPr="006B52CB" w:rsidRDefault="002B21FC" w:rsidP="00B05229">
            <w:pPr>
              <w:jc w:val="right"/>
              <w:rPr>
                <w:b/>
                <w:bCs/>
                <w:color w:val="000000"/>
              </w:rPr>
            </w:pPr>
            <w:r w:rsidRPr="006B52CB">
              <w:rPr>
                <w:b/>
                <w:bCs/>
                <w:color w:val="000000"/>
              </w:rPr>
              <w:t>$13,353,655</w:t>
            </w:r>
          </w:p>
        </w:tc>
        <w:tc>
          <w:tcPr>
            <w:tcW w:w="1200" w:type="dxa"/>
            <w:tcBorders>
              <w:top w:val="nil"/>
              <w:left w:val="nil"/>
              <w:bottom w:val="single" w:sz="8" w:space="0" w:color="000000"/>
              <w:right w:val="nil"/>
            </w:tcBorders>
            <w:shd w:val="clear" w:color="auto" w:fill="auto"/>
            <w:vAlign w:val="center"/>
            <w:hideMark/>
          </w:tcPr>
          <w:p w14:paraId="6A831412" w14:textId="77777777" w:rsidR="002B21FC" w:rsidRPr="006B52CB" w:rsidRDefault="002B21FC" w:rsidP="00B05229">
            <w:pPr>
              <w:jc w:val="right"/>
              <w:rPr>
                <w:b/>
                <w:bCs/>
                <w:color w:val="000000"/>
              </w:rPr>
            </w:pPr>
            <w:r w:rsidRPr="006B52CB">
              <w:rPr>
                <w:b/>
                <w:bCs/>
                <w:color w:val="000000"/>
              </w:rPr>
              <w:t>$1,737,041</w:t>
            </w:r>
          </w:p>
        </w:tc>
        <w:tc>
          <w:tcPr>
            <w:tcW w:w="1320" w:type="dxa"/>
            <w:tcBorders>
              <w:top w:val="nil"/>
              <w:left w:val="nil"/>
              <w:bottom w:val="single" w:sz="8" w:space="0" w:color="000000"/>
              <w:right w:val="nil"/>
            </w:tcBorders>
            <w:shd w:val="clear" w:color="auto" w:fill="auto"/>
            <w:vAlign w:val="center"/>
            <w:hideMark/>
          </w:tcPr>
          <w:p w14:paraId="41A5E163" w14:textId="32A954D9" w:rsidR="002B21FC" w:rsidRPr="006B52CB" w:rsidRDefault="002B21FC" w:rsidP="00B05229">
            <w:pPr>
              <w:jc w:val="right"/>
              <w:rPr>
                <w:b/>
                <w:bCs/>
                <w:color w:val="000000"/>
              </w:rPr>
            </w:pPr>
            <w:r w:rsidRPr="006B52CB">
              <w:rPr>
                <w:b/>
                <w:bCs/>
                <w:color w:val="000000"/>
              </w:rPr>
              <w:t>1</w:t>
            </w:r>
            <w:r w:rsidR="008A405C">
              <w:rPr>
                <w:b/>
                <w:bCs/>
                <w:color w:val="000000"/>
              </w:rPr>
              <w:t>5</w:t>
            </w:r>
            <w:r w:rsidRPr="006B52CB">
              <w:rPr>
                <w:b/>
                <w:bCs/>
                <w:color w:val="000000"/>
              </w:rPr>
              <w:t>.</w:t>
            </w:r>
            <w:r w:rsidR="008A405C">
              <w:rPr>
                <w:b/>
                <w:bCs/>
                <w:color w:val="000000"/>
              </w:rPr>
              <w:t>0</w:t>
            </w:r>
            <w:r w:rsidRPr="006B52CB">
              <w:rPr>
                <w:b/>
                <w:bCs/>
                <w:color w:val="000000"/>
              </w:rPr>
              <w:t>%</w:t>
            </w:r>
          </w:p>
        </w:tc>
      </w:tr>
      <w:tr w:rsidR="002B21FC" w:rsidRPr="006B52CB" w14:paraId="338ADA1C"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71ABAB36" w14:textId="49C787BC" w:rsidR="002B21FC" w:rsidRPr="006B52CB" w:rsidRDefault="00B05229" w:rsidP="00B05229">
            <w:pPr>
              <w:rPr>
                <w:i/>
                <w:iCs/>
                <w:color w:val="000000"/>
              </w:rPr>
            </w:pPr>
            <w:r>
              <w:rPr>
                <w:i/>
                <w:iCs/>
                <w:color w:val="000000"/>
              </w:rPr>
              <w:t xml:space="preserve">   </w:t>
            </w:r>
            <w:r w:rsidR="002B21FC" w:rsidRPr="006B52CB">
              <w:rPr>
                <w:i/>
                <w:iCs/>
                <w:color w:val="000000"/>
              </w:rPr>
              <w:t xml:space="preserve"> Commercial </w:t>
            </w:r>
          </w:p>
        </w:tc>
        <w:tc>
          <w:tcPr>
            <w:tcW w:w="1300" w:type="dxa"/>
            <w:tcBorders>
              <w:top w:val="nil"/>
              <w:left w:val="nil"/>
              <w:bottom w:val="single" w:sz="8" w:space="0" w:color="000000"/>
              <w:right w:val="nil"/>
            </w:tcBorders>
            <w:shd w:val="clear" w:color="auto" w:fill="auto"/>
            <w:vAlign w:val="center"/>
            <w:hideMark/>
          </w:tcPr>
          <w:p w14:paraId="61D43385" w14:textId="77777777" w:rsidR="002B21FC" w:rsidRPr="006B52CB" w:rsidRDefault="002B21FC" w:rsidP="00B05229">
            <w:pPr>
              <w:jc w:val="right"/>
              <w:rPr>
                <w:color w:val="000000"/>
              </w:rPr>
            </w:pPr>
            <w:r w:rsidRPr="006B52CB">
              <w:rPr>
                <w:color w:val="000000"/>
              </w:rPr>
              <w:t>$6,290,253</w:t>
            </w:r>
          </w:p>
        </w:tc>
        <w:tc>
          <w:tcPr>
            <w:tcW w:w="1300" w:type="dxa"/>
            <w:tcBorders>
              <w:top w:val="nil"/>
              <w:left w:val="nil"/>
              <w:bottom w:val="single" w:sz="8" w:space="0" w:color="000000"/>
              <w:right w:val="nil"/>
            </w:tcBorders>
            <w:shd w:val="clear" w:color="auto" w:fill="auto"/>
            <w:vAlign w:val="center"/>
            <w:hideMark/>
          </w:tcPr>
          <w:p w14:paraId="24C96DBA" w14:textId="77777777" w:rsidR="002B21FC" w:rsidRPr="006B52CB" w:rsidRDefault="002B21FC" w:rsidP="00B05229">
            <w:pPr>
              <w:jc w:val="right"/>
              <w:rPr>
                <w:color w:val="000000"/>
              </w:rPr>
            </w:pPr>
            <w:r w:rsidRPr="006B52CB">
              <w:rPr>
                <w:color w:val="000000"/>
              </w:rPr>
              <w:t>$6,743,255</w:t>
            </w:r>
          </w:p>
        </w:tc>
        <w:tc>
          <w:tcPr>
            <w:tcW w:w="1200" w:type="dxa"/>
            <w:tcBorders>
              <w:top w:val="nil"/>
              <w:left w:val="nil"/>
              <w:bottom w:val="single" w:sz="8" w:space="0" w:color="000000"/>
              <w:right w:val="nil"/>
            </w:tcBorders>
            <w:shd w:val="clear" w:color="auto" w:fill="auto"/>
            <w:vAlign w:val="center"/>
            <w:hideMark/>
          </w:tcPr>
          <w:p w14:paraId="5E834E70" w14:textId="77777777" w:rsidR="002B21FC" w:rsidRPr="006B52CB" w:rsidRDefault="002B21FC" w:rsidP="00B05229">
            <w:pPr>
              <w:jc w:val="right"/>
              <w:rPr>
                <w:color w:val="000000"/>
              </w:rPr>
            </w:pPr>
            <w:r w:rsidRPr="006B52CB">
              <w:rPr>
                <w:color w:val="000000"/>
              </w:rPr>
              <w:t>$453,002</w:t>
            </w:r>
          </w:p>
        </w:tc>
        <w:tc>
          <w:tcPr>
            <w:tcW w:w="1320" w:type="dxa"/>
            <w:tcBorders>
              <w:top w:val="nil"/>
              <w:left w:val="nil"/>
              <w:bottom w:val="single" w:sz="8" w:space="0" w:color="000000"/>
              <w:right w:val="nil"/>
            </w:tcBorders>
            <w:shd w:val="clear" w:color="auto" w:fill="auto"/>
            <w:vAlign w:val="center"/>
            <w:hideMark/>
          </w:tcPr>
          <w:p w14:paraId="6E64FEAB" w14:textId="2528D26A" w:rsidR="002B21FC" w:rsidRPr="006B52CB" w:rsidRDefault="002B21FC">
            <w:pPr>
              <w:jc w:val="right"/>
              <w:rPr>
                <w:color w:val="000000"/>
              </w:rPr>
            </w:pPr>
            <w:r w:rsidRPr="006B52CB">
              <w:rPr>
                <w:color w:val="000000"/>
              </w:rPr>
              <w:t>7.2%</w:t>
            </w:r>
          </w:p>
        </w:tc>
      </w:tr>
      <w:tr w:rsidR="002B21FC" w:rsidRPr="006B52CB" w14:paraId="050DFD53"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70DE44E7" w14:textId="1E0A5236" w:rsidR="002B21FC" w:rsidRPr="006B52CB" w:rsidRDefault="00B05229" w:rsidP="00B05229">
            <w:pPr>
              <w:rPr>
                <w:i/>
                <w:iCs/>
                <w:color w:val="000000"/>
              </w:rPr>
            </w:pPr>
            <w:r>
              <w:rPr>
                <w:i/>
                <w:iCs/>
                <w:color w:val="000000"/>
              </w:rPr>
              <w:t xml:space="preserve">   </w:t>
            </w:r>
            <w:r w:rsidR="002B21FC" w:rsidRPr="006B52CB">
              <w:rPr>
                <w:i/>
                <w:iCs/>
                <w:color w:val="000000"/>
              </w:rPr>
              <w:t xml:space="preserve"> Industrial</w:t>
            </w:r>
          </w:p>
        </w:tc>
        <w:tc>
          <w:tcPr>
            <w:tcW w:w="1300" w:type="dxa"/>
            <w:tcBorders>
              <w:top w:val="nil"/>
              <w:left w:val="nil"/>
              <w:bottom w:val="single" w:sz="8" w:space="0" w:color="000000"/>
              <w:right w:val="nil"/>
            </w:tcBorders>
            <w:shd w:val="clear" w:color="auto" w:fill="auto"/>
            <w:vAlign w:val="center"/>
            <w:hideMark/>
          </w:tcPr>
          <w:p w14:paraId="1A063EDE" w14:textId="77777777" w:rsidR="002B21FC" w:rsidRPr="006B52CB" w:rsidRDefault="002B21FC" w:rsidP="00B05229">
            <w:pPr>
              <w:jc w:val="right"/>
              <w:rPr>
                <w:color w:val="000000"/>
              </w:rPr>
            </w:pPr>
            <w:r w:rsidRPr="006B52CB">
              <w:rPr>
                <w:color w:val="000000"/>
              </w:rPr>
              <w:t>$4,580,262</w:t>
            </w:r>
          </w:p>
        </w:tc>
        <w:tc>
          <w:tcPr>
            <w:tcW w:w="1300" w:type="dxa"/>
            <w:tcBorders>
              <w:top w:val="nil"/>
              <w:left w:val="nil"/>
              <w:bottom w:val="single" w:sz="8" w:space="0" w:color="000000"/>
              <w:right w:val="nil"/>
            </w:tcBorders>
            <w:shd w:val="clear" w:color="auto" w:fill="auto"/>
            <w:vAlign w:val="center"/>
            <w:hideMark/>
          </w:tcPr>
          <w:p w14:paraId="7CA68251" w14:textId="77777777" w:rsidR="002B21FC" w:rsidRPr="006B52CB" w:rsidRDefault="002B21FC" w:rsidP="00B05229">
            <w:pPr>
              <w:jc w:val="right"/>
              <w:rPr>
                <w:color w:val="000000"/>
              </w:rPr>
            </w:pPr>
            <w:r w:rsidRPr="006B52CB">
              <w:rPr>
                <w:color w:val="000000"/>
              </w:rPr>
              <w:t>$5,965,098</w:t>
            </w:r>
          </w:p>
        </w:tc>
        <w:tc>
          <w:tcPr>
            <w:tcW w:w="1200" w:type="dxa"/>
            <w:tcBorders>
              <w:top w:val="nil"/>
              <w:left w:val="nil"/>
              <w:bottom w:val="single" w:sz="8" w:space="0" w:color="000000"/>
              <w:right w:val="nil"/>
            </w:tcBorders>
            <w:shd w:val="clear" w:color="auto" w:fill="auto"/>
            <w:vAlign w:val="center"/>
            <w:hideMark/>
          </w:tcPr>
          <w:p w14:paraId="1AE25C0F" w14:textId="77777777" w:rsidR="002B21FC" w:rsidRPr="006B52CB" w:rsidRDefault="002B21FC" w:rsidP="00B05229">
            <w:pPr>
              <w:jc w:val="right"/>
              <w:rPr>
                <w:color w:val="000000"/>
              </w:rPr>
            </w:pPr>
            <w:r w:rsidRPr="006B52CB">
              <w:rPr>
                <w:color w:val="000000"/>
              </w:rPr>
              <w:t>$1,384,836</w:t>
            </w:r>
          </w:p>
        </w:tc>
        <w:tc>
          <w:tcPr>
            <w:tcW w:w="1320" w:type="dxa"/>
            <w:tcBorders>
              <w:top w:val="nil"/>
              <w:left w:val="nil"/>
              <w:bottom w:val="single" w:sz="8" w:space="0" w:color="000000"/>
              <w:right w:val="nil"/>
            </w:tcBorders>
            <w:shd w:val="clear" w:color="auto" w:fill="auto"/>
            <w:vAlign w:val="center"/>
            <w:hideMark/>
          </w:tcPr>
          <w:p w14:paraId="78F25E06" w14:textId="2A1CEE39" w:rsidR="002B21FC" w:rsidRPr="006B52CB" w:rsidRDefault="002B21FC">
            <w:pPr>
              <w:jc w:val="right"/>
              <w:rPr>
                <w:color w:val="000000"/>
              </w:rPr>
            </w:pPr>
            <w:r w:rsidRPr="006B52CB">
              <w:rPr>
                <w:color w:val="000000"/>
              </w:rPr>
              <w:t>30.2%</w:t>
            </w:r>
          </w:p>
        </w:tc>
      </w:tr>
      <w:tr w:rsidR="002B21FC" w:rsidRPr="006B52CB" w14:paraId="08AD8496" w14:textId="77777777" w:rsidTr="002B21FC">
        <w:trPr>
          <w:trHeight w:val="330"/>
        </w:trPr>
        <w:tc>
          <w:tcPr>
            <w:tcW w:w="3920" w:type="dxa"/>
            <w:tcBorders>
              <w:top w:val="nil"/>
              <w:left w:val="nil"/>
              <w:bottom w:val="single" w:sz="8" w:space="0" w:color="000000"/>
              <w:right w:val="nil"/>
            </w:tcBorders>
            <w:shd w:val="clear" w:color="auto" w:fill="auto"/>
            <w:vAlign w:val="center"/>
            <w:hideMark/>
          </w:tcPr>
          <w:p w14:paraId="04BC176C" w14:textId="50EEEEA1" w:rsidR="002B21FC" w:rsidRPr="006B52CB" w:rsidRDefault="00B05229" w:rsidP="00B05229">
            <w:pPr>
              <w:rPr>
                <w:i/>
                <w:iCs/>
                <w:color w:val="000000"/>
              </w:rPr>
            </w:pPr>
            <w:r>
              <w:rPr>
                <w:i/>
                <w:iCs/>
                <w:color w:val="000000"/>
              </w:rPr>
              <w:t xml:space="preserve">   </w:t>
            </w:r>
            <w:r w:rsidR="002B21FC" w:rsidRPr="006B52CB">
              <w:rPr>
                <w:i/>
                <w:iCs/>
                <w:color w:val="000000"/>
              </w:rPr>
              <w:t xml:space="preserve"> Agricultural</w:t>
            </w:r>
          </w:p>
        </w:tc>
        <w:tc>
          <w:tcPr>
            <w:tcW w:w="1300" w:type="dxa"/>
            <w:tcBorders>
              <w:top w:val="nil"/>
              <w:left w:val="nil"/>
              <w:bottom w:val="single" w:sz="8" w:space="0" w:color="000000"/>
              <w:right w:val="nil"/>
            </w:tcBorders>
            <w:shd w:val="clear" w:color="auto" w:fill="auto"/>
            <w:vAlign w:val="center"/>
            <w:hideMark/>
          </w:tcPr>
          <w:p w14:paraId="3EDB3B8A" w14:textId="77777777" w:rsidR="002B21FC" w:rsidRPr="006B52CB" w:rsidRDefault="002B21FC" w:rsidP="00B05229">
            <w:pPr>
              <w:jc w:val="right"/>
              <w:rPr>
                <w:color w:val="000000"/>
              </w:rPr>
            </w:pPr>
            <w:r w:rsidRPr="006B52CB">
              <w:rPr>
                <w:color w:val="000000"/>
              </w:rPr>
              <w:t>$746,099</w:t>
            </w:r>
          </w:p>
        </w:tc>
        <w:tc>
          <w:tcPr>
            <w:tcW w:w="1300" w:type="dxa"/>
            <w:tcBorders>
              <w:top w:val="nil"/>
              <w:left w:val="nil"/>
              <w:bottom w:val="single" w:sz="8" w:space="0" w:color="000000"/>
              <w:right w:val="nil"/>
            </w:tcBorders>
            <w:shd w:val="clear" w:color="auto" w:fill="auto"/>
            <w:vAlign w:val="center"/>
            <w:hideMark/>
          </w:tcPr>
          <w:p w14:paraId="7B87E489" w14:textId="77777777" w:rsidR="002B21FC" w:rsidRPr="006B52CB" w:rsidRDefault="002B21FC" w:rsidP="00B05229">
            <w:pPr>
              <w:jc w:val="right"/>
              <w:rPr>
                <w:color w:val="000000"/>
              </w:rPr>
            </w:pPr>
            <w:r w:rsidRPr="006B52CB">
              <w:rPr>
                <w:color w:val="000000"/>
              </w:rPr>
              <w:t>$645,302</w:t>
            </w:r>
          </w:p>
        </w:tc>
        <w:tc>
          <w:tcPr>
            <w:tcW w:w="1200" w:type="dxa"/>
            <w:tcBorders>
              <w:top w:val="nil"/>
              <w:left w:val="nil"/>
              <w:bottom w:val="single" w:sz="8" w:space="0" w:color="000000"/>
              <w:right w:val="nil"/>
            </w:tcBorders>
            <w:shd w:val="clear" w:color="auto" w:fill="auto"/>
            <w:vAlign w:val="center"/>
            <w:hideMark/>
          </w:tcPr>
          <w:p w14:paraId="27575FF2" w14:textId="77777777" w:rsidR="002B21FC" w:rsidRPr="006B52CB" w:rsidRDefault="002B21FC" w:rsidP="00B05229">
            <w:pPr>
              <w:jc w:val="right"/>
              <w:rPr>
                <w:color w:val="000000"/>
              </w:rPr>
            </w:pPr>
            <w:r w:rsidRPr="006B52CB">
              <w:rPr>
                <w:color w:val="000000"/>
              </w:rPr>
              <w:t>-$100,797</w:t>
            </w:r>
          </w:p>
        </w:tc>
        <w:tc>
          <w:tcPr>
            <w:tcW w:w="1320" w:type="dxa"/>
            <w:tcBorders>
              <w:top w:val="nil"/>
              <w:left w:val="nil"/>
              <w:bottom w:val="single" w:sz="8" w:space="0" w:color="000000"/>
              <w:right w:val="nil"/>
            </w:tcBorders>
            <w:shd w:val="clear" w:color="auto" w:fill="auto"/>
            <w:vAlign w:val="center"/>
            <w:hideMark/>
          </w:tcPr>
          <w:p w14:paraId="5E088A46" w14:textId="32EBBFA6" w:rsidR="002B21FC" w:rsidRPr="006B52CB" w:rsidRDefault="002B21FC">
            <w:pPr>
              <w:jc w:val="right"/>
              <w:rPr>
                <w:color w:val="000000"/>
              </w:rPr>
            </w:pPr>
            <w:r w:rsidRPr="006B52CB">
              <w:rPr>
                <w:color w:val="000000"/>
              </w:rPr>
              <w:t>-13.5%</w:t>
            </w:r>
          </w:p>
        </w:tc>
      </w:tr>
      <w:tr w:rsidR="002B21FC" w:rsidRPr="006B52CB" w14:paraId="0D62474F" w14:textId="77777777" w:rsidTr="002B21FC">
        <w:trPr>
          <w:trHeight w:val="330"/>
        </w:trPr>
        <w:tc>
          <w:tcPr>
            <w:tcW w:w="3920" w:type="dxa"/>
            <w:tcBorders>
              <w:top w:val="nil"/>
              <w:left w:val="nil"/>
              <w:bottom w:val="single" w:sz="12" w:space="0" w:color="auto"/>
              <w:right w:val="nil"/>
            </w:tcBorders>
            <w:shd w:val="clear" w:color="auto" w:fill="auto"/>
            <w:vAlign w:val="center"/>
            <w:hideMark/>
          </w:tcPr>
          <w:p w14:paraId="03C42A37" w14:textId="77777777" w:rsidR="002B21FC" w:rsidRPr="006B52CB" w:rsidRDefault="002B21FC" w:rsidP="00B05229">
            <w:pPr>
              <w:rPr>
                <w:b/>
                <w:iCs/>
                <w:color w:val="000000"/>
              </w:rPr>
            </w:pPr>
            <w:r w:rsidRPr="006B52CB">
              <w:rPr>
                <w:b/>
                <w:iCs/>
                <w:color w:val="000000"/>
              </w:rPr>
              <w:t>Portfolio-level expenses</w:t>
            </w:r>
          </w:p>
        </w:tc>
        <w:tc>
          <w:tcPr>
            <w:tcW w:w="1300" w:type="dxa"/>
            <w:tcBorders>
              <w:top w:val="nil"/>
              <w:left w:val="nil"/>
              <w:bottom w:val="single" w:sz="12" w:space="0" w:color="auto"/>
              <w:right w:val="nil"/>
            </w:tcBorders>
            <w:shd w:val="clear" w:color="auto" w:fill="auto"/>
            <w:vAlign w:val="center"/>
            <w:hideMark/>
          </w:tcPr>
          <w:p w14:paraId="17942A8B" w14:textId="77777777" w:rsidR="002B21FC" w:rsidRPr="006B52CB" w:rsidRDefault="002B21FC" w:rsidP="00B05229">
            <w:pPr>
              <w:jc w:val="right"/>
              <w:rPr>
                <w:color w:val="000000"/>
              </w:rPr>
            </w:pPr>
            <w:r w:rsidRPr="006B52CB">
              <w:rPr>
                <w:color w:val="000000"/>
              </w:rPr>
              <w:t>$1,757,709</w:t>
            </w:r>
          </w:p>
        </w:tc>
        <w:tc>
          <w:tcPr>
            <w:tcW w:w="1300" w:type="dxa"/>
            <w:tcBorders>
              <w:top w:val="nil"/>
              <w:left w:val="nil"/>
              <w:bottom w:val="single" w:sz="12" w:space="0" w:color="auto"/>
              <w:right w:val="nil"/>
            </w:tcBorders>
            <w:shd w:val="clear" w:color="auto" w:fill="auto"/>
            <w:vAlign w:val="center"/>
            <w:hideMark/>
          </w:tcPr>
          <w:p w14:paraId="2A30D091" w14:textId="77777777" w:rsidR="002B21FC" w:rsidRPr="006B52CB" w:rsidRDefault="002B21FC" w:rsidP="00B05229">
            <w:pPr>
              <w:jc w:val="right"/>
              <w:rPr>
                <w:color w:val="000000"/>
              </w:rPr>
            </w:pPr>
            <w:r w:rsidRPr="006B52CB">
              <w:rPr>
                <w:color w:val="000000"/>
              </w:rPr>
              <w:t>$1,783,191</w:t>
            </w:r>
          </w:p>
        </w:tc>
        <w:tc>
          <w:tcPr>
            <w:tcW w:w="1200" w:type="dxa"/>
            <w:tcBorders>
              <w:top w:val="nil"/>
              <w:left w:val="nil"/>
              <w:bottom w:val="single" w:sz="12" w:space="0" w:color="auto"/>
              <w:right w:val="nil"/>
            </w:tcBorders>
            <w:shd w:val="clear" w:color="auto" w:fill="auto"/>
            <w:vAlign w:val="center"/>
            <w:hideMark/>
          </w:tcPr>
          <w:p w14:paraId="2DBE1BC0" w14:textId="77777777" w:rsidR="002B21FC" w:rsidRPr="006B52CB" w:rsidRDefault="002B21FC" w:rsidP="00B05229">
            <w:pPr>
              <w:jc w:val="right"/>
              <w:rPr>
                <w:color w:val="000000"/>
              </w:rPr>
            </w:pPr>
            <w:r w:rsidRPr="006B52CB">
              <w:rPr>
                <w:color w:val="000000"/>
              </w:rPr>
              <w:t>$25,482</w:t>
            </w:r>
          </w:p>
        </w:tc>
        <w:tc>
          <w:tcPr>
            <w:tcW w:w="1320" w:type="dxa"/>
            <w:tcBorders>
              <w:top w:val="nil"/>
              <w:left w:val="nil"/>
              <w:bottom w:val="single" w:sz="12" w:space="0" w:color="auto"/>
              <w:right w:val="nil"/>
            </w:tcBorders>
            <w:shd w:val="clear" w:color="auto" w:fill="auto"/>
            <w:vAlign w:val="center"/>
            <w:hideMark/>
          </w:tcPr>
          <w:p w14:paraId="713B5CC1" w14:textId="19240CF6" w:rsidR="002B21FC" w:rsidRPr="006B52CB" w:rsidRDefault="002B21FC" w:rsidP="00B05229">
            <w:pPr>
              <w:jc w:val="right"/>
              <w:rPr>
                <w:color w:val="000000"/>
              </w:rPr>
            </w:pPr>
            <w:r w:rsidRPr="006B52CB">
              <w:rPr>
                <w:color w:val="000000"/>
              </w:rPr>
              <w:t>1.5%</w:t>
            </w:r>
          </w:p>
        </w:tc>
      </w:tr>
      <w:tr w:rsidR="002B21FC" w:rsidRPr="006B52CB" w14:paraId="2CDE1518" w14:textId="77777777" w:rsidTr="002B21FC">
        <w:trPr>
          <w:trHeight w:val="345"/>
        </w:trPr>
        <w:tc>
          <w:tcPr>
            <w:tcW w:w="3920" w:type="dxa"/>
            <w:tcBorders>
              <w:top w:val="nil"/>
              <w:left w:val="nil"/>
              <w:bottom w:val="single" w:sz="12" w:space="0" w:color="000000"/>
              <w:right w:val="nil"/>
            </w:tcBorders>
            <w:shd w:val="clear" w:color="auto" w:fill="auto"/>
            <w:vAlign w:val="center"/>
            <w:hideMark/>
          </w:tcPr>
          <w:p w14:paraId="0E566A75" w14:textId="77777777" w:rsidR="002B21FC" w:rsidRPr="006B52CB" w:rsidRDefault="002B21FC" w:rsidP="00B05229">
            <w:pPr>
              <w:rPr>
                <w:b/>
                <w:bCs/>
                <w:color w:val="000000"/>
              </w:rPr>
            </w:pPr>
            <w:r w:rsidRPr="006B52CB">
              <w:rPr>
                <w:b/>
                <w:bCs/>
                <w:color w:val="000000"/>
              </w:rPr>
              <w:t>Pacific Power subtotal</w:t>
            </w:r>
          </w:p>
        </w:tc>
        <w:tc>
          <w:tcPr>
            <w:tcW w:w="1300" w:type="dxa"/>
            <w:tcBorders>
              <w:top w:val="nil"/>
              <w:left w:val="nil"/>
              <w:bottom w:val="single" w:sz="12" w:space="0" w:color="000000"/>
              <w:right w:val="nil"/>
            </w:tcBorders>
            <w:shd w:val="clear" w:color="auto" w:fill="auto"/>
            <w:vAlign w:val="center"/>
            <w:hideMark/>
          </w:tcPr>
          <w:p w14:paraId="243ECC4B" w14:textId="77777777" w:rsidR="002B21FC" w:rsidRPr="006B52CB" w:rsidRDefault="002B21FC" w:rsidP="00B05229">
            <w:pPr>
              <w:jc w:val="right"/>
              <w:rPr>
                <w:b/>
                <w:bCs/>
                <w:color w:val="000000"/>
              </w:rPr>
            </w:pPr>
            <w:r w:rsidRPr="006B52CB">
              <w:rPr>
                <w:b/>
                <w:bCs/>
                <w:color w:val="000000"/>
              </w:rPr>
              <w:t>$22,739,078</w:t>
            </w:r>
          </w:p>
        </w:tc>
        <w:tc>
          <w:tcPr>
            <w:tcW w:w="1300" w:type="dxa"/>
            <w:tcBorders>
              <w:top w:val="nil"/>
              <w:left w:val="nil"/>
              <w:bottom w:val="single" w:sz="12" w:space="0" w:color="000000"/>
              <w:right w:val="nil"/>
            </w:tcBorders>
            <w:shd w:val="clear" w:color="auto" w:fill="auto"/>
            <w:vAlign w:val="center"/>
            <w:hideMark/>
          </w:tcPr>
          <w:p w14:paraId="18301F28" w14:textId="77777777" w:rsidR="002B21FC" w:rsidRPr="006B52CB" w:rsidRDefault="002B21FC" w:rsidP="00B05229">
            <w:pPr>
              <w:jc w:val="right"/>
              <w:rPr>
                <w:b/>
                <w:bCs/>
                <w:color w:val="000000"/>
              </w:rPr>
            </w:pPr>
            <w:r w:rsidRPr="006B52CB">
              <w:rPr>
                <w:b/>
                <w:bCs/>
                <w:color w:val="000000"/>
              </w:rPr>
              <w:t>$23,623,883</w:t>
            </w:r>
          </w:p>
        </w:tc>
        <w:tc>
          <w:tcPr>
            <w:tcW w:w="1200" w:type="dxa"/>
            <w:tcBorders>
              <w:top w:val="nil"/>
              <w:left w:val="nil"/>
              <w:bottom w:val="single" w:sz="12" w:space="0" w:color="000000"/>
              <w:right w:val="nil"/>
            </w:tcBorders>
            <w:shd w:val="clear" w:color="auto" w:fill="auto"/>
            <w:vAlign w:val="center"/>
            <w:hideMark/>
          </w:tcPr>
          <w:p w14:paraId="09280712" w14:textId="77777777" w:rsidR="002B21FC" w:rsidRPr="006B52CB" w:rsidRDefault="002B21FC" w:rsidP="00B05229">
            <w:pPr>
              <w:jc w:val="right"/>
              <w:rPr>
                <w:b/>
                <w:bCs/>
                <w:color w:val="000000"/>
              </w:rPr>
            </w:pPr>
            <w:r w:rsidRPr="006B52CB">
              <w:rPr>
                <w:b/>
                <w:bCs/>
                <w:color w:val="000000"/>
              </w:rPr>
              <w:t>$884,805</w:t>
            </w:r>
          </w:p>
        </w:tc>
        <w:tc>
          <w:tcPr>
            <w:tcW w:w="1320" w:type="dxa"/>
            <w:tcBorders>
              <w:top w:val="nil"/>
              <w:left w:val="nil"/>
              <w:bottom w:val="single" w:sz="12" w:space="0" w:color="000000"/>
              <w:right w:val="nil"/>
            </w:tcBorders>
            <w:shd w:val="clear" w:color="auto" w:fill="auto"/>
            <w:vAlign w:val="center"/>
            <w:hideMark/>
          </w:tcPr>
          <w:p w14:paraId="5FA3E03B" w14:textId="1712020D" w:rsidR="002B21FC" w:rsidRPr="006B52CB" w:rsidRDefault="002B21FC" w:rsidP="00B05229">
            <w:pPr>
              <w:jc w:val="right"/>
              <w:rPr>
                <w:b/>
                <w:bCs/>
                <w:color w:val="000000"/>
              </w:rPr>
            </w:pPr>
            <w:r w:rsidRPr="006B52CB">
              <w:rPr>
                <w:b/>
                <w:bCs/>
                <w:color w:val="000000"/>
              </w:rPr>
              <w:t>3.9%</w:t>
            </w:r>
          </w:p>
        </w:tc>
      </w:tr>
      <w:tr w:rsidR="002B21FC" w:rsidRPr="006B52CB" w14:paraId="420BDFF6" w14:textId="77777777" w:rsidTr="002B21FC">
        <w:trPr>
          <w:trHeight w:val="345"/>
        </w:trPr>
        <w:tc>
          <w:tcPr>
            <w:tcW w:w="3920" w:type="dxa"/>
            <w:tcBorders>
              <w:top w:val="nil"/>
              <w:left w:val="nil"/>
              <w:bottom w:val="single" w:sz="8" w:space="0" w:color="000000"/>
              <w:right w:val="nil"/>
            </w:tcBorders>
            <w:shd w:val="clear" w:color="auto" w:fill="auto"/>
            <w:vAlign w:val="center"/>
            <w:hideMark/>
          </w:tcPr>
          <w:p w14:paraId="5EDC1581" w14:textId="77DF4433" w:rsidR="002B21FC" w:rsidRPr="006B52CB" w:rsidRDefault="00B05229" w:rsidP="00B05229">
            <w:pPr>
              <w:rPr>
                <w:i/>
                <w:iCs/>
                <w:color w:val="000000"/>
              </w:rPr>
            </w:pPr>
            <w:r>
              <w:rPr>
                <w:i/>
                <w:iCs/>
                <w:color w:val="000000"/>
              </w:rPr>
              <w:t xml:space="preserve">   </w:t>
            </w:r>
            <w:r w:rsidR="002B21FC" w:rsidRPr="006B52CB">
              <w:rPr>
                <w:i/>
                <w:iCs/>
                <w:color w:val="000000"/>
              </w:rPr>
              <w:t xml:space="preserve"> NEEA</w:t>
            </w:r>
          </w:p>
        </w:tc>
        <w:tc>
          <w:tcPr>
            <w:tcW w:w="1300" w:type="dxa"/>
            <w:tcBorders>
              <w:top w:val="nil"/>
              <w:left w:val="nil"/>
              <w:bottom w:val="single" w:sz="8" w:space="0" w:color="000000"/>
              <w:right w:val="nil"/>
            </w:tcBorders>
            <w:shd w:val="clear" w:color="auto" w:fill="auto"/>
            <w:vAlign w:val="center"/>
            <w:hideMark/>
          </w:tcPr>
          <w:p w14:paraId="3C31E342" w14:textId="77777777" w:rsidR="002B21FC" w:rsidRPr="006B52CB" w:rsidRDefault="002B21FC" w:rsidP="00B05229">
            <w:pPr>
              <w:jc w:val="right"/>
              <w:rPr>
                <w:color w:val="000000"/>
              </w:rPr>
            </w:pPr>
            <w:r w:rsidRPr="006B52CB">
              <w:rPr>
                <w:color w:val="000000"/>
              </w:rPr>
              <w:t>$1,821,452</w:t>
            </w:r>
          </w:p>
        </w:tc>
        <w:tc>
          <w:tcPr>
            <w:tcW w:w="1300" w:type="dxa"/>
            <w:tcBorders>
              <w:top w:val="nil"/>
              <w:left w:val="nil"/>
              <w:bottom w:val="single" w:sz="8" w:space="0" w:color="000000"/>
              <w:right w:val="nil"/>
            </w:tcBorders>
            <w:shd w:val="clear" w:color="auto" w:fill="auto"/>
            <w:vAlign w:val="center"/>
            <w:hideMark/>
          </w:tcPr>
          <w:p w14:paraId="60E83C4F" w14:textId="77777777" w:rsidR="002B21FC" w:rsidRPr="006B52CB" w:rsidRDefault="002B21FC" w:rsidP="00B05229">
            <w:pPr>
              <w:jc w:val="right"/>
              <w:rPr>
                <w:color w:val="000000"/>
              </w:rPr>
            </w:pPr>
            <w:r w:rsidRPr="006B52CB">
              <w:rPr>
                <w:color w:val="000000"/>
              </w:rPr>
              <w:t>$1,821,452</w:t>
            </w:r>
          </w:p>
        </w:tc>
        <w:tc>
          <w:tcPr>
            <w:tcW w:w="1200" w:type="dxa"/>
            <w:tcBorders>
              <w:top w:val="nil"/>
              <w:left w:val="nil"/>
              <w:bottom w:val="single" w:sz="8" w:space="0" w:color="000000"/>
              <w:right w:val="nil"/>
            </w:tcBorders>
            <w:shd w:val="clear" w:color="auto" w:fill="auto"/>
            <w:vAlign w:val="center"/>
            <w:hideMark/>
          </w:tcPr>
          <w:p w14:paraId="485E7AAA" w14:textId="77777777" w:rsidR="002B21FC" w:rsidRPr="006B52CB" w:rsidRDefault="002B21FC" w:rsidP="00B05229">
            <w:pPr>
              <w:jc w:val="right"/>
              <w:rPr>
                <w:color w:val="000000"/>
              </w:rPr>
            </w:pPr>
            <w:r w:rsidRPr="006B52CB">
              <w:rPr>
                <w:color w:val="000000"/>
              </w:rPr>
              <w:t>$0</w:t>
            </w:r>
          </w:p>
        </w:tc>
        <w:tc>
          <w:tcPr>
            <w:tcW w:w="1320" w:type="dxa"/>
            <w:tcBorders>
              <w:top w:val="nil"/>
              <w:left w:val="nil"/>
              <w:bottom w:val="single" w:sz="8" w:space="0" w:color="000000"/>
              <w:right w:val="nil"/>
            </w:tcBorders>
            <w:shd w:val="clear" w:color="auto" w:fill="auto"/>
            <w:vAlign w:val="center"/>
            <w:hideMark/>
          </w:tcPr>
          <w:p w14:paraId="6B94AF09" w14:textId="28E5678B" w:rsidR="002B21FC" w:rsidRPr="006B52CB" w:rsidRDefault="002B21FC" w:rsidP="00B05229">
            <w:pPr>
              <w:jc w:val="right"/>
              <w:rPr>
                <w:color w:val="000000"/>
              </w:rPr>
            </w:pPr>
            <w:r w:rsidRPr="006B52CB">
              <w:rPr>
                <w:color w:val="000000"/>
              </w:rPr>
              <w:t>0.0%</w:t>
            </w:r>
          </w:p>
        </w:tc>
      </w:tr>
      <w:tr w:rsidR="002B21FC" w:rsidRPr="006B52CB" w14:paraId="4B731644" w14:textId="77777777" w:rsidTr="002B21FC">
        <w:trPr>
          <w:trHeight w:val="330"/>
        </w:trPr>
        <w:tc>
          <w:tcPr>
            <w:tcW w:w="3920" w:type="dxa"/>
            <w:tcBorders>
              <w:top w:val="nil"/>
              <w:left w:val="nil"/>
              <w:bottom w:val="single" w:sz="12" w:space="0" w:color="000000"/>
              <w:right w:val="nil"/>
            </w:tcBorders>
            <w:shd w:val="clear" w:color="auto" w:fill="auto"/>
            <w:vAlign w:val="center"/>
            <w:hideMark/>
          </w:tcPr>
          <w:p w14:paraId="5C9BA53A" w14:textId="77777777" w:rsidR="002B21FC" w:rsidRPr="006B52CB" w:rsidRDefault="002B21FC" w:rsidP="00B05229">
            <w:pPr>
              <w:rPr>
                <w:b/>
                <w:bCs/>
                <w:color w:val="000000"/>
              </w:rPr>
            </w:pPr>
            <w:r w:rsidRPr="006B52CB">
              <w:rPr>
                <w:b/>
                <w:bCs/>
                <w:color w:val="000000"/>
              </w:rPr>
              <w:t>Total Conservation (incl. NEEA)</w:t>
            </w:r>
          </w:p>
        </w:tc>
        <w:tc>
          <w:tcPr>
            <w:tcW w:w="1300" w:type="dxa"/>
            <w:tcBorders>
              <w:top w:val="nil"/>
              <w:left w:val="nil"/>
              <w:bottom w:val="single" w:sz="12" w:space="0" w:color="000000"/>
              <w:right w:val="nil"/>
            </w:tcBorders>
            <w:shd w:val="clear" w:color="auto" w:fill="auto"/>
            <w:vAlign w:val="center"/>
            <w:hideMark/>
          </w:tcPr>
          <w:p w14:paraId="5A1E7923" w14:textId="77777777" w:rsidR="002B21FC" w:rsidRPr="006B52CB" w:rsidRDefault="002B21FC" w:rsidP="00B05229">
            <w:pPr>
              <w:jc w:val="right"/>
              <w:rPr>
                <w:b/>
                <w:bCs/>
                <w:color w:val="000000"/>
              </w:rPr>
            </w:pPr>
            <w:r w:rsidRPr="006B52CB">
              <w:rPr>
                <w:b/>
                <w:bCs/>
                <w:color w:val="000000"/>
              </w:rPr>
              <w:t>$24,560,530</w:t>
            </w:r>
          </w:p>
        </w:tc>
        <w:tc>
          <w:tcPr>
            <w:tcW w:w="1300" w:type="dxa"/>
            <w:tcBorders>
              <w:top w:val="nil"/>
              <w:left w:val="nil"/>
              <w:bottom w:val="single" w:sz="12" w:space="0" w:color="000000"/>
              <w:right w:val="nil"/>
            </w:tcBorders>
            <w:shd w:val="clear" w:color="auto" w:fill="auto"/>
            <w:vAlign w:val="center"/>
            <w:hideMark/>
          </w:tcPr>
          <w:p w14:paraId="5E1A101A" w14:textId="77777777" w:rsidR="002B21FC" w:rsidRPr="006B52CB" w:rsidRDefault="002B21FC" w:rsidP="00B05229">
            <w:pPr>
              <w:jc w:val="right"/>
              <w:rPr>
                <w:b/>
                <w:bCs/>
                <w:color w:val="000000"/>
              </w:rPr>
            </w:pPr>
            <w:r w:rsidRPr="006B52CB">
              <w:rPr>
                <w:b/>
                <w:bCs/>
                <w:color w:val="000000"/>
              </w:rPr>
              <w:t>$25,445,335</w:t>
            </w:r>
          </w:p>
        </w:tc>
        <w:tc>
          <w:tcPr>
            <w:tcW w:w="1200" w:type="dxa"/>
            <w:tcBorders>
              <w:top w:val="nil"/>
              <w:left w:val="nil"/>
              <w:bottom w:val="single" w:sz="12" w:space="0" w:color="000000"/>
              <w:right w:val="nil"/>
            </w:tcBorders>
            <w:shd w:val="clear" w:color="auto" w:fill="auto"/>
            <w:vAlign w:val="center"/>
            <w:hideMark/>
          </w:tcPr>
          <w:p w14:paraId="28E88DDD" w14:textId="77777777" w:rsidR="002B21FC" w:rsidRPr="006B52CB" w:rsidRDefault="002B21FC" w:rsidP="00B05229">
            <w:pPr>
              <w:jc w:val="right"/>
              <w:rPr>
                <w:b/>
                <w:bCs/>
                <w:color w:val="000000"/>
              </w:rPr>
            </w:pPr>
            <w:r w:rsidRPr="006B52CB">
              <w:rPr>
                <w:b/>
                <w:bCs/>
                <w:color w:val="000000"/>
              </w:rPr>
              <w:t>$884,805</w:t>
            </w:r>
          </w:p>
        </w:tc>
        <w:tc>
          <w:tcPr>
            <w:tcW w:w="1320" w:type="dxa"/>
            <w:tcBorders>
              <w:top w:val="nil"/>
              <w:left w:val="nil"/>
              <w:bottom w:val="single" w:sz="12" w:space="0" w:color="000000"/>
              <w:right w:val="nil"/>
            </w:tcBorders>
            <w:shd w:val="clear" w:color="auto" w:fill="auto"/>
            <w:vAlign w:val="center"/>
            <w:hideMark/>
          </w:tcPr>
          <w:p w14:paraId="7C9717A5" w14:textId="03C20987" w:rsidR="002B21FC" w:rsidRPr="006B52CB" w:rsidRDefault="002B21FC">
            <w:pPr>
              <w:jc w:val="right"/>
              <w:rPr>
                <w:b/>
                <w:bCs/>
                <w:color w:val="000000"/>
              </w:rPr>
            </w:pPr>
            <w:r w:rsidRPr="006B52CB">
              <w:rPr>
                <w:b/>
                <w:bCs/>
                <w:color w:val="000000"/>
              </w:rPr>
              <w:t>3.6%</w:t>
            </w:r>
          </w:p>
        </w:tc>
      </w:tr>
    </w:tbl>
    <w:p w14:paraId="192A1C53" w14:textId="77777777" w:rsidR="00752CE3" w:rsidRPr="006B52CB" w:rsidRDefault="00752CE3" w:rsidP="00B05229">
      <w:pPr>
        <w:rPr>
          <w:rFonts w:eastAsia="Calibri"/>
        </w:rPr>
      </w:pPr>
    </w:p>
    <w:p w14:paraId="7F8D6C06" w14:textId="2547B32F" w:rsidR="006B52CB" w:rsidRPr="006B52CB" w:rsidRDefault="00FB0D3B" w:rsidP="00B05229">
      <w:pPr>
        <w:rPr>
          <w:rFonts w:eastAsia="Calibri"/>
        </w:rPr>
      </w:pPr>
      <w:r>
        <w:rPr>
          <w:rFonts w:eastAsia="Calibri"/>
          <w:i/>
        </w:rPr>
        <w:t xml:space="preserve">Decrease in Home Energy Savings Program: </w:t>
      </w:r>
      <w:r>
        <w:rPr>
          <w:rFonts w:eastAsia="Calibri"/>
        </w:rPr>
        <w:t>As the table shows, t</w:t>
      </w:r>
      <w:r w:rsidR="006B52CB" w:rsidRPr="006B52CB">
        <w:rPr>
          <w:rFonts w:eastAsia="Calibri"/>
        </w:rPr>
        <w:t xml:space="preserve">he 9.4 percent decrease in </w:t>
      </w:r>
      <w:r w:rsidRPr="006B52CB">
        <w:rPr>
          <w:rFonts w:eastAsia="Calibri"/>
        </w:rPr>
        <w:t xml:space="preserve">spending </w:t>
      </w:r>
      <w:r>
        <w:rPr>
          <w:rFonts w:eastAsia="Calibri"/>
        </w:rPr>
        <w:t xml:space="preserve">on </w:t>
      </w:r>
      <w:r w:rsidR="006B52CB" w:rsidRPr="006B52CB">
        <w:rPr>
          <w:rFonts w:eastAsia="Calibri"/>
        </w:rPr>
        <w:t>residential program</w:t>
      </w:r>
      <w:r w:rsidR="00F10C82">
        <w:rPr>
          <w:rFonts w:eastAsia="Calibri"/>
        </w:rPr>
        <w:t>s</w:t>
      </w:r>
      <w:r w:rsidR="006B52CB" w:rsidRPr="006B52CB">
        <w:rPr>
          <w:rFonts w:eastAsia="Calibri"/>
        </w:rPr>
        <w:t xml:space="preserve"> is driven </w:t>
      </w:r>
      <w:r>
        <w:rPr>
          <w:rFonts w:eastAsia="Calibri"/>
        </w:rPr>
        <w:t xml:space="preserve">downward due to </w:t>
      </w:r>
      <w:r w:rsidR="006B52CB" w:rsidRPr="006B52CB">
        <w:rPr>
          <w:rFonts w:eastAsia="Calibri"/>
        </w:rPr>
        <w:t xml:space="preserve">two </w:t>
      </w:r>
      <w:r>
        <w:rPr>
          <w:rFonts w:eastAsia="Calibri"/>
        </w:rPr>
        <w:t>main factors</w:t>
      </w:r>
      <w:r w:rsidR="006B52CB" w:rsidRPr="006B52CB">
        <w:rPr>
          <w:rFonts w:eastAsia="Calibri"/>
        </w:rPr>
        <w:t>:</w:t>
      </w:r>
    </w:p>
    <w:p w14:paraId="6F761425" w14:textId="1020CF4E" w:rsidR="008F6DEE" w:rsidRPr="008F6DEE" w:rsidRDefault="006B52CB" w:rsidP="00B05229">
      <w:pPr>
        <w:pStyle w:val="ListParagraph"/>
        <w:numPr>
          <w:ilvl w:val="0"/>
          <w:numId w:val="6"/>
        </w:numPr>
        <w:rPr>
          <w:rStyle w:val="CommentReference"/>
          <w:rFonts w:ascii="Times New Roman" w:hAnsi="Times New Roman"/>
          <w:sz w:val="24"/>
          <w:szCs w:val="24"/>
        </w:rPr>
      </w:pPr>
      <w:r w:rsidRPr="008F6DEE">
        <w:rPr>
          <w:rFonts w:ascii="Times New Roman" w:hAnsi="Times New Roman"/>
          <w:sz w:val="24"/>
          <w:szCs w:val="24"/>
        </w:rPr>
        <w:t xml:space="preserve">Residents moved away from CFL bulbs more quickly than </w:t>
      </w:r>
      <w:r w:rsidR="00FB0D3B" w:rsidRPr="008F6DEE">
        <w:rPr>
          <w:rFonts w:ascii="Times New Roman" w:hAnsi="Times New Roman"/>
          <w:sz w:val="24"/>
          <w:szCs w:val="24"/>
        </w:rPr>
        <w:t>the program anticipated</w:t>
      </w:r>
      <w:r w:rsidR="00F10C82">
        <w:rPr>
          <w:rFonts w:ascii="Times New Roman" w:hAnsi="Times New Roman"/>
          <w:sz w:val="24"/>
          <w:szCs w:val="24"/>
        </w:rPr>
        <w:t>, and</w:t>
      </w:r>
      <w:r w:rsidR="00BF3FC7">
        <w:rPr>
          <w:rFonts w:ascii="Times New Roman" w:hAnsi="Times New Roman"/>
          <w:sz w:val="24"/>
          <w:szCs w:val="24"/>
        </w:rPr>
        <w:t>, due to supply shortages,</w:t>
      </w:r>
      <w:r w:rsidR="00FB0D3B" w:rsidRPr="008F6DEE">
        <w:rPr>
          <w:rFonts w:ascii="Times New Roman" w:hAnsi="Times New Roman"/>
          <w:sz w:val="24"/>
          <w:szCs w:val="24"/>
        </w:rPr>
        <w:t xml:space="preserve"> </w:t>
      </w:r>
      <w:r w:rsidR="0012639E">
        <w:rPr>
          <w:rFonts w:ascii="Times New Roman" w:hAnsi="Times New Roman"/>
          <w:sz w:val="24"/>
          <w:szCs w:val="24"/>
        </w:rPr>
        <w:t>LED</w:t>
      </w:r>
      <w:r w:rsidR="00FB0D3B" w:rsidRPr="008F6DEE">
        <w:rPr>
          <w:rFonts w:ascii="Times New Roman" w:hAnsi="Times New Roman"/>
          <w:sz w:val="24"/>
          <w:szCs w:val="24"/>
        </w:rPr>
        <w:t xml:space="preserve"> bulbs </w:t>
      </w:r>
      <w:r w:rsidR="0012639E">
        <w:rPr>
          <w:rFonts w:ascii="Times New Roman" w:hAnsi="Times New Roman"/>
          <w:sz w:val="24"/>
          <w:szCs w:val="24"/>
        </w:rPr>
        <w:t xml:space="preserve">meeting the program’s standards </w:t>
      </w:r>
      <w:r w:rsidR="00FB0D3B" w:rsidRPr="008F6DEE">
        <w:rPr>
          <w:rFonts w:ascii="Times New Roman" w:hAnsi="Times New Roman"/>
          <w:sz w:val="24"/>
          <w:szCs w:val="24"/>
        </w:rPr>
        <w:t>were not as readily available as was previously forecast</w:t>
      </w:r>
      <w:r w:rsidR="001817C6" w:rsidRPr="008F6DEE">
        <w:rPr>
          <w:rFonts w:ascii="Times New Roman" w:hAnsi="Times New Roman"/>
          <w:sz w:val="24"/>
          <w:szCs w:val="24"/>
        </w:rPr>
        <w:t xml:space="preserve">, </w:t>
      </w:r>
      <w:r w:rsidR="0012639E">
        <w:rPr>
          <w:rFonts w:ascii="Times New Roman" w:hAnsi="Times New Roman"/>
          <w:sz w:val="24"/>
          <w:szCs w:val="24"/>
        </w:rPr>
        <w:t xml:space="preserve">delaying </w:t>
      </w:r>
      <w:r w:rsidR="001817C6" w:rsidRPr="008F6DEE">
        <w:rPr>
          <w:rFonts w:ascii="Times New Roman" w:hAnsi="Times New Roman"/>
          <w:sz w:val="24"/>
          <w:szCs w:val="24"/>
        </w:rPr>
        <w:t xml:space="preserve">the </w:t>
      </w:r>
      <w:r w:rsidR="0012639E">
        <w:rPr>
          <w:rFonts w:ascii="Times New Roman" w:hAnsi="Times New Roman"/>
          <w:sz w:val="24"/>
          <w:szCs w:val="24"/>
        </w:rPr>
        <w:t>program’s savings impact</w:t>
      </w:r>
      <w:r w:rsidR="00FB0D3B" w:rsidRPr="008F6DEE">
        <w:rPr>
          <w:rFonts w:ascii="Times New Roman" w:hAnsi="Times New Roman"/>
          <w:sz w:val="24"/>
          <w:szCs w:val="24"/>
        </w:rPr>
        <w:t>.</w:t>
      </w:r>
    </w:p>
    <w:p w14:paraId="1FEFB3EC" w14:textId="77777777" w:rsidR="00FB0D3B" w:rsidRPr="008F6DEE" w:rsidRDefault="008F6DEE" w:rsidP="00B05229">
      <w:pPr>
        <w:pStyle w:val="ListParagraph"/>
        <w:numPr>
          <w:ilvl w:val="0"/>
          <w:numId w:val="6"/>
        </w:numPr>
        <w:rPr>
          <w:rFonts w:ascii="Times New Roman" w:hAnsi="Times New Roman"/>
          <w:sz w:val="24"/>
          <w:szCs w:val="24"/>
        </w:rPr>
      </w:pPr>
      <w:r>
        <w:rPr>
          <w:rFonts w:ascii="Times New Roman" w:hAnsi="Times New Roman"/>
          <w:sz w:val="24"/>
          <w:szCs w:val="24"/>
        </w:rPr>
        <w:t>T</w:t>
      </w:r>
      <w:r w:rsidR="00FB0D3B" w:rsidRPr="008F6DEE">
        <w:rPr>
          <w:rFonts w:ascii="Times New Roman" w:hAnsi="Times New Roman"/>
          <w:sz w:val="24"/>
          <w:szCs w:val="24"/>
        </w:rPr>
        <w:t>he smart thermostat measure has not seen as much participation as expected.</w:t>
      </w:r>
    </w:p>
    <w:p w14:paraId="49D62E8A" w14:textId="77777777" w:rsidR="004A4D55" w:rsidRDefault="004A4D55" w:rsidP="00B05229"/>
    <w:p w14:paraId="38C43AC0" w14:textId="08CFABB3" w:rsidR="004A4D55" w:rsidRDefault="004A4D55" w:rsidP="00B05229">
      <w:r>
        <w:rPr>
          <w:i/>
        </w:rPr>
        <w:t>Increase in commercial and industrial budgets:</w:t>
      </w:r>
      <w:r>
        <w:t xml:space="preserve"> Declining prices for </w:t>
      </w:r>
      <w:r w:rsidR="00B05229">
        <w:t xml:space="preserve">commercial and industrial </w:t>
      </w:r>
      <w:r>
        <w:t xml:space="preserve">LEDs led to higher-than-expected participation in the </w:t>
      </w:r>
      <w:r>
        <w:rPr>
          <w:b/>
          <w:i/>
        </w:rPr>
        <w:t>watt</w:t>
      </w:r>
      <w:r>
        <w:t>smart Business offerings to the commercial and industrial sectors</w:t>
      </w:r>
      <w:r w:rsidR="0012639E">
        <w:t>. C</w:t>
      </w:r>
      <w:r>
        <w:t>hanges to the lighting incentive structure went into place on July 11, 2016</w:t>
      </w:r>
      <w:r w:rsidR="0012639E">
        <w:t>, a</w:t>
      </w:r>
      <w:r>
        <w:t xml:space="preserve"> deadline </w:t>
      </w:r>
      <w:r w:rsidR="0012639E">
        <w:t xml:space="preserve">that </w:t>
      </w:r>
      <w:r>
        <w:t>motivated many customers to complete projects earlier and take advantage of higher incentives.</w:t>
      </w:r>
    </w:p>
    <w:p w14:paraId="5B0EB0B0" w14:textId="77777777" w:rsidR="007C03E1" w:rsidRPr="006B52CB" w:rsidRDefault="004A4D55" w:rsidP="00B05229">
      <w:pPr>
        <w:rPr>
          <w:rFonts w:eastAsia="Calibri"/>
        </w:rPr>
      </w:pPr>
      <w:r w:rsidRPr="006B52CB">
        <w:rPr>
          <w:rFonts w:eastAsia="Calibri"/>
        </w:rPr>
        <w:t xml:space="preserve"> </w:t>
      </w:r>
    </w:p>
    <w:p w14:paraId="6BCDAC08" w14:textId="59B00818" w:rsidR="001416F7" w:rsidRDefault="00C71192">
      <w:pPr>
        <w:rPr>
          <w:rFonts w:eastAsia="Calibri"/>
        </w:rPr>
      </w:pPr>
      <w:r>
        <w:rPr>
          <w:rFonts w:eastAsia="Calibri"/>
          <w:b/>
          <w:i/>
        </w:rPr>
        <w:t>Energy s</w:t>
      </w:r>
      <w:r w:rsidR="00DC20DA" w:rsidRPr="006B52CB">
        <w:rPr>
          <w:rFonts w:eastAsia="Calibri"/>
          <w:b/>
          <w:i/>
        </w:rPr>
        <w:t>avings</w:t>
      </w:r>
      <w:r w:rsidR="00B05229">
        <w:rPr>
          <w:rFonts w:eastAsia="Calibri"/>
          <w:b/>
          <w:i/>
        </w:rPr>
        <w:t>:</w:t>
      </w:r>
      <w:r w:rsidR="00BD7DF7">
        <w:rPr>
          <w:rFonts w:eastAsia="Calibri"/>
        </w:rPr>
        <w:t xml:space="preserve"> Program spending and the resulting savings move in tandem, so as the biennial plan’s spending has increased in business programs and decreased in residential programs, 2017’s expected savings have adjusted accordingly</w:t>
      </w:r>
      <w:r w:rsidR="000C11F0">
        <w:rPr>
          <w:rFonts w:eastAsia="Calibri"/>
        </w:rPr>
        <w:t xml:space="preserve">. </w:t>
      </w:r>
      <w:r w:rsidR="00B35C74" w:rsidRPr="006B52CB">
        <w:rPr>
          <w:rFonts w:eastAsia="Calibri"/>
        </w:rPr>
        <w:t xml:space="preserve">The net effect of the changes explained above is that Pacific </w:t>
      </w:r>
      <w:r w:rsidR="00110A41" w:rsidRPr="006B52CB">
        <w:rPr>
          <w:rFonts w:eastAsia="Calibri"/>
        </w:rPr>
        <w:t xml:space="preserve">Power is </w:t>
      </w:r>
      <w:r w:rsidR="00E1313A" w:rsidRPr="006B52CB">
        <w:rPr>
          <w:rFonts w:eastAsia="Calibri"/>
        </w:rPr>
        <w:t>increasing its</w:t>
      </w:r>
      <w:r w:rsidR="007C03E1" w:rsidRPr="006B52CB">
        <w:rPr>
          <w:rFonts w:eastAsia="Calibri"/>
        </w:rPr>
        <w:t xml:space="preserve"> total </w:t>
      </w:r>
      <w:r w:rsidR="00E1313A" w:rsidRPr="006B52CB">
        <w:rPr>
          <w:rFonts w:eastAsia="Calibri"/>
        </w:rPr>
        <w:t>expected savings by</w:t>
      </w:r>
      <w:r w:rsidR="00110A41" w:rsidRPr="006B52CB">
        <w:rPr>
          <w:rFonts w:eastAsia="Calibri"/>
        </w:rPr>
        <w:t xml:space="preserve"> </w:t>
      </w:r>
      <w:r>
        <w:rPr>
          <w:rFonts w:eastAsia="Calibri"/>
        </w:rPr>
        <w:t xml:space="preserve">2.7 </w:t>
      </w:r>
      <w:r w:rsidR="00110A41" w:rsidRPr="006B52CB">
        <w:rPr>
          <w:rFonts w:eastAsia="Calibri"/>
        </w:rPr>
        <w:t>percent, from 91,</w:t>
      </w:r>
      <w:r>
        <w:rPr>
          <w:rFonts w:eastAsia="Calibri"/>
        </w:rPr>
        <w:t>630</w:t>
      </w:r>
      <w:r w:rsidR="00110A41" w:rsidRPr="006B52CB">
        <w:rPr>
          <w:rFonts w:eastAsia="Calibri"/>
        </w:rPr>
        <w:t xml:space="preserve"> MWh to </w:t>
      </w:r>
      <w:r w:rsidR="00C65427">
        <w:rPr>
          <w:rFonts w:eastAsia="Calibri"/>
        </w:rPr>
        <w:t>94,127</w:t>
      </w:r>
      <w:r w:rsidR="00110A41" w:rsidRPr="006B52CB">
        <w:rPr>
          <w:rFonts w:eastAsia="Calibri"/>
        </w:rPr>
        <w:t xml:space="preserve"> MWh. </w:t>
      </w:r>
    </w:p>
    <w:p w14:paraId="51335ED4" w14:textId="77777777" w:rsidR="005925FE" w:rsidRDefault="005925FE">
      <w:pPr>
        <w:rPr>
          <w:rFonts w:eastAsia="Calibri"/>
        </w:rPr>
      </w:pPr>
    </w:p>
    <w:p w14:paraId="28BCB9C1" w14:textId="392C1926" w:rsidR="00BD7DF7" w:rsidRDefault="00110A41" w:rsidP="00B05229">
      <w:pPr>
        <w:rPr>
          <w:rFonts w:eastAsia="Calibri"/>
        </w:rPr>
      </w:pPr>
      <w:r w:rsidRPr="006B52CB">
        <w:rPr>
          <w:rFonts w:eastAsia="Calibri"/>
        </w:rPr>
        <w:t xml:space="preserve">The changes in the company’s </w:t>
      </w:r>
      <w:r w:rsidR="00C71192">
        <w:rPr>
          <w:rFonts w:eastAsia="Calibri"/>
        </w:rPr>
        <w:t xml:space="preserve">energy savings </w:t>
      </w:r>
      <w:r w:rsidRPr="006B52CB">
        <w:rPr>
          <w:rFonts w:eastAsia="Calibri"/>
        </w:rPr>
        <w:t>projections are summarized in the following table:</w:t>
      </w:r>
    </w:p>
    <w:p w14:paraId="3AC9CA40" w14:textId="77777777" w:rsidR="005925FE" w:rsidRPr="006B52CB" w:rsidRDefault="005925FE" w:rsidP="00B05229">
      <w:pPr>
        <w:rPr>
          <w:rFonts w:eastAsia="Calibri"/>
        </w:rPr>
      </w:pPr>
    </w:p>
    <w:tbl>
      <w:tblPr>
        <w:tblW w:w="9090" w:type="dxa"/>
        <w:tblLook w:val="04A0" w:firstRow="1" w:lastRow="0" w:firstColumn="1" w:lastColumn="0" w:noHBand="0" w:noVBand="1"/>
      </w:tblPr>
      <w:tblGrid>
        <w:gridCol w:w="4410"/>
        <w:gridCol w:w="1170"/>
        <w:gridCol w:w="1800"/>
        <w:gridCol w:w="1710"/>
      </w:tblGrid>
      <w:tr w:rsidR="008A405C" w14:paraId="347C4AD9" w14:textId="77777777" w:rsidTr="005925FE">
        <w:trPr>
          <w:trHeight w:val="660"/>
        </w:trPr>
        <w:tc>
          <w:tcPr>
            <w:tcW w:w="4410" w:type="dxa"/>
            <w:tcBorders>
              <w:top w:val="single" w:sz="12" w:space="0" w:color="000000"/>
              <w:left w:val="nil"/>
              <w:bottom w:val="single" w:sz="12" w:space="0" w:color="000000"/>
              <w:right w:val="nil"/>
            </w:tcBorders>
            <w:shd w:val="clear" w:color="auto" w:fill="auto"/>
            <w:vAlign w:val="center"/>
            <w:hideMark/>
          </w:tcPr>
          <w:p w14:paraId="71A9333F" w14:textId="77777777" w:rsidR="005925FE" w:rsidRDefault="008A405C" w:rsidP="00B05229">
            <w:pPr>
              <w:rPr>
                <w:b/>
                <w:bCs/>
                <w:color w:val="000000" w:themeColor="text1"/>
              </w:rPr>
            </w:pPr>
            <w:r>
              <w:rPr>
                <w:b/>
                <w:bCs/>
                <w:color w:val="000000" w:themeColor="text1"/>
              </w:rPr>
              <w:lastRenderedPageBreak/>
              <w:t xml:space="preserve">Projected savings </w:t>
            </w:r>
          </w:p>
          <w:p w14:paraId="1B381EEC" w14:textId="031FFEFD" w:rsidR="008A405C" w:rsidRDefault="008A405C" w:rsidP="00B05229">
            <w:pPr>
              <w:rPr>
                <w:b/>
                <w:bCs/>
                <w:color w:val="000000"/>
              </w:rPr>
            </w:pPr>
            <w:r>
              <w:rPr>
                <w:b/>
                <w:bCs/>
                <w:color w:val="000000" w:themeColor="text1"/>
              </w:rPr>
              <w:t>(gross MWh savings @ gen)</w:t>
            </w:r>
          </w:p>
        </w:tc>
        <w:tc>
          <w:tcPr>
            <w:tcW w:w="1170" w:type="dxa"/>
            <w:tcBorders>
              <w:top w:val="single" w:sz="12" w:space="0" w:color="000000"/>
              <w:left w:val="nil"/>
              <w:bottom w:val="single" w:sz="12" w:space="0" w:color="000000"/>
              <w:right w:val="nil"/>
            </w:tcBorders>
            <w:shd w:val="clear" w:color="auto" w:fill="auto"/>
            <w:vAlign w:val="center"/>
            <w:hideMark/>
          </w:tcPr>
          <w:p w14:paraId="53070E23" w14:textId="77777777" w:rsidR="008A405C" w:rsidRDefault="008A405C" w:rsidP="00B05229">
            <w:pPr>
              <w:jc w:val="right"/>
              <w:rPr>
                <w:b/>
                <w:bCs/>
                <w:color w:val="000000"/>
              </w:rPr>
            </w:pPr>
            <w:r>
              <w:rPr>
                <w:b/>
                <w:bCs/>
                <w:color w:val="000000" w:themeColor="text1"/>
              </w:rPr>
              <w:t>Initial</w:t>
            </w:r>
          </w:p>
        </w:tc>
        <w:tc>
          <w:tcPr>
            <w:tcW w:w="1800" w:type="dxa"/>
            <w:tcBorders>
              <w:top w:val="single" w:sz="12" w:space="0" w:color="000000"/>
              <w:left w:val="nil"/>
              <w:bottom w:val="single" w:sz="12" w:space="0" w:color="000000"/>
              <w:right w:val="nil"/>
            </w:tcBorders>
            <w:shd w:val="clear" w:color="auto" w:fill="auto"/>
            <w:vAlign w:val="center"/>
            <w:hideMark/>
          </w:tcPr>
          <w:p w14:paraId="50B63CB7" w14:textId="77777777" w:rsidR="008A405C" w:rsidRDefault="008A405C" w:rsidP="00B05229">
            <w:pPr>
              <w:jc w:val="right"/>
              <w:rPr>
                <w:b/>
                <w:bCs/>
                <w:color w:val="000000"/>
              </w:rPr>
            </w:pPr>
            <w:r>
              <w:rPr>
                <w:b/>
                <w:bCs/>
                <w:color w:val="000000" w:themeColor="text1"/>
              </w:rPr>
              <w:t>Revised</w:t>
            </w:r>
          </w:p>
        </w:tc>
        <w:tc>
          <w:tcPr>
            <w:tcW w:w="1710" w:type="dxa"/>
            <w:tcBorders>
              <w:top w:val="single" w:sz="12" w:space="0" w:color="000000"/>
              <w:left w:val="nil"/>
              <w:bottom w:val="single" w:sz="12" w:space="0" w:color="000000"/>
              <w:right w:val="nil"/>
            </w:tcBorders>
            <w:shd w:val="clear" w:color="auto" w:fill="auto"/>
            <w:vAlign w:val="center"/>
            <w:hideMark/>
          </w:tcPr>
          <w:p w14:paraId="212C1DB4" w14:textId="03DB07F4" w:rsidR="008A405C" w:rsidRDefault="008A405C" w:rsidP="005925FE">
            <w:pPr>
              <w:jc w:val="center"/>
              <w:rPr>
                <w:b/>
                <w:bCs/>
                <w:color w:val="000000"/>
              </w:rPr>
            </w:pPr>
            <w:r>
              <w:rPr>
                <w:b/>
                <w:bCs/>
                <w:color w:val="000000" w:themeColor="text1"/>
              </w:rPr>
              <w:t>Change (%)</w:t>
            </w:r>
          </w:p>
        </w:tc>
      </w:tr>
      <w:tr w:rsidR="008A405C" w14:paraId="3AC0D62D" w14:textId="77777777" w:rsidTr="005925FE">
        <w:trPr>
          <w:trHeight w:val="312"/>
        </w:trPr>
        <w:tc>
          <w:tcPr>
            <w:tcW w:w="4410" w:type="dxa"/>
            <w:tcBorders>
              <w:top w:val="nil"/>
              <w:left w:val="nil"/>
              <w:bottom w:val="single" w:sz="8" w:space="0" w:color="000000"/>
              <w:right w:val="nil"/>
            </w:tcBorders>
            <w:shd w:val="clear" w:color="auto" w:fill="auto"/>
            <w:vAlign w:val="center"/>
            <w:hideMark/>
          </w:tcPr>
          <w:p w14:paraId="1F50331D" w14:textId="77777777" w:rsidR="008A405C" w:rsidRDefault="008A405C" w:rsidP="00B05229">
            <w:pPr>
              <w:rPr>
                <w:b/>
                <w:bCs/>
                <w:color w:val="000000"/>
              </w:rPr>
            </w:pPr>
            <w:r>
              <w:rPr>
                <w:b/>
                <w:bCs/>
                <w:color w:val="000000"/>
              </w:rPr>
              <w:t>Residential programs</w:t>
            </w:r>
          </w:p>
        </w:tc>
        <w:tc>
          <w:tcPr>
            <w:tcW w:w="1170" w:type="dxa"/>
            <w:tcBorders>
              <w:top w:val="nil"/>
              <w:left w:val="nil"/>
              <w:bottom w:val="single" w:sz="8" w:space="0" w:color="000000"/>
              <w:right w:val="nil"/>
            </w:tcBorders>
            <w:shd w:val="clear" w:color="auto" w:fill="auto"/>
            <w:vAlign w:val="center"/>
            <w:hideMark/>
          </w:tcPr>
          <w:p w14:paraId="62C58F90" w14:textId="77777777" w:rsidR="008A405C" w:rsidRDefault="008A405C" w:rsidP="00B05229">
            <w:pPr>
              <w:jc w:val="right"/>
              <w:rPr>
                <w:b/>
                <w:bCs/>
                <w:color w:val="000000"/>
              </w:rPr>
            </w:pPr>
            <w:r>
              <w:rPr>
                <w:b/>
                <w:bCs/>
                <w:color w:val="000000"/>
              </w:rPr>
              <w:t>38,818</w:t>
            </w:r>
          </w:p>
        </w:tc>
        <w:tc>
          <w:tcPr>
            <w:tcW w:w="1800" w:type="dxa"/>
            <w:tcBorders>
              <w:top w:val="nil"/>
              <w:left w:val="nil"/>
              <w:bottom w:val="single" w:sz="8" w:space="0" w:color="000000"/>
              <w:right w:val="nil"/>
            </w:tcBorders>
            <w:shd w:val="clear" w:color="auto" w:fill="auto"/>
            <w:vAlign w:val="center"/>
            <w:hideMark/>
          </w:tcPr>
          <w:p w14:paraId="502171B6" w14:textId="77777777" w:rsidR="008A405C" w:rsidRDefault="008A405C" w:rsidP="00B05229">
            <w:pPr>
              <w:jc w:val="right"/>
              <w:rPr>
                <w:b/>
                <w:bCs/>
                <w:color w:val="000000"/>
              </w:rPr>
            </w:pPr>
            <w:r>
              <w:rPr>
                <w:b/>
                <w:bCs/>
                <w:color w:val="000000"/>
              </w:rPr>
              <w:t>28,953</w:t>
            </w:r>
          </w:p>
        </w:tc>
        <w:tc>
          <w:tcPr>
            <w:tcW w:w="1710" w:type="dxa"/>
            <w:tcBorders>
              <w:top w:val="nil"/>
              <w:left w:val="nil"/>
              <w:bottom w:val="single" w:sz="8" w:space="0" w:color="000000"/>
              <w:right w:val="nil"/>
            </w:tcBorders>
            <w:shd w:val="clear" w:color="auto" w:fill="auto"/>
            <w:vAlign w:val="center"/>
            <w:hideMark/>
          </w:tcPr>
          <w:p w14:paraId="56A60955" w14:textId="3EBECF7F" w:rsidR="008A405C" w:rsidRDefault="008A405C" w:rsidP="005925FE">
            <w:pPr>
              <w:jc w:val="right"/>
              <w:rPr>
                <w:b/>
                <w:bCs/>
                <w:color w:val="000000"/>
              </w:rPr>
            </w:pPr>
            <w:r>
              <w:rPr>
                <w:b/>
                <w:bCs/>
                <w:color w:val="000000"/>
              </w:rPr>
              <w:t>-25%</w:t>
            </w:r>
          </w:p>
        </w:tc>
      </w:tr>
      <w:tr w:rsidR="008A405C" w14:paraId="2A562570"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12E53D17" w14:textId="2211B717" w:rsidR="008A405C" w:rsidRDefault="008A405C" w:rsidP="00B05229">
            <w:pPr>
              <w:rPr>
                <w:i/>
                <w:iCs/>
                <w:color w:val="000000"/>
              </w:rPr>
            </w:pPr>
            <w:r>
              <w:rPr>
                <w:i/>
                <w:iCs/>
                <w:color w:val="000000"/>
              </w:rPr>
              <w:t xml:space="preserve">    Low-income weatherization</w:t>
            </w:r>
          </w:p>
        </w:tc>
        <w:tc>
          <w:tcPr>
            <w:tcW w:w="1170" w:type="dxa"/>
            <w:tcBorders>
              <w:top w:val="nil"/>
              <w:left w:val="nil"/>
              <w:bottom w:val="single" w:sz="8" w:space="0" w:color="000000"/>
              <w:right w:val="nil"/>
            </w:tcBorders>
            <w:shd w:val="clear" w:color="auto" w:fill="auto"/>
            <w:vAlign w:val="center"/>
            <w:hideMark/>
          </w:tcPr>
          <w:p w14:paraId="7F654C6E" w14:textId="77777777" w:rsidR="008A405C" w:rsidRDefault="008A405C" w:rsidP="00B05229">
            <w:pPr>
              <w:jc w:val="right"/>
              <w:rPr>
                <w:color w:val="000000"/>
              </w:rPr>
            </w:pPr>
            <w:r>
              <w:rPr>
                <w:color w:val="000000"/>
              </w:rPr>
              <w:t>534</w:t>
            </w:r>
          </w:p>
        </w:tc>
        <w:tc>
          <w:tcPr>
            <w:tcW w:w="1800" w:type="dxa"/>
            <w:tcBorders>
              <w:top w:val="nil"/>
              <w:left w:val="nil"/>
              <w:bottom w:val="single" w:sz="8" w:space="0" w:color="000000"/>
              <w:right w:val="nil"/>
            </w:tcBorders>
            <w:shd w:val="clear" w:color="auto" w:fill="auto"/>
            <w:vAlign w:val="center"/>
            <w:hideMark/>
          </w:tcPr>
          <w:p w14:paraId="6C321730" w14:textId="77777777" w:rsidR="008A405C" w:rsidRDefault="008A405C" w:rsidP="00B05229">
            <w:pPr>
              <w:jc w:val="right"/>
              <w:rPr>
                <w:color w:val="000000"/>
              </w:rPr>
            </w:pPr>
            <w:r>
              <w:rPr>
                <w:color w:val="000000"/>
              </w:rPr>
              <w:t>534</w:t>
            </w:r>
          </w:p>
        </w:tc>
        <w:tc>
          <w:tcPr>
            <w:tcW w:w="1710" w:type="dxa"/>
            <w:tcBorders>
              <w:top w:val="nil"/>
              <w:left w:val="nil"/>
              <w:bottom w:val="single" w:sz="8" w:space="0" w:color="000000"/>
              <w:right w:val="nil"/>
            </w:tcBorders>
            <w:shd w:val="clear" w:color="auto" w:fill="auto"/>
            <w:vAlign w:val="center"/>
            <w:hideMark/>
          </w:tcPr>
          <w:p w14:paraId="04C8E718" w14:textId="392B150D" w:rsidR="008A405C" w:rsidRDefault="008A405C" w:rsidP="005925FE">
            <w:pPr>
              <w:jc w:val="right"/>
              <w:rPr>
                <w:color w:val="000000"/>
              </w:rPr>
            </w:pPr>
            <w:r>
              <w:rPr>
                <w:color w:val="000000"/>
              </w:rPr>
              <w:t>0%</w:t>
            </w:r>
          </w:p>
        </w:tc>
      </w:tr>
      <w:tr w:rsidR="008A405C" w14:paraId="6DDB2798"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45E7097C" w14:textId="117A8834" w:rsidR="008A405C" w:rsidRDefault="008A405C" w:rsidP="00B05229">
            <w:pPr>
              <w:rPr>
                <w:i/>
                <w:iCs/>
                <w:color w:val="000000"/>
              </w:rPr>
            </w:pPr>
            <w:r>
              <w:rPr>
                <w:i/>
                <w:iCs/>
                <w:color w:val="000000"/>
              </w:rPr>
              <w:t xml:space="preserve">    Home Energy Savings</w:t>
            </w:r>
          </w:p>
        </w:tc>
        <w:tc>
          <w:tcPr>
            <w:tcW w:w="1170" w:type="dxa"/>
            <w:tcBorders>
              <w:top w:val="nil"/>
              <w:left w:val="nil"/>
              <w:bottom w:val="single" w:sz="8" w:space="0" w:color="000000"/>
              <w:right w:val="nil"/>
            </w:tcBorders>
            <w:shd w:val="clear" w:color="auto" w:fill="auto"/>
            <w:vAlign w:val="center"/>
            <w:hideMark/>
          </w:tcPr>
          <w:p w14:paraId="4B63C50B" w14:textId="77777777" w:rsidR="008A405C" w:rsidRDefault="008A405C" w:rsidP="00B05229">
            <w:pPr>
              <w:jc w:val="right"/>
              <w:rPr>
                <w:color w:val="000000"/>
              </w:rPr>
            </w:pPr>
            <w:r>
              <w:rPr>
                <w:color w:val="000000"/>
              </w:rPr>
              <w:t>28,511</w:t>
            </w:r>
          </w:p>
        </w:tc>
        <w:tc>
          <w:tcPr>
            <w:tcW w:w="1800" w:type="dxa"/>
            <w:tcBorders>
              <w:top w:val="nil"/>
              <w:left w:val="nil"/>
              <w:bottom w:val="single" w:sz="8" w:space="0" w:color="000000"/>
              <w:right w:val="nil"/>
            </w:tcBorders>
            <w:shd w:val="clear" w:color="auto" w:fill="auto"/>
            <w:vAlign w:val="center"/>
            <w:hideMark/>
          </w:tcPr>
          <w:p w14:paraId="4D8B1F85" w14:textId="77777777" w:rsidR="008A405C" w:rsidRDefault="008A405C" w:rsidP="00B05229">
            <w:pPr>
              <w:jc w:val="right"/>
              <w:rPr>
                <w:color w:val="000000"/>
              </w:rPr>
            </w:pPr>
            <w:r>
              <w:rPr>
                <w:color w:val="000000"/>
              </w:rPr>
              <w:t>20,262</w:t>
            </w:r>
          </w:p>
        </w:tc>
        <w:tc>
          <w:tcPr>
            <w:tcW w:w="1710" w:type="dxa"/>
            <w:tcBorders>
              <w:top w:val="nil"/>
              <w:left w:val="nil"/>
              <w:bottom w:val="single" w:sz="8" w:space="0" w:color="000000"/>
              <w:right w:val="nil"/>
            </w:tcBorders>
            <w:shd w:val="clear" w:color="auto" w:fill="auto"/>
            <w:vAlign w:val="center"/>
            <w:hideMark/>
          </w:tcPr>
          <w:p w14:paraId="0F05D578" w14:textId="7DF1010D" w:rsidR="008A405C" w:rsidRDefault="008A405C" w:rsidP="005925FE">
            <w:pPr>
              <w:jc w:val="right"/>
              <w:rPr>
                <w:color w:val="000000"/>
              </w:rPr>
            </w:pPr>
            <w:r>
              <w:rPr>
                <w:color w:val="000000"/>
              </w:rPr>
              <w:t>-29%</w:t>
            </w:r>
          </w:p>
        </w:tc>
      </w:tr>
      <w:tr w:rsidR="008A405C" w14:paraId="68A0BE48"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0B8AEB9B" w14:textId="7B8E63A6" w:rsidR="008A405C" w:rsidRDefault="008A405C" w:rsidP="00B05229">
            <w:pPr>
              <w:rPr>
                <w:i/>
                <w:iCs/>
                <w:color w:val="000000"/>
              </w:rPr>
            </w:pPr>
            <w:r>
              <w:rPr>
                <w:i/>
                <w:iCs/>
                <w:color w:val="000000"/>
              </w:rPr>
              <w:t xml:space="preserve">    Home Energy Reports</w:t>
            </w:r>
          </w:p>
        </w:tc>
        <w:tc>
          <w:tcPr>
            <w:tcW w:w="1170" w:type="dxa"/>
            <w:tcBorders>
              <w:top w:val="nil"/>
              <w:left w:val="nil"/>
              <w:bottom w:val="single" w:sz="8" w:space="0" w:color="000000"/>
              <w:right w:val="nil"/>
            </w:tcBorders>
            <w:shd w:val="clear" w:color="auto" w:fill="auto"/>
            <w:vAlign w:val="center"/>
            <w:hideMark/>
          </w:tcPr>
          <w:p w14:paraId="6B7D56AC" w14:textId="77777777" w:rsidR="008A405C" w:rsidRDefault="008A405C" w:rsidP="00B05229">
            <w:pPr>
              <w:jc w:val="right"/>
              <w:rPr>
                <w:color w:val="000000"/>
              </w:rPr>
            </w:pPr>
            <w:r>
              <w:rPr>
                <w:color w:val="000000"/>
              </w:rPr>
              <w:t>9,773</w:t>
            </w:r>
          </w:p>
        </w:tc>
        <w:tc>
          <w:tcPr>
            <w:tcW w:w="1800" w:type="dxa"/>
            <w:tcBorders>
              <w:top w:val="nil"/>
              <w:left w:val="nil"/>
              <w:bottom w:val="single" w:sz="8" w:space="0" w:color="000000"/>
              <w:right w:val="nil"/>
            </w:tcBorders>
            <w:shd w:val="clear" w:color="auto" w:fill="auto"/>
            <w:vAlign w:val="center"/>
            <w:hideMark/>
          </w:tcPr>
          <w:p w14:paraId="4272FB9F" w14:textId="77777777" w:rsidR="008A405C" w:rsidRDefault="008A405C" w:rsidP="00B05229">
            <w:pPr>
              <w:jc w:val="right"/>
              <w:rPr>
                <w:color w:val="000000"/>
              </w:rPr>
            </w:pPr>
            <w:r>
              <w:rPr>
                <w:color w:val="000000"/>
              </w:rPr>
              <w:t>8,157</w:t>
            </w:r>
          </w:p>
        </w:tc>
        <w:tc>
          <w:tcPr>
            <w:tcW w:w="1710" w:type="dxa"/>
            <w:tcBorders>
              <w:top w:val="nil"/>
              <w:left w:val="nil"/>
              <w:bottom w:val="single" w:sz="8" w:space="0" w:color="000000"/>
              <w:right w:val="nil"/>
            </w:tcBorders>
            <w:shd w:val="clear" w:color="auto" w:fill="auto"/>
            <w:vAlign w:val="center"/>
            <w:hideMark/>
          </w:tcPr>
          <w:p w14:paraId="3CA6DE08" w14:textId="21C244B0" w:rsidR="008A405C" w:rsidRDefault="008A405C" w:rsidP="005925FE">
            <w:pPr>
              <w:jc w:val="right"/>
              <w:rPr>
                <w:color w:val="000000"/>
              </w:rPr>
            </w:pPr>
            <w:r>
              <w:rPr>
                <w:color w:val="000000"/>
              </w:rPr>
              <w:t>-17%</w:t>
            </w:r>
          </w:p>
        </w:tc>
      </w:tr>
      <w:tr w:rsidR="008A405C" w14:paraId="13C294E4"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79B0C724" w14:textId="77777777" w:rsidR="008A405C" w:rsidRDefault="008A405C" w:rsidP="00B05229">
            <w:pPr>
              <w:rPr>
                <w:b/>
                <w:bCs/>
                <w:color w:val="000000"/>
              </w:rPr>
            </w:pPr>
            <w:r>
              <w:rPr>
                <w:b/>
                <w:bCs/>
                <w:color w:val="000000"/>
              </w:rPr>
              <w:t>Business Programs</w:t>
            </w:r>
          </w:p>
        </w:tc>
        <w:tc>
          <w:tcPr>
            <w:tcW w:w="1170" w:type="dxa"/>
            <w:tcBorders>
              <w:top w:val="nil"/>
              <w:left w:val="nil"/>
              <w:bottom w:val="single" w:sz="8" w:space="0" w:color="000000"/>
              <w:right w:val="nil"/>
            </w:tcBorders>
            <w:shd w:val="clear" w:color="auto" w:fill="auto"/>
            <w:vAlign w:val="center"/>
            <w:hideMark/>
          </w:tcPr>
          <w:p w14:paraId="0DD49B01" w14:textId="77777777" w:rsidR="008A405C" w:rsidRDefault="008A405C" w:rsidP="00B05229">
            <w:pPr>
              <w:jc w:val="right"/>
              <w:rPr>
                <w:b/>
                <w:bCs/>
                <w:color w:val="000000"/>
              </w:rPr>
            </w:pPr>
            <w:r>
              <w:rPr>
                <w:b/>
                <w:bCs/>
                <w:color w:val="000000"/>
              </w:rPr>
              <w:t>52,812</w:t>
            </w:r>
          </w:p>
        </w:tc>
        <w:tc>
          <w:tcPr>
            <w:tcW w:w="1800" w:type="dxa"/>
            <w:tcBorders>
              <w:top w:val="nil"/>
              <w:left w:val="nil"/>
              <w:bottom w:val="single" w:sz="8" w:space="0" w:color="000000"/>
              <w:right w:val="nil"/>
            </w:tcBorders>
            <w:shd w:val="clear" w:color="auto" w:fill="auto"/>
            <w:vAlign w:val="center"/>
            <w:hideMark/>
          </w:tcPr>
          <w:p w14:paraId="304B30A2" w14:textId="77777777" w:rsidR="008A405C" w:rsidRDefault="008A405C" w:rsidP="00B05229">
            <w:pPr>
              <w:jc w:val="right"/>
              <w:rPr>
                <w:b/>
                <w:bCs/>
                <w:color w:val="000000"/>
              </w:rPr>
            </w:pPr>
            <w:r>
              <w:rPr>
                <w:b/>
                <w:bCs/>
                <w:color w:val="000000"/>
              </w:rPr>
              <w:t>65,174</w:t>
            </w:r>
          </w:p>
        </w:tc>
        <w:tc>
          <w:tcPr>
            <w:tcW w:w="1710" w:type="dxa"/>
            <w:tcBorders>
              <w:top w:val="nil"/>
              <w:left w:val="nil"/>
              <w:bottom w:val="single" w:sz="8" w:space="0" w:color="000000"/>
              <w:right w:val="nil"/>
            </w:tcBorders>
            <w:shd w:val="clear" w:color="auto" w:fill="auto"/>
            <w:vAlign w:val="center"/>
            <w:hideMark/>
          </w:tcPr>
          <w:p w14:paraId="36025D50" w14:textId="34D1DC3F" w:rsidR="008A405C" w:rsidRDefault="008A405C" w:rsidP="005925FE">
            <w:pPr>
              <w:jc w:val="right"/>
              <w:rPr>
                <w:b/>
                <w:bCs/>
                <w:color w:val="000000"/>
              </w:rPr>
            </w:pPr>
            <w:r>
              <w:rPr>
                <w:b/>
                <w:bCs/>
                <w:color w:val="000000"/>
              </w:rPr>
              <w:t>23%</w:t>
            </w:r>
          </w:p>
        </w:tc>
      </w:tr>
      <w:tr w:rsidR="008A405C" w14:paraId="35D90A90"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2AD6A59A" w14:textId="59B3A1B4" w:rsidR="008A405C" w:rsidRDefault="008A405C" w:rsidP="00B05229">
            <w:pPr>
              <w:rPr>
                <w:i/>
                <w:iCs/>
                <w:color w:val="000000"/>
              </w:rPr>
            </w:pPr>
            <w:r>
              <w:rPr>
                <w:i/>
                <w:iCs/>
                <w:color w:val="000000"/>
              </w:rPr>
              <w:t xml:space="preserve">    Commercial </w:t>
            </w:r>
          </w:p>
        </w:tc>
        <w:tc>
          <w:tcPr>
            <w:tcW w:w="1170" w:type="dxa"/>
            <w:tcBorders>
              <w:top w:val="nil"/>
              <w:left w:val="nil"/>
              <w:bottom w:val="single" w:sz="8" w:space="0" w:color="000000"/>
              <w:right w:val="nil"/>
            </w:tcBorders>
            <w:shd w:val="clear" w:color="auto" w:fill="auto"/>
            <w:vAlign w:val="center"/>
            <w:hideMark/>
          </w:tcPr>
          <w:p w14:paraId="079BD652" w14:textId="77777777" w:rsidR="008A405C" w:rsidRDefault="008A405C" w:rsidP="00B05229">
            <w:pPr>
              <w:jc w:val="right"/>
              <w:rPr>
                <w:color w:val="000000"/>
              </w:rPr>
            </w:pPr>
            <w:r>
              <w:rPr>
                <w:color w:val="000000"/>
              </w:rPr>
              <w:t>24,108</w:t>
            </w:r>
          </w:p>
        </w:tc>
        <w:tc>
          <w:tcPr>
            <w:tcW w:w="1800" w:type="dxa"/>
            <w:tcBorders>
              <w:top w:val="nil"/>
              <w:left w:val="nil"/>
              <w:bottom w:val="single" w:sz="8" w:space="0" w:color="000000"/>
              <w:right w:val="nil"/>
            </w:tcBorders>
            <w:shd w:val="clear" w:color="auto" w:fill="auto"/>
            <w:vAlign w:val="center"/>
            <w:hideMark/>
          </w:tcPr>
          <w:p w14:paraId="0079C54F" w14:textId="77777777" w:rsidR="008A405C" w:rsidRDefault="008A405C" w:rsidP="00B05229">
            <w:pPr>
              <w:jc w:val="right"/>
              <w:rPr>
                <w:color w:val="000000"/>
              </w:rPr>
            </w:pPr>
            <w:r>
              <w:rPr>
                <w:color w:val="000000"/>
              </w:rPr>
              <w:t>31,826</w:t>
            </w:r>
          </w:p>
        </w:tc>
        <w:tc>
          <w:tcPr>
            <w:tcW w:w="1710" w:type="dxa"/>
            <w:tcBorders>
              <w:top w:val="nil"/>
              <w:left w:val="nil"/>
              <w:bottom w:val="single" w:sz="8" w:space="0" w:color="000000"/>
              <w:right w:val="nil"/>
            </w:tcBorders>
            <w:shd w:val="clear" w:color="auto" w:fill="auto"/>
            <w:vAlign w:val="center"/>
            <w:hideMark/>
          </w:tcPr>
          <w:p w14:paraId="5941369D" w14:textId="77777777" w:rsidR="008A405C" w:rsidRDefault="008A405C" w:rsidP="005925FE">
            <w:pPr>
              <w:jc w:val="right"/>
              <w:rPr>
                <w:color w:val="000000"/>
              </w:rPr>
            </w:pPr>
            <w:r>
              <w:rPr>
                <w:color w:val="000000"/>
              </w:rPr>
              <w:t>32%</w:t>
            </w:r>
          </w:p>
        </w:tc>
      </w:tr>
      <w:tr w:rsidR="008A405C" w14:paraId="2821E417"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627714DF" w14:textId="13A91444" w:rsidR="008A405C" w:rsidRDefault="008A405C" w:rsidP="00B05229">
            <w:pPr>
              <w:rPr>
                <w:i/>
                <w:iCs/>
                <w:color w:val="000000"/>
              </w:rPr>
            </w:pPr>
            <w:r>
              <w:rPr>
                <w:i/>
                <w:iCs/>
                <w:color w:val="000000"/>
              </w:rPr>
              <w:t xml:space="preserve">    Industrial</w:t>
            </w:r>
          </w:p>
        </w:tc>
        <w:tc>
          <w:tcPr>
            <w:tcW w:w="1170" w:type="dxa"/>
            <w:tcBorders>
              <w:top w:val="nil"/>
              <w:left w:val="nil"/>
              <w:bottom w:val="single" w:sz="8" w:space="0" w:color="000000"/>
              <w:right w:val="nil"/>
            </w:tcBorders>
            <w:shd w:val="clear" w:color="auto" w:fill="auto"/>
            <w:vAlign w:val="center"/>
            <w:hideMark/>
          </w:tcPr>
          <w:p w14:paraId="0D6891B2" w14:textId="77777777" w:rsidR="008A405C" w:rsidRDefault="008A405C" w:rsidP="00B05229">
            <w:pPr>
              <w:jc w:val="right"/>
              <w:rPr>
                <w:color w:val="000000"/>
              </w:rPr>
            </w:pPr>
            <w:r>
              <w:rPr>
                <w:color w:val="000000"/>
              </w:rPr>
              <w:t>25,705</w:t>
            </w:r>
          </w:p>
        </w:tc>
        <w:tc>
          <w:tcPr>
            <w:tcW w:w="1800" w:type="dxa"/>
            <w:tcBorders>
              <w:top w:val="nil"/>
              <w:left w:val="nil"/>
              <w:bottom w:val="single" w:sz="8" w:space="0" w:color="000000"/>
              <w:right w:val="nil"/>
            </w:tcBorders>
            <w:shd w:val="clear" w:color="auto" w:fill="auto"/>
            <w:vAlign w:val="center"/>
            <w:hideMark/>
          </w:tcPr>
          <w:p w14:paraId="7FAA159A" w14:textId="77777777" w:rsidR="008A405C" w:rsidRDefault="008A405C" w:rsidP="00B05229">
            <w:pPr>
              <w:jc w:val="right"/>
              <w:rPr>
                <w:color w:val="000000"/>
              </w:rPr>
            </w:pPr>
            <w:r>
              <w:rPr>
                <w:color w:val="000000"/>
              </w:rPr>
              <w:t>30,681</w:t>
            </w:r>
          </w:p>
        </w:tc>
        <w:tc>
          <w:tcPr>
            <w:tcW w:w="1710" w:type="dxa"/>
            <w:tcBorders>
              <w:top w:val="nil"/>
              <w:left w:val="nil"/>
              <w:bottom w:val="single" w:sz="8" w:space="0" w:color="000000"/>
              <w:right w:val="nil"/>
            </w:tcBorders>
            <w:shd w:val="clear" w:color="auto" w:fill="auto"/>
            <w:vAlign w:val="center"/>
            <w:hideMark/>
          </w:tcPr>
          <w:p w14:paraId="4CFD2FDC" w14:textId="71FB1B39" w:rsidR="008A405C" w:rsidRDefault="008A405C" w:rsidP="005925FE">
            <w:pPr>
              <w:jc w:val="right"/>
              <w:rPr>
                <w:color w:val="000000"/>
              </w:rPr>
            </w:pPr>
            <w:r>
              <w:rPr>
                <w:color w:val="000000"/>
              </w:rPr>
              <w:t>19%</w:t>
            </w:r>
          </w:p>
        </w:tc>
      </w:tr>
      <w:tr w:rsidR="008A405C" w14:paraId="78DB77C9" w14:textId="77777777" w:rsidTr="005925FE">
        <w:trPr>
          <w:trHeight w:val="330"/>
        </w:trPr>
        <w:tc>
          <w:tcPr>
            <w:tcW w:w="4410" w:type="dxa"/>
            <w:tcBorders>
              <w:top w:val="nil"/>
              <w:left w:val="nil"/>
              <w:bottom w:val="single" w:sz="8" w:space="0" w:color="000000"/>
              <w:right w:val="nil"/>
            </w:tcBorders>
            <w:shd w:val="clear" w:color="auto" w:fill="auto"/>
            <w:vAlign w:val="center"/>
            <w:hideMark/>
          </w:tcPr>
          <w:p w14:paraId="3737FFAD" w14:textId="19DA196A" w:rsidR="008A405C" w:rsidRDefault="008A405C" w:rsidP="00B05229">
            <w:pPr>
              <w:rPr>
                <w:i/>
                <w:iCs/>
                <w:color w:val="000000"/>
              </w:rPr>
            </w:pPr>
            <w:r>
              <w:rPr>
                <w:i/>
                <w:iCs/>
                <w:color w:val="000000"/>
              </w:rPr>
              <w:t xml:space="preserve">    Agricultural</w:t>
            </w:r>
          </w:p>
        </w:tc>
        <w:tc>
          <w:tcPr>
            <w:tcW w:w="1170" w:type="dxa"/>
            <w:tcBorders>
              <w:top w:val="nil"/>
              <w:left w:val="nil"/>
              <w:bottom w:val="single" w:sz="8" w:space="0" w:color="000000"/>
              <w:right w:val="nil"/>
            </w:tcBorders>
            <w:shd w:val="clear" w:color="auto" w:fill="auto"/>
            <w:vAlign w:val="center"/>
            <w:hideMark/>
          </w:tcPr>
          <w:p w14:paraId="7A5867F6" w14:textId="77777777" w:rsidR="008A405C" w:rsidRDefault="008A405C" w:rsidP="00B05229">
            <w:pPr>
              <w:jc w:val="right"/>
              <w:rPr>
                <w:color w:val="000000"/>
              </w:rPr>
            </w:pPr>
            <w:r>
              <w:rPr>
                <w:color w:val="000000"/>
              </w:rPr>
              <w:t xml:space="preserve">2,999 </w:t>
            </w:r>
          </w:p>
        </w:tc>
        <w:tc>
          <w:tcPr>
            <w:tcW w:w="1800" w:type="dxa"/>
            <w:tcBorders>
              <w:top w:val="nil"/>
              <w:left w:val="nil"/>
              <w:bottom w:val="single" w:sz="8" w:space="0" w:color="000000"/>
              <w:right w:val="nil"/>
            </w:tcBorders>
            <w:shd w:val="clear" w:color="auto" w:fill="auto"/>
            <w:vAlign w:val="center"/>
            <w:hideMark/>
          </w:tcPr>
          <w:p w14:paraId="2C993996" w14:textId="77777777" w:rsidR="008A405C" w:rsidRDefault="008A405C" w:rsidP="00B05229">
            <w:pPr>
              <w:jc w:val="right"/>
              <w:rPr>
                <w:color w:val="000000"/>
              </w:rPr>
            </w:pPr>
            <w:r>
              <w:rPr>
                <w:color w:val="000000"/>
              </w:rPr>
              <w:t xml:space="preserve">2,667 </w:t>
            </w:r>
          </w:p>
        </w:tc>
        <w:tc>
          <w:tcPr>
            <w:tcW w:w="1710" w:type="dxa"/>
            <w:tcBorders>
              <w:top w:val="nil"/>
              <w:left w:val="nil"/>
              <w:bottom w:val="single" w:sz="8" w:space="0" w:color="000000"/>
              <w:right w:val="nil"/>
            </w:tcBorders>
            <w:shd w:val="clear" w:color="auto" w:fill="auto"/>
            <w:vAlign w:val="center"/>
            <w:hideMark/>
          </w:tcPr>
          <w:p w14:paraId="5CB0773E" w14:textId="49505EB4" w:rsidR="008A405C" w:rsidRDefault="008A405C" w:rsidP="005925FE">
            <w:pPr>
              <w:jc w:val="right"/>
              <w:rPr>
                <w:color w:val="000000"/>
              </w:rPr>
            </w:pPr>
            <w:r>
              <w:rPr>
                <w:color w:val="000000"/>
              </w:rPr>
              <w:t>-11%</w:t>
            </w:r>
          </w:p>
        </w:tc>
      </w:tr>
      <w:tr w:rsidR="008A405C" w14:paraId="1A789AAF" w14:textId="77777777" w:rsidTr="005925FE">
        <w:trPr>
          <w:trHeight w:val="330"/>
        </w:trPr>
        <w:tc>
          <w:tcPr>
            <w:tcW w:w="4410" w:type="dxa"/>
            <w:tcBorders>
              <w:top w:val="nil"/>
              <w:left w:val="nil"/>
              <w:bottom w:val="single" w:sz="12" w:space="0" w:color="000000"/>
              <w:right w:val="nil"/>
            </w:tcBorders>
            <w:shd w:val="clear" w:color="auto" w:fill="auto"/>
            <w:vAlign w:val="center"/>
            <w:hideMark/>
          </w:tcPr>
          <w:p w14:paraId="168F5A4D" w14:textId="77777777" w:rsidR="008A405C" w:rsidRDefault="008A405C" w:rsidP="00B05229">
            <w:pPr>
              <w:rPr>
                <w:b/>
                <w:bCs/>
                <w:color w:val="000000"/>
              </w:rPr>
            </w:pPr>
            <w:r>
              <w:rPr>
                <w:b/>
                <w:bCs/>
                <w:color w:val="000000"/>
              </w:rPr>
              <w:t>Pacific Power conservation subtotal</w:t>
            </w:r>
          </w:p>
        </w:tc>
        <w:tc>
          <w:tcPr>
            <w:tcW w:w="1170" w:type="dxa"/>
            <w:tcBorders>
              <w:top w:val="nil"/>
              <w:left w:val="nil"/>
              <w:bottom w:val="single" w:sz="12" w:space="0" w:color="000000"/>
              <w:right w:val="nil"/>
            </w:tcBorders>
            <w:shd w:val="clear" w:color="auto" w:fill="auto"/>
            <w:vAlign w:val="center"/>
            <w:hideMark/>
          </w:tcPr>
          <w:p w14:paraId="1487EE41" w14:textId="77777777" w:rsidR="008A405C" w:rsidRDefault="008A405C" w:rsidP="00B05229">
            <w:pPr>
              <w:jc w:val="right"/>
              <w:rPr>
                <w:b/>
                <w:bCs/>
                <w:color w:val="000000"/>
              </w:rPr>
            </w:pPr>
            <w:r>
              <w:rPr>
                <w:b/>
                <w:bCs/>
                <w:color w:val="000000"/>
              </w:rPr>
              <w:t xml:space="preserve">91,630 </w:t>
            </w:r>
          </w:p>
        </w:tc>
        <w:tc>
          <w:tcPr>
            <w:tcW w:w="1800" w:type="dxa"/>
            <w:tcBorders>
              <w:top w:val="nil"/>
              <w:left w:val="nil"/>
              <w:bottom w:val="single" w:sz="12" w:space="0" w:color="000000"/>
              <w:right w:val="nil"/>
            </w:tcBorders>
            <w:shd w:val="clear" w:color="auto" w:fill="auto"/>
            <w:vAlign w:val="center"/>
            <w:hideMark/>
          </w:tcPr>
          <w:p w14:paraId="3DCBE285" w14:textId="77777777" w:rsidR="008A405C" w:rsidRDefault="008A405C" w:rsidP="00B05229">
            <w:pPr>
              <w:jc w:val="right"/>
              <w:rPr>
                <w:b/>
                <w:bCs/>
                <w:color w:val="000000"/>
              </w:rPr>
            </w:pPr>
            <w:r>
              <w:rPr>
                <w:b/>
                <w:bCs/>
                <w:color w:val="000000"/>
              </w:rPr>
              <w:t xml:space="preserve">94,127 </w:t>
            </w:r>
          </w:p>
        </w:tc>
        <w:tc>
          <w:tcPr>
            <w:tcW w:w="1710" w:type="dxa"/>
            <w:tcBorders>
              <w:top w:val="nil"/>
              <w:left w:val="nil"/>
              <w:bottom w:val="single" w:sz="12" w:space="0" w:color="000000"/>
              <w:right w:val="nil"/>
            </w:tcBorders>
            <w:shd w:val="clear" w:color="auto" w:fill="auto"/>
            <w:vAlign w:val="center"/>
            <w:hideMark/>
          </w:tcPr>
          <w:p w14:paraId="7AEABD99" w14:textId="2B4E091E" w:rsidR="008A405C" w:rsidRDefault="008A405C" w:rsidP="005925FE">
            <w:pPr>
              <w:jc w:val="right"/>
              <w:rPr>
                <w:b/>
                <w:bCs/>
                <w:color w:val="000000"/>
              </w:rPr>
            </w:pPr>
            <w:r>
              <w:rPr>
                <w:b/>
                <w:bCs/>
                <w:color w:val="000000"/>
              </w:rPr>
              <w:t>2.7%</w:t>
            </w:r>
          </w:p>
        </w:tc>
      </w:tr>
      <w:tr w:rsidR="008A405C" w14:paraId="756DC6B3" w14:textId="77777777" w:rsidTr="005925FE">
        <w:trPr>
          <w:trHeight w:val="60"/>
        </w:trPr>
        <w:tc>
          <w:tcPr>
            <w:tcW w:w="4410" w:type="dxa"/>
            <w:tcBorders>
              <w:top w:val="nil"/>
              <w:left w:val="nil"/>
              <w:bottom w:val="single" w:sz="8" w:space="0" w:color="000000"/>
              <w:right w:val="nil"/>
            </w:tcBorders>
            <w:shd w:val="clear" w:color="auto" w:fill="auto"/>
            <w:vAlign w:val="center"/>
            <w:hideMark/>
          </w:tcPr>
          <w:p w14:paraId="1FD2E80B" w14:textId="7032FCD6" w:rsidR="008A405C" w:rsidRDefault="008A405C" w:rsidP="00B05229">
            <w:pPr>
              <w:rPr>
                <w:i/>
                <w:iCs/>
                <w:color w:val="000000"/>
              </w:rPr>
            </w:pPr>
            <w:r>
              <w:rPr>
                <w:i/>
                <w:iCs/>
                <w:color w:val="000000"/>
              </w:rPr>
              <w:t xml:space="preserve">    NEEA</w:t>
            </w:r>
          </w:p>
        </w:tc>
        <w:tc>
          <w:tcPr>
            <w:tcW w:w="1170" w:type="dxa"/>
            <w:tcBorders>
              <w:top w:val="nil"/>
              <w:left w:val="nil"/>
              <w:bottom w:val="single" w:sz="8" w:space="0" w:color="000000"/>
              <w:right w:val="nil"/>
            </w:tcBorders>
            <w:shd w:val="clear" w:color="auto" w:fill="auto"/>
            <w:vAlign w:val="center"/>
            <w:hideMark/>
          </w:tcPr>
          <w:p w14:paraId="791CB7DF" w14:textId="77777777" w:rsidR="008A405C" w:rsidRDefault="008A405C" w:rsidP="00B05229">
            <w:pPr>
              <w:jc w:val="right"/>
              <w:rPr>
                <w:color w:val="000000"/>
              </w:rPr>
            </w:pPr>
            <w:r>
              <w:rPr>
                <w:color w:val="000000"/>
              </w:rPr>
              <w:t xml:space="preserve">5,245 </w:t>
            </w:r>
          </w:p>
        </w:tc>
        <w:tc>
          <w:tcPr>
            <w:tcW w:w="1800" w:type="dxa"/>
            <w:tcBorders>
              <w:top w:val="nil"/>
              <w:left w:val="nil"/>
              <w:bottom w:val="single" w:sz="8" w:space="0" w:color="000000"/>
              <w:right w:val="nil"/>
            </w:tcBorders>
            <w:shd w:val="clear" w:color="auto" w:fill="auto"/>
            <w:vAlign w:val="center"/>
            <w:hideMark/>
          </w:tcPr>
          <w:p w14:paraId="5DC6E9F5" w14:textId="77777777" w:rsidR="008A405C" w:rsidRDefault="008A405C" w:rsidP="00B05229">
            <w:pPr>
              <w:jc w:val="right"/>
              <w:rPr>
                <w:color w:val="000000"/>
              </w:rPr>
            </w:pPr>
            <w:r>
              <w:rPr>
                <w:color w:val="000000"/>
              </w:rPr>
              <w:t xml:space="preserve">5,245 </w:t>
            </w:r>
          </w:p>
        </w:tc>
        <w:tc>
          <w:tcPr>
            <w:tcW w:w="1710" w:type="dxa"/>
            <w:tcBorders>
              <w:top w:val="nil"/>
              <w:left w:val="nil"/>
              <w:bottom w:val="single" w:sz="8" w:space="0" w:color="000000"/>
              <w:right w:val="nil"/>
            </w:tcBorders>
            <w:shd w:val="clear" w:color="auto" w:fill="auto"/>
            <w:vAlign w:val="center"/>
            <w:hideMark/>
          </w:tcPr>
          <w:p w14:paraId="2EC27776" w14:textId="6BC082B0" w:rsidR="008A405C" w:rsidRDefault="008A405C" w:rsidP="005925FE">
            <w:pPr>
              <w:jc w:val="right"/>
              <w:rPr>
                <w:color w:val="000000"/>
              </w:rPr>
            </w:pPr>
            <w:r>
              <w:rPr>
                <w:color w:val="000000"/>
              </w:rPr>
              <w:t>0%</w:t>
            </w:r>
          </w:p>
        </w:tc>
      </w:tr>
      <w:tr w:rsidR="008A405C" w14:paraId="0416E9D7" w14:textId="77777777" w:rsidTr="005925FE">
        <w:trPr>
          <w:trHeight w:val="330"/>
        </w:trPr>
        <w:tc>
          <w:tcPr>
            <w:tcW w:w="4410" w:type="dxa"/>
            <w:tcBorders>
              <w:top w:val="nil"/>
              <w:left w:val="nil"/>
              <w:bottom w:val="single" w:sz="12" w:space="0" w:color="000000"/>
              <w:right w:val="nil"/>
            </w:tcBorders>
            <w:shd w:val="clear" w:color="auto" w:fill="auto"/>
            <w:vAlign w:val="center"/>
            <w:hideMark/>
          </w:tcPr>
          <w:p w14:paraId="0F6CC342" w14:textId="77777777" w:rsidR="008A405C" w:rsidRDefault="008A405C" w:rsidP="00B05229">
            <w:pPr>
              <w:rPr>
                <w:b/>
                <w:bCs/>
                <w:color w:val="000000"/>
              </w:rPr>
            </w:pPr>
            <w:r>
              <w:rPr>
                <w:b/>
                <w:bCs/>
                <w:color w:val="000000"/>
              </w:rPr>
              <w:t>Total Conservation (including NEEA)</w:t>
            </w:r>
          </w:p>
        </w:tc>
        <w:tc>
          <w:tcPr>
            <w:tcW w:w="1170" w:type="dxa"/>
            <w:tcBorders>
              <w:top w:val="nil"/>
              <w:left w:val="nil"/>
              <w:bottom w:val="single" w:sz="12" w:space="0" w:color="000000"/>
              <w:right w:val="nil"/>
            </w:tcBorders>
            <w:shd w:val="clear" w:color="auto" w:fill="auto"/>
            <w:vAlign w:val="center"/>
            <w:hideMark/>
          </w:tcPr>
          <w:p w14:paraId="5A8B62C3" w14:textId="5C78C873" w:rsidR="008A405C" w:rsidRDefault="008A405C" w:rsidP="00B05229">
            <w:pPr>
              <w:jc w:val="right"/>
              <w:rPr>
                <w:b/>
                <w:bCs/>
                <w:color w:val="000000"/>
              </w:rPr>
            </w:pPr>
            <w:r>
              <w:rPr>
                <w:b/>
                <w:bCs/>
                <w:color w:val="000000"/>
              </w:rPr>
              <w:t xml:space="preserve">    96,875 </w:t>
            </w:r>
          </w:p>
        </w:tc>
        <w:tc>
          <w:tcPr>
            <w:tcW w:w="1800" w:type="dxa"/>
            <w:tcBorders>
              <w:top w:val="nil"/>
              <w:left w:val="nil"/>
              <w:bottom w:val="single" w:sz="12" w:space="0" w:color="000000"/>
              <w:right w:val="nil"/>
            </w:tcBorders>
            <w:shd w:val="clear" w:color="auto" w:fill="auto"/>
            <w:vAlign w:val="center"/>
            <w:hideMark/>
          </w:tcPr>
          <w:p w14:paraId="3058BDFD" w14:textId="77777777" w:rsidR="008A405C" w:rsidRDefault="008A405C" w:rsidP="00B05229">
            <w:pPr>
              <w:jc w:val="right"/>
              <w:rPr>
                <w:b/>
                <w:bCs/>
                <w:color w:val="000000"/>
              </w:rPr>
            </w:pPr>
            <w:r>
              <w:rPr>
                <w:b/>
                <w:bCs/>
                <w:color w:val="000000"/>
              </w:rPr>
              <w:t xml:space="preserve">99,372 </w:t>
            </w:r>
          </w:p>
        </w:tc>
        <w:tc>
          <w:tcPr>
            <w:tcW w:w="1710" w:type="dxa"/>
            <w:tcBorders>
              <w:top w:val="nil"/>
              <w:left w:val="nil"/>
              <w:bottom w:val="single" w:sz="12" w:space="0" w:color="000000"/>
              <w:right w:val="nil"/>
            </w:tcBorders>
            <w:shd w:val="clear" w:color="auto" w:fill="auto"/>
            <w:vAlign w:val="center"/>
            <w:hideMark/>
          </w:tcPr>
          <w:p w14:paraId="004C243D" w14:textId="53627C05" w:rsidR="008A405C" w:rsidRDefault="008A405C" w:rsidP="005925FE">
            <w:pPr>
              <w:jc w:val="right"/>
              <w:rPr>
                <w:b/>
                <w:bCs/>
                <w:color w:val="000000"/>
              </w:rPr>
            </w:pPr>
            <w:r>
              <w:rPr>
                <w:b/>
                <w:bCs/>
                <w:color w:val="000000"/>
              </w:rPr>
              <w:t>2.6%</w:t>
            </w:r>
          </w:p>
        </w:tc>
      </w:tr>
    </w:tbl>
    <w:p w14:paraId="7E15A0FD" w14:textId="77777777" w:rsidR="0086357B" w:rsidRPr="006B52CB" w:rsidRDefault="0086357B" w:rsidP="00B05229">
      <w:pPr>
        <w:rPr>
          <w:rFonts w:eastAsia="Calibri"/>
        </w:rPr>
      </w:pPr>
    </w:p>
    <w:p w14:paraId="1ECE07DA" w14:textId="3E9668E1" w:rsidR="008A7221" w:rsidRDefault="00BD7DF7" w:rsidP="00B05229">
      <w:r>
        <w:t xml:space="preserve">With a projected </w:t>
      </w:r>
      <w:r w:rsidR="007C03E1" w:rsidRPr="006B52CB">
        <w:t xml:space="preserve">savings </w:t>
      </w:r>
      <w:r w:rsidR="00FC555B">
        <w:t>of 94,127</w:t>
      </w:r>
      <w:r w:rsidR="00066554">
        <w:t xml:space="preserve"> MWh</w:t>
      </w:r>
      <w:r w:rsidR="00FC555B">
        <w:t xml:space="preserve"> </w:t>
      </w:r>
      <w:r>
        <w:t xml:space="preserve">and a </w:t>
      </w:r>
      <w:r w:rsidR="007C03E1" w:rsidRPr="006B52CB">
        <w:t xml:space="preserve">target of </w:t>
      </w:r>
      <w:r w:rsidR="00DC4337">
        <w:t>90,009</w:t>
      </w:r>
      <w:r w:rsidR="00FC555B" w:rsidRPr="006B52CB">
        <w:t xml:space="preserve"> </w:t>
      </w:r>
      <w:r w:rsidR="007C03E1" w:rsidRPr="006B52CB">
        <w:t>MWh,</w:t>
      </w:r>
      <w:r w:rsidR="00FC555B">
        <w:t xml:space="preserve"> Pacific Power </w:t>
      </w:r>
      <w:r w:rsidR="00A762C7">
        <w:t xml:space="preserve">projects that it will </w:t>
      </w:r>
      <w:r>
        <w:t xml:space="preserve">exceed </w:t>
      </w:r>
      <w:r w:rsidR="00FC555B">
        <w:t>its conservation target by</w:t>
      </w:r>
      <w:r w:rsidR="007C03E1" w:rsidRPr="006B52CB">
        <w:t xml:space="preserve"> </w:t>
      </w:r>
      <w:r w:rsidR="00DC4337">
        <w:t>4.6</w:t>
      </w:r>
      <w:r w:rsidR="007C03E1" w:rsidRPr="006B52CB">
        <w:t xml:space="preserve"> percent.</w:t>
      </w:r>
    </w:p>
    <w:p w14:paraId="61100624" w14:textId="77777777" w:rsidR="00C52878" w:rsidRDefault="00C52878" w:rsidP="00B05229"/>
    <w:p w14:paraId="3EC88C03" w14:textId="2F48C07A" w:rsidR="00C52878" w:rsidRDefault="00C52878" w:rsidP="00B05229">
      <w:r>
        <w:rPr>
          <w:i/>
        </w:rPr>
        <w:lastRenderedPageBreak/>
        <w:t>Cost Effectiveness:</w:t>
      </w:r>
      <w:r>
        <w:t xml:space="preserve"> Pacific Power commissioned an</w:t>
      </w:r>
      <w:r w:rsidRPr="006B52CB">
        <w:t xml:space="preserve"> analysis of the company’s </w:t>
      </w:r>
      <w:r w:rsidR="00BD7DF7">
        <w:t xml:space="preserve">2017 ACP </w:t>
      </w:r>
      <w:r w:rsidRPr="006B52CB">
        <w:t xml:space="preserve">by </w:t>
      </w:r>
      <w:r>
        <w:t>Navigant</w:t>
      </w:r>
      <w:r w:rsidR="00BD7DF7">
        <w:t xml:space="preserve">, who calculated </w:t>
      </w:r>
      <w:r>
        <w:t>that Pacific Power’s total portfolio (not including NEEA</w:t>
      </w:r>
      <w:r w:rsidR="00A326C9">
        <w:t xml:space="preserve"> savings</w:t>
      </w:r>
      <w:r>
        <w:t xml:space="preserve">) </w:t>
      </w:r>
      <w:r w:rsidRPr="006B52CB">
        <w:t xml:space="preserve">had a </w:t>
      </w:r>
      <w:r w:rsidR="008A405C" w:rsidRPr="006B52CB">
        <w:t>total resource cost</w:t>
      </w:r>
      <w:r w:rsidR="008A405C">
        <w:t xml:space="preserve"> test</w:t>
      </w:r>
      <w:r w:rsidR="008A405C" w:rsidRPr="006B52CB">
        <w:t xml:space="preserve"> </w:t>
      </w:r>
      <w:r w:rsidR="00A326C9">
        <w:t xml:space="preserve">(TRC) </w:t>
      </w:r>
      <w:r w:rsidRPr="006B52CB">
        <w:t xml:space="preserve">ratio </w:t>
      </w:r>
      <w:r w:rsidR="00A326C9">
        <w:t xml:space="preserve">of </w:t>
      </w:r>
      <w:r w:rsidRPr="006B52CB">
        <w:t>1.</w:t>
      </w:r>
      <w:r w:rsidR="006620AA">
        <w:t>7</w:t>
      </w:r>
      <w:r w:rsidR="006620AA" w:rsidRPr="006B52CB">
        <w:t xml:space="preserve"> </w:t>
      </w:r>
      <w:r w:rsidRPr="006B52CB">
        <w:t xml:space="preserve">and a </w:t>
      </w:r>
      <w:r w:rsidR="008A405C" w:rsidRPr="006B52CB">
        <w:t xml:space="preserve">utility cost test </w:t>
      </w:r>
      <w:r w:rsidRPr="006B52CB">
        <w:t>ratio of 2.</w:t>
      </w:r>
      <w:r w:rsidR="006620AA">
        <w:t>5</w:t>
      </w:r>
      <w:r w:rsidRPr="006B52CB">
        <w:t>.</w:t>
      </w:r>
      <w:r>
        <w:rPr>
          <w:rStyle w:val="FootnoteReference"/>
        </w:rPr>
        <w:footnoteReference w:id="5"/>
      </w:r>
      <w:r w:rsidR="00575439">
        <w:t xml:space="preserve"> </w:t>
      </w:r>
    </w:p>
    <w:p w14:paraId="2EB02F60" w14:textId="77777777" w:rsidR="00C52878" w:rsidRDefault="00C52878" w:rsidP="00B05229"/>
    <w:p w14:paraId="38163903" w14:textId="277955E7" w:rsidR="00C52878" w:rsidRPr="006B52CB" w:rsidRDefault="00C52878" w:rsidP="00B05229">
      <w:pPr>
        <w:rPr>
          <w:rFonts w:eastAsia="Calibri"/>
        </w:rPr>
      </w:pPr>
      <w:r w:rsidRPr="006B52CB">
        <w:t>Based on</w:t>
      </w:r>
      <w:r>
        <w:t xml:space="preserve"> Navigant’s</w:t>
      </w:r>
      <w:r w:rsidRPr="006B52CB">
        <w:t xml:space="preserve"> analysis, and </w:t>
      </w:r>
      <w:r w:rsidR="00B05229">
        <w:t xml:space="preserve">on </w:t>
      </w:r>
      <w:r w:rsidRPr="006B52CB">
        <w:t xml:space="preserve">the fact that the </w:t>
      </w:r>
      <w:r>
        <w:t xml:space="preserve">company’s previous reports show a consistently solid TRC ratio, </w:t>
      </w:r>
      <w:r w:rsidRPr="006B52CB">
        <w:t xml:space="preserve">staff </w:t>
      </w:r>
      <w:r w:rsidR="00B05229">
        <w:t>feels confident</w:t>
      </w:r>
      <w:r w:rsidRPr="006B52CB">
        <w:t xml:space="preserve"> that Pacific Power’s 201</w:t>
      </w:r>
      <w:r>
        <w:t>6</w:t>
      </w:r>
      <w:r w:rsidRPr="006B52CB">
        <w:t>-201</w:t>
      </w:r>
      <w:r>
        <w:t>7</w:t>
      </w:r>
      <w:r w:rsidRPr="006B52CB">
        <w:t xml:space="preserve"> energy efficiency </w:t>
      </w:r>
      <w:r>
        <w:t xml:space="preserve">program </w:t>
      </w:r>
      <w:r w:rsidRPr="006B52CB">
        <w:t>portfolio remains cost-effective.</w:t>
      </w:r>
      <w:r>
        <w:t xml:space="preserve"> </w:t>
      </w:r>
      <w:r w:rsidRPr="006B52CB">
        <w:t>The company will provide a final, independent cost-effectiveness analysis with its final biennial conservation report in 201</w:t>
      </w:r>
      <w:r>
        <w:t>8</w:t>
      </w:r>
      <w:r w:rsidRPr="006B52CB">
        <w:t>.</w:t>
      </w:r>
    </w:p>
    <w:p w14:paraId="4795F857" w14:textId="77777777" w:rsidR="0086357B" w:rsidRDefault="0086357B" w:rsidP="00B05229"/>
    <w:p w14:paraId="11913FC0" w14:textId="77777777" w:rsidR="005925FE" w:rsidRDefault="005925FE" w:rsidP="00B05229"/>
    <w:p w14:paraId="0C475FAD" w14:textId="77777777" w:rsidR="005925FE" w:rsidRDefault="005925FE" w:rsidP="00B05229"/>
    <w:p w14:paraId="214B7967" w14:textId="77777777" w:rsidR="005925FE" w:rsidRDefault="005925FE" w:rsidP="00B05229"/>
    <w:p w14:paraId="292E28CB" w14:textId="77777777" w:rsidR="005925FE" w:rsidRDefault="005925FE" w:rsidP="00B05229"/>
    <w:p w14:paraId="6ADFCF62" w14:textId="77777777" w:rsidR="005925FE" w:rsidRDefault="005925FE" w:rsidP="00B05229"/>
    <w:p w14:paraId="7B4EBE4E" w14:textId="77777777" w:rsidR="008A405C" w:rsidRPr="005925FE" w:rsidRDefault="008A405C" w:rsidP="008A405C">
      <w:pPr>
        <w:rPr>
          <w:b/>
        </w:rPr>
      </w:pPr>
      <w:r w:rsidRPr="005925FE">
        <w:rPr>
          <w:b/>
        </w:rPr>
        <w:t>Supplemental Budget Analysis</w:t>
      </w:r>
    </w:p>
    <w:p w14:paraId="16E7C1B5" w14:textId="77777777" w:rsidR="008A405C" w:rsidRDefault="008A405C" w:rsidP="008A405C"/>
    <w:p w14:paraId="53FEEA89" w14:textId="77777777" w:rsidR="008A405C" w:rsidRDefault="008A405C" w:rsidP="008A405C">
      <w:r>
        <w:lastRenderedPageBreak/>
        <w:t xml:space="preserve">During the 2017 annual conservation plan cycle, staff identified a need to analyze </w:t>
      </w:r>
      <w:r w:rsidRPr="006D4131">
        <w:t xml:space="preserve">each utility’s budget </w:t>
      </w:r>
      <w:r>
        <w:t>allocations as an additional metric of program success. Each company was asked to provide data on the programs’ 2017 direct benefit to customers</w:t>
      </w:r>
      <w:r w:rsidRPr="00AB470E">
        <w:rPr>
          <w:vertAlign w:val="superscript"/>
        </w:rPr>
        <w:footnoteReference w:id="6"/>
      </w:r>
      <w:r>
        <w:t xml:space="preserve"> (DBtC) ratio along with an explanation of why the ratio was appropriate for the 2017 conservation program. </w:t>
      </w:r>
    </w:p>
    <w:p w14:paraId="7DA7BCEF" w14:textId="77777777" w:rsidR="008A405C" w:rsidRDefault="008A405C" w:rsidP="00B05229"/>
    <w:p w14:paraId="7C760225" w14:textId="622E467C" w:rsidR="00A762C7" w:rsidRDefault="00A762C7" w:rsidP="00B05229">
      <w:r>
        <w:t xml:space="preserve">Pacific Power filed supplemental materials clarifying its budget for 2017. </w:t>
      </w:r>
      <w:r w:rsidR="0039293B">
        <w:t>Staff researched the company’s historical budget figures</w:t>
      </w:r>
      <w:r w:rsidR="00D9335F">
        <w:t xml:space="preserve">, and applied </w:t>
      </w:r>
      <w:r w:rsidR="00AB6F23">
        <w:t xml:space="preserve">standardized </w:t>
      </w:r>
      <w:r w:rsidR="00E7712A">
        <w:t>estimates</w:t>
      </w:r>
      <w:r w:rsidR="00D9335F">
        <w:t xml:space="preserve"> about </w:t>
      </w:r>
      <w:r w:rsidR="00E7712A">
        <w:t xml:space="preserve">NEEA and the low-income weatherization program </w:t>
      </w:r>
      <w:r w:rsidR="000326C2">
        <w:t>so</w:t>
      </w:r>
      <w:r w:rsidR="00D9335F">
        <w:t xml:space="preserve"> that </w:t>
      </w:r>
      <w:r w:rsidR="000326C2">
        <w:t xml:space="preserve">the commission </w:t>
      </w:r>
      <w:r w:rsidR="00D9335F">
        <w:t xml:space="preserve">can compare the </w:t>
      </w:r>
      <w:r w:rsidR="00CA145E">
        <w:t>ratios across</w:t>
      </w:r>
      <w:r w:rsidR="000326C2">
        <w:t xml:space="preserve"> the</w:t>
      </w:r>
      <w:r w:rsidR="00D9335F">
        <w:t xml:space="preserve"> companies</w:t>
      </w:r>
      <w:r w:rsidR="0039293B">
        <w:t>. The results are in the table below.</w:t>
      </w:r>
    </w:p>
    <w:p w14:paraId="6E71045E" w14:textId="77777777" w:rsidR="005925FE" w:rsidRDefault="005925FE" w:rsidP="00B05229"/>
    <w:tbl>
      <w:tblPr>
        <w:tblW w:w="8910" w:type="dxa"/>
        <w:tblLayout w:type="fixed"/>
        <w:tblLook w:val="04A0" w:firstRow="1" w:lastRow="0" w:firstColumn="1" w:lastColumn="0" w:noHBand="0" w:noVBand="1"/>
      </w:tblPr>
      <w:tblGrid>
        <w:gridCol w:w="1980"/>
        <w:gridCol w:w="1710"/>
        <w:gridCol w:w="1800"/>
        <w:gridCol w:w="1710"/>
        <w:gridCol w:w="1710"/>
      </w:tblGrid>
      <w:tr w:rsidR="00D9335F" w14:paraId="3554D0FF" w14:textId="77777777" w:rsidTr="005925FE">
        <w:trPr>
          <w:trHeight w:val="807"/>
        </w:trPr>
        <w:tc>
          <w:tcPr>
            <w:tcW w:w="1980" w:type="dxa"/>
            <w:tcBorders>
              <w:top w:val="single" w:sz="12" w:space="0" w:color="000000"/>
              <w:left w:val="nil"/>
              <w:bottom w:val="single" w:sz="12" w:space="0" w:color="000000"/>
              <w:right w:val="nil"/>
            </w:tcBorders>
            <w:shd w:val="clear" w:color="auto" w:fill="auto"/>
            <w:vAlign w:val="center"/>
            <w:hideMark/>
          </w:tcPr>
          <w:p w14:paraId="3BB293EE" w14:textId="77777777" w:rsidR="00D9335F" w:rsidRDefault="00D9335F">
            <w:pPr>
              <w:rPr>
                <w:b/>
                <w:bCs/>
                <w:color w:val="000000"/>
              </w:rPr>
            </w:pPr>
            <w:r>
              <w:rPr>
                <w:b/>
                <w:bCs/>
                <w:color w:val="000000"/>
              </w:rPr>
              <w:t>Program Year</w:t>
            </w:r>
          </w:p>
        </w:tc>
        <w:tc>
          <w:tcPr>
            <w:tcW w:w="1710" w:type="dxa"/>
            <w:tcBorders>
              <w:top w:val="single" w:sz="12" w:space="0" w:color="000000"/>
              <w:left w:val="nil"/>
              <w:bottom w:val="single" w:sz="12" w:space="0" w:color="000000"/>
              <w:right w:val="nil"/>
            </w:tcBorders>
            <w:shd w:val="clear" w:color="auto" w:fill="auto"/>
            <w:vAlign w:val="center"/>
            <w:hideMark/>
          </w:tcPr>
          <w:p w14:paraId="4CE1E5E8" w14:textId="77777777" w:rsidR="00D9335F" w:rsidRDefault="00D9335F" w:rsidP="005925FE">
            <w:pPr>
              <w:jc w:val="center"/>
              <w:rPr>
                <w:b/>
                <w:bCs/>
                <w:color w:val="000000"/>
              </w:rPr>
            </w:pPr>
            <w:r>
              <w:rPr>
                <w:b/>
                <w:bCs/>
                <w:color w:val="000000"/>
              </w:rPr>
              <w:t>Direct Benefit to Customer</w:t>
            </w:r>
          </w:p>
        </w:tc>
        <w:tc>
          <w:tcPr>
            <w:tcW w:w="1800" w:type="dxa"/>
            <w:tcBorders>
              <w:top w:val="single" w:sz="12" w:space="0" w:color="000000"/>
              <w:left w:val="nil"/>
              <w:bottom w:val="single" w:sz="12" w:space="0" w:color="000000"/>
              <w:right w:val="nil"/>
            </w:tcBorders>
            <w:shd w:val="clear" w:color="auto" w:fill="auto"/>
            <w:vAlign w:val="center"/>
            <w:hideMark/>
          </w:tcPr>
          <w:p w14:paraId="113DC3F6" w14:textId="77777777" w:rsidR="00D9335F" w:rsidRDefault="00D9335F" w:rsidP="005925FE">
            <w:pPr>
              <w:jc w:val="center"/>
              <w:rPr>
                <w:b/>
                <w:bCs/>
                <w:color w:val="000000"/>
              </w:rPr>
            </w:pPr>
            <w:r>
              <w:rPr>
                <w:b/>
                <w:bCs/>
                <w:color w:val="000000"/>
              </w:rPr>
              <w:t>Other Conservation Program Costs</w:t>
            </w:r>
          </w:p>
        </w:tc>
        <w:tc>
          <w:tcPr>
            <w:tcW w:w="1710" w:type="dxa"/>
            <w:tcBorders>
              <w:top w:val="single" w:sz="12" w:space="0" w:color="000000"/>
              <w:left w:val="nil"/>
              <w:bottom w:val="single" w:sz="12" w:space="0" w:color="000000"/>
              <w:right w:val="nil"/>
            </w:tcBorders>
            <w:shd w:val="clear" w:color="auto" w:fill="auto"/>
            <w:vAlign w:val="center"/>
            <w:hideMark/>
          </w:tcPr>
          <w:p w14:paraId="09935D35" w14:textId="77777777" w:rsidR="00D9335F" w:rsidRDefault="00D9335F">
            <w:pPr>
              <w:jc w:val="center"/>
              <w:rPr>
                <w:b/>
                <w:bCs/>
                <w:color w:val="000000"/>
              </w:rPr>
            </w:pPr>
            <w:r>
              <w:rPr>
                <w:b/>
                <w:bCs/>
                <w:color w:val="000000"/>
              </w:rPr>
              <w:t>Total Conservation Costs</w:t>
            </w:r>
          </w:p>
        </w:tc>
        <w:tc>
          <w:tcPr>
            <w:tcW w:w="1710" w:type="dxa"/>
            <w:tcBorders>
              <w:top w:val="single" w:sz="12" w:space="0" w:color="000000"/>
              <w:left w:val="nil"/>
              <w:bottom w:val="single" w:sz="12" w:space="0" w:color="000000"/>
              <w:right w:val="nil"/>
            </w:tcBorders>
            <w:shd w:val="clear" w:color="auto" w:fill="auto"/>
            <w:vAlign w:val="center"/>
            <w:hideMark/>
          </w:tcPr>
          <w:p w14:paraId="756B6D80" w14:textId="77777777" w:rsidR="00D9335F" w:rsidRDefault="00D9335F" w:rsidP="005925FE">
            <w:pPr>
              <w:jc w:val="center"/>
              <w:rPr>
                <w:b/>
                <w:bCs/>
                <w:color w:val="000000"/>
              </w:rPr>
            </w:pPr>
            <w:r>
              <w:rPr>
                <w:b/>
                <w:bCs/>
                <w:color w:val="000000"/>
              </w:rPr>
              <w:t>Direct Benefit to Customer as % of Total</w:t>
            </w:r>
          </w:p>
        </w:tc>
      </w:tr>
      <w:tr w:rsidR="00D9335F" w14:paraId="5A541EE2" w14:textId="77777777" w:rsidTr="005925FE">
        <w:trPr>
          <w:trHeight w:val="323"/>
        </w:trPr>
        <w:tc>
          <w:tcPr>
            <w:tcW w:w="1980" w:type="dxa"/>
            <w:tcBorders>
              <w:top w:val="nil"/>
              <w:left w:val="nil"/>
              <w:bottom w:val="single" w:sz="8" w:space="0" w:color="000000"/>
              <w:right w:val="nil"/>
            </w:tcBorders>
            <w:shd w:val="clear" w:color="auto" w:fill="auto"/>
            <w:vAlign w:val="center"/>
            <w:hideMark/>
          </w:tcPr>
          <w:p w14:paraId="11E2861B" w14:textId="77777777" w:rsidR="00D9335F" w:rsidRDefault="00D9335F">
            <w:pPr>
              <w:rPr>
                <w:i/>
                <w:iCs/>
                <w:color w:val="000000"/>
              </w:rPr>
            </w:pPr>
            <w:r>
              <w:rPr>
                <w:i/>
                <w:iCs/>
                <w:color w:val="000000"/>
              </w:rPr>
              <w:t>2010</w:t>
            </w:r>
          </w:p>
        </w:tc>
        <w:tc>
          <w:tcPr>
            <w:tcW w:w="1710" w:type="dxa"/>
            <w:tcBorders>
              <w:top w:val="nil"/>
              <w:left w:val="nil"/>
              <w:bottom w:val="single" w:sz="8" w:space="0" w:color="000000"/>
              <w:right w:val="nil"/>
            </w:tcBorders>
            <w:shd w:val="clear" w:color="auto" w:fill="auto"/>
            <w:vAlign w:val="center"/>
            <w:hideMark/>
          </w:tcPr>
          <w:p w14:paraId="3A3F6784" w14:textId="7BDCAC8E" w:rsidR="00D9335F" w:rsidRDefault="00D9335F" w:rsidP="005925FE">
            <w:pPr>
              <w:jc w:val="center"/>
              <w:rPr>
                <w:color w:val="000000"/>
              </w:rPr>
            </w:pPr>
            <w:r>
              <w:rPr>
                <w:color w:val="000000"/>
              </w:rPr>
              <w:t>$4,242,546</w:t>
            </w:r>
          </w:p>
        </w:tc>
        <w:tc>
          <w:tcPr>
            <w:tcW w:w="1800" w:type="dxa"/>
            <w:tcBorders>
              <w:top w:val="nil"/>
              <w:left w:val="nil"/>
              <w:bottom w:val="single" w:sz="8" w:space="0" w:color="000000"/>
              <w:right w:val="nil"/>
            </w:tcBorders>
            <w:shd w:val="clear" w:color="auto" w:fill="auto"/>
            <w:vAlign w:val="center"/>
            <w:hideMark/>
          </w:tcPr>
          <w:p w14:paraId="2D730527" w14:textId="36971C1B" w:rsidR="00D9335F" w:rsidRDefault="00D9335F" w:rsidP="005925FE">
            <w:pPr>
              <w:jc w:val="center"/>
              <w:rPr>
                <w:color w:val="000000"/>
              </w:rPr>
            </w:pPr>
            <w:r>
              <w:rPr>
                <w:color w:val="000000"/>
              </w:rPr>
              <w:t>$3,480,959</w:t>
            </w:r>
          </w:p>
        </w:tc>
        <w:tc>
          <w:tcPr>
            <w:tcW w:w="1710" w:type="dxa"/>
            <w:tcBorders>
              <w:top w:val="nil"/>
              <w:left w:val="nil"/>
              <w:bottom w:val="single" w:sz="8" w:space="0" w:color="000000"/>
              <w:right w:val="nil"/>
            </w:tcBorders>
            <w:shd w:val="clear" w:color="auto" w:fill="auto"/>
            <w:vAlign w:val="center"/>
            <w:hideMark/>
          </w:tcPr>
          <w:p w14:paraId="3099669C" w14:textId="05DABFAA" w:rsidR="00D9335F" w:rsidRDefault="00D9335F" w:rsidP="005925FE">
            <w:pPr>
              <w:jc w:val="center"/>
              <w:rPr>
                <w:color w:val="000000"/>
              </w:rPr>
            </w:pPr>
            <w:r>
              <w:rPr>
                <w:color w:val="000000"/>
              </w:rPr>
              <w:t>$7,723,505</w:t>
            </w:r>
          </w:p>
        </w:tc>
        <w:tc>
          <w:tcPr>
            <w:tcW w:w="1710" w:type="dxa"/>
            <w:tcBorders>
              <w:top w:val="nil"/>
              <w:left w:val="nil"/>
              <w:bottom w:val="single" w:sz="8" w:space="0" w:color="000000"/>
              <w:right w:val="nil"/>
            </w:tcBorders>
            <w:shd w:val="clear" w:color="auto" w:fill="auto"/>
            <w:vAlign w:val="center"/>
            <w:hideMark/>
          </w:tcPr>
          <w:p w14:paraId="0802466B" w14:textId="2452EC8C" w:rsidR="00D9335F" w:rsidRDefault="00D9335F" w:rsidP="005925FE">
            <w:pPr>
              <w:jc w:val="center"/>
              <w:rPr>
                <w:color w:val="000000"/>
              </w:rPr>
            </w:pPr>
            <w:r>
              <w:rPr>
                <w:color w:val="000000"/>
              </w:rPr>
              <w:t>5</w:t>
            </w:r>
            <w:r w:rsidR="00C24D66">
              <w:rPr>
                <w:color w:val="000000"/>
              </w:rPr>
              <w:t>5</w:t>
            </w:r>
            <w:r>
              <w:rPr>
                <w:color w:val="000000"/>
              </w:rPr>
              <w:t>%</w:t>
            </w:r>
          </w:p>
        </w:tc>
      </w:tr>
      <w:tr w:rsidR="00D9335F" w14:paraId="3D4F630C"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68319DCA" w14:textId="77777777" w:rsidR="00D9335F" w:rsidRDefault="00D9335F">
            <w:pPr>
              <w:rPr>
                <w:i/>
                <w:iCs/>
                <w:color w:val="000000"/>
              </w:rPr>
            </w:pPr>
            <w:r>
              <w:rPr>
                <w:i/>
                <w:iCs/>
                <w:color w:val="000000"/>
              </w:rPr>
              <w:t>2011</w:t>
            </w:r>
          </w:p>
        </w:tc>
        <w:tc>
          <w:tcPr>
            <w:tcW w:w="1710" w:type="dxa"/>
            <w:tcBorders>
              <w:top w:val="nil"/>
              <w:left w:val="nil"/>
              <w:bottom w:val="single" w:sz="8" w:space="0" w:color="000000"/>
              <w:right w:val="nil"/>
            </w:tcBorders>
            <w:shd w:val="clear" w:color="auto" w:fill="auto"/>
            <w:vAlign w:val="center"/>
            <w:hideMark/>
          </w:tcPr>
          <w:p w14:paraId="527F387B" w14:textId="3B0363DE" w:rsidR="00D9335F" w:rsidRDefault="00D9335F" w:rsidP="005925FE">
            <w:pPr>
              <w:jc w:val="center"/>
              <w:rPr>
                <w:color w:val="000000"/>
              </w:rPr>
            </w:pPr>
            <w:r>
              <w:rPr>
                <w:color w:val="000000"/>
              </w:rPr>
              <w:t>$4,539,938</w:t>
            </w:r>
          </w:p>
        </w:tc>
        <w:tc>
          <w:tcPr>
            <w:tcW w:w="1800" w:type="dxa"/>
            <w:tcBorders>
              <w:top w:val="nil"/>
              <w:left w:val="nil"/>
              <w:bottom w:val="single" w:sz="8" w:space="0" w:color="000000"/>
              <w:right w:val="nil"/>
            </w:tcBorders>
            <w:shd w:val="clear" w:color="auto" w:fill="auto"/>
            <w:vAlign w:val="center"/>
            <w:hideMark/>
          </w:tcPr>
          <w:p w14:paraId="75A6A850" w14:textId="2AF774E8" w:rsidR="00D9335F" w:rsidRDefault="00D9335F" w:rsidP="005925FE">
            <w:pPr>
              <w:jc w:val="center"/>
              <w:rPr>
                <w:color w:val="000000"/>
              </w:rPr>
            </w:pPr>
            <w:r>
              <w:rPr>
                <w:color w:val="000000"/>
              </w:rPr>
              <w:t>$4,556,724</w:t>
            </w:r>
          </w:p>
        </w:tc>
        <w:tc>
          <w:tcPr>
            <w:tcW w:w="1710" w:type="dxa"/>
            <w:tcBorders>
              <w:top w:val="nil"/>
              <w:left w:val="nil"/>
              <w:bottom w:val="single" w:sz="8" w:space="0" w:color="000000"/>
              <w:right w:val="nil"/>
            </w:tcBorders>
            <w:shd w:val="clear" w:color="auto" w:fill="auto"/>
            <w:vAlign w:val="center"/>
            <w:hideMark/>
          </w:tcPr>
          <w:p w14:paraId="1593F8E8" w14:textId="0C961FE8" w:rsidR="00D9335F" w:rsidRDefault="00D9335F" w:rsidP="005925FE">
            <w:pPr>
              <w:jc w:val="center"/>
              <w:rPr>
                <w:color w:val="000000"/>
              </w:rPr>
            </w:pPr>
            <w:r>
              <w:rPr>
                <w:color w:val="000000"/>
              </w:rPr>
              <w:t>$9,096,662</w:t>
            </w:r>
          </w:p>
        </w:tc>
        <w:tc>
          <w:tcPr>
            <w:tcW w:w="1710" w:type="dxa"/>
            <w:tcBorders>
              <w:top w:val="nil"/>
              <w:left w:val="nil"/>
              <w:bottom w:val="single" w:sz="8" w:space="0" w:color="000000"/>
              <w:right w:val="nil"/>
            </w:tcBorders>
            <w:shd w:val="clear" w:color="auto" w:fill="auto"/>
            <w:vAlign w:val="center"/>
            <w:hideMark/>
          </w:tcPr>
          <w:p w14:paraId="68C088DD" w14:textId="1C49871C" w:rsidR="00D9335F" w:rsidRDefault="00C24D66" w:rsidP="005925FE">
            <w:pPr>
              <w:jc w:val="center"/>
              <w:rPr>
                <w:color w:val="000000"/>
              </w:rPr>
            </w:pPr>
            <w:r>
              <w:rPr>
                <w:color w:val="000000"/>
              </w:rPr>
              <w:t>50</w:t>
            </w:r>
            <w:r w:rsidR="00D9335F">
              <w:rPr>
                <w:color w:val="000000"/>
              </w:rPr>
              <w:t>%</w:t>
            </w:r>
          </w:p>
        </w:tc>
      </w:tr>
      <w:tr w:rsidR="00D9335F" w14:paraId="5776B165"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29979841" w14:textId="77777777" w:rsidR="00D9335F" w:rsidRDefault="00D9335F">
            <w:pPr>
              <w:rPr>
                <w:i/>
                <w:iCs/>
                <w:color w:val="000000"/>
              </w:rPr>
            </w:pPr>
            <w:r>
              <w:rPr>
                <w:i/>
                <w:iCs/>
                <w:color w:val="000000"/>
              </w:rPr>
              <w:t>2012</w:t>
            </w:r>
          </w:p>
        </w:tc>
        <w:tc>
          <w:tcPr>
            <w:tcW w:w="1710" w:type="dxa"/>
            <w:tcBorders>
              <w:top w:val="nil"/>
              <w:left w:val="nil"/>
              <w:bottom w:val="single" w:sz="8" w:space="0" w:color="000000"/>
              <w:right w:val="nil"/>
            </w:tcBorders>
            <w:shd w:val="clear" w:color="auto" w:fill="auto"/>
            <w:vAlign w:val="center"/>
            <w:hideMark/>
          </w:tcPr>
          <w:p w14:paraId="37B8C7BC" w14:textId="5E635B31" w:rsidR="00D9335F" w:rsidRDefault="00D9335F" w:rsidP="005925FE">
            <w:pPr>
              <w:jc w:val="center"/>
              <w:rPr>
                <w:color w:val="000000"/>
              </w:rPr>
            </w:pPr>
            <w:r>
              <w:rPr>
                <w:color w:val="000000"/>
              </w:rPr>
              <w:t>$5,214,558</w:t>
            </w:r>
          </w:p>
        </w:tc>
        <w:tc>
          <w:tcPr>
            <w:tcW w:w="1800" w:type="dxa"/>
            <w:tcBorders>
              <w:top w:val="nil"/>
              <w:left w:val="nil"/>
              <w:bottom w:val="single" w:sz="8" w:space="0" w:color="000000"/>
              <w:right w:val="nil"/>
            </w:tcBorders>
            <w:shd w:val="clear" w:color="auto" w:fill="auto"/>
            <w:vAlign w:val="center"/>
            <w:hideMark/>
          </w:tcPr>
          <w:p w14:paraId="46D35422" w14:textId="5605A678" w:rsidR="00D9335F" w:rsidRDefault="00D9335F" w:rsidP="005925FE">
            <w:pPr>
              <w:jc w:val="center"/>
              <w:rPr>
                <w:color w:val="000000"/>
              </w:rPr>
            </w:pPr>
            <w:r>
              <w:rPr>
                <w:color w:val="000000"/>
              </w:rPr>
              <w:t>$4,840,458</w:t>
            </w:r>
          </w:p>
        </w:tc>
        <w:tc>
          <w:tcPr>
            <w:tcW w:w="1710" w:type="dxa"/>
            <w:tcBorders>
              <w:top w:val="nil"/>
              <w:left w:val="nil"/>
              <w:bottom w:val="single" w:sz="8" w:space="0" w:color="000000"/>
              <w:right w:val="nil"/>
            </w:tcBorders>
            <w:shd w:val="clear" w:color="auto" w:fill="auto"/>
            <w:vAlign w:val="center"/>
            <w:hideMark/>
          </w:tcPr>
          <w:p w14:paraId="344F7837" w14:textId="034B76AC" w:rsidR="00D9335F" w:rsidRDefault="00D9335F" w:rsidP="005925FE">
            <w:pPr>
              <w:jc w:val="center"/>
              <w:rPr>
                <w:color w:val="000000"/>
              </w:rPr>
            </w:pPr>
            <w:r>
              <w:rPr>
                <w:color w:val="000000"/>
              </w:rPr>
              <w:t>$10,055,016</w:t>
            </w:r>
          </w:p>
        </w:tc>
        <w:tc>
          <w:tcPr>
            <w:tcW w:w="1710" w:type="dxa"/>
            <w:tcBorders>
              <w:top w:val="nil"/>
              <w:left w:val="nil"/>
              <w:bottom w:val="single" w:sz="8" w:space="0" w:color="000000"/>
              <w:right w:val="nil"/>
            </w:tcBorders>
            <w:shd w:val="clear" w:color="auto" w:fill="auto"/>
            <w:vAlign w:val="center"/>
            <w:hideMark/>
          </w:tcPr>
          <w:p w14:paraId="67C3A3FB" w14:textId="4BD10541" w:rsidR="00D9335F" w:rsidRDefault="00D9335F" w:rsidP="005925FE">
            <w:pPr>
              <w:jc w:val="center"/>
              <w:rPr>
                <w:color w:val="000000"/>
              </w:rPr>
            </w:pPr>
            <w:r>
              <w:rPr>
                <w:color w:val="000000"/>
              </w:rPr>
              <w:t>5</w:t>
            </w:r>
            <w:r w:rsidR="00C24D66">
              <w:rPr>
                <w:color w:val="000000"/>
              </w:rPr>
              <w:t>2</w:t>
            </w:r>
            <w:r>
              <w:rPr>
                <w:color w:val="000000"/>
              </w:rPr>
              <w:t>%</w:t>
            </w:r>
          </w:p>
        </w:tc>
      </w:tr>
      <w:tr w:rsidR="00D9335F" w14:paraId="6C71B813"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7F804807" w14:textId="77777777" w:rsidR="00D9335F" w:rsidRDefault="00D9335F">
            <w:pPr>
              <w:rPr>
                <w:i/>
                <w:iCs/>
                <w:color w:val="000000"/>
              </w:rPr>
            </w:pPr>
            <w:r>
              <w:rPr>
                <w:i/>
                <w:iCs/>
                <w:color w:val="000000"/>
              </w:rPr>
              <w:t>2013</w:t>
            </w:r>
          </w:p>
        </w:tc>
        <w:tc>
          <w:tcPr>
            <w:tcW w:w="1710" w:type="dxa"/>
            <w:tcBorders>
              <w:top w:val="nil"/>
              <w:left w:val="nil"/>
              <w:bottom w:val="single" w:sz="8" w:space="0" w:color="000000"/>
              <w:right w:val="nil"/>
            </w:tcBorders>
            <w:shd w:val="clear" w:color="auto" w:fill="auto"/>
            <w:vAlign w:val="center"/>
            <w:hideMark/>
          </w:tcPr>
          <w:p w14:paraId="77583AA9" w14:textId="0357375E" w:rsidR="00D9335F" w:rsidRDefault="00D9335F" w:rsidP="005925FE">
            <w:pPr>
              <w:jc w:val="center"/>
              <w:rPr>
                <w:color w:val="000000"/>
              </w:rPr>
            </w:pPr>
            <w:r>
              <w:rPr>
                <w:color w:val="000000"/>
              </w:rPr>
              <w:t>$5,572,962</w:t>
            </w:r>
          </w:p>
        </w:tc>
        <w:tc>
          <w:tcPr>
            <w:tcW w:w="1800" w:type="dxa"/>
            <w:tcBorders>
              <w:top w:val="nil"/>
              <w:left w:val="nil"/>
              <w:bottom w:val="single" w:sz="8" w:space="0" w:color="000000"/>
              <w:right w:val="nil"/>
            </w:tcBorders>
            <w:shd w:val="clear" w:color="auto" w:fill="auto"/>
            <w:vAlign w:val="center"/>
            <w:hideMark/>
          </w:tcPr>
          <w:p w14:paraId="0ECF6AFF" w14:textId="798E2074" w:rsidR="00D9335F" w:rsidRDefault="00D9335F" w:rsidP="005925FE">
            <w:pPr>
              <w:jc w:val="center"/>
              <w:rPr>
                <w:color w:val="000000"/>
              </w:rPr>
            </w:pPr>
            <w:r>
              <w:rPr>
                <w:color w:val="000000"/>
              </w:rPr>
              <w:t>$3,833,553</w:t>
            </w:r>
          </w:p>
        </w:tc>
        <w:tc>
          <w:tcPr>
            <w:tcW w:w="1710" w:type="dxa"/>
            <w:tcBorders>
              <w:top w:val="nil"/>
              <w:left w:val="nil"/>
              <w:bottom w:val="single" w:sz="8" w:space="0" w:color="000000"/>
              <w:right w:val="nil"/>
            </w:tcBorders>
            <w:shd w:val="clear" w:color="auto" w:fill="auto"/>
            <w:vAlign w:val="center"/>
            <w:hideMark/>
          </w:tcPr>
          <w:p w14:paraId="46486704" w14:textId="1A88E3FF" w:rsidR="00D9335F" w:rsidRDefault="00D9335F" w:rsidP="005925FE">
            <w:pPr>
              <w:jc w:val="center"/>
              <w:rPr>
                <w:color w:val="000000"/>
              </w:rPr>
            </w:pPr>
            <w:r>
              <w:rPr>
                <w:color w:val="000000"/>
              </w:rPr>
              <w:t>$9,406,515</w:t>
            </w:r>
          </w:p>
        </w:tc>
        <w:tc>
          <w:tcPr>
            <w:tcW w:w="1710" w:type="dxa"/>
            <w:tcBorders>
              <w:top w:val="nil"/>
              <w:left w:val="nil"/>
              <w:bottom w:val="single" w:sz="8" w:space="0" w:color="000000"/>
              <w:right w:val="nil"/>
            </w:tcBorders>
            <w:shd w:val="clear" w:color="auto" w:fill="auto"/>
            <w:vAlign w:val="center"/>
            <w:hideMark/>
          </w:tcPr>
          <w:p w14:paraId="62A4EF00" w14:textId="2CC35E6A" w:rsidR="00D9335F" w:rsidRDefault="00D9335F" w:rsidP="005925FE">
            <w:pPr>
              <w:jc w:val="center"/>
              <w:rPr>
                <w:color w:val="000000"/>
              </w:rPr>
            </w:pPr>
            <w:r>
              <w:rPr>
                <w:color w:val="000000"/>
              </w:rPr>
              <w:t>59%</w:t>
            </w:r>
          </w:p>
        </w:tc>
      </w:tr>
      <w:tr w:rsidR="00D9335F" w14:paraId="5D373069"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61AFB260" w14:textId="77777777" w:rsidR="00D9335F" w:rsidRDefault="00D9335F">
            <w:pPr>
              <w:rPr>
                <w:i/>
                <w:iCs/>
                <w:color w:val="000000"/>
              </w:rPr>
            </w:pPr>
            <w:r>
              <w:rPr>
                <w:i/>
                <w:iCs/>
                <w:color w:val="000000"/>
              </w:rPr>
              <w:t>2014</w:t>
            </w:r>
          </w:p>
        </w:tc>
        <w:tc>
          <w:tcPr>
            <w:tcW w:w="1710" w:type="dxa"/>
            <w:tcBorders>
              <w:top w:val="nil"/>
              <w:left w:val="nil"/>
              <w:bottom w:val="single" w:sz="8" w:space="0" w:color="000000"/>
              <w:right w:val="nil"/>
            </w:tcBorders>
            <w:shd w:val="clear" w:color="auto" w:fill="auto"/>
            <w:vAlign w:val="center"/>
            <w:hideMark/>
          </w:tcPr>
          <w:p w14:paraId="2C5B0849" w14:textId="4E5D3BB2" w:rsidR="00D9335F" w:rsidRDefault="00D9335F" w:rsidP="005925FE">
            <w:pPr>
              <w:jc w:val="center"/>
              <w:rPr>
                <w:color w:val="000000"/>
              </w:rPr>
            </w:pPr>
            <w:r>
              <w:rPr>
                <w:color w:val="000000"/>
              </w:rPr>
              <w:t>$6,670,683</w:t>
            </w:r>
          </w:p>
        </w:tc>
        <w:tc>
          <w:tcPr>
            <w:tcW w:w="1800" w:type="dxa"/>
            <w:tcBorders>
              <w:top w:val="nil"/>
              <w:left w:val="nil"/>
              <w:bottom w:val="single" w:sz="8" w:space="0" w:color="000000"/>
              <w:right w:val="nil"/>
            </w:tcBorders>
            <w:shd w:val="clear" w:color="auto" w:fill="auto"/>
            <w:vAlign w:val="center"/>
            <w:hideMark/>
          </w:tcPr>
          <w:p w14:paraId="3B599237" w14:textId="1A9833AC" w:rsidR="00D9335F" w:rsidRDefault="00D9335F" w:rsidP="005925FE">
            <w:pPr>
              <w:jc w:val="center"/>
              <w:rPr>
                <w:color w:val="000000"/>
              </w:rPr>
            </w:pPr>
            <w:r>
              <w:rPr>
                <w:color w:val="000000"/>
              </w:rPr>
              <w:t>$4,894,846</w:t>
            </w:r>
          </w:p>
        </w:tc>
        <w:tc>
          <w:tcPr>
            <w:tcW w:w="1710" w:type="dxa"/>
            <w:tcBorders>
              <w:top w:val="nil"/>
              <w:left w:val="nil"/>
              <w:bottom w:val="single" w:sz="8" w:space="0" w:color="000000"/>
              <w:right w:val="nil"/>
            </w:tcBorders>
            <w:shd w:val="clear" w:color="auto" w:fill="auto"/>
            <w:vAlign w:val="center"/>
            <w:hideMark/>
          </w:tcPr>
          <w:p w14:paraId="764B1C92" w14:textId="1235942B" w:rsidR="00D9335F" w:rsidRDefault="00D9335F" w:rsidP="005925FE">
            <w:pPr>
              <w:jc w:val="center"/>
              <w:rPr>
                <w:color w:val="000000"/>
              </w:rPr>
            </w:pPr>
            <w:r>
              <w:rPr>
                <w:color w:val="000000"/>
              </w:rPr>
              <w:t>$11,565,529</w:t>
            </w:r>
          </w:p>
        </w:tc>
        <w:tc>
          <w:tcPr>
            <w:tcW w:w="1710" w:type="dxa"/>
            <w:tcBorders>
              <w:top w:val="nil"/>
              <w:left w:val="nil"/>
              <w:bottom w:val="single" w:sz="8" w:space="0" w:color="000000"/>
              <w:right w:val="nil"/>
            </w:tcBorders>
            <w:shd w:val="clear" w:color="auto" w:fill="auto"/>
            <w:vAlign w:val="center"/>
            <w:hideMark/>
          </w:tcPr>
          <w:p w14:paraId="3A941004" w14:textId="5E09CD24" w:rsidR="00D9335F" w:rsidRDefault="00D9335F" w:rsidP="005925FE">
            <w:pPr>
              <w:jc w:val="center"/>
              <w:rPr>
                <w:color w:val="000000"/>
              </w:rPr>
            </w:pPr>
            <w:r>
              <w:rPr>
                <w:color w:val="000000"/>
              </w:rPr>
              <w:t>5</w:t>
            </w:r>
            <w:r w:rsidR="00C24D66">
              <w:rPr>
                <w:color w:val="000000"/>
              </w:rPr>
              <w:t>8</w:t>
            </w:r>
            <w:r>
              <w:rPr>
                <w:color w:val="000000"/>
              </w:rPr>
              <w:t>%</w:t>
            </w:r>
          </w:p>
        </w:tc>
      </w:tr>
      <w:tr w:rsidR="00D9335F" w14:paraId="3E6F63A6"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29490682" w14:textId="77777777" w:rsidR="00D9335F" w:rsidRDefault="00D9335F">
            <w:pPr>
              <w:rPr>
                <w:i/>
                <w:iCs/>
                <w:color w:val="000000"/>
              </w:rPr>
            </w:pPr>
            <w:r>
              <w:rPr>
                <w:i/>
                <w:iCs/>
                <w:color w:val="000000"/>
              </w:rPr>
              <w:t>2015</w:t>
            </w:r>
          </w:p>
        </w:tc>
        <w:tc>
          <w:tcPr>
            <w:tcW w:w="1710" w:type="dxa"/>
            <w:tcBorders>
              <w:top w:val="nil"/>
              <w:left w:val="nil"/>
              <w:bottom w:val="single" w:sz="8" w:space="0" w:color="000000"/>
              <w:right w:val="nil"/>
            </w:tcBorders>
            <w:shd w:val="clear" w:color="auto" w:fill="auto"/>
            <w:vAlign w:val="center"/>
            <w:hideMark/>
          </w:tcPr>
          <w:p w14:paraId="718B8550" w14:textId="12A0EA2D" w:rsidR="00D9335F" w:rsidRDefault="00D9335F" w:rsidP="005925FE">
            <w:pPr>
              <w:jc w:val="center"/>
              <w:rPr>
                <w:color w:val="000000"/>
              </w:rPr>
            </w:pPr>
            <w:r>
              <w:rPr>
                <w:color w:val="000000"/>
              </w:rPr>
              <w:t>$6,717,629</w:t>
            </w:r>
          </w:p>
        </w:tc>
        <w:tc>
          <w:tcPr>
            <w:tcW w:w="1800" w:type="dxa"/>
            <w:tcBorders>
              <w:top w:val="nil"/>
              <w:left w:val="nil"/>
              <w:bottom w:val="single" w:sz="8" w:space="0" w:color="000000"/>
              <w:right w:val="nil"/>
            </w:tcBorders>
            <w:shd w:val="clear" w:color="auto" w:fill="auto"/>
            <w:vAlign w:val="center"/>
            <w:hideMark/>
          </w:tcPr>
          <w:p w14:paraId="108630F9" w14:textId="19AD60E9" w:rsidR="00D9335F" w:rsidRDefault="00D9335F" w:rsidP="005925FE">
            <w:pPr>
              <w:jc w:val="center"/>
              <w:rPr>
                <w:color w:val="000000"/>
              </w:rPr>
            </w:pPr>
            <w:r>
              <w:rPr>
                <w:color w:val="000000"/>
              </w:rPr>
              <w:t>$4,605,196</w:t>
            </w:r>
          </w:p>
        </w:tc>
        <w:tc>
          <w:tcPr>
            <w:tcW w:w="1710" w:type="dxa"/>
            <w:tcBorders>
              <w:top w:val="nil"/>
              <w:left w:val="nil"/>
              <w:bottom w:val="single" w:sz="8" w:space="0" w:color="000000"/>
              <w:right w:val="nil"/>
            </w:tcBorders>
            <w:shd w:val="clear" w:color="auto" w:fill="auto"/>
            <w:vAlign w:val="center"/>
            <w:hideMark/>
          </w:tcPr>
          <w:p w14:paraId="07116AF2" w14:textId="6C744011" w:rsidR="00D9335F" w:rsidRDefault="00D9335F" w:rsidP="005925FE">
            <w:pPr>
              <w:jc w:val="center"/>
              <w:rPr>
                <w:color w:val="000000"/>
              </w:rPr>
            </w:pPr>
            <w:r>
              <w:rPr>
                <w:color w:val="000000"/>
              </w:rPr>
              <w:t>$11,322,825</w:t>
            </w:r>
          </w:p>
        </w:tc>
        <w:tc>
          <w:tcPr>
            <w:tcW w:w="1710" w:type="dxa"/>
            <w:tcBorders>
              <w:top w:val="nil"/>
              <w:left w:val="nil"/>
              <w:bottom w:val="single" w:sz="8" w:space="0" w:color="000000"/>
              <w:right w:val="nil"/>
            </w:tcBorders>
            <w:shd w:val="clear" w:color="auto" w:fill="auto"/>
            <w:vAlign w:val="center"/>
            <w:hideMark/>
          </w:tcPr>
          <w:p w14:paraId="42407904" w14:textId="390FC69B" w:rsidR="00D9335F" w:rsidRDefault="00D9335F" w:rsidP="005925FE">
            <w:pPr>
              <w:jc w:val="center"/>
              <w:rPr>
                <w:color w:val="000000"/>
              </w:rPr>
            </w:pPr>
            <w:r>
              <w:rPr>
                <w:color w:val="000000"/>
              </w:rPr>
              <w:t>59%</w:t>
            </w:r>
          </w:p>
        </w:tc>
      </w:tr>
      <w:tr w:rsidR="00D9335F" w14:paraId="6D619DFE"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524E9EEF" w14:textId="74DBD687" w:rsidR="00D9335F" w:rsidRDefault="00D9335F">
            <w:pPr>
              <w:rPr>
                <w:i/>
                <w:iCs/>
                <w:color w:val="000000"/>
              </w:rPr>
            </w:pPr>
            <w:r>
              <w:rPr>
                <w:i/>
                <w:iCs/>
                <w:color w:val="000000"/>
              </w:rPr>
              <w:t>2016 (projected)</w:t>
            </w:r>
            <w:r w:rsidR="00FF697B">
              <w:rPr>
                <w:i/>
                <w:iCs/>
                <w:color w:val="000000"/>
              </w:rPr>
              <w:t xml:space="preserve"> </w:t>
            </w:r>
            <w:r>
              <w:rPr>
                <w:rStyle w:val="FootnoteReference"/>
                <w:i/>
                <w:iCs/>
                <w:color w:val="000000"/>
              </w:rPr>
              <w:footnoteReference w:id="7"/>
            </w:r>
          </w:p>
        </w:tc>
        <w:tc>
          <w:tcPr>
            <w:tcW w:w="1710" w:type="dxa"/>
            <w:tcBorders>
              <w:top w:val="nil"/>
              <w:left w:val="nil"/>
              <w:bottom w:val="single" w:sz="8" w:space="0" w:color="000000"/>
              <w:right w:val="nil"/>
            </w:tcBorders>
            <w:shd w:val="clear" w:color="auto" w:fill="auto"/>
            <w:vAlign w:val="center"/>
            <w:hideMark/>
          </w:tcPr>
          <w:p w14:paraId="2D34298A" w14:textId="749D2A32" w:rsidR="00D9335F" w:rsidRDefault="00D9335F" w:rsidP="005925FE">
            <w:pPr>
              <w:jc w:val="center"/>
              <w:rPr>
                <w:color w:val="000000"/>
              </w:rPr>
            </w:pPr>
            <w:r>
              <w:rPr>
                <w:color w:val="000000"/>
              </w:rPr>
              <w:t>$7,906,634</w:t>
            </w:r>
          </w:p>
        </w:tc>
        <w:tc>
          <w:tcPr>
            <w:tcW w:w="1800" w:type="dxa"/>
            <w:tcBorders>
              <w:top w:val="nil"/>
              <w:left w:val="nil"/>
              <w:bottom w:val="single" w:sz="8" w:space="0" w:color="000000"/>
              <w:right w:val="nil"/>
            </w:tcBorders>
            <w:shd w:val="clear" w:color="auto" w:fill="auto"/>
            <w:vAlign w:val="center"/>
            <w:hideMark/>
          </w:tcPr>
          <w:p w14:paraId="452A707E" w14:textId="04E8E03A" w:rsidR="00D9335F" w:rsidRDefault="00D9335F" w:rsidP="005925FE">
            <w:pPr>
              <w:jc w:val="center"/>
              <w:rPr>
                <w:color w:val="000000"/>
              </w:rPr>
            </w:pPr>
            <w:r>
              <w:rPr>
                <w:color w:val="000000"/>
              </w:rPr>
              <w:t>$4,607,033</w:t>
            </w:r>
          </w:p>
        </w:tc>
        <w:tc>
          <w:tcPr>
            <w:tcW w:w="1710" w:type="dxa"/>
            <w:tcBorders>
              <w:top w:val="nil"/>
              <w:left w:val="nil"/>
              <w:bottom w:val="single" w:sz="8" w:space="0" w:color="000000"/>
              <w:right w:val="nil"/>
            </w:tcBorders>
            <w:shd w:val="clear" w:color="auto" w:fill="auto"/>
            <w:vAlign w:val="center"/>
            <w:hideMark/>
          </w:tcPr>
          <w:p w14:paraId="082A780E" w14:textId="02D8366E" w:rsidR="00D9335F" w:rsidRDefault="00D9335F" w:rsidP="005925FE">
            <w:pPr>
              <w:jc w:val="center"/>
              <w:rPr>
                <w:color w:val="000000"/>
              </w:rPr>
            </w:pPr>
            <w:r>
              <w:rPr>
                <w:color w:val="000000"/>
              </w:rPr>
              <w:t>$12,513,667</w:t>
            </w:r>
          </w:p>
        </w:tc>
        <w:tc>
          <w:tcPr>
            <w:tcW w:w="1710" w:type="dxa"/>
            <w:tcBorders>
              <w:top w:val="nil"/>
              <w:left w:val="nil"/>
              <w:bottom w:val="single" w:sz="8" w:space="0" w:color="000000"/>
              <w:right w:val="nil"/>
            </w:tcBorders>
            <w:shd w:val="clear" w:color="auto" w:fill="auto"/>
            <w:vAlign w:val="center"/>
            <w:hideMark/>
          </w:tcPr>
          <w:p w14:paraId="604C623D" w14:textId="2D42EAB2" w:rsidR="00D9335F" w:rsidRDefault="00D9335F" w:rsidP="005925FE">
            <w:pPr>
              <w:jc w:val="center"/>
              <w:rPr>
                <w:color w:val="000000"/>
              </w:rPr>
            </w:pPr>
            <w:r>
              <w:rPr>
                <w:color w:val="000000"/>
              </w:rPr>
              <w:t>63%</w:t>
            </w:r>
          </w:p>
        </w:tc>
      </w:tr>
      <w:tr w:rsidR="00D9335F" w14:paraId="21989B58" w14:textId="77777777" w:rsidTr="005925FE">
        <w:trPr>
          <w:trHeight w:val="315"/>
        </w:trPr>
        <w:tc>
          <w:tcPr>
            <w:tcW w:w="1980" w:type="dxa"/>
            <w:tcBorders>
              <w:top w:val="nil"/>
              <w:left w:val="nil"/>
              <w:bottom w:val="single" w:sz="8" w:space="0" w:color="000000"/>
              <w:right w:val="nil"/>
            </w:tcBorders>
            <w:shd w:val="clear" w:color="auto" w:fill="auto"/>
            <w:vAlign w:val="center"/>
            <w:hideMark/>
          </w:tcPr>
          <w:p w14:paraId="54F6FF53" w14:textId="77777777" w:rsidR="00D9335F" w:rsidRDefault="00D9335F">
            <w:pPr>
              <w:rPr>
                <w:i/>
                <w:iCs/>
                <w:color w:val="000000"/>
              </w:rPr>
            </w:pPr>
            <w:r>
              <w:rPr>
                <w:i/>
                <w:iCs/>
                <w:color w:val="000000"/>
              </w:rPr>
              <w:lastRenderedPageBreak/>
              <w:t>2017 (projected)</w:t>
            </w:r>
          </w:p>
        </w:tc>
        <w:tc>
          <w:tcPr>
            <w:tcW w:w="1710" w:type="dxa"/>
            <w:tcBorders>
              <w:top w:val="nil"/>
              <w:left w:val="nil"/>
              <w:bottom w:val="single" w:sz="8" w:space="0" w:color="000000"/>
              <w:right w:val="nil"/>
            </w:tcBorders>
            <w:shd w:val="clear" w:color="auto" w:fill="auto"/>
            <w:vAlign w:val="center"/>
            <w:hideMark/>
          </w:tcPr>
          <w:p w14:paraId="22ADFC47" w14:textId="7106FFB4" w:rsidR="00D9335F" w:rsidRDefault="00D9335F" w:rsidP="005925FE">
            <w:pPr>
              <w:jc w:val="center"/>
              <w:rPr>
                <w:color w:val="000000"/>
              </w:rPr>
            </w:pPr>
            <w:r>
              <w:rPr>
                <w:color w:val="000000"/>
              </w:rPr>
              <w:t>$8,081,741</w:t>
            </w:r>
          </w:p>
        </w:tc>
        <w:tc>
          <w:tcPr>
            <w:tcW w:w="1800" w:type="dxa"/>
            <w:tcBorders>
              <w:top w:val="nil"/>
              <w:left w:val="nil"/>
              <w:bottom w:val="single" w:sz="8" w:space="0" w:color="000000"/>
              <w:right w:val="nil"/>
            </w:tcBorders>
            <w:shd w:val="clear" w:color="auto" w:fill="auto"/>
            <w:vAlign w:val="center"/>
            <w:hideMark/>
          </w:tcPr>
          <w:p w14:paraId="07B40391" w14:textId="3E4FC271" w:rsidR="00D9335F" w:rsidRDefault="00D9335F" w:rsidP="005925FE">
            <w:pPr>
              <w:jc w:val="center"/>
              <w:rPr>
                <w:color w:val="000000"/>
              </w:rPr>
            </w:pPr>
            <w:r>
              <w:rPr>
                <w:color w:val="000000"/>
              </w:rPr>
              <w:t>$4,849,927</w:t>
            </w:r>
          </w:p>
        </w:tc>
        <w:tc>
          <w:tcPr>
            <w:tcW w:w="1710" w:type="dxa"/>
            <w:tcBorders>
              <w:top w:val="nil"/>
              <w:left w:val="nil"/>
              <w:bottom w:val="single" w:sz="8" w:space="0" w:color="000000"/>
              <w:right w:val="nil"/>
            </w:tcBorders>
            <w:shd w:val="clear" w:color="auto" w:fill="auto"/>
            <w:vAlign w:val="center"/>
            <w:hideMark/>
          </w:tcPr>
          <w:p w14:paraId="1FF98800" w14:textId="7743C801" w:rsidR="00D9335F" w:rsidRDefault="00D9335F" w:rsidP="005925FE">
            <w:pPr>
              <w:jc w:val="center"/>
              <w:rPr>
                <w:color w:val="000000"/>
              </w:rPr>
            </w:pPr>
            <w:r>
              <w:rPr>
                <w:color w:val="000000"/>
              </w:rPr>
              <w:t>$12,931,668</w:t>
            </w:r>
          </w:p>
        </w:tc>
        <w:tc>
          <w:tcPr>
            <w:tcW w:w="1710" w:type="dxa"/>
            <w:tcBorders>
              <w:top w:val="nil"/>
              <w:left w:val="nil"/>
              <w:bottom w:val="single" w:sz="8" w:space="0" w:color="000000"/>
              <w:right w:val="nil"/>
            </w:tcBorders>
            <w:shd w:val="clear" w:color="auto" w:fill="auto"/>
            <w:vAlign w:val="center"/>
            <w:hideMark/>
          </w:tcPr>
          <w:p w14:paraId="42E335ED" w14:textId="7B3285F4" w:rsidR="00D9335F" w:rsidRDefault="00D9335F" w:rsidP="005925FE">
            <w:pPr>
              <w:jc w:val="center"/>
              <w:rPr>
                <w:color w:val="000000"/>
              </w:rPr>
            </w:pPr>
            <w:r>
              <w:rPr>
                <w:color w:val="000000"/>
              </w:rPr>
              <w:t>6</w:t>
            </w:r>
            <w:r w:rsidR="00C24D66">
              <w:rPr>
                <w:color w:val="000000"/>
              </w:rPr>
              <w:t>3</w:t>
            </w:r>
            <w:r>
              <w:rPr>
                <w:color w:val="000000"/>
              </w:rPr>
              <w:t>%</w:t>
            </w:r>
          </w:p>
        </w:tc>
      </w:tr>
    </w:tbl>
    <w:p w14:paraId="013A508A" w14:textId="420687E2" w:rsidR="0039293B" w:rsidRDefault="0039293B" w:rsidP="00B05229"/>
    <w:p w14:paraId="1285CDA6" w14:textId="20EEA798" w:rsidR="00D9335F" w:rsidRPr="001416F7" w:rsidRDefault="00DD1FE1" w:rsidP="00B05229">
      <w:r>
        <w:t xml:space="preserve">Commission </w:t>
      </w:r>
      <w:r w:rsidR="00FF697B">
        <w:t xml:space="preserve">staff </w:t>
      </w:r>
      <w:r>
        <w:t>recommend</w:t>
      </w:r>
      <w:r w:rsidR="00FF697B">
        <w:t xml:space="preserve"> that all </w:t>
      </w:r>
      <w:r w:rsidR="00D9335F">
        <w:t xml:space="preserve">conservation programs </w:t>
      </w:r>
      <w:r w:rsidR="00FF697B">
        <w:t xml:space="preserve">spend </w:t>
      </w:r>
      <w:r w:rsidR="00D9335F">
        <w:t xml:space="preserve">60 percent </w:t>
      </w:r>
      <w:r w:rsidR="00FF697B">
        <w:t xml:space="preserve">or more of their total conservation budgets to provide direct benefits to their customers. </w:t>
      </w:r>
      <w:r w:rsidR="008A405C">
        <w:t xml:space="preserve">Pacific Power estimates that their conservation program will meet this expectation in 2017. The company’s historical performance also indicates that the company is on a positive trajectory. Nevertheless, commission staff sees value in coordinating with the company and advisory group to establish a suite of well-defined metrics for judging the health of the conservation program going forward. </w:t>
      </w:r>
    </w:p>
    <w:p w14:paraId="5E220097" w14:textId="77777777" w:rsidR="00A762C7" w:rsidRDefault="00A762C7" w:rsidP="00B05229"/>
    <w:p w14:paraId="7D774764" w14:textId="32208E8F" w:rsidR="007641F0" w:rsidRPr="007641F0" w:rsidRDefault="007641F0" w:rsidP="00E97129">
      <w:r w:rsidRPr="007641F0">
        <w:rPr>
          <w:b/>
          <w:i/>
        </w:rPr>
        <w:t>Program Changes:</w:t>
      </w:r>
      <w:r>
        <w:t xml:space="preserve"> Pacific Power has a number of programmatic changes for 2017, incl</w:t>
      </w:r>
      <w:r w:rsidR="00E97129">
        <w:t xml:space="preserve">uding a suite of pilot programs – heat pump dryers, increased efforts with new manufactured homes, waste heat </w:t>
      </w:r>
      <w:r w:rsidR="00DC4337">
        <w:t xml:space="preserve">to </w:t>
      </w:r>
      <w:r w:rsidR="00E97129">
        <w:t xml:space="preserve">power, </w:t>
      </w:r>
      <w:r w:rsidR="00066554">
        <w:t xml:space="preserve">incentive </w:t>
      </w:r>
      <w:r w:rsidR="00E97129">
        <w:t xml:space="preserve">improvements </w:t>
      </w:r>
      <w:r w:rsidR="00066554">
        <w:t>in</w:t>
      </w:r>
      <w:r w:rsidR="00E97129">
        <w:t xml:space="preserve"> the</w:t>
      </w:r>
      <w:r w:rsidR="00066554">
        <w:t xml:space="preserve"> company’s </w:t>
      </w:r>
      <w:r w:rsidR="00E97129">
        <w:t>trade ally network, and a pilot that aims to reduce the need for infrastructure investments in Yakima through targeted conservation efforts.</w:t>
      </w:r>
    </w:p>
    <w:p w14:paraId="0560979E" w14:textId="77777777" w:rsidR="007641F0" w:rsidRPr="006B52CB" w:rsidRDefault="007641F0" w:rsidP="00B05229"/>
    <w:p w14:paraId="25EA8AEF" w14:textId="77777777" w:rsidR="00FB18E4" w:rsidRPr="00720A28" w:rsidRDefault="00FB18E4" w:rsidP="00FB18E4">
      <w:pPr>
        <w:pStyle w:val="Heading1"/>
      </w:pPr>
      <w:r w:rsidRPr="0064788E">
        <w:t>Stakeholder Comments</w:t>
      </w:r>
    </w:p>
    <w:p w14:paraId="31E0BDAE" w14:textId="42D51D93" w:rsidR="00FB18E4" w:rsidRDefault="00FB18E4" w:rsidP="00FB18E4">
      <w:r>
        <w:t xml:space="preserve">In comments filed on January 20, 2017, Utility Conservation Services, LLC (UCONS) supported efforts to acquire conservation in hard-to-reach markets, specifically manufactured homes. In addition to urging the Commission to reinforce these efforts, UCONS suggests requiring reporting savings by sector alongside the conservation potential for each sector. UCONS </w:t>
      </w:r>
      <w:r>
        <w:lastRenderedPageBreak/>
        <w:t xml:space="preserve">recognized Pacific Power’s ACP as “the most specific in addressing the demands of [the Northwest </w:t>
      </w:r>
      <w:r w:rsidR="008D6CEF">
        <w:t>Power and Conservation Council’s] 7</w:t>
      </w:r>
      <w:r w:rsidR="008D6CEF" w:rsidRPr="008D6CEF">
        <w:rPr>
          <w:vertAlign w:val="superscript"/>
        </w:rPr>
        <w:t>th</w:t>
      </w:r>
      <w:r w:rsidR="008D6CEF">
        <w:t xml:space="preserve"> Power Plan.”</w:t>
      </w:r>
      <w:r w:rsidR="008D6CEF">
        <w:rPr>
          <w:rStyle w:val="FootnoteReference"/>
        </w:rPr>
        <w:footnoteReference w:id="8"/>
      </w:r>
    </w:p>
    <w:p w14:paraId="15D9814C" w14:textId="77777777" w:rsidR="00FB18E4" w:rsidRDefault="00FB18E4" w:rsidP="00FB18E4"/>
    <w:p w14:paraId="54420638" w14:textId="0F94DD25" w:rsidR="00FB18E4" w:rsidRPr="00720A28" w:rsidRDefault="00FB18E4" w:rsidP="00FB18E4">
      <w:r>
        <w:t xml:space="preserve">Staff encourages </w:t>
      </w:r>
      <w:r w:rsidR="008D6CEF">
        <w:t xml:space="preserve">Pacific Power </w:t>
      </w:r>
      <w:r>
        <w:t xml:space="preserve">to evaluate the merits </w:t>
      </w:r>
      <w:r w:rsidR="008D6CEF">
        <w:t xml:space="preserve">and applicability </w:t>
      </w:r>
      <w:r>
        <w:t xml:space="preserve">of the </w:t>
      </w:r>
      <w:r w:rsidR="008D6CEF">
        <w:t xml:space="preserve">UCONS’s </w:t>
      </w:r>
      <w:r>
        <w:t xml:space="preserve">pilot </w:t>
      </w:r>
      <w:r w:rsidR="008D6CEF">
        <w:t xml:space="preserve">proposal, which was tailored for PSE but may also be appropriate as a part of Pacific Power’s conservation </w:t>
      </w:r>
      <w:r>
        <w:t>program.</w:t>
      </w:r>
    </w:p>
    <w:p w14:paraId="03F5625F" w14:textId="77777777" w:rsidR="00FB18E4" w:rsidRDefault="00FB18E4" w:rsidP="00B05229">
      <w:pPr>
        <w:rPr>
          <w:b/>
        </w:rPr>
      </w:pPr>
    </w:p>
    <w:p w14:paraId="5F64E9AF" w14:textId="77777777" w:rsidR="00531701" w:rsidRDefault="00531701" w:rsidP="00B05229">
      <w:pPr>
        <w:rPr>
          <w:b/>
          <w:u w:val="single"/>
        </w:rPr>
      </w:pPr>
      <w:r w:rsidRPr="005925FE">
        <w:rPr>
          <w:b/>
          <w:u w:val="single"/>
        </w:rPr>
        <w:t>Conclusion</w:t>
      </w:r>
      <w:r w:rsidR="000B6766" w:rsidRPr="005925FE">
        <w:rPr>
          <w:b/>
          <w:u w:val="single"/>
        </w:rPr>
        <w:t xml:space="preserve"> </w:t>
      </w:r>
    </w:p>
    <w:p w14:paraId="1B576C1B" w14:textId="77777777" w:rsidR="005925FE" w:rsidRPr="005925FE" w:rsidRDefault="005925FE" w:rsidP="00B05229">
      <w:pPr>
        <w:rPr>
          <w:b/>
          <w:u w:val="single"/>
        </w:rPr>
      </w:pPr>
    </w:p>
    <w:p w14:paraId="069F1B4C" w14:textId="77777777" w:rsidR="00CE1BA5" w:rsidRPr="006B52CB" w:rsidRDefault="007C03E1" w:rsidP="00B05229">
      <w:r w:rsidRPr="006B52CB">
        <w:t xml:space="preserve">Pacific Power has complied with </w:t>
      </w:r>
      <w:r w:rsidR="00C52878">
        <w:t xml:space="preserve">WAC 480-109-120 (2) and with </w:t>
      </w:r>
      <w:r w:rsidRPr="006B52CB">
        <w:t>condition</w:t>
      </w:r>
      <w:r w:rsidR="00C52878">
        <w:t>s</w:t>
      </w:r>
      <w:r w:rsidRPr="006B52CB">
        <w:t xml:space="preserve"> </w:t>
      </w:r>
      <w:r w:rsidR="00C52878">
        <w:t>4 and 5</w:t>
      </w:r>
      <w:r w:rsidRPr="006B52CB">
        <w:t xml:space="preserve"> of Order 01 in this docket, which required the company to submit </w:t>
      </w:r>
      <w:r w:rsidR="00C52878">
        <w:t>an Annual Conservation Plan and program</w:t>
      </w:r>
      <w:r w:rsidRPr="006B52CB">
        <w:t xml:space="preserve"> revisions. Staff therefore recommends that the commission take no action and acknowledge timely submission of this </w:t>
      </w:r>
      <w:r w:rsidR="002934B8" w:rsidRPr="006B52CB">
        <w:t>plan</w:t>
      </w:r>
      <w:r w:rsidRPr="006B52CB">
        <w:t>.</w:t>
      </w:r>
    </w:p>
    <w:sectPr w:rsidR="00CE1BA5" w:rsidRPr="006B52CB"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7D56" w14:textId="77777777" w:rsidR="00A762C7" w:rsidRDefault="00A762C7" w:rsidP="00FF75F4">
      <w:r>
        <w:separator/>
      </w:r>
    </w:p>
  </w:endnote>
  <w:endnote w:type="continuationSeparator" w:id="0">
    <w:p w14:paraId="6068746E" w14:textId="77777777" w:rsidR="00A762C7" w:rsidRDefault="00A762C7" w:rsidP="00FF75F4">
      <w:r>
        <w:continuationSeparator/>
      </w:r>
    </w:p>
  </w:endnote>
  <w:endnote w:type="continuationNotice" w:id="1">
    <w:p w14:paraId="676A7875" w14:textId="77777777" w:rsidR="00A762C7" w:rsidRDefault="00A7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F0FB" w14:textId="77777777" w:rsidR="00A762C7" w:rsidRDefault="00A762C7" w:rsidP="00FF75F4">
      <w:r>
        <w:separator/>
      </w:r>
    </w:p>
  </w:footnote>
  <w:footnote w:type="continuationSeparator" w:id="0">
    <w:p w14:paraId="03EA6F54" w14:textId="77777777" w:rsidR="00A762C7" w:rsidRDefault="00A762C7" w:rsidP="00FF75F4">
      <w:r>
        <w:continuationSeparator/>
      </w:r>
    </w:p>
  </w:footnote>
  <w:footnote w:type="continuationNotice" w:id="1">
    <w:p w14:paraId="0B719C68" w14:textId="77777777" w:rsidR="00A762C7" w:rsidRDefault="00A762C7"/>
  </w:footnote>
  <w:footnote w:id="2">
    <w:p w14:paraId="253CBF31" w14:textId="0BA53D36" w:rsidR="00A762C7" w:rsidRDefault="00A762C7">
      <w:pPr>
        <w:pStyle w:val="FootnoteText"/>
      </w:pPr>
      <w:r>
        <w:rPr>
          <w:rStyle w:val="FootnoteReference"/>
        </w:rPr>
        <w:footnoteRef/>
      </w:r>
      <w:r>
        <w:t xml:space="preserve"> </w:t>
      </w:r>
      <w:r w:rsidRPr="00C7703C">
        <w:t xml:space="preserve">Savings associated with the company’s participation in the Northwest Energy Efficiency Alliance (NEEA), which the commission </w:t>
      </w:r>
      <w:r>
        <w:t>determined</w:t>
      </w:r>
      <w:r w:rsidRPr="00C7703C">
        <w:t xml:space="preserve"> </w:t>
      </w:r>
      <w:r>
        <w:t>sh</w:t>
      </w:r>
      <w:r w:rsidRPr="00C7703C">
        <w:t xml:space="preserve">ould be tracked independently of the company’s target for this biennium, </w:t>
      </w:r>
      <w:r>
        <w:t>would combine with Pacific Power’s</w:t>
      </w:r>
      <w:r w:rsidRPr="00C7703C">
        <w:t xml:space="preserve"> </w:t>
      </w:r>
      <w:r>
        <w:t xml:space="preserve">conservation efforts for a </w:t>
      </w:r>
      <w:r w:rsidRPr="00C7703C">
        <w:t>projected 96,876 MWh</w:t>
      </w:r>
      <w:r>
        <w:t xml:space="preserve"> in savings</w:t>
      </w:r>
      <w:r w:rsidRPr="00C7703C">
        <w:t xml:space="preserve">, </w:t>
      </w:r>
      <w:r>
        <w:t>and</w:t>
      </w:r>
      <w:r w:rsidRPr="00C7703C">
        <w:t xml:space="preserve"> a budget of $24.6 million.</w:t>
      </w:r>
    </w:p>
  </w:footnote>
  <w:footnote w:id="3">
    <w:p w14:paraId="267F83DC" w14:textId="7937D58A" w:rsidR="00A762C7" w:rsidRDefault="00A762C7">
      <w:pPr>
        <w:pStyle w:val="FootnoteText"/>
      </w:pPr>
      <w:r>
        <w:rPr>
          <w:rStyle w:val="FootnoteReference"/>
        </w:rPr>
        <w:footnoteRef/>
      </w:r>
      <w:r>
        <w:t xml:space="preserve"> </w:t>
      </w:r>
      <w:r w:rsidR="00294150">
        <w:rPr>
          <w:i/>
        </w:rPr>
        <w:t xml:space="preserve">Washington </w:t>
      </w:r>
      <w:r w:rsidR="008D230C" w:rsidRPr="00AB6F23">
        <w:rPr>
          <w:i/>
        </w:rPr>
        <w:t>Utilities &amp; Transportation Commission v. Pacific Power &amp; Light Company</w:t>
      </w:r>
      <w:r w:rsidR="008D230C">
        <w:t xml:space="preserve">, </w:t>
      </w:r>
      <w:r>
        <w:t xml:space="preserve">Docket UE-152253, Order 12, </w:t>
      </w:r>
      <w:r w:rsidR="00E7712A">
        <w:t xml:space="preserve">paragraph </w:t>
      </w:r>
      <w:r>
        <w:t>7</w:t>
      </w:r>
      <w:r w:rsidR="00E7712A">
        <w:t xml:space="preserve">, item </w:t>
      </w:r>
      <w:r>
        <w:t>4</w:t>
      </w:r>
      <w:r w:rsidR="00E7712A">
        <w:t xml:space="preserve"> (page 6)</w:t>
      </w:r>
      <w:r>
        <w:t>.</w:t>
      </w:r>
    </w:p>
  </w:footnote>
  <w:footnote w:id="4">
    <w:p w14:paraId="04F24639" w14:textId="77777777" w:rsidR="00A762C7" w:rsidRDefault="00A762C7" w:rsidP="006B52CB">
      <w:pPr>
        <w:pStyle w:val="FootnoteText"/>
      </w:pPr>
      <w:r>
        <w:rPr>
          <w:rStyle w:val="FootnoteReference"/>
        </w:rPr>
        <w:footnoteRef/>
      </w:r>
      <w:r>
        <w:t xml:space="preserve"> Pacific Power’s 2017 Annual Conservation Plan, p. 7.</w:t>
      </w:r>
    </w:p>
  </w:footnote>
  <w:footnote w:id="5">
    <w:p w14:paraId="5D7CAE21" w14:textId="52EB164C" w:rsidR="00A762C7" w:rsidRDefault="00A762C7" w:rsidP="00C52878">
      <w:pPr>
        <w:pStyle w:val="FootnoteText"/>
      </w:pPr>
      <w:r>
        <w:rPr>
          <w:rStyle w:val="FootnoteReference"/>
        </w:rPr>
        <w:footnoteRef/>
      </w:r>
      <w:r>
        <w:t xml:space="preserve"> Pacific Power’s 2017 ACP, Appendix 1 – Program and Portfolio-Level Cost-Effectiveness; table 20. Navigant’s cost effectiveness study uses Pacific Power’s projections for the 2017 program year only. </w:t>
      </w:r>
    </w:p>
  </w:footnote>
  <w:footnote w:id="6">
    <w:p w14:paraId="757862EE" w14:textId="77777777" w:rsidR="008A405C" w:rsidRDefault="008A405C" w:rsidP="008A405C">
      <w:pPr>
        <w:pStyle w:val="FootnoteText"/>
      </w:pPr>
      <w:r>
        <w:rPr>
          <w:rStyle w:val="FootnoteReference"/>
        </w:rPr>
        <w:footnoteRef/>
      </w:r>
      <w:r>
        <w:t xml:space="preserve"> Direct benefits to customers includes but is not limited to: customer incentives, rebates, bill credits, credits on purchases, payments to community action agencies, free efficiency measures, and upstream incentives to partners or trade allies.</w:t>
      </w:r>
    </w:p>
  </w:footnote>
  <w:footnote w:id="7">
    <w:p w14:paraId="7B41A2BE" w14:textId="62D6DE16" w:rsidR="00D9335F" w:rsidRDefault="00D9335F">
      <w:pPr>
        <w:pStyle w:val="FootnoteText"/>
      </w:pPr>
      <w:r>
        <w:rPr>
          <w:rStyle w:val="FootnoteReference"/>
        </w:rPr>
        <w:footnoteRef/>
      </w:r>
      <w:r>
        <w:t xml:space="preserve"> </w:t>
      </w:r>
      <w:r w:rsidRPr="00D9335F">
        <w:t>Percentage of direct</w:t>
      </w:r>
      <w:r w:rsidR="008A405C">
        <w:t>-</w:t>
      </w:r>
      <w:r w:rsidRPr="00D9335F">
        <w:t>benefit</w:t>
      </w:r>
      <w:r w:rsidR="008A405C">
        <w:t>-</w:t>
      </w:r>
      <w:r w:rsidRPr="00D9335F">
        <w:t>to</w:t>
      </w:r>
      <w:r w:rsidR="008A405C">
        <w:t>-</w:t>
      </w:r>
      <w:r w:rsidRPr="00D9335F">
        <w:t xml:space="preserve">customer for the </w:t>
      </w:r>
      <w:r w:rsidR="008A405C" w:rsidRPr="00D9335F">
        <w:t>low</w:t>
      </w:r>
      <w:r w:rsidR="008A405C">
        <w:t>-i</w:t>
      </w:r>
      <w:r w:rsidR="008A405C" w:rsidRPr="00D9335F">
        <w:t xml:space="preserve">ncome weatherization </w:t>
      </w:r>
      <w:r w:rsidRPr="00D9335F">
        <w:t xml:space="preserve">program estimated by </w:t>
      </w:r>
      <w:r w:rsidR="008A405C">
        <w:t>commission</w:t>
      </w:r>
      <w:r w:rsidR="008A405C" w:rsidRPr="00D9335F">
        <w:t xml:space="preserve"> </w:t>
      </w:r>
      <w:r w:rsidRPr="00D9335F">
        <w:t>staff based on the program’s historical performance.</w:t>
      </w:r>
    </w:p>
  </w:footnote>
  <w:footnote w:id="8">
    <w:p w14:paraId="04DC7A48" w14:textId="24582CA2" w:rsidR="008D6CEF" w:rsidRDefault="008D6CEF">
      <w:pPr>
        <w:pStyle w:val="FootnoteText"/>
      </w:pPr>
      <w:r>
        <w:rPr>
          <w:rStyle w:val="FootnoteReference"/>
        </w:rPr>
        <w:footnoteRef/>
      </w:r>
      <w:r>
        <w:t xml:space="preserve"> UCONS comments, pg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84BB" w14:textId="77777777" w:rsidR="00A762C7" w:rsidRPr="00777586" w:rsidRDefault="00A762C7" w:rsidP="002C648F">
    <w:pPr>
      <w:pStyle w:val="Header"/>
      <w:rPr>
        <w:sz w:val="20"/>
        <w:szCs w:val="20"/>
      </w:rPr>
    </w:pPr>
    <w:r w:rsidRPr="00777586">
      <w:rPr>
        <w:sz w:val="20"/>
        <w:szCs w:val="20"/>
      </w:rPr>
      <w:t>D</w:t>
    </w:r>
    <w:r>
      <w:rPr>
        <w:sz w:val="20"/>
        <w:szCs w:val="20"/>
      </w:rPr>
      <w:t>OCKET UE-152072</w:t>
    </w:r>
  </w:p>
  <w:p w14:paraId="19D9E6E2" w14:textId="68BC925C" w:rsidR="00A762C7" w:rsidRPr="00777586" w:rsidRDefault="00EA2888" w:rsidP="002C648F">
    <w:pPr>
      <w:pStyle w:val="Header"/>
      <w:rPr>
        <w:sz w:val="20"/>
        <w:szCs w:val="20"/>
      </w:rPr>
    </w:pPr>
    <w:r>
      <w:rPr>
        <w:sz w:val="20"/>
        <w:szCs w:val="20"/>
      </w:rPr>
      <w:t>January 26, 2017</w:t>
    </w:r>
  </w:p>
  <w:p w14:paraId="577B23C6" w14:textId="77777777" w:rsidR="00A762C7" w:rsidRPr="00777586" w:rsidRDefault="00A762C7"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6F16E2">
      <w:rPr>
        <w:rStyle w:val="PageNumber"/>
        <w:noProof/>
        <w:sz w:val="20"/>
        <w:szCs w:val="20"/>
      </w:rPr>
      <w:t>2</w:t>
    </w:r>
    <w:r w:rsidRPr="00777586">
      <w:rPr>
        <w:rStyle w:val="PageNumber"/>
        <w:sz w:val="20"/>
        <w:szCs w:val="20"/>
      </w:rPr>
      <w:fldChar w:fldCharType="end"/>
    </w:r>
  </w:p>
  <w:p w14:paraId="2A183B32" w14:textId="77777777" w:rsidR="00A762C7" w:rsidRPr="00E05888" w:rsidRDefault="00A762C7"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E72"/>
    <w:multiLevelType w:val="hybridMultilevel"/>
    <w:tmpl w:val="08F4EF72"/>
    <w:lvl w:ilvl="0" w:tplc="69181A1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126E3"/>
    <w:rsid w:val="00013236"/>
    <w:rsid w:val="00013E26"/>
    <w:rsid w:val="000163EC"/>
    <w:rsid w:val="00021F9E"/>
    <w:rsid w:val="00025FA6"/>
    <w:rsid w:val="000326C2"/>
    <w:rsid w:val="00037C78"/>
    <w:rsid w:val="00040CE3"/>
    <w:rsid w:val="00041921"/>
    <w:rsid w:val="00042271"/>
    <w:rsid w:val="00043283"/>
    <w:rsid w:val="00045810"/>
    <w:rsid w:val="00046219"/>
    <w:rsid w:val="00047427"/>
    <w:rsid w:val="00052CF6"/>
    <w:rsid w:val="00054659"/>
    <w:rsid w:val="00057A1C"/>
    <w:rsid w:val="00063802"/>
    <w:rsid w:val="00066554"/>
    <w:rsid w:val="0007172B"/>
    <w:rsid w:val="0007323E"/>
    <w:rsid w:val="00075F9E"/>
    <w:rsid w:val="00082655"/>
    <w:rsid w:val="00086F2E"/>
    <w:rsid w:val="000878B9"/>
    <w:rsid w:val="0009032D"/>
    <w:rsid w:val="00092CAE"/>
    <w:rsid w:val="00092E6A"/>
    <w:rsid w:val="00093F47"/>
    <w:rsid w:val="0009761D"/>
    <w:rsid w:val="00097757"/>
    <w:rsid w:val="000A1774"/>
    <w:rsid w:val="000A302B"/>
    <w:rsid w:val="000A36EF"/>
    <w:rsid w:val="000A4EDF"/>
    <w:rsid w:val="000A6695"/>
    <w:rsid w:val="000B5CF1"/>
    <w:rsid w:val="000B6766"/>
    <w:rsid w:val="000C11F0"/>
    <w:rsid w:val="000C3464"/>
    <w:rsid w:val="000C561A"/>
    <w:rsid w:val="000C641A"/>
    <w:rsid w:val="000C6F30"/>
    <w:rsid w:val="000C7279"/>
    <w:rsid w:val="000D120B"/>
    <w:rsid w:val="000D16AB"/>
    <w:rsid w:val="000D2AAE"/>
    <w:rsid w:val="000D335F"/>
    <w:rsid w:val="000D3B2E"/>
    <w:rsid w:val="000E2D0C"/>
    <w:rsid w:val="000E5A4A"/>
    <w:rsid w:val="000F018D"/>
    <w:rsid w:val="000F41CD"/>
    <w:rsid w:val="000F71E4"/>
    <w:rsid w:val="00100426"/>
    <w:rsid w:val="00100726"/>
    <w:rsid w:val="00100B43"/>
    <w:rsid w:val="0010495C"/>
    <w:rsid w:val="00104E99"/>
    <w:rsid w:val="00106E5E"/>
    <w:rsid w:val="00110A41"/>
    <w:rsid w:val="001116D1"/>
    <w:rsid w:val="001131F0"/>
    <w:rsid w:val="00115F20"/>
    <w:rsid w:val="001162AB"/>
    <w:rsid w:val="0011768B"/>
    <w:rsid w:val="00124A6F"/>
    <w:rsid w:val="001261D0"/>
    <w:rsid w:val="0012639E"/>
    <w:rsid w:val="00136969"/>
    <w:rsid w:val="00140117"/>
    <w:rsid w:val="001416F7"/>
    <w:rsid w:val="00144549"/>
    <w:rsid w:val="00146617"/>
    <w:rsid w:val="00147639"/>
    <w:rsid w:val="00152793"/>
    <w:rsid w:val="001621A5"/>
    <w:rsid w:val="00162E85"/>
    <w:rsid w:val="00164C04"/>
    <w:rsid w:val="00170495"/>
    <w:rsid w:val="00170726"/>
    <w:rsid w:val="00170970"/>
    <w:rsid w:val="0017204A"/>
    <w:rsid w:val="0017261C"/>
    <w:rsid w:val="00177433"/>
    <w:rsid w:val="00180D93"/>
    <w:rsid w:val="001817C6"/>
    <w:rsid w:val="00186DE5"/>
    <w:rsid w:val="001916C0"/>
    <w:rsid w:val="001923BA"/>
    <w:rsid w:val="00192AD1"/>
    <w:rsid w:val="00194217"/>
    <w:rsid w:val="00194C72"/>
    <w:rsid w:val="00196880"/>
    <w:rsid w:val="001A408A"/>
    <w:rsid w:val="001B4AC2"/>
    <w:rsid w:val="001C41E2"/>
    <w:rsid w:val="001C424C"/>
    <w:rsid w:val="001C5930"/>
    <w:rsid w:val="001C69AA"/>
    <w:rsid w:val="001C76BA"/>
    <w:rsid w:val="001C78C3"/>
    <w:rsid w:val="001C7A21"/>
    <w:rsid w:val="001D0D50"/>
    <w:rsid w:val="001F1DEC"/>
    <w:rsid w:val="001F4BAA"/>
    <w:rsid w:val="001F5226"/>
    <w:rsid w:val="00204A52"/>
    <w:rsid w:val="0020635F"/>
    <w:rsid w:val="00220A9A"/>
    <w:rsid w:val="002215D4"/>
    <w:rsid w:val="002245E8"/>
    <w:rsid w:val="002251B5"/>
    <w:rsid w:val="002252ED"/>
    <w:rsid w:val="00225BAA"/>
    <w:rsid w:val="0022715D"/>
    <w:rsid w:val="00227F90"/>
    <w:rsid w:val="00233031"/>
    <w:rsid w:val="00234D0C"/>
    <w:rsid w:val="00236427"/>
    <w:rsid w:val="00240863"/>
    <w:rsid w:val="00240D31"/>
    <w:rsid w:val="00241B8C"/>
    <w:rsid w:val="00242044"/>
    <w:rsid w:val="00243747"/>
    <w:rsid w:val="00246541"/>
    <w:rsid w:val="00251337"/>
    <w:rsid w:val="00252D7E"/>
    <w:rsid w:val="00255F98"/>
    <w:rsid w:val="0025719E"/>
    <w:rsid w:val="00257374"/>
    <w:rsid w:val="0026091E"/>
    <w:rsid w:val="00262872"/>
    <w:rsid w:val="00264C62"/>
    <w:rsid w:val="00266A9D"/>
    <w:rsid w:val="00266F1F"/>
    <w:rsid w:val="00267400"/>
    <w:rsid w:val="00270333"/>
    <w:rsid w:val="00270C65"/>
    <w:rsid w:val="00271B9B"/>
    <w:rsid w:val="00271BAD"/>
    <w:rsid w:val="00271DF6"/>
    <w:rsid w:val="00272EAF"/>
    <w:rsid w:val="00277399"/>
    <w:rsid w:val="0027795B"/>
    <w:rsid w:val="00280F8A"/>
    <w:rsid w:val="00281461"/>
    <w:rsid w:val="0028215A"/>
    <w:rsid w:val="00284E91"/>
    <w:rsid w:val="002934B8"/>
    <w:rsid w:val="00294150"/>
    <w:rsid w:val="002970C4"/>
    <w:rsid w:val="00297C4B"/>
    <w:rsid w:val="002A17DE"/>
    <w:rsid w:val="002A36C0"/>
    <w:rsid w:val="002A3F3D"/>
    <w:rsid w:val="002A5E87"/>
    <w:rsid w:val="002A67A9"/>
    <w:rsid w:val="002A7D14"/>
    <w:rsid w:val="002B0496"/>
    <w:rsid w:val="002B21FC"/>
    <w:rsid w:val="002B32BE"/>
    <w:rsid w:val="002B4FD8"/>
    <w:rsid w:val="002B5D6D"/>
    <w:rsid w:val="002C0730"/>
    <w:rsid w:val="002C40C5"/>
    <w:rsid w:val="002C5999"/>
    <w:rsid w:val="002C648F"/>
    <w:rsid w:val="002C74B0"/>
    <w:rsid w:val="002D3A0F"/>
    <w:rsid w:val="002D3D8B"/>
    <w:rsid w:val="002D4A71"/>
    <w:rsid w:val="002D5D50"/>
    <w:rsid w:val="002D7FAC"/>
    <w:rsid w:val="002E066C"/>
    <w:rsid w:val="002E69E9"/>
    <w:rsid w:val="002E7662"/>
    <w:rsid w:val="002E7CC5"/>
    <w:rsid w:val="002F156B"/>
    <w:rsid w:val="002F28D1"/>
    <w:rsid w:val="002F303C"/>
    <w:rsid w:val="002F5A33"/>
    <w:rsid w:val="002F7C4E"/>
    <w:rsid w:val="002F7D05"/>
    <w:rsid w:val="002F7FCC"/>
    <w:rsid w:val="00304156"/>
    <w:rsid w:val="00304D53"/>
    <w:rsid w:val="003109C9"/>
    <w:rsid w:val="003139AE"/>
    <w:rsid w:val="00314086"/>
    <w:rsid w:val="00322A9D"/>
    <w:rsid w:val="0032544B"/>
    <w:rsid w:val="003326BC"/>
    <w:rsid w:val="003329DB"/>
    <w:rsid w:val="00332D84"/>
    <w:rsid w:val="00332F2F"/>
    <w:rsid w:val="0033757E"/>
    <w:rsid w:val="00340117"/>
    <w:rsid w:val="003432D1"/>
    <w:rsid w:val="00343B9D"/>
    <w:rsid w:val="003517F5"/>
    <w:rsid w:val="003607EF"/>
    <w:rsid w:val="003614F9"/>
    <w:rsid w:val="00364846"/>
    <w:rsid w:val="003702DA"/>
    <w:rsid w:val="0037080B"/>
    <w:rsid w:val="00372101"/>
    <w:rsid w:val="003776C2"/>
    <w:rsid w:val="0038660C"/>
    <w:rsid w:val="003915F4"/>
    <w:rsid w:val="00391AB8"/>
    <w:rsid w:val="003927A9"/>
    <w:rsid w:val="0039293B"/>
    <w:rsid w:val="00394387"/>
    <w:rsid w:val="003A683D"/>
    <w:rsid w:val="003B0E6C"/>
    <w:rsid w:val="003B1607"/>
    <w:rsid w:val="003B2045"/>
    <w:rsid w:val="003B6CB6"/>
    <w:rsid w:val="003B741B"/>
    <w:rsid w:val="003C7708"/>
    <w:rsid w:val="003D21C9"/>
    <w:rsid w:val="003D38E4"/>
    <w:rsid w:val="003D3A3A"/>
    <w:rsid w:val="003E7551"/>
    <w:rsid w:val="003F05EC"/>
    <w:rsid w:val="003F1BDE"/>
    <w:rsid w:val="003F2771"/>
    <w:rsid w:val="003F4544"/>
    <w:rsid w:val="004077E1"/>
    <w:rsid w:val="004148E7"/>
    <w:rsid w:val="0042088D"/>
    <w:rsid w:val="0042262E"/>
    <w:rsid w:val="004242A1"/>
    <w:rsid w:val="004358D6"/>
    <w:rsid w:val="004429B7"/>
    <w:rsid w:val="004448DE"/>
    <w:rsid w:val="00445455"/>
    <w:rsid w:val="00446867"/>
    <w:rsid w:val="004511F7"/>
    <w:rsid w:val="004541E8"/>
    <w:rsid w:val="004551A5"/>
    <w:rsid w:val="004563C6"/>
    <w:rsid w:val="00456917"/>
    <w:rsid w:val="00456F9B"/>
    <w:rsid w:val="0045798A"/>
    <w:rsid w:val="004600EE"/>
    <w:rsid w:val="00465007"/>
    <w:rsid w:val="00465904"/>
    <w:rsid w:val="00471B11"/>
    <w:rsid w:val="00473E34"/>
    <w:rsid w:val="004746F2"/>
    <w:rsid w:val="00482FF7"/>
    <w:rsid w:val="00483226"/>
    <w:rsid w:val="00487BAE"/>
    <w:rsid w:val="00491392"/>
    <w:rsid w:val="004916BD"/>
    <w:rsid w:val="00491D88"/>
    <w:rsid w:val="00493DC1"/>
    <w:rsid w:val="00494B89"/>
    <w:rsid w:val="004A2726"/>
    <w:rsid w:val="004A3142"/>
    <w:rsid w:val="004A4D55"/>
    <w:rsid w:val="004B1E0A"/>
    <w:rsid w:val="004B2C53"/>
    <w:rsid w:val="004B4DA1"/>
    <w:rsid w:val="004C1F12"/>
    <w:rsid w:val="004C207B"/>
    <w:rsid w:val="004C23F1"/>
    <w:rsid w:val="004C2614"/>
    <w:rsid w:val="004C3E8A"/>
    <w:rsid w:val="004D2FEB"/>
    <w:rsid w:val="004D4B4E"/>
    <w:rsid w:val="004E1AB3"/>
    <w:rsid w:val="004F36CA"/>
    <w:rsid w:val="004F5242"/>
    <w:rsid w:val="004F77EA"/>
    <w:rsid w:val="005024F9"/>
    <w:rsid w:val="00505AB1"/>
    <w:rsid w:val="00511608"/>
    <w:rsid w:val="0051363C"/>
    <w:rsid w:val="00514B14"/>
    <w:rsid w:val="00514DF5"/>
    <w:rsid w:val="00514E29"/>
    <w:rsid w:val="00520170"/>
    <w:rsid w:val="00520CC1"/>
    <w:rsid w:val="00520D0B"/>
    <w:rsid w:val="00521024"/>
    <w:rsid w:val="00521DDB"/>
    <w:rsid w:val="00522C40"/>
    <w:rsid w:val="00524B4F"/>
    <w:rsid w:val="00531701"/>
    <w:rsid w:val="005320EE"/>
    <w:rsid w:val="00533AF3"/>
    <w:rsid w:val="005426DF"/>
    <w:rsid w:val="005440CF"/>
    <w:rsid w:val="00544D1E"/>
    <w:rsid w:val="00544FA1"/>
    <w:rsid w:val="00545A58"/>
    <w:rsid w:val="0055621D"/>
    <w:rsid w:val="00566C61"/>
    <w:rsid w:val="00575439"/>
    <w:rsid w:val="00576D55"/>
    <w:rsid w:val="0058116D"/>
    <w:rsid w:val="00582BBA"/>
    <w:rsid w:val="00582C07"/>
    <w:rsid w:val="0058597F"/>
    <w:rsid w:val="005925FE"/>
    <w:rsid w:val="0059285C"/>
    <w:rsid w:val="005931A0"/>
    <w:rsid w:val="00593784"/>
    <w:rsid w:val="005A0A09"/>
    <w:rsid w:val="005A2073"/>
    <w:rsid w:val="005A496B"/>
    <w:rsid w:val="005A4A28"/>
    <w:rsid w:val="005A7B7E"/>
    <w:rsid w:val="005B06F6"/>
    <w:rsid w:val="005B4935"/>
    <w:rsid w:val="005B75FE"/>
    <w:rsid w:val="005C2298"/>
    <w:rsid w:val="005C3300"/>
    <w:rsid w:val="005C36BA"/>
    <w:rsid w:val="005C4D51"/>
    <w:rsid w:val="005D2A45"/>
    <w:rsid w:val="005D3A54"/>
    <w:rsid w:val="005D4DC5"/>
    <w:rsid w:val="005D5411"/>
    <w:rsid w:val="005D7576"/>
    <w:rsid w:val="005E21C2"/>
    <w:rsid w:val="005E3549"/>
    <w:rsid w:val="005E4477"/>
    <w:rsid w:val="005E4B3C"/>
    <w:rsid w:val="005E4F1A"/>
    <w:rsid w:val="005F0821"/>
    <w:rsid w:val="005F2807"/>
    <w:rsid w:val="005F47B0"/>
    <w:rsid w:val="006017F3"/>
    <w:rsid w:val="0060445E"/>
    <w:rsid w:val="00605644"/>
    <w:rsid w:val="00607D15"/>
    <w:rsid w:val="006104C9"/>
    <w:rsid w:val="006135B4"/>
    <w:rsid w:val="00617887"/>
    <w:rsid w:val="00617A87"/>
    <w:rsid w:val="00620310"/>
    <w:rsid w:val="00624FC0"/>
    <w:rsid w:val="00625424"/>
    <w:rsid w:val="00626FC3"/>
    <w:rsid w:val="00627018"/>
    <w:rsid w:val="00630E56"/>
    <w:rsid w:val="00632EAB"/>
    <w:rsid w:val="006348A7"/>
    <w:rsid w:val="00643083"/>
    <w:rsid w:val="006458CD"/>
    <w:rsid w:val="00645F4C"/>
    <w:rsid w:val="00651161"/>
    <w:rsid w:val="0065373E"/>
    <w:rsid w:val="006546F8"/>
    <w:rsid w:val="00654C41"/>
    <w:rsid w:val="00657DEE"/>
    <w:rsid w:val="006620AA"/>
    <w:rsid w:val="00664129"/>
    <w:rsid w:val="00666B06"/>
    <w:rsid w:val="006670A6"/>
    <w:rsid w:val="00667FB8"/>
    <w:rsid w:val="00672A5A"/>
    <w:rsid w:val="006733D9"/>
    <w:rsid w:val="00673770"/>
    <w:rsid w:val="0068531E"/>
    <w:rsid w:val="00685BB0"/>
    <w:rsid w:val="00697EBD"/>
    <w:rsid w:val="006A28C2"/>
    <w:rsid w:val="006A53CF"/>
    <w:rsid w:val="006A5F45"/>
    <w:rsid w:val="006A6A1D"/>
    <w:rsid w:val="006B020B"/>
    <w:rsid w:val="006B0A35"/>
    <w:rsid w:val="006B2981"/>
    <w:rsid w:val="006B44A2"/>
    <w:rsid w:val="006B52CB"/>
    <w:rsid w:val="006B5368"/>
    <w:rsid w:val="006C19C3"/>
    <w:rsid w:val="006C1A2B"/>
    <w:rsid w:val="006D2279"/>
    <w:rsid w:val="006D4BCC"/>
    <w:rsid w:val="006E0ACD"/>
    <w:rsid w:val="006E29B5"/>
    <w:rsid w:val="006E2FCC"/>
    <w:rsid w:val="006E356D"/>
    <w:rsid w:val="006E3A25"/>
    <w:rsid w:val="006E4394"/>
    <w:rsid w:val="006E79D6"/>
    <w:rsid w:val="006F1159"/>
    <w:rsid w:val="006F16E2"/>
    <w:rsid w:val="006F767C"/>
    <w:rsid w:val="006F7BF2"/>
    <w:rsid w:val="00701CC9"/>
    <w:rsid w:val="00701D51"/>
    <w:rsid w:val="007033BA"/>
    <w:rsid w:val="007043A0"/>
    <w:rsid w:val="007110E6"/>
    <w:rsid w:val="00713D2E"/>
    <w:rsid w:val="007221E3"/>
    <w:rsid w:val="007228CB"/>
    <w:rsid w:val="0072754F"/>
    <w:rsid w:val="0073236F"/>
    <w:rsid w:val="007338D7"/>
    <w:rsid w:val="00735874"/>
    <w:rsid w:val="007364B4"/>
    <w:rsid w:val="00740EB1"/>
    <w:rsid w:val="007422D9"/>
    <w:rsid w:val="0074247D"/>
    <w:rsid w:val="00744C90"/>
    <w:rsid w:val="007453CD"/>
    <w:rsid w:val="007507D2"/>
    <w:rsid w:val="00752C89"/>
    <w:rsid w:val="00752CE3"/>
    <w:rsid w:val="00754E12"/>
    <w:rsid w:val="00757194"/>
    <w:rsid w:val="00762F33"/>
    <w:rsid w:val="007641F0"/>
    <w:rsid w:val="00764E50"/>
    <w:rsid w:val="00765FD9"/>
    <w:rsid w:val="0076670E"/>
    <w:rsid w:val="00767FFB"/>
    <w:rsid w:val="007711F0"/>
    <w:rsid w:val="00774C1D"/>
    <w:rsid w:val="00776257"/>
    <w:rsid w:val="00776B7B"/>
    <w:rsid w:val="00777EFE"/>
    <w:rsid w:val="0078584E"/>
    <w:rsid w:val="00787019"/>
    <w:rsid w:val="00790F7E"/>
    <w:rsid w:val="00792708"/>
    <w:rsid w:val="00797A54"/>
    <w:rsid w:val="007A2B2C"/>
    <w:rsid w:val="007A3FFE"/>
    <w:rsid w:val="007A6C79"/>
    <w:rsid w:val="007B0D24"/>
    <w:rsid w:val="007B3A29"/>
    <w:rsid w:val="007B7BB4"/>
    <w:rsid w:val="007C03E1"/>
    <w:rsid w:val="007C1E90"/>
    <w:rsid w:val="007C213A"/>
    <w:rsid w:val="007C22D5"/>
    <w:rsid w:val="007C66EB"/>
    <w:rsid w:val="007C7855"/>
    <w:rsid w:val="007D0C27"/>
    <w:rsid w:val="007D1FCB"/>
    <w:rsid w:val="007D3D1A"/>
    <w:rsid w:val="007D409B"/>
    <w:rsid w:val="007D50DE"/>
    <w:rsid w:val="007D674F"/>
    <w:rsid w:val="007D6A75"/>
    <w:rsid w:val="007E0EB5"/>
    <w:rsid w:val="007E55FF"/>
    <w:rsid w:val="007E5710"/>
    <w:rsid w:val="007E6E0C"/>
    <w:rsid w:val="007F0A61"/>
    <w:rsid w:val="007F1C81"/>
    <w:rsid w:val="007F5144"/>
    <w:rsid w:val="00800F62"/>
    <w:rsid w:val="00803182"/>
    <w:rsid w:val="00803942"/>
    <w:rsid w:val="00803DED"/>
    <w:rsid w:val="00804BD8"/>
    <w:rsid w:val="008152F2"/>
    <w:rsid w:val="0081564A"/>
    <w:rsid w:val="00820A0A"/>
    <w:rsid w:val="00820CA8"/>
    <w:rsid w:val="0082172B"/>
    <w:rsid w:val="008230A3"/>
    <w:rsid w:val="008256DC"/>
    <w:rsid w:val="00832824"/>
    <w:rsid w:val="00832C63"/>
    <w:rsid w:val="00837009"/>
    <w:rsid w:val="00842F1A"/>
    <w:rsid w:val="00845AFC"/>
    <w:rsid w:val="00845BDF"/>
    <w:rsid w:val="00846CE4"/>
    <w:rsid w:val="0085015C"/>
    <w:rsid w:val="00852607"/>
    <w:rsid w:val="0086196B"/>
    <w:rsid w:val="00862939"/>
    <w:rsid w:val="00862FFC"/>
    <w:rsid w:val="0086357B"/>
    <w:rsid w:val="0086422D"/>
    <w:rsid w:val="00866C9A"/>
    <w:rsid w:val="00867374"/>
    <w:rsid w:val="00870BA4"/>
    <w:rsid w:val="008745FE"/>
    <w:rsid w:val="00876F19"/>
    <w:rsid w:val="008771C3"/>
    <w:rsid w:val="00880D77"/>
    <w:rsid w:val="008900C9"/>
    <w:rsid w:val="00897738"/>
    <w:rsid w:val="008A1263"/>
    <w:rsid w:val="008A2CAB"/>
    <w:rsid w:val="008A4054"/>
    <w:rsid w:val="008A405C"/>
    <w:rsid w:val="008A4EE5"/>
    <w:rsid w:val="008A7221"/>
    <w:rsid w:val="008B4959"/>
    <w:rsid w:val="008B5111"/>
    <w:rsid w:val="008C08ED"/>
    <w:rsid w:val="008C77B1"/>
    <w:rsid w:val="008D230C"/>
    <w:rsid w:val="008D2D64"/>
    <w:rsid w:val="008D6CEF"/>
    <w:rsid w:val="008E517E"/>
    <w:rsid w:val="008E75AD"/>
    <w:rsid w:val="008E7E17"/>
    <w:rsid w:val="008F50EB"/>
    <w:rsid w:val="008F651A"/>
    <w:rsid w:val="008F6DEE"/>
    <w:rsid w:val="009003B9"/>
    <w:rsid w:val="009041C3"/>
    <w:rsid w:val="00904645"/>
    <w:rsid w:val="00906BDD"/>
    <w:rsid w:val="00907168"/>
    <w:rsid w:val="0091069F"/>
    <w:rsid w:val="00913DE5"/>
    <w:rsid w:val="00915206"/>
    <w:rsid w:val="009249F0"/>
    <w:rsid w:val="0092524C"/>
    <w:rsid w:val="00931127"/>
    <w:rsid w:val="0093145C"/>
    <w:rsid w:val="009363BA"/>
    <w:rsid w:val="00947A1D"/>
    <w:rsid w:val="00947AAF"/>
    <w:rsid w:val="00947BCE"/>
    <w:rsid w:val="00956BA6"/>
    <w:rsid w:val="00963D1F"/>
    <w:rsid w:val="009652E7"/>
    <w:rsid w:val="009666EB"/>
    <w:rsid w:val="009702DA"/>
    <w:rsid w:val="009712CC"/>
    <w:rsid w:val="009721A5"/>
    <w:rsid w:val="009742A7"/>
    <w:rsid w:val="00980023"/>
    <w:rsid w:val="00980095"/>
    <w:rsid w:val="009828A2"/>
    <w:rsid w:val="00983772"/>
    <w:rsid w:val="0098532A"/>
    <w:rsid w:val="00985D0D"/>
    <w:rsid w:val="009910D2"/>
    <w:rsid w:val="00992B48"/>
    <w:rsid w:val="00993829"/>
    <w:rsid w:val="00993D47"/>
    <w:rsid w:val="009A5A47"/>
    <w:rsid w:val="009A6FAA"/>
    <w:rsid w:val="009B2AD7"/>
    <w:rsid w:val="009C3A9C"/>
    <w:rsid w:val="009C4479"/>
    <w:rsid w:val="009C4F77"/>
    <w:rsid w:val="009C7307"/>
    <w:rsid w:val="009D3809"/>
    <w:rsid w:val="009D4411"/>
    <w:rsid w:val="009D6358"/>
    <w:rsid w:val="009E26F6"/>
    <w:rsid w:val="009E2AFA"/>
    <w:rsid w:val="009E6921"/>
    <w:rsid w:val="009F0E4D"/>
    <w:rsid w:val="009F24EF"/>
    <w:rsid w:val="009F2CFD"/>
    <w:rsid w:val="009F407A"/>
    <w:rsid w:val="009F45FA"/>
    <w:rsid w:val="009F7605"/>
    <w:rsid w:val="00A0516E"/>
    <w:rsid w:val="00A07A39"/>
    <w:rsid w:val="00A1218D"/>
    <w:rsid w:val="00A32572"/>
    <w:rsid w:val="00A326C9"/>
    <w:rsid w:val="00A33C8A"/>
    <w:rsid w:val="00A413E1"/>
    <w:rsid w:val="00A456E1"/>
    <w:rsid w:val="00A471B5"/>
    <w:rsid w:val="00A50F3F"/>
    <w:rsid w:val="00A55508"/>
    <w:rsid w:val="00A56593"/>
    <w:rsid w:val="00A633F2"/>
    <w:rsid w:val="00A6600F"/>
    <w:rsid w:val="00A72A8F"/>
    <w:rsid w:val="00A734AE"/>
    <w:rsid w:val="00A74008"/>
    <w:rsid w:val="00A74120"/>
    <w:rsid w:val="00A762C7"/>
    <w:rsid w:val="00A77CB0"/>
    <w:rsid w:val="00A902F3"/>
    <w:rsid w:val="00A92875"/>
    <w:rsid w:val="00A92BA7"/>
    <w:rsid w:val="00A93116"/>
    <w:rsid w:val="00A94652"/>
    <w:rsid w:val="00A957ED"/>
    <w:rsid w:val="00A97894"/>
    <w:rsid w:val="00A97A07"/>
    <w:rsid w:val="00AA20F7"/>
    <w:rsid w:val="00AA2EF9"/>
    <w:rsid w:val="00AA482F"/>
    <w:rsid w:val="00AA4B6A"/>
    <w:rsid w:val="00AA510D"/>
    <w:rsid w:val="00AA7546"/>
    <w:rsid w:val="00AB0136"/>
    <w:rsid w:val="00AB040F"/>
    <w:rsid w:val="00AB157C"/>
    <w:rsid w:val="00AB6F23"/>
    <w:rsid w:val="00AC0212"/>
    <w:rsid w:val="00AC4BD9"/>
    <w:rsid w:val="00AC6B2D"/>
    <w:rsid w:val="00AC7A6F"/>
    <w:rsid w:val="00AD2539"/>
    <w:rsid w:val="00AD4449"/>
    <w:rsid w:val="00AD4D61"/>
    <w:rsid w:val="00AD4E0E"/>
    <w:rsid w:val="00AE1F3A"/>
    <w:rsid w:val="00AE28EC"/>
    <w:rsid w:val="00AE2E47"/>
    <w:rsid w:val="00AE343A"/>
    <w:rsid w:val="00AE4089"/>
    <w:rsid w:val="00AE7793"/>
    <w:rsid w:val="00AF628C"/>
    <w:rsid w:val="00AF717D"/>
    <w:rsid w:val="00B01ACF"/>
    <w:rsid w:val="00B0370F"/>
    <w:rsid w:val="00B04BF8"/>
    <w:rsid w:val="00B05229"/>
    <w:rsid w:val="00B05F29"/>
    <w:rsid w:val="00B06DC7"/>
    <w:rsid w:val="00B108F7"/>
    <w:rsid w:val="00B10EF1"/>
    <w:rsid w:val="00B24201"/>
    <w:rsid w:val="00B25711"/>
    <w:rsid w:val="00B25850"/>
    <w:rsid w:val="00B266F5"/>
    <w:rsid w:val="00B26F22"/>
    <w:rsid w:val="00B306DE"/>
    <w:rsid w:val="00B3359A"/>
    <w:rsid w:val="00B33E84"/>
    <w:rsid w:val="00B35C74"/>
    <w:rsid w:val="00B411EB"/>
    <w:rsid w:val="00B41876"/>
    <w:rsid w:val="00B7118F"/>
    <w:rsid w:val="00B83011"/>
    <w:rsid w:val="00B838ED"/>
    <w:rsid w:val="00B85C3E"/>
    <w:rsid w:val="00B920C2"/>
    <w:rsid w:val="00B938AD"/>
    <w:rsid w:val="00B93F9E"/>
    <w:rsid w:val="00B97781"/>
    <w:rsid w:val="00BA0278"/>
    <w:rsid w:val="00BA2651"/>
    <w:rsid w:val="00BA26E8"/>
    <w:rsid w:val="00BA441B"/>
    <w:rsid w:val="00BA4E08"/>
    <w:rsid w:val="00BA551A"/>
    <w:rsid w:val="00BA6F57"/>
    <w:rsid w:val="00BB0E09"/>
    <w:rsid w:val="00BB173D"/>
    <w:rsid w:val="00BB1C75"/>
    <w:rsid w:val="00BB5E73"/>
    <w:rsid w:val="00BB5ED3"/>
    <w:rsid w:val="00BB6C46"/>
    <w:rsid w:val="00BB6D0A"/>
    <w:rsid w:val="00BC2095"/>
    <w:rsid w:val="00BC3BA3"/>
    <w:rsid w:val="00BC59BE"/>
    <w:rsid w:val="00BC7C16"/>
    <w:rsid w:val="00BD0618"/>
    <w:rsid w:val="00BD6CA0"/>
    <w:rsid w:val="00BD7DF7"/>
    <w:rsid w:val="00BE74C4"/>
    <w:rsid w:val="00BF3D13"/>
    <w:rsid w:val="00BF3FC7"/>
    <w:rsid w:val="00BF5E4A"/>
    <w:rsid w:val="00BF6499"/>
    <w:rsid w:val="00C00012"/>
    <w:rsid w:val="00C00451"/>
    <w:rsid w:val="00C026E9"/>
    <w:rsid w:val="00C12B6F"/>
    <w:rsid w:val="00C14375"/>
    <w:rsid w:val="00C1513B"/>
    <w:rsid w:val="00C17186"/>
    <w:rsid w:val="00C21D39"/>
    <w:rsid w:val="00C238A8"/>
    <w:rsid w:val="00C24D66"/>
    <w:rsid w:val="00C30885"/>
    <w:rsid w:val="00C31B68"/>
    <w:rsid w:val="00C3536E"/>
    <w:rsid w:val="00C516C4"/>
    <w:rsid w:val="00C52878"/>
    <w:rsid w:val="00C531D9"/>
    <w:rsid w:val="00C5784F"/>
    <w:rsid w:val="00C6003E"/>
    <w:rsid w:val="00C65427"/>
    <w:rsid w:val="00C67384"/>
    <w:rsid w:val="00C71192"/>
    <w:rsid w:val="00C75312"/>
    <w:rsid w:val="00C75742"/>
    <w:rsid w:val="00C7703C"/>
    <w:rsid w:val="00C843D3"/>
    <w:rsid w:val="00C85FA1"/>
    <w:rsid w:val="00C91FF7"/>
    <w:rsid w:val="00CA04E0"/>
    <w:rsid w:val="00CA08E2"/>
    <w:rsid w:val="00CA145E"/>
    <w:rsid w:val="00CA45F4"/>
    <w:rsid w:val="00CA65F5"/>
    <w:rsid w:val="00CB403A"/>
    <w:rsid w:val="00CB42AA"/>
    <w:rsid w:val="00CB655F"/>
    <w:rsid w:val="00CB6886"/>
    <w:rsid w:val="00CC094F"/>
    <w:rsid w:val="00CC1A9B"/>
    <w:rsid w:val="00CC6D50"/>
    <w:rsid w:val="00CD26E9"/>
    <w:rsid w:val="00CD4973"/>
    <w:rsid w:val="00CE1BA5"/>
    <w:rsid w:val="00CE1BB4"/>
    <w:rsid w:val="00CE2BB3"/>
    <w:rsid w:val="00CE3F94"/>
    <w:rsid w:val="00CF0E0A"/>
    <w:rsid w:val="00CF34B8"/>
    <w:rsid w:val="00CF5C63"/>
    <w:rsid w:val="00D010ED"/>
    <w:rsid w:val="00D01507"/>
    <w:rsid w:val="00D0152D"/>
    <w:rsid w:val="00D03589"/>
    <w:rsid w:val="00D035FC"/>
    <w:rsid w:val="00D0379E"/>
    <w:rsid w:val="00D05868"/>
    <w:rsid w:val="00D06B3E"/>
    <w:rsid w:val="00D1295D"/>
    <w:rsid w:val="00D14912"/>
    <w:rsid w:val="00D23AE1"/>
    <w:rsid w:val="00D24828"/>
    <w:rsid w:val="00D34129"/>
    <w:rsid w:val="00D5111E"/>
    <w:rsid w:val="00D56DCE"/>
    <w:rsid w:val="00D60E7F"/>
    <w:rsid w:val="00D61F01"/>
    <w:rsid w:val="00D66B54"/>
    <w:rsid w:val="00D718C4"/>
    <w:rsid w:val="00D75620"/>
    <w:rsid w:val="00D75C47"/>
    <w:rsid w:val="00D81519"/>
    <w:rsid w:val="00D83AEA"/>
    <w:rsid w:val="00D87D4B"/>
    <w:rsid w:val="00D90789"/>
    <w:rsid w:val="00D90A0B"/>
    <w:rsid w:val="00D910DE"/>
    <w:rsid w:val="00D9335F"/>
    <w:rsid w:val="00DA0115"/>
    <w:rsid w:val="00DA3ECD"/>
    <w:rsid w:val="00DA7E55"/>
    <w:rsid w:val="00DC20DA"/>
    <w:rsid w:val="00DC2128"/>
    <w:rsid w:val="00DC4337"/>
    <w:rsid w:val="00DC60B0"/>
    <w:rsid w:val="00DC7F58"/>
    <w:rsid w:val="00DD1FE1"/>
    <w:rsid w:val="00DE7DEB"/>
    <w:rsid w:val="00DF185C"/>
    <w:rsid w:val="00DF3F2B"/>
    <w:rsid w:val="00DF5FA6"/>
    <w:rsid w:val="00E0096D"/>
    <w:rsid w:val="00E01CB5"/>
    <w:rsid w:val="00E02B1B"/>
    <w:rsid w:val="00E04F57"/>
    <w:rsid w:val="00E05888"/>
    <w:rsid w:val="00E06EB3"/>
    <w:rsid w:val="00E1104B"/>
    <w:rsid w:val="00E122FA"/>
    <w:rsid w:val="00E1313A"/>
    <w:rsid w:val="00E13312"/>
    <w:rsid w:val="00E17064"/>
    <w:rsid w:val="00E203D1"/>
    <w:rsid w:val="00E23FC8"/>
    <w:rsid w:val="00E24DA3"/>
    <w:rsid w:val="00E24F64"/>
    <w:rsid w:val="00E27118"/>
    <w:rsid w:val="00E316CB"/>
    <w:rsid w:val="00E363F5"/>
    <w:rsid w:val="00E3641A"/>
    <w:rsid w:val="00E45628"/>
    <w:rsid w:val="00E459B5"/>
    <w:rsid w:val="00E552A5"/>
    <w:rsid w:val="00E6146E"/>
    <w:rsid w:val="00E61812"/>
    <w:rsid w:val="00E63B8D"/>
    <w:rsid w:val="00E64CF5"/>
    <w:rsid w:val="00E654BE"/>
    <w:rsid w:val="00E7401F"/>
    <w:rsid w:val="00E7712A"/>
    <w:rsid w:val="00E812CF"/>
    <w:rsid w:val="00E82FC5"/>
    <w:rsid w:val="00E85664"/>
    <w:rsid w:val="00E85B17"/>
    <w:rsid w:val="00E865F4"/>
    <w:rsid w:val="00E901C0"/>
    <w:rsid w:val="00E926BD"/>
    <w:rsid w:val="00E9382E"/>
    <w:rsid w:val="00E95A72"/>
    <w:rsid w:val="00E97129"/>
    <w:rsid w:val="00EA0CE0"/>
    <w:rsid w:val="00EA2888"/>
    <w:rsid w:val="00EA2CB5"/>
    <w:rsid w:val="00EA3A1E"/>
    <w:rsid w:val="00EA5094"/>
    <w:rsid w:val="00EB0C9C"/>
    <w:rsid w:val="00EB4B12"/>
    <w:rsid w:val="00EB72D4"/>
    <w:rsid w:val="00EC081C"/>
    <w:rsid w:val="00EC0E11"/>
    <w:rsid w:val="00EC4490"/>
    <w:rsid w:val="00EC6592"/>
    <w:rsid w:val="00EC725D"/>
    <w:rsid w:val="00ED2BC8"/>
    <w:rsid w:val="00ED5305"/>
    <w:rsid w:val="00ED711B"/>
    <w:rsid w:val="00EE151E"/>
    <w:rsid w:val="00EE1AEE"/>
    <w:rsid w:val="00EE35F8"/>
    <w:rsid w:val="00EF20DB"/>
    <w:rsid w:val="00F04584"/>
    <w:rsid w:val="00F075E4"/>
    <w:rsid w:val="00F10C82"/>
    <w:rsid w:val="00F125F5"/>
    <w:rsid w:val="00F13A37"/>
    <w:rsid w:val="00F14C6E"/>
    <w:rsid w:val="00F16F5E"/>
    <w:rsid w:val="00F17292"/>
    <w:rsid w:val="00F22536"/>
    <w:rsid w:val="00F262C1"/>
    <w:rsid w:val="00F3080F"/>
    <w:rsid w:val="00F31916"/>
    <w:rsid w:val="00F32FFE"/>
    <w:rsid w:val="00F361C8"/>
    <w:rsid w:val="00F40C37"/>
    <w:rsid w:val="00F452C6"/>
    <w:rsid w:val="00F45647"/>
    <w:rsid w:val="00F47B23"/>
    <w:rsid w:val="00F5398C"/>
    <w:rsid w:val="00F56610"/>
    <w:rsid w:val="00F62B90"/>
    <w:rsid w:val="00F67F4A"/>
    <w:rsid w:val="00F700B5"/>
    <w:rsid w:val="00F7673B"/>
    <w:rsid w:val="00F80983"/>
    <w:rsid w:val="00F857AF"/>
    <w:rsid w:val="00F94663"/>
    <w:rsid w:val="00FA3831"/>
    <w:rsid w:val="00FA57A3"/>
    <w:rsid w:val="00FA5E32"/>
    <w:rsid w:val="00FA7B38"/>
    <w:rsid w:val="00FB0D3B"/>
    <w:rsid w:val="00FB18E4"/>
    <w:rsid w:val="00FB1AE3"/>
    <w:rsid w:val="00FB2F88"/>
    <w:rsid w:val="00FB3395"/>
    <w:rsid w:val="00FB56F9"/>
    <w:rsid w:val="00FC022B"/>
    <w:rsid w:val="00FC06E8"/>
    <w:rsid w:val="00FC555B"/>
    <w:rsid w:val="00FC5ECC"/>
    <w:rsid w:val="00FC66BD"/>
    <w:rsid w:val="00FD019B"/>
    <w:rsid w:val="00FD2DAA"/>
    <w:rsid w:val="00FD4E6F"/>
    <w:rsid w:val="00FD668C"/>
    <w:rsid w:val="00FD6D96"/>
    <w:rsid w:val="00FF0115"/>
    <w:rsid w:val="00FF3FE9"/>
    <w:rsid w:val="00FF63D9"/>
    <w:rsid w:val="00FF6599"/>
    <w:rsid w:val="00FF697B"/>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6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6476379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154028673">
      <w:bodyDiv w:val="1"/>
      <w:marLeft w:val="0"/>
      <w:marRight w:val="0"/>
      <w:marTop w:val="0"/>
      <w:marBottom w:val="0"/>
      <w:divBdr>
        <w:top w:val="none" w:sz="0" w:space="0" w:color="auto"/>
        <w:left w:val="none" w:sz="0" w:space="0" w:color="auto"/>
        <w:bottom w:val="none" w:sz="0" w:space="0" w:color="auto"/>
        <w:right w:val="none" w:sz="0" w:space="0" w:color="auto"/>
      </w:divBdr>
    </w:div>
    <w:div w:id="361519125">
      <w:bodyDiv w:val="1"/>
      <w:marLeft w:val="0"/>
      <w:marRight w:val="0"/>
      <w:marTop w:val="0"/>
      <w:marBottom w:val="0"/>
      <w:divBdr>
        <w:top w:val="none" w:sz="0" w:space="0" w:color="auto"/>
        <w:left w:val="none" w:sz="0" w:space="0" w:color="auto"/>
        <w:bottom w:val="none" w:sz="0" w:space="0" w:color="auto"/>
        <w:right w:val="none" w:sz="0" w:space="0" w:color="auto"/>
      </w:divBdr>
    </w:div>
    <w:div w:id="511533985">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603805993">
      <w:bodyDiv w:val="1"/>
      <w:marLeft w:val="0"/>
      <w:marRight w:val="0"/>
      <w:marTop w:val="0"/>
      <w:marBottom w:val="0"/>
      <w:divBdr>
        <w:top w:val="none" w:sz="0" w:space="0" w:color="auto"/>
        <w:left w:val="none" w:sz="0" w:space="0" w:color="auto"/>
        <w:bottom w:val="none" w:sz="0" w:space="0" w:color="auto"/>
        <w:right w:val="none" w:sz="0" w:space="0" w:color="auto"/>
      </w:divBdr>
    </w:div>
    <w:div w:id="626740208">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158350490">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252278819">
      <w:bodyDiv w:val="1"/>
      <w:marLeft w:val="0"/>
      <w:marRight w:val="0"/>
      <w:marTop w:val="0"/>
      <w:marBottom w:val="0"/>
      <w:divBdr>
        <w:top w:val="none" w:sz="0" w:space="0" w:color="auto"/>
        <w:left w:val="none" w:sz="0" w:space="0" w:color="auto"/>
        <w:bottom w:val="none" w:sz="0" w:space="0" w:color="auto"/>
        <w:right w:val="none" w:sz="0" w:space="0" w:color="auto"/>
      </w:divBdr>
    </w:div>
    <w:div w:id="1496217675">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48839476">
      <w:bodyDiv w:val="1"/>
      <w:marLeft w:val="0"/>
      <w:marRight w:val="0"/>
      <w:marTop w:val="0"/>
      <w:marBottom w:val="0"/>
      <w:divBdr>
        <w:top w:val="none" w:sz="0" w:space="0" w:color="auto"/>
        <w:left w:val="none" w:sz="0" w:space="0" w:color="auto"/>
        <w:bottom w:val="none" w:sz="0" w:space="0" w:color="auto"/>
        <w:right w:val="none" w:sz="0" w:space="0" w:color="auto"/>
      </w:divBdr>
    </w:div>
    <w:div w:id="1755322521">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 w:id="20518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152072</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FCE323-5B34-4132-8CFD-57B0A55F0070}">
  <ds:schemaRefs>
    <ds:schemaRef ds:uri="http://schemas.microsoft.com/office/2006/metadata/properties"/>
    <ds:schemaRef ds:uri="http://www.w3.org/XML/1998/namespace"/>
    <ds:schemaRef ds:uri="751276d0-61bc-4dad-b75c-21dfd12630ad"/>
    <ds:schemaRef ds:uri="1E0C6DC4-A4F6-4390-A2EA-A52E9EFB0EA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83832F6-DD8F-4C00-99B9-25CBE5428E3C}"/>
</file>

<file path=customXml/itemProps3.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4.xml><?xml version="1.0" encoding="utf-8"?>
<ds:datastoreItem xmlns:ds="http://schemas.openxmlformats.org/officeDocument/2006/customXml" ds:itemID="{C4E11734-1412-4BB1-957B-07EDAC0531D2}">
  <ds:schemaRefs>
    <ds:schemaRef ds:uri="http://schemas.openxmlformats.org/officeDocument/2006/bibliography"/>
  </ds:schemaRefs>
</ds:datastoreItem>
</file>

<file path=customXml/itemProps5.xml><?xml version="1.0" encoding="utf-8"?>
<ds:datastoreItem xmlns:ds="http://schemas.openxmlformats.org/officeDocument/2006/customXml" ds:itemID="{01C33F07-B010-4F87-8C98-158ECA14927E}">
  <ds:schemaRefs>
    <ds:schemaRef ds:uri="http://schemas.openxmlformats.org/officeDocument/2006/bibliography"/>
  </ds:schemaRefs>
</ds:datastoreItem>
</file>

<file path=customXml/itemProps6.xml><?xml version="1.0" encoding="utf-8"?>
<ds:datastoreItem xmlns:ds="http://schemas.openxmlformats.org/officeDocument/2006/customXml" ds:itemID="{E89015F1-B2E8-467B-8B1F-541A736663B4}"/>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Annual Plan Update</vt:lpstr>
    </vt:vector>
  </TitlesOfParts>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Update</dc:title>
  <dc:creator/>
  <cp:lastModifiedBy/>
  <cp:revision>1</cp:revision>
  <dcterms:created xsi:type="dcterms:W3CDTF">2017-01-23T23:39:00Z</dcterms:created>
  <dcterms:modified xsi:type="dcterms:W3CDTF">2017-01-23T23:39:00Z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0x0101006E56B4D1795A2E4DB2F0B01679ED314A00D9D2FE07C0AA5C4E814A8CE6D7513F53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