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535" w:lineRule="exact"/>
        <w:ind w:left="488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"/>
          <w:sz w:val="20"/>
          <w:szCs w:val="20"/>
        </w:rPr>
        <w:drawing>
          <wp:inline distT="0" distB="0" distL="0" distR="0">
            <wp:extent cx="2913089" cy="34004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089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0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exact" w:before="69"/>
        <w:ind w:left="5879" w:right="522"/>
        <w:jc w:val="left"/>
      </w:pPr>
      <w:r>
        <w:rPr/>
        <w:t>Jason B. Keyes</w:t>
      </w:r>
    </w:p>
    <w:p>
      <w:pPr>
        <w:pStyle w:val="BodyText"/>
        <w:spacing w:line="278" w:lineRule="exact"/>
        <w:ind w:left="5879" w:right="522"/>
        <w:jc w:val="left"/>
      </w:pPr>
      <w:r>
        <w:rPr/>
        <w:t>Keyes, Fox &amp; Wiedman</w:t>
      </w:r>
      <w:r>
        <w:rPr>
          <w:spacing w:val="-1"/>
        </w:rPr>
        <w:t> </w:t>
      </w:r>
      <w:r>
        <w:rPr/>
        <w:t>LLP</w:t>
      </w:r>
      <w:r>
        <w:rPr/>
        <w:t> 436 14</w:t>
      </w:r>
      <w:r>
        <w:rPr>
          <w:position w:val="11"/>
          <w:sz w:val="16"/>
        </w:rPr>
        <w:t>th </w:t>
      </w:r>
      <w:r>
        <w:rPr/>
        <w:t>Street, Suite</w:t>
      </w:r>
      <w:r>
        <w:rPr>
          <w:spacing w:val="18"/>
        </w:rPr>
        <w:t> </w:t>
      </w:r>
      <w:r>
        <w:rPr/>
        <w:t>1305</w:t>
      </w:r>
    </w:p>
    <w:p>
      <w:pPr>
        <w:pStyle w:val="BodyText"/>
        <w:spacing w:line="270" w:lineRule="exact"/>
        <w:ind w:left="5879" w:right="522"/>
        <w:jc w:val="left"/>
      </w:pPr>
      <w:r>
        <w:rPr/>
        <w:t>Oakland, CA</w:t>
      </w:r>
      <w:r>
        <w:rPr>
          <w:spacing w:val="-1"/>
        </w:rPr>
        <w:t> </w:t>
      </w:r>
      <w:r>
        <w:rPr/>
        <w:t>94612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119" w:right="5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Via Electronic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Filing</w:t>
      </w:r>
      <w:r>
        <w:rPr>
          <w:rFonts w:ascii="Times New Roman"/>
          <w:sz w:val="24"/>
        </w:rPr>
      </w:r>
    </w:p>
    <w:p>
      <w:pPr>
        <w:pStyle w:val="BodyText"/>
        <w:spacing w:line="550" w:lineRule="atLeast" w:before="2"/>
        <w:ind w:right="7182"/>
        <w:jc w:val="left"/>
      </w:pPr>
      <w:r>
        <w:rPr/>
        <w:t>September 25,</w:t>
      </w:r>
      <w:r>
        <w:rPr>
          <w:spacing w:val="-1"/>
        </w:rPr>
        <w:t> </w:t>
      </w:r>
      <w:r>
        <w:rPr/>
        <w:t>2015</w:t>
      </w:r>
      <w:r>
        <w:rPr>
          <w:w w:val="100"/>
        </w:rPr>
        <w:t> </w:t>
      </w:r>
      <w:r>
        <w:rPr/>
        <w:t>Mr. Steven V. King</w:t>
      </w:r>
    </w:p>
    <w:p>
      <w:pPr>
        <w:pStyle w:val="BodyText"/>
        <w:spacing w:line="275" w:lineRule="exact" w:before="2"/>
        <w:ind w:right="522"/>
        <w:jc w:val="left"/>
      </w:pPr>
      <w:r>
        <w:rPr/>
        <w:t>Executive Director and</w:t>
      </w:r>
      <w:r>
        <w:rPr>
          <w:spacing w:val="-1"/>
        </w:rPr>
        <w:t> </w:t>
      </w:r>
      <w:r>
        <w:rPr/>
        <w:t>Secretary</w:t>
      </w:r>
    </w:p>
    <w:p>
      <w:pPr>
        <w:pStyle w:val="BodyText"/>
        <w:spacing w:line="275" w:lineRule="exact"/>
        <w:ind w:right="522"/>
        <w:jc w:val="left"/>
      </w:pPr>
      <w:r>
        <w:rPr/>
        <w:t>Washington Utilities and Transportation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line="275" w:lineRule="exact" w:before="2"/>
        <w:ind w:right="522"/>
        <w:jc w:val="left"/>
      </w:pPr>
      <w:r>
        <w:rPr/>
        <w:t>P.O. Box 47250</w:t>
      </w:r>
    </w:p>
    <w:p>
      <w:pPr>
        <w:pStyle w:val="BodyText"/>
        <w:spacing w:line="242" w:lineRule="auto"/>
        <w:ind w:right="5542"/>
        <w:jc w:val="left"/>
      </w:pPr>
      <w:r>
        <w:rPr/>
        <w:t>1300 S. Evergreen Park Drive</w:t>
      </w:r>
      <w:r>
        <w:rPr>
          <w:spacing w:val="-1"/>
        </w:rPr>
        <w:t> </w:t>
      </w:r>
      <w:r>
        <w:rPr/>
        <w:t>S.W.</w:t>
      </w:r>
      <w:r>
        <w:rPr/>
        <w:t> Olympia, WA</w:t>
      </w:r>
      <w:r>
        <w:rPr>
          <w:spacing w:val="-1"/>
        </w:rPr>
        <w:t> </w:t>
      </w:r>
      <w:r>
        <w:rPr/>
        <w:t>98504-7250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4" w:lineRule="exact"/>
        <w:ind w:right="522"/>
        <w:jc w:val="left"/>
        <w:rPr>
          <w:b w:val="0"/>
          <w:bCs w:val="0"/>
        </w:rPr>
      </w:pPr>
      <w:r>
        <w:rPr/>
        <w:t>RE: Comments on Docket UE-151069, Modeling Energy Storage in</w:t>
      </w:r>
      <w:r>
        <w:rPr>
          <w:spacing w:val="-1"/>
        </w:rPr>
        <w:t> </w:t>
      </w:r>
      <w:r>
        <w:rPr/>
        <w:t>Integrated</w:t>
      </w:r>
      <w:r>
        <w:rPr>
          <w:w w:val="100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Planning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522"/>
        <w:jc w:val="left"/>
      </w:pPr>
      <w:r>
        <w:rPr/>
        <w:t>Dear Mr.</w:t>
      </w:r>
      <w:r>
        <w:rPr>
          <w:spacing w:val="-1"/>
        </w:rPr>
        <w:t> </w:t>
      </w:r>
      <w:r>
        <w:rPr/>
        <w:t>King: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119" w:right="52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Attached for filing in docket UE-151069 are the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Comments of 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Interstate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Renewable Energy Council, Inc. Responding to the UTC’s Notice of Opportunity to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Comment Issued August 7,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722" w:lineRule="auto"/>
        <w:ind w:right="5542"/>
        <w:jc w:val="left"/>
      </w:pPr>
      <w:r>
        <w:rPr/>
        <w:pict>
          <v:shape style="position:absolute;margin-left:77.150597pt;margin-top:54.883141pt;width:143.6463pt;height:44.64999pt;mso-position-horizontal-relative:page;mso-position-vertical-relative:paragraph;z-index:-4696" type="#_x0000_t75" stroked="false">
            <v:imagedata r:id="rId6" o:title=""/>
          </v:shape>
        </w:pict>
      </w:r>
      <w:r>
        <w:rPr/>
        <w:t>Thank you for your</w:t>
      </w:r>
      <w:r>
        <w:rPr>
          <w:spacing w:val="-1"/>
        </w:rPr>
        <w:t> </w:t>
      </w:r>
      <w:r>
        <w:rPr/>
        <w:t>assistance.</w:t>
      </w:r>
      <w:r>
        <w:rPr/>
        <w:t> Sincerely,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5" w:lineRule="exact"/>
        <w:ind w:right="522"/>
        <w:jc w:val="left"/>
      </w:pPr>
      <w:r>
        <w:rPr/>
        <w:t>Jason B. Keyes</w:t>
      </w:r>
    </w:p>
    <w:p>
      <w:pPr>
        <w:spacing w:line="275" w:lineRule="exact" w:before="0"/>
        <w:ind w:left="119" w:right="5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Attorney for the Interstate Renewable Energy Council,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Inc.</w:t>
      </w:r>
      <w:r>
        <w:rPr>
          <w:rFonts w:ascii="Times New Roman"/>
          <w:sz w:val="24"/>
        </w:rPr>
      </w:r>
    </w:p>
    <w:p>
      <w:pPr>
        <w:spacing w:before="11"/>
        <w:ind w:left="119" w:right="52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Tele:   (206)</w:t>
      </w:r>
      <w:r>
        <w:rPr>
          <w:rFonts w:ascii="Times New Roman"/>
          <w:spacing w:val="-10"/>
          <w:w w:val="105"/>
          <w:sz w:val="21"/>
        </w:rPr>
        <w:t> </w:t>
      </w:r>
      <w:r>
        <w:rPr>
          <w:rFonts w:ascii="Times New Roman"/>
          <w:w w:val="105"/>
          <w:sz w:val="21"/>
        </w:rPr>
        <w:t>919-4960</w:t>
      </w:r>
      <w:r>
        <w:rPr>
          <w:rFonts w:ascii="Times New Roman"/>
          <w:sz w:val="21"/>
        </w:rPr>
      </w:r>
    </w:p>
    <w:p>
      <w:pPr>
        <w:spacing w:before="13"/>
        <w:ind w:left="119" w:right="52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Email:</w:t>
      </w:r>
      <w:r>
        <w:rPr>
          <w:rFonts w:ascii="Times New Roman"/>
          <w:spacing w:val="-20"/>
          <w:w w:val="105"/>
          <w:sz w:val="21"/>
        </w:rPr>
        <w:t> </w:t>
      </w:r>
      <w:r>
        <w:rPr>
          <w:rFonts w:ascii="Times New Roman"/>
          <w:color w:val="0000FF"/>
          <w:spacing w:val="-20"/>
          <w:w w:val="105"/>
          <w:sz w:val="21"/>
        </w:rPr>
      </w:r>
      <w:hyperlink r:id="rId7">
        <w:r>
          <w:rPr>
            <w:rFonts w:ascii="Times New Roman"/>
            <w:color w:val="0000FF"/>
            <w:w w:val="105"/>
            <w:sz w:val="21"/>
            <w:u w:val="single" w:color="0000FF"/>
          </w:rPr>
          <w:t>jkeyes@kfwlaw.com</w:t>
        </w:r>
        <w:r>
          <w:rPr>
            <w:rFonts w:ascii="Times New Roman"/>
            <w:color w:val="0000FF"/>
            <w:w w:val="105"/>
            <w:sz w:val="21"/>
          </w:rPr>
        </w:r>
        <w:r>
          <w:rPr>
            <w:rFonts w:ascii="Times New Roman"/>
            <w:sz w:val="21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Heading2"/>
        <w:spacing w:line="274" w:lineRule="exact" w:before="60"/>
        <w:ind w:left="1888" w:right="1868" w:firstLine="1250"/>
        <w:jc w:val="left"/>
        <w:rPr>
          <w:b w:val="0"/>
          <w:bCs w:val="0"/>
        </w:rPr>
      </w:pPr>
      <w:r>
        <w:rPr>
          <w:w w:val="99"/>
        </w:rPr>
      </w:r>
      <w:r>
        <w:rPr>
          <w:u w:val="single" w:color="000000"/>
        </w:rPr>
        <w:t>BEFORE THE</w:t>
      </w:r>
      <w:r>
        <w:rPr>
          <w:spacing w:val="26"/>
          <w:u w:val="single" w:color="000000"/>
        </w:rPr>
        <w:t> </w:t>
      </w:r>
      <w:r>
        <w:rPr>
          <w:u w:val="single" w:color="000000"/>
        </w:rPr>
        <w:t>WASHINGTON</w:t>
      </w:r>
      <w:r>
        <w:rPr>
          <w:w w:val="100"/>
        </w:rPr>
      </w:r>
      <w:r>
        <w:rPr>
          <w:w w:val="100"/>
        </w:rPr>
        <w:t> </w:t>
      </w:r>
      <w:r>
        <w:rPr>
          <w:u w:val="single" w:color="000000"/>
        </w:rPr>
        <w:t>UTILITIES AND TRANSPORTATION COMMISSION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532" w:right="5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Docket UE-151069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ind w:left="534" w:right="5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COMMENTS OF THE INTERSTATE RENEWABLE ENERGY COUNCIL,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INC.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RESPONDING TO THE UTC’S NOTICE OF OPPORTUNITY 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COMMENT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ISSUED AUGUST 7,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32" w:right="51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September 25,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2015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109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INTRODUCTION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0" w:lineRule="auto"/>
        <w:ind w:right="109" w:firstLine="720"/>
        <w:jc w:val="left"/>
      </w:pPr>
      <w:r>
        <w:rPr/>
        <w:t>The Interstate Renewable Energy Council, Inc. (“IREC”) appreciates the opportunity</w:t>
      </w:r>
      <w:r>
        <w:rPr>
          <w:spacing w:val="-1"/>
        </w:rPr>
        <w:t> </w:t>
      </w:r>
      <w:r>
        <w:rPr/>
        <w:t>to</w:t>
      </w:r>
      <w:r>
        <w:rPr/>
        <w:t> file these comments and the attached report in response to the Utilities and</w:t>
      </w:r>
      <w:r>
        <w:rPr>
          <w:spacing w:val="-1"/>
        </w:rPr>
        <w:t> </w:t>
      </w:r>
      <w:r>
        <w:rPr/>
        <w:t>Transportation</w:t>
      </w:r>
      <w:r>
        <w:rPr/>
        <w:t> Commission’s August 7, 2015 Notice of Opportunity to Submit Comments regarding</w:t>
      </w:r>
      <w:r>
        <w:rPr>
          <w:spacing w:val="-2"/>
        </w:rPr>
        <w:t> </w:t>
      </w:r>
      <w:r>
        <w:rPr/>
        <w:t>modeling</w:t>
      </w:r>
      <w:r>
        <w:rPr/>
        <w:t> energy storage in integrated resource planning. IREC was not able to participate in the</w:t>
      </w:r>
      <w:r>
        <w:rPr>
          <w:spacing w:val="-2"/>
        </w:rPr>
        <w:t> </w:t>
      </w:r>
      <w:r>
        <w:rPr/>
        <w:t>workshop</w:t>
      </w:r>
      <w:r>
        <w:rPr>
          <w:w w:val="100"/>
        </w:rPr>
        <w:t> </w:t>
      </w:r>
      <w:r>
        <w:rPr/>
        <w:t>in this docket held on August 25, but has reviewed the Staff White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spacing w:line="360" w:lineRule="auto" w:before="124"/>
        <w:ind w:right="164" w:firstLine="720"/>
        <w:jc w:val="left"/>
      </w:pPr>
      <w:r>
        <w:rPr/>
        <w:t>As discussed below, IREC’s focus is on the potential for customer-sited storage, and</w:t>
      </w:r>
      <w:r>
        <w:rPr>
          <w:spacing w:val="-1"/>
        </w:rPr>
        <w:t> </w:t>
      </w:r>
      <w:r>
        <w:rPr/>
        <w:t>a</w:t>
      </w:r>
      <w:r>
        <w:rPr>
          <w:w w:val="99"/>
        </w:rPr>
        <w:t> </w:t>
      </w:r>
      <w:r>
        <w:rPr/>
        <w:t>proposed methodology for valuation of customer-sited storage coupled with solar energy.</w:t>
      </w:r>
      <w:r>
        <w:rPr>
          <w:spacing w:val="59"/>
        </w:rPr>
        <w:t> </w:t>
      </w:r>
      <w:r>
        <w:rPr/>
        <w:t>The</w:t>
      </w:r>
      <w:r>
        <w:rPr>
          <w:w w:val="99"/>
        </w:rPr>
        <w:t> </w:t>
      </w:r>
      <w:r>
        <w:rPr/>
        <w:t>Staff White Paper and the UTC’s call for comments do not appear to contemplate this</w:t>
      </w:r>
      <w:r>
        <w:rPr>
          <w:spacing w:val="-2"/>
        </w:rPr>
        <w:t> </w:t>
      </w:r>
      <w:r>
        <w:rPr/>
        <w:t>option,</w:t>
      </w:r>
      <w:r>
        <w:rPr/>
        <w:t> and IREC urges the Commission to consider it. Siting utility-controlled storage at</w:t>
      </w:r>
      <w:r>
        <w:rPr>
          <w:spacing w:val="-1"/>
        </w:rPr>
        <w:t> </w:t>
      </w:r>
      <w:r>
        <w:rPr/>
        <w:t>customers’</w:t>
      </w:r>
      <w:r>
        <w:rPr>
          <w:w w:val="100"/>
        </w:rPr>
        <w:t> </w:t>
      </w:r>
      <w:r>
        <w:rPr/>
        <w:t>premises allows the significant benefit of back-up power for customers during utility</w:t>
      </w:r>
      <w:r>
        <w:rPr>
          <w:spacing w:val="-1"/>
        </w:rPr>
        <w:t> </w:t>
      </w:r>
      <w:r>
        <w:rPr/>
        <w:t>outages,</w:t>
      </w:r>
      <w:r>
        <w:rPr/>
        <w:t> while providing all of the other benefits that centrally located storage can</w:t>
      </w:r>
      <w:r>
        <w:rPr>
          <w:spacing w:val="-2"/>
        </w:rPr>
        <w:t> </w:t>
      </w:r>
      <w:r>
        <w:rPr/>
        <w:t>provide.</w:t>
      </w:r>
    </w:p>
    <w:p>
      <w:pPr>
        <w:pStyle w:val="BodyText"/>
        <w:spacing w:line="360" w:lineRule="auto" w:before="128"/>
        <w:ind w:right="109" w:firstLine="720"/>
        <w:jc w:val="left"/>
      </w:pPr>
      <w:r>
        <w:rPr/>
        <w:t>IREC is a 501(c)(3) non-partisan, non-profit organization working nationally to</w:t>
      </w:r>
      <w:r>
        <w:rPr>
          <w:spacing w:val="-1"/>
        </w:rPr>
        <w:t> </w:t>
      </w:r>
      <w:r>
        <w:rPr/>
        <w:t>expand</w:t>
      </w:r>
      <w:r>
        <w:rPr/>
        <w:t> and simplify consumer access to reliable and affordable distributed clean energy by:</w:t>
      </w:r>
      <w:r>
        <w:rPr>
          <w:spacing w:val="-1"/>
        </w:rPr>
        <w:t> </w:t>
      </w:r>
      <w:r>
        <w:rPr/>
        <w:t>(1)</w:t>
      </w:r>
      <w:r>
        <w:rPr/>
        <w:t> developing and advancing regulatory policy innovations; (2) generating and promoting</w:t>
      </w:r>
      <w:r>
        <w:rPr>
          <w:spacing w:val="-2"/>
        </w:rPr>
        <w:t> </w:t>
      </w:r>
      <w:r>
        <w:rPr/>
        <w:t>national</w:t>
      </w:r>
      <w:r>
        <w:rPr>
          <w:w w:val="99"/>
        </w:rPr>
        <w:t> </w:t>
      </w:r>
      <w:r>
        <w:rPr/>
        <w:t>model rules, standards, and best practices; and (3) providing workforce training, education,</w:t>
      </w:r>
      <w:r>
        <w:rPr>
          <w:spacing w:val="-1"/>
        </w:rPr>
        <w:t> </w:t>
      </w:r>
      <w:r>
        <w:rPr/>
        <w:t>and</w:t>
      </w:r>
      <w:r>
        <w:rPr/>
        <w:t> credentialing. IREC works independently from renewable energy industries, trade</w:t>
      </w:r>
      <w:r>
        <w:rPr>
          <w:spacing w:val="-1"/>
        </w:rPr>
        <w:t> </w:t>
      </w:r>
      <w:r>
        <w:rPr/>
        <w:t>associations,</w:t>
      </w:r>
      <w:r>
        <w:rPr/>
        <w:t> technologies, and advocacy organizations; and, though we promote the creation of</w:t>
      </w:r>
      <w:r>
        <w:rPr>
          <w:spacing w:val="-1"/>
        </w:rPr>
        <w:t> </w:t>
      </w:r>
      <w:r>
        <w:rPr/>
        <w:t>robust,</w:t>
      </w:r>
      <w:r>
        <w:rPr/>
        <w:t> competitive clean energy markets, IREC does not have a financial stake in those</w:t>
      </w:r>
      <w:r>
        <w:rPr>
          <w:spacing w:val="-2"/>
        </w:rPr>
        <w:t> </w:t>
      </w:r>
      <w:r>
        <w:rPr/>
        <w:t>markets.</w:t>
      </w:r>
    </w:p>
    <w:p>
      <w:pPr>
        <w:pStyle w:val="BodyText"/>
        <w:spacing w:line="362" w:lineRule="auto" w:before="4"/>
        <w:ind w:right="109"/>
        <w:jc w:val="left"/>
      </w:pPr>
      <w:r>
        <w:rPr/>
        <w:t>Grounded in the latest research and objective analysis, IREC’s work helps inform and guide</w:t>
      </w:r>
      <w:r>
        <w:rPr>
          <w:spacing w:val="-3"/>
        </w:rPr>
        <w:t> </w:t>
      </w:r>
      <w:r>
        <w:rPr/>
        <w:t>fact-</w:t>
      </w:r>
      <w:r>
        <w:rPr>
          <w:w w:val="100"/>
        </w:rPr>
        <w:t> </w:t>
      </w:r>
      <w:r>
        <w:rPr/>
        <w:t>based regulatory decision-making and workforce development efforts. Through</w:t>
      </w:r>
      <w:r>
        <w:rPr>
          <w:spacing w:val="-2"/>
        </w:rPr>
        <w:t> </w:t>
      </w:r>
      <w:r>
        <w:rPr/>
        <w:t>collaborative</w:t>
      </w:r>
    </w:p>
    <w:p>
      <w:pPr>
        <w:spacing w:after="0" w:line="362" w:lineRule="auto"/>
        <w:jc w:val="left"/>
        <w:sectPr>
          <w:pgSz w:w="12240" w:h="15840"/>
          <w:pgMar w:top="1400" w:bottom="280" w:left="1340" w:right="1320"/>
        </w:sectPr>
      </w:pPr>
    </w:p>
    <w:p>
      <w:pPr>
        <w:pStyle w:val="BodyText"/>
        <w:spacing w:line="360" w:lineRule="auto" w:before="55"/>
        <w:ind w:right="109"/>
        <w:jc w:val="left"/>
      </w:pPr>
      <w:r>
        <w:rPr/>
        <w:t>partnerships with diverse stakeholders, IREC seeks to build consensus and achieve</w:t>
      </w:r>
      <w:r>
        <w:rPr>
          <w:spacing w:val="-1"/>
        </w:rPr>
        <w:t> </w:t>
      </w:r>
      <w:r>
        <w:rPr/>
        <w:t>workable</w:t>
      </w:r>
      <w:r>
        <w:rPr>
          <w:w w:val="99"/>
        </w:rPr>
        <w:t> </w:t>
      </w:r>
      <w:r>
        <w:rPr/>
        <w:t>solutions to create a sustainable and economically strong clean energy future. The scope</w:t>
      </w:r>
      <w:r>
        <w:rPr>
          <w:spacing w:val="-1"/>
        </w:rPr>
        <w:t> </w:t>
      </w:r>
      <w:r>
        <w:rPr/>
        <w:t>of</w:t>
      </w:r>
      <w:r>
        <w:rPr/>
        <w:t> IREC's work includes expanding programs that facilitate consumers’ ability to host a</w:t>
      </w:r>
      <w:r>
        <w:rPr>
          <w:spacing w:val="-2"/>
        </w:rPr>
        <w:t> </w:t>
      </w:r>
      <w:r>
        <w:rPr/>
        <w:t>renewable</w:t>
      </w:r>
      <w:r>
        <w:rPr>
          <w:w w:val="99"/>
        </w:rPr>
        <w:t> </w:t>
      </w:r>
      <w:r>
        <w:rPr/>
        <w:t>energy system to directly self-supply energy needs or provide energy to the grid,</w:t>
      </w:r>
      <w:r>
        <w:rPr>
          <w:spacing w:val="-1"/>
        </w:rPr>
        <w:t> </w:t>
      </w:r>
      <w:r>
        <w:rPr/>
        <w:t>and</w:t>
      </w:r>
      <w:r>
        <w:rPr/>
        <w:t> implementing shared renewable energy programs to expand options for consumers that</w:t>
      </w:r>
      <w:r>
        <w:rPr>
          <w:spacing w:val="-1"/>
        </w:rPr>
        <w:t> </w:t>
      </w:r>
      <w:r>
        <w:rPr/>
        <w:t>cannot</w:t>
      </w:r>
      <w:r>
        <w:rPr>
          <w:w w:val="99"/>
        </w:rPr>
        <w:t> </w:t>
      </w:r>
      <w:r>
        <w:rPr/>
        <w:t>host a renewable energy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240" w:lineRule="auto" w:before="124"/>
        <w:ind w:left="839" w:right="109"/>
        <w:jc w:val="left"/>
      </w:pPr>
      <w:r>
        <w:rPr/>
        <w:t>IREC looks forward to further participation in this</w:t>
      </w:r>
      <w:r>
        <w:rPr>
          <w:spacing w:val="-1"/>
        </w:rPr>
        <w:t> </w:t>
      </w:r>
      <w:r>
        <w:rPr/>
        <w:t>docket.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9" w:right="109" w:hanging="720"/>
        <w:jc w:val="left"/>
        <w:rPr>
          <w:b w:val="0"/>
          <w:bCs w:val="0"/>
        </w:rPr>
      </w:pPr>
      <w:r>
        <w:rPr/>
        <w:t>Customer-Sited Energy Storage Has Inherent Advantages</w:t>
      </w:r>
      <w:r>
        <w:rPr>
          <w:b w:val="0"/>
        </w:rPr>
      </w:r>
    </w:p>
    <w:p>
      <w:pPr>
        <w:pStyle w:val="BodyText"/>
        <w:spacing w:line="360" w:lineRule="auto" w:before="137"/>
        <w:ind w:right="109" w:firstLine="720"/>
        <w:jc w:val="left"/>
      </w:pPr>
      <w:r>
        <w:rPr/>
        <w:t>Staff’s White Paper provides a thorough overview of storage valuation, but does</w:t>
      </w:r>
      <w:r>
        <w:rPr>
          <w:spacing w:val="-1"/>
        </w:rPr>
        <w:t> </w:t>
      </w:r>
      <w:r>
        <w:rPr/>
        <w:t>not</w:t>
      </w:r>
      <w:r>
        <w:rPr>
          <w:w w:val="99"/>
        </w:rPr>
        <w:t> </w:t>
      </w:r>
      <w:r>
        <w:rPr/>
        <w:t>appear to contemplate customer-sited storage.  As well, the call for comments does not</w:t>
      </w:r>
      <w:r>
        <w:rPr>
          <w:spacing w:val="-1"/>
        </w:rPr>
        <w:t> </w:t>
      </w:r>
      <w:r>
        <w:rPr/>
        <w:t>address</w:t>
      </w:r>
      <w:r>
        <w:rPr>
          <w:w w:val="100"/>
        </w:rPr>
        <w:t> </w:t>
      </w:r>
      <w:r>
        <w:rPr/>
        <w:t>the issue, though item A(3) asks for modeling of the benefit of “outage mitigation,” which</w:t>
      </w:r>
      <w:r>
        <w:rPr>
          <w:spacing w:val="-2"/>
        </w:rPr>
        <w:t> </w:t>
      </w:r>
      <w:r>
        <w:rPr/>
        <w:t>could</w:t>
      </w:r>
      <w:r>
        <w:rPr/>
        <w:t> include the value of back-up power. IREC suggests that customer-sited storage has the</w:t>
      </w:r>
      <w:r>
        <w:rPr>
          <w:spacing w:val="-1"/>
        </w:rPr>
        <w:t> </w:t>
      </w:r>
      <w:r>
        <w:rPr/>
        <w:t>inherent</w:t>
      </w:r>
      <w:r>
        <w:rPr>
          <w:w w:val="99"/>
        </w:rPr>
        <w:t> </w:t>
      </w:r>
      <w:r>
        <w:rPr/>
        <w:t>added benefit of back-up power and can provide all of the other services that centralized</w:t>
      </w:r>
      <w:r>
        <w:rPr>
          <w:spacing w:val="-2"/>
        </w:rPr>
        <w:t> </w:t>
      </w:r>
      <w:r>
        <w:rPr/>
        <w:t>storage</w:t>
      </w:r>
      <w:r>
        <w:rPr>
          <w:w w:val="99"/>
        </w:rPr>
        <w:t> </w:t>
      </w:r>
      <w:r>
        <w:rPr/>
        <w:t>can, and should be the first preference. In particular, customers with net metered solar arrays</w:t>
      </w:r>
      <w:r>
        <w:rPr>
          <w:spacing w:val="-2"/>
        </w:rPr>
        <w:t> </w:t>
      </w:r>
      <w:r>
        <w:rPr/>
        <w:t>can</w:t>
      </w:r>
      <w:r>
        <w:rPr/>
        <w:t> add storage behind a single inverter, and have the potential for operation during</w:t>
      </w:r>
      <w:r>
        <w:rPr>
          <w:spacing w:val="-1"/>
        </w:rPr>
        <w:t> </w:t>
      </w:r>
      <w:r>
        <w:rPr/>
        <w:t>extended</w:t>
      </w:r>
      <w:r>
        <w:rPr/>
        <w:t> outages.</w:t>
      </w:r>
    </w:p>
    <w:p>
      <w:pPr>
        <w:pStyle w:val="BodyText"/>
        <w:spacing w:line="360" w:lineRule="auto" w:before="4"/>
        <w:ind w:right="115" w:firstLine="720"/>
        <w:jc w:val="left"/>
      </w:pPr>
      <w:r>
        <w:rPr/>
        <w:t>In other jurisdictions, a utility preference for centralized storage has been premised on</w:t>
      </w:r>
      <w:r>
        <w:rPr>
          <w:spacing w:val="-2"/>
        </w:rPr>
        <w:t> </w:t>
      </w:r>
      <w:r>
        <w:rPr/>
        <w:t>the</w:t>
      </w:r>
      <w:r>
        <w:rPr>
          <w:w w:val="99"/>
        </w:rPr>
        <w:t> </w:t>
      </w:r>
      <w:r>
        <w:rPr/>
        <w:t>notion that the utility can control energy storage facilities on their own property, but cannot</w:t>
      </w:r>
      <w:r>
        <w:rPr>
          <w:spacing w:val="-2"/>
        </w:rPr>
        <w:t> </w:t>
      </w:r>
      <w:r>
        <w:rPr/>
        <w:t>rely</w:t>
      </w:r>
      <w:r>
        <w:rPr/>
        <w:t> on storage sited on customer property to be available when needed.  This notion is incorrect – it</w:t>
      </w:r>
      <w:r>
        <w:rPr>
          <w:w w:val="99"/>
        </w:rPr>
        <w:t> </w:t>
      </w:r>
      <w:r>
        <w:rPr/>
        <w:t>is certainly possible to give the utility full control of customer-sited storage facilities, other</w:t>
      </w:r>
      <w:r>
        <w:rPr>
          <w:spacing w:val="-2"/>
        </w:rPr>
        <w:t> </w:t>
      </w:r>
      <w:r>
        <w:rPr/>
        <w:t>than</w:t>
      </w:r>
      <w:r>
        <w:rPr/>
        <w:t> to let the customer rely on the stored energy during</w:t>
      </w:r>
      <w:r>
        <w:rPr>
          <w:spacing w:val="-1"/>
        </w:rPr>
        <w:t> </w:t>
      </w:r>
      <w:r>
        <w:rPr/>
        <w:t>outages.</w:t>
      </w:r>
    </w:p>
    <w:p>
      <w:pPr>
        <w:pStyle w:val="BodyText"/>
        <w:spacing w:line="360" w:lineRule="auto" w:before="4"/>
        <w:ind w:right="101" w:firstLine="720"/>
        <w:jc w:val="left"/>
      </w:pPr>
      <w:r>
        <w:rPr/>
        <w:t>As one example, Sunverge installs utility-owned storage facilities at customers’</w:t>
      </w:r>
      <w:r>
        <w:rPr>
          <w:spacing w:val="14"/>
        </w:rPr>
        <w:t> </w:t>
      </w:r>
      <w:r>
        <w:rPr/>
        <w:t>sites,</w:t>
      </w:r>
      <w:r>
        <w:rPr/>
        <w:t> with hundreds of systems in place around the world. IREC suggests that storage facilities do</w:t>
      </w:r>
      <w:r>
        <w:rPr>
          <w:spacing w:val="-1"/>
        </w:rPr>
        <w:t> </w:t>
      </w:r>
      <w:r>
        <w:rPr/>
        <w:t>not</w:t>
      </w:r>
      <w:r>
        <w:rPr>
          <w:w w:val="99"/>
        </w:rPr>
        <w:t> </w:t>
      </w:r>
      <w:r>
        <w:rPr/>
        <w:t>fall under the rubric of natural monopolies, and therefore is not promoting the Sunverge</w:t>
      </w:r>
      <w:r>
        <w:rPr>
          <w:spacing w:val="-1"/>
        </w:rPr>
        <w:t> </w:t>
      </w:r>
      <w:r>
        <w:rPr/>
        <w:t>model,</w:t>
      </w:r>
      <w:r>
        <w:rPr/>
        <w:t> but the existence of Sunverge is proof that customer-sited storage can work. Instead,</w:t>
      </w:r>
      <w:r>
        <w:rPr>
          <w:spacing w:val="-1"/>
        </w:rPr>
        <w:t> </w:t>
      </w:r>
      <w:r>
        <w:rPr/>
        <w:t>IREC</w:t>
      </w:r>
      <w:r>
        <w:rPr/>
        <w:t> suggests that customers can own storage facilities themselves, or lease them from third parties,</w:t>
      </w:r>
      <w:r>
        <w:rPr>
          <w:spacing w:val="-2"/>
        </w:rPr>
        <w:t> </w:t>
      </w:r>
      <w:r>
        <w:rPr/>
        <w:t>as</w:t>
      </w:r>
      <w:r>
        <w:rPr>
          <w:w w:val="100"/>
        </w:rPr>
        <w:t> </w:t>
      </w:r>
      <w:r>
        <w:rPr/>
        <w:t>is done by customers do with solar</w:t>
      </w:r>
      <w:r>
        <w:rPr>
          <w:spacing w:val="-1"/>
        </w:rPr>
        <w:t> </w:t>
      </w:r>
      <w:r>
        <w:rPr/>
        <w:t>arrays.</w:t>
      </w:r>
    </w:p>
    <w:p>
      <w:pPr>
        <w:pStyle w:val="BodyText"/>
        <w:spacing w:line="360" w:lineRule="auto" w:before="4"/>
        <w:ind w:right="109" w:firstLine="720"/>
        <w:jc w:val="left"/>
      </w:pPr>
      <w:r>
        <w:rPr/>
        <w:t>The advantages of customer-sited storage go beyond back-up power. First, the</w:t>
      </w:r>
      <w:r>
        <w:rPr>
          <w:spacing w:val="-1"/>
        </w:rPr>
        <w:t> </w:t>
      </w:r>
      <w:r>
        <w:rPr/>
        <w:t>customer</w:t>
      </w:r>
      <w:r>
        <w:rPr>
          <w:w w:val="100"/>
        </w:rPr>
        <w:t> </w:t>
      </w:r>
      <w:r>
        <w:rPr/>
        <w:t>provides the site for the storage facility, relieving the utility from using or acquiring land</w:t>
      </w:r>
      <w:r>
        <w:rPr>
          <w:spacing w:val="-2"/>
        </w:rPr>
        <w:t> </w:t>
      </w:r>
      <w:r>
        <w:rPr/>
        <w:t>for</w:t>
      </w:r>
    </w:p>
    <w:p>
      <w:pPr>
        <w:spacing w:after="0" w:line="360" w:lineRule="auto"/>
        <w:jc w:val="left"/>
        <w:sectPr>
          <w:footerReference w:type="default" r:id="rId8"/>
          <w:pgSz w:w="12240" w:h="15840"/>
          <w:pgMar w:footer="1025" w:header="0" w:top="1400" w:bottom="1220" w:left="1340" w:right="1320"/>
          <w:pgNumType w:start="2"/>
        </w:sectPr>
      </w:pPr>
    </w:p>
    <w:p>
      <w:pPr>
        <w:pStyle w:val="BodyText"/>
        <w:spacing w:line="360" w:lineRule="auto" w:before="55"/>
        <w:ind w:right="144"/>
        <w:jc w:val="left"/>
      </w:pPr>
      <w:r>
        <w:rPr/>
        <w:t>siting. Second, centralized storage entails line losses both delivering the energy to the</w:t>
      </w:r>
      <w:r>
        <w:rPr>
          <w:spacing w:val="-2"/>
        </w:rPr>
        <w:t> </w:t>
      </w:r>
      <w:r>
        <w:rPr/>
        <w:t>facility</w:t>
      </w:r>
      <w:r>
        <w:rPr/>
        <w:t> and discharging the energy from the facility and delivering it to customers. And third,</w:t>
      </w:r>
      <w:r>
        <w:rPr>
          <w:spacing w:val="-1"/>
        </w:rPr>
        <w:t> </w:t>
      </w:r>
      <w:r>
        <w:rPr/>
        <w:t>one</w:t>
      </w:r>
      <w:r>
        <w:rPr>
          <w:w w:val="99"/>
        </w:rPr>
        <w:t> </w:t>
      </w:r>
      <w:r>
        <w:rPr/>
        <w:t>hundred facilities capable of storing 10 kWh each (such as the Tesla Powerwall) totaling</w:t>
      </w:r>
      <w:r>
        <w:rPr>
          <w:spacing w:val="-1"/>
        </w:rPr>
        <w:t> </w:t>
      </w:r>
      <w:r>
        <w:rPr/>
        <w:t>a</w:t>
      </w:r>
      <w:r>
        <w:rPr>
          <w:w w:val="99"/>
        </w:rPr>
        <w:t> </w:t>
      </w:r>
      <w:r>
        <w:rPr/>
        <w:t>megawatt are collectively more reliable than a single one MW storage facility. With a very</w:t>
      </w:r>
      <w:r>
        <w:rPr>
          <w:spacing w:val="-2"/>
        </w:rPr>
        <w:t> </w:t>
      </w:r>
      <w:r>
        <w:rPr/>
        <w:t>high</w:t>
      </w:r>
      <w:r>
        <w:rPr/>
        <w:t> degree of confidence, at least 95 out of the one hundred small facilities will be operable at</w:t>
      </w:r>
      <w:r>
        <w:rPr>
          <w:spacing w:val="-2"/>
        </w:rPr>
        <w:t> </w:t>
      </w:r>
      <w:r>
        <w:rPr/>
        <w:t>any</w:t>
      </w:r>
      <w:r>
        <w:rPr/>
        <w:t> given time, while the large facility can have a malfunction that results in no</w:t>
      </w:r>
      <w:r>
        <w:rPr>
          <w:spacing w:val="-2"/>
        </w:rPr>
        <w:t> </w:t>
      </w:r>
      <w:r>
        <w:rPr/>
        <w:t>functionality.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0"/>
          <w:numId w:val="1"/>
        </w:numPr>
        <w:tabs>
          <w:tab w:pos="839" w:val="left" w:leader="none"/>
        </w:tabs>
        <w:spacing w:line="240" w:lineRule="auto" w:before="145" w:after="0"/>
        <w:ind w:left="839" w:right="144" w:hanging="720"/>
        <w:jc w:val="left"/>
        <w:rPr>
          <w:b w:val="0"/>
          <w:bCs w:val="0"/>
        </w:rPr>
      </w:pPr>
      <w:r>
        <w:rPr/>
        <w:t>Customers with Solar Facilities Are the Most Likely Early</w:t>
      </w:r>
      <w:r>
        <w:rPr>
          <w:spacing w:val="-1"/>
        </w:rPr>
        <w:t> </w:t>
      </w:r>
      <w:r>
        <w:rPr/>
        <w:t>Adopters</w:t>
      </w:r>
      <w:r>
        <w:rPr>
          <w:b w:val="0"/>
        </w:rPr>
      </w:r>
    </w:p>
    <w:p>
      <w:pPr>
        <w:pStyle w:val="BodyText"/>
        <w:spacing w:line="360" w:lineRule="auto" w:before="137"/>
        <w:ind w:right="10" w:firstLine="720"/>
        <w:jc w:val="left"/>
      </w:pPr>
      <w:r>
        <w:rPr/>
        <w:t>Across the country, very few net metered solar facilities are coupled with storage,</w:t>
      </w:r>
      <w:r>
        <w:rPr>
          <w:spacing w:val="-1"/>
        </w:rPr>
        <w:t> </w:t>
      </w:r>
      <w:r>
        <w:rPr/>
        <w:t>though</w:t>
      </w:r>
      <w:r>
        <w:rPr/>
        <w:t> it appears likely that will change over the coming decade. IREC does not have recent data</w:t>
      </w:r>
      <w:r>
        <w:rPr>
          <w:spacing w:val="-2"/>
        </w:rPr>
        <w:t> </w:t>
      </w:r>
      <w:r>
        <w:rPr/>
        <w:t>from</w:t>
      </w:r>
      <w:r>
        <w:rPr/>
        <w:t> Washington, but several years ago, the state had a much higher percentage of net</w:t>
      </w:r>
      <w:r>
        <w:rPr>
          <w:spacing w:val="-1"/>
        </w:rPr>
        <w:t> </w:t>
      </w:r>
      <w:r>
        <w:rPr/>
        <w:t>metered</w:t>
      </w:r>
      <w:r>
        <w:rPr/>
        <w:t> customers than in other parts of the country. Roughly, in Washington, over 5% of net</w:t>
      </w:r>
      <w:r>
        <w:rPr>
          <w:spacing w:val="-1"/>
        </w:rPr>
        <w:t> </w:t>
      </w:r>
      <w:r>
        <w:rPr/>
        <w:t>metered</w:t>
      </w:r>
      <w:r>
        <w:rPr/>
        <w:t> customers also had batteries, while the figure nationally is below 1%. Presumably, this relates</w:t>
      </w:r>
      <w:r>
        <w:rPr>
          <w:spacing w:val="-2"/>
        </w:rPr>
        <w:t> </w:t>
      </w:r>
      <w:r>
        <w:rPr/>
        <w:t>to</w:t>
      </w:r>
      <w:r>
        <w:rPr/>
        <w:t> the likelihood of outages in remote, wooded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360" w:lineRule="auto" w:before="4"/>
        <w:ind w:right="201" w:firstLine="720"/>
        <w:jc w:val="left"/>
      </w:pPr>
      <w:r>
        <w:rPr/>
        <w:t>IREC is not aware of residential use of battery-only systems, though there are</w:t>
      </w:r>
      <w:r>
        <w:rPr>
          <w:spacing w:val="-1"/>
        </w:rPr>
        <w:t> </w:t>
      </w:r>
      <w:r>
        <w:rPr/>
        <w:t>storage</w:t>
      </w:r>
      <w:r>
        <w:rPr>
          <w:w w:val="99"/>
        </w:rPr>
        <w:t> </w:t>
      </w:r>
      <w:r>
        <w:rPr/>
        <w:t>facilities for commercial customers as a means of controlling demand charges.</w:t>
      </w:r>
      <w:r>
        <w:rPr>
          <w:spacing w:val="59"/>
        </w:rPr>
        <w:t> </w:t>
      </w:r>
      <w:r>
        <w:rPr/>
        <w:t>Residential</w:t>
      </w:r>
      <w:r>
        <w:rPr>
          <w:w w:val="99"/>
        </w:rPr>
        <w:t> </w:t>
      </w:r>
      <w:r>
        <w:rPr/>
        <w:t>customers desiring back-up power almost universally rely on generators. In general,</w:t>
      </w:r>
      <w:r>
        <w:rPr>
          <w:spacing w:val="-1"/>
        </w:rPr>
        <w:t> </w:t>
      </w:r>
      <w:r>
        <w:rPr/>
        <w:t>from</w:t>
      </w:r>
      <w:r>
        <w:rPr/>
        <w:t> conversations with companies that provide commercial storage, it appears that most systems</w:t>
      </w:r>
      <w:r>
        <w:rPr>
          <w:spacing w:val="-2"/>
        </w:rPr>
        <w:t> </w:t>
      </w:r>
      <w:r>
        <w:rPr/>
        <w:t>are</w:t>
      </w:r>
      <w:r>
        <w:rPr>
          <w:w w:val="99"/>
        </w:rPr>
        <w:t> </w:t>
      </w:r>
      <w:r>
        <w:rPr/>
        <w:t>co-located with solar facilities, though controlling utility demand charges with storage</w:t>
      </w:r>
      <w:r>
        <w:rPr>
          <w:spacing w:val="-1"/>
        </w:rPr>
        <w:t> </w:t>
      </w:r>
      <w:r>
        <w:rPr/>
        <w:t>is</w:t>
      </w:r>
      <w:r>
        <w:rPr>
          <w:w w:val="100"/>
        </w:rPr>
        <w:t> </w:t>
      </w:r>
      <w:r>
        <w:rPr/>
        <w:t>independent of use of solar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240" w:lineRule="auto" w:before="124"/>
        <w:ind w:left="839" w:right="144"/>
        <w:jc w:val="left"/>
      </w:pPr>
      <w:r>
        <w:rPr/>
        <w:t>Solar customers are the most likely early adopters of energy storage for two</w:t>
      </w:r>
      <w:r>
        <w:rPr>
          <w:spacing w:val="-1"/>
        </w:rPr>
        <w:t> </w:t>
      </w:r>
      <w:r>
        <w:rPr/>
        <w:t>reasons.</w:t>
      </w:r>
    </w:p>
    <w:p>
      <w:pPr>
        <w:pStyle w:val="BodyText"/>
        <w:spacing w:line="360" w:lineRule="auto" w:before="137"/>
        <w:ind w:right="144"/>
        <w:jc w:val="left"/>
      </w:pPr>
      <w:r>
        <w:rPr/>
        <w:t>First, they have the interest in self-generation that led them to install a solar array, making</w:t>
      </w:r>
      <w:r>
        <w:rPr>
          <w:spacing w:val="-2"/>
        </w:rPr>
        <w:t> </w:t>
      </w:r>
      <w:r>
        <w:rPr/>
        <w:t>them</w:t>
      </w:r>
      <w:r>
        <w:rPr>
          <w:w w:val="99"/>
        </w:rPr>
        <w:t> </w:t>
      </w:r>
      <w:r>
        <w:rPr/>
        <w:t>the group most likely to consider related options. As has often been reported, customers tend</w:t>
      </w:r>
      <w:r>
        <w:rPr>
          <w:spacing w:val="-2"/>
        </w:rPr>
        <w:t> </w:t>
      </w:r>
      <w:r>
        <w:rPr/>
        <w:t>to</w:t>
      </w:r>
      <w:r>
        <w:rPr/>
        <w:t> become more aware and interested in their energy consumption after installing a solar</w:t>
      </w:r>
      <w:r>
        <w:rPr>
          <w:spacing w:val="-2"/>
        </w:rPr>
        <w:t> </w:t>
      </w:r>
      <w:r>
        <w:rPr/>
        <w:t>facility.</w:t>
      </w:r>
      <w:r>
        <w:rPr/>
        <w:t> And second, solar customers require an inverter, disconnects, wiring, and permit</w:t>
      </w:r>
      <w:r>
        <w:rPr>
          <w:spacing w:val="-1"/>
        </w:rPr>
        <w:t> </w:t>
      </w:r>
      <w:r>
        <w:rPr/>
        <w:t>approvals</w:t>
      </w:r>
      <w:r>
        <w:rPr>
          <w:w w:val="100"/>
        </w:rPr>
        <w:t> </w:t>
      </w:r>
      <w:r>
        <w:rPr/>
        <w:t>already, making the addition of storage fairly simple. While an inverter capable of</w:t>
      </w:r>
      <w:r>
        <w:rPr>
          <w:spacing w:val="-1"/>
        </w:rPr>
        <w:t> </w:t>
      </w:r>
      <w:r>
        <w:rPr/>
        <w:t>two-way</w:t>
      </w:r>
      <w:r>
        <w:rPr/>
        <w:t> power flows is required for storage facilities, which is a bit more expensive than an inverter</w:t>
      </w:r>
      <w:r>
        <w:rPr>
          <w:spacing w:val="-1"/>
        </w:rPr>
        <w:t> </w:t>
      </w:r>
      <w:r>
        <w:rPr/>
        <w:t>for</w:t>
      </w:r>
      <w:r>
        <w:rPr>
          <w:w w:val="100"/>
        </w:rPr>
        <w:t> </w:t>
      </w:r>
      <w:r>
        <w:rPr/>
        <w:t>the output of a solar array, the cost of storage is lower for solar customers than for</w:t>
      </w:r>
      <w:r>
        <w:rPr>
          <w:spacing w:val="-1"/>
        </w:rPr>
        <w:t> </w:t>
      </w:r>
      <w:r>
        <w:rPr/>
        <w:t>others.</w:t>
      </w:r>
    </w:p>
    <w:p>
      <w:pPr>
        <w:spacing w:after="0" w:line="360" w:lineRule="auto"/>
        <w:jc w:val="left"/>
        <w:sectPr>
          <w:pgSz w:w="12240" w:h="15840"/>
          <w:pgMar w:header="0" w:footer="1025" w:top="1400" w:bottom="1220" w:left="1340" w:right="1360"/>
        </w:sectPr>
      </w:pPr>
    </w:p>
    <w:p>
      <w:pPr>
        <w:pStyle w:val="Heading2"/>
        <w:numPr>
          <w:ilvl w:val="0"/>
          <w:numId w:val="1"/>
        </w:numPr>
        <w:tabs>
          <w:tab w:pos="839" w:val="left" w:leader="none"/>
        </w:tabs>
        <w:spacing w:line="240" w:lineRule="auto" w:before="55" w:after="0"/>
        <w:ind w:left="839" w:right="522" w:hanging="720"/>
        <w:jc w:val="left"/>
        <w:rPr>
          <w:b w:val="0"/>
          <w:bCs w:val="0"/>
        </w:rPr>
      </w:pPr>
      <w:r>
        <w:rPr/>
        <w:t>IREC’s Solar Plus Storage Valuation Report</w:t>
      </w:r>
      <w:r>
        <w:rPr>
          <w:b w:val="0"/>
          <w:bCs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90" w:firstLine="720"/>
        <w:jc w:val="left"/>
      </w:pPr>
      <w:r>
        <w:rPr/>
        <w:t>Attached to these comments is a report commissioned by IREC and conducted by</w:t>
      </w:r>
      <w:r>
        <w:rPr>
          <w:spacing w:val="-1"/>
        </w:rPr>
        <w:t> </w:t>
      </w:r>
      <w:r>
        <w:rPr/>
        <w:t>Clean</w:t>
      </w:r>
      <w:r>
        <w:rPr/>
        <w:t> Power Research (CPR) to establish a valuation methodology for distributed solar coupled</w:t>
      </w:r>
      <w:r>
        <w:rPr>
          <w:spacing w:val="-1"/>
        </w:rPr>
        <w:t> </w:t>
      </w:r>
      <w:r>
        <w:rPr/>
        <w:t>with</w:t>
      </w:r>
      <w:r>
        <w:rPr/>
        <w:t> storage, based on an assumption of utility control of the stored energy. The report focuses</w:t>
      </w:r>
      <w:r>
        <w:rPr>
          <w:spacing w:val="-1"/>
        </w:rPr>
        <w:t> </w:t>
      </w:r>
      <w:r>
        <w:rPr/>
        <w:t>on</w:t>
      </w:r>
      <w:r>
        <w:rPr/>
        <w:t> Hawaii and gives preliminary value estimates for Hawaii that are not relevant to Washington,</w:t>
      </w:r>
      <w:r>
        <w:rPr>
          <w:spacing w:val="-2"/>
        </w:rPr>
        <w:t> </w:t>
      </w:r>
      <w:r>
        <w:rPr/>
        <w:t>but</w:t>
      </w:r>
      <w:r>
        <w:rPr>
          <w:w w:val="99"/>
        </w:rPr>
        <w:t> </w:t>
      </w:r>
      <w:r>
        <w:rPr/>
        <w:t>the methodology is generally applicable. Hawaii has very high electricity rates, very</w:t>
      </w:r>
      <w:r>
        <w:rPr>
          <w:spacing w:val="-1"/>
        </w:rPr>
        <w:t> </w:t>
      </w:r>
      <w:r>
        <w:rPr/>
        <w:t>high</w:t>
      </w:r>
      <w:r>
        <w:rPr/>
        <w:t> capacity costs, and experiences system peaks after sunset, making it attractive to install</w:t>
      </w:r>
      <w:r>
        <w:rPr>
          <w:spacing w:val="-2"/>
        </w:rPr>
        <w:t> </w:t>
      </w:r>
      <w:r>
        <w:rPr/>
        <w:t>storage.</w:t>
      </w:r>
      <w:r>
        <w:rPr/>
        <w:t> For the purposes of demonstrating the application of the methodology, the report provides</w:t>
      </w:r>
      <w:r>
        <w:rPr>
          <w:spacing w:val="-1"/>
        </w:rPr>
        <w:t> </w:t>
      </w:r>
      <w:r>
        <w:rPr/>
        <w:t>an</w:t>
      </w:r>
      <w:r>
        <w:rPr/>
        <w:t> example using the assumption that the utility will discharge the customer-sited energy storage</w:t>
      </w:r>
      <w:r>
        <w:rPr>
          <w:spacing w:val="-2"/>
        </w:rPr>
        <w:t> </w:t>
      </w:r>
      <w:r>
        <w:rPr/>
        <w:t>on</w:t>
      </w:r>
      <w:r>
        <w:rPr/>
        <w:t> the 90 highest load periods of the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360" w:lineRule="auto" w:before="124"/>
        <w:ind w:right="90" w:firstLine="720"/>
        <w:jc w:val="left"/>
      </w:pPr>
      <w:r>
        <w:rPr/>
        <w:t>For Hawaii in the aforementioned sample run of the methodology, the report finds</w:t>
      </w:r>
      <w:r>
        <w:rPr>
          <w:spacing w:val="-1"/>
        </w:rPr>
        <w:t> </w:t>
      </w:r>
      <w:r>
        <w:rPr/>
        <w:t>that</w:t>
      </w:r>
      <w:r>
        <w:rPr>
          <w:w w:val="99"/>
        </w:rPr>
        <w:t> </w:t>
      </w:r>
      <w:r>
        <w:rPr/>
        <w:t>energy storage adds 7.9 cents per kWh of energy generated by the solar array; that is, a solar</w:t>
      </w:r>
      <w:r>
        <w:rPr>
          <w:spacing w:val="-1"/>
        </w:rPr>
        <w:t> </w:t>
      </w:r>
      <w:r>
        <w:rPr/>
        <w:t>plus</w:t>
      </w:r>
      <w:r>
        <w:rPr>
          <w:w w:val="100"/>
        </w:rPr>
        <w:t> </w:t>
      </w:r>
      <w:r>
        <w:rPr/>
        <w:t>storage facility costs more than a solar-only facility and actually produces less energy,</w:t>
      </w:r>
      <w:r>
        <w:rPr>
          <w:spacing w:val="-1"/>
        </w:rPr>
        <w:t> </w:t>
      </w:r>
      <w:r>
        <w:rPr/>
        <w:t>after</w:t>
      </w:r>
      <w:r>
        <w:rPr>
          <w:w w:val="100"/>
        </w:rPr>
        <w:t> </w:t>
      </w:r>
      <w:r>
        <w:rPr/>
        <w:t>accounting for losses in energy storage. However, the report finds that the levelized value</w:t>
      </w:r>
      <w:r>
        <w:rPr>
          <w:spacing w:val="-1"/>
        </w:rPr>
        <w:t> </w:t>
      </w:r>
      <w:r>
        <w:rPr/>
        <w:t>per</w:t>
      </w:r>
      <w:r>
        <w:rPr>
          <w:w w:val="100"/>
        </w:rPr>
        <w:t> </w:t>
      </w:r>
      <w:r>
        <w:rPr/>
        <w:t>kWh generated is 10.3 cents greater with the addition of storage than the value per kWh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line="360" w:lineRule="auto" w:before="8"/>
        <w:ind w:right="522"/>
        <w:jc w:val="left"/>
      </w:pPr>
      <w:r>
        <w:rPr/>
        <w:t>solar-only facilities. For Hawaii, it appears that adding storage to a solar array adds a net</w:t>
      </w:r>
      <w:r>
        <w:rPr>
          <w:spacing w:val="-2"/>
        </w:rPr>
        <w:t> </w:t>
      </w:r>
      <w:r>
        <w:rPr/>
        <w:t>2.4</w:t>
      </w:r>
      <w:r>
        <w:rPr/>
        <w:t> cents of value per</w:t>
      </w:r>
      <w:r>
        <w:rPr>
          <w:spacing w:val="-1"/>
        </w:rPr>
        <w:t> </w:t>
      </w:r>
      <w:r>
        <w:rPr/>
        <w:t>kWh.</w:t>
      </w:r>
    </w:p>
    <w:p>
      <w:pPr>
        <w:pStyle w:val="BodyText"/>
        <w:spacing w:line="360" w:lineRule="auto" w:before="124"/>
        <w:ind w:right="247" w:firstLine="720"/>
        <w:jc w:val="left"/>
      </w:pPr>
      <w:r>
        <w:rPr/>
        <w:t>Realistically, storage is likely to cost as much in Washington as in Hawaii, but have</w:t>
      </w:r>
      <w:r>
        <w:rPr>
          <w:spacing w:val="-2"/>
        </w:rPr>
        <w:t> </w:t>
      </w:r>
      <w:r>
        <w:rPr/>
        <w:t>less</w:t>
      </w:r>
      <w:r>
        <w:rPr>
          <w:w w:val="100"/>
        </w:rPr>
        <w:t> </w:t>
      </w:r>
      <w:r>
        <w:rPr/>
        <w:t>value in Washington. Still, energy storage costs are coming down and utility rates are likely</w:t>
      </w:r>
      <w:r>
        <w:rPr>
          <w:spacing w:val="-2"/>
        </w:rPr>
        <w:t> </w:t>
      </w:r>
      <w:r>
        <w:rPr/>
        <w:t>to</w:t>
      </w:r>
      <w:r>
        <w:rPr/>
        <w:t> continue to rise, making storage a viable option for Washington in the future. To plan for</w:t>
      </w:r>
      <w:r>
        <w:rPr>
          <w:spacing w:val="-2"/>
        </w:rPr>
        <w:t> </w:t>
      </w:r>
      <w:r>
        <w:rPr/>
        <w:t>that</w:t>
      </w:r>
      <w:r>
        <w:rPr>
          <w:w w:val="99"/>
        </w:rPr>
        <w:t> </w:t>
      </w:r>
      <w:r>
        <w:rPr/>
        <w:t>eventuality, IREC suggests that the Commission consider the methodology in the</w:t>
      </w:r>
      <w:r>
        <w:rPr>
          <w:spacing w:val="-1"/>
        </w:rPr>
        <w:t> </w:t>
      </w:r>
      <w:r>
        <w:rPr/>
        <w:t>IREC/CPR</w:t>
      </w:r>
      <w:r>
        <w:rPr>
          <w:w w:val="99"/>
        </w:rPr>
        <w:t> </w:t>
      </w:r>
      <w:r>
        <w:rPr/>
        <w:t>report, and the general premise outlined in these comments regarding the advantages</w:t>
      </w:r>
      <w:r>
        <w:rPr>
          <w:spacing w:val="-1"/>
        </w:rPr>
        <w:t> </w:t>
      </w:r>
      <w:r>
        <w:rPr/>
        <w:t>of</w:t>
      </w:r>
      <w:r>
        <w:rPr/>
        <w:t> customer-sited energy</w:t>
      </w:r>
      <w:r>
        <w:rPr>
          <w:spacing w:val="-1"/>
        </w:rPr>
        <w:t> </w:t>
      </w:r>
      <w:r>
        <w:rPr/>
        <w:t>storage.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tabs>
          <w:tab w:pos="838" w:val="left" w:leader="none"/>
        </w:tabs>
        <w:spacing w:line="240" w:lineRule="auto"/>
        <w:ind w:left="119" w:right="522"/>
        <w:jc w:val="left"/>
        <w:rPr>
          <w:b w:val="0"/>
          <w:bCs w:val="0"/>
        </w:rPr>
      </w:pPr>
      <w:r>
        <w:rPr/>
        <w:t>IV.</w:t>
        <w:tab/>
        <w:t>CONCLUSION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0" w:lineRule="auto"/>
        <w:ind w:right="155" w:firstLine="720"/>
        <w:jc w:val="both"/>
      </w:pPr>
      <w:r>
        <w:rPr/>
        <w:t>IREC appreciates the opportunity to participate in the Commission’s consideration of</w:t>
      </w:r>
      <w:r>
        <w:rPr>
          <w:spacing w:val="-2"/>
        </w:rPr>
        <w:t> </w:t>
      </w:r>
      <w:r>
        <w:rPr/>
        <w:t>the</w:t>
      </w:r>
      <w:r>
        <w:rPr>
          <w:w w:val="99"/>
        </w:rPr>
        <w:t> </w:t>
      </w:r>
      <w:r>
        <w:rPr/>
        <w:t>role that energy storage can play in integrated resource planning, and looks forward to</w:t>
      </w:r>
      <w:r>
        <w:rPr>
          <w:spacing w:val="-2"/>
        </w:rPr>
        <w:t> </w:t>
      </w:r>
      <w:r>
        <w:rPr/>
        <w:t>continued</w:t>
      </w:r>
      <w:r>
        <w:rPr/>
        <w:t> involvement in this</w:t>
      </w:r>
      <w:r>
        <w:rPr>
          <w:spacing w:val="-1"/>
        </w:rPr>
        <w:t> </w:t>
      </w:r>
      <w:r>
        <w:rPr/>
        <w:t>docket.</w:t>
      </w:r>
    </w:p>
    <w:p>
      <w:pPr>
        <w:spacing w:after="0" w:line="360" w:lineRule="auto"/>
        <w:jc w:val="both"/>
        <w:sectPr>
          <w:pgSz w:w="12240" w:h="15840"/>
          <w:pgMar w:header="0" w:footer="1025" w:top="1400" w:bottom="1220" w:left="1340" w:right="1340"/>
        </w:sectPr>
      </w:pPr>
    </w:p>
    <w:p>
      <w:pPr>
        <w:pStyle w:val="BodyText"/>
        <w:spacing w:line="240" w:lineRule="auto" w:before="55"/>
        <w:ind w:right="2302"/>
        <w:jc w:val="left"/>
      </w:pPr>
      <w:r>
        <w:rPr/>
        <w:pict>
          <v:shape style="position:absolute;margin-left:252.950607pt;margin-top:20.913145pt;width:144.4pt;height:57.59998pt;mso-position-horizontal-relative:page;mso-position-vertical-relative:paragraph;z-index:-4672" type="#_x0000_t75" stroked="false">
            <v:imagedata r:id="rId6" o:title=""/>
          </v:shape>
        </w:pict>
      </w:r>
      <w:r>
        <w:rPr/>
        <w:t>Respectfully Submitted on September 25,</w:t>
      </w:r>
      <w:r>
        <w:rPr>
          <w:spacing w:val="-1"/>
        </w:rPr>
        <w:t> </w:t>
      </w:r>
      <w:r>
        <w:rPr/>
        <w:t>2015.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tabs>
          <w:tab w:pos="3704" w:val="left" w:leader="none"/>
          <w:tab w:pos="6825" w:val="left" w:leader="none"/>
        </w:tabs>
        <w:spacing w:line="240" w:lineRule="auto"/>
        <w:ind w:left="2999" w:right="2302"/>
        <w:jc w:val="left"/>
      </w:pPr>
      <w:r>
        <w:rPr/>
        <w:t>By:</w:t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0" w:right="266"/>
        <w:jc w:val="center"/>
      </w:pPr>
      <w:r>
        <w:rPr/>
        <w:t>Jason B. Keyes</w:t>
      </w:r>
    </w:p>
    <w:p>
      <w:pPr>
        <w:pStyle w:val="BodyText"/>
        <w:spacing w:line="274" w:lineRule="exact" w:before="7"/>
        <w:ind w:left="3719" w:right="2302"/>
        <w:jc w:val="left"/>
      </w:pPr>
      <w:r>
        <w:rPr/>
        <w:t>Keyes, Fox &amp; Wiedman</w:t>
      </w:r>
      <w:r>
        <w:rPr>
          <w:spacing w:val="-1"/>
        </w:rPr>
        <w:t> </w:t>
      </w:r>
      <w:r>
        <w:rPr/>
        <w:t>LLP</w:t>
      </w:r>
      <w:r>
        <w:rPr/>
        <w:t> 436 14</w:t>
      </w:r>
      <w:r>
        <w:rPr>
          <w:position w:val="11"/>
          <w:sz w:val="16"/>
        </w:rPr>
        <w:t>th </w:t>
      </w:r>
      <w:r>
        <w:rPr/>
        <w:t>Street, Suite</w:t>
      </w:r>
      <w:r>
        <w:rPr>
          <w:spacing w:val="18"/>
        </w:rPr>
        <w:t> </w:t>
      </w:r>
      <w:r>
        <w:rPr/>
        <w:t>1305</w:t>
      </w:r>
    </w:p>
    <w:p>
      <w:pPr>
        <w:pStyle w:val="BodyText"/>
        <w:spacing w:line="240" w:lineRule="auto"/>
        <w:ind w:left="3719" w:right="2933"/>
        <w:jc w:val="left"/>
      </w:pPr>
      <w:r>
        <w:rPr/>
        <w:t>Oakland, CA</w:t>
      </w:r>
      <w:r>
        <w:rPr>
          <w:spacing w:val="-1"/>
        </w:rPr>
        <w:t> </w:t>
      </w:r>
      <w:r>
        <w:rPr/>
        <w:t>94612</w:t>
      </w:r>
      <w:r>
        <w:rPr/>
        <w:t> </w:t>
      </w:r>
      <w:r>
        <w:rPr>
          <w:color w:val="0000FF"/>
          <w:w w:val="99"/>
        </w:rPr>
      </w:r>
      <w:hyperlink r:id="rId7">
        <w:r>
          <w:rPr>
            <w:color w:val="0000FF"/>
            <w:u w:val="single" w:color="0000FF"/>
          </w:rPr>
          <w:t>jkeyes@kfwlaw.com</w:t>
        </w:r>
        <w:r>
          <w:rPr>
            <w:color w:val="0000FF"/>
            <w:w w:val="99"/>
          </w:rPr>
        </w:r>
      </w:hyperlink>
      <w:r>
        <w:rPr>
          <w:color w:val="0000FF"/>
          <w:w w:val="99"/>
        </w:rPr>
        <w:t> </w:t>
      </w:r>
      <w:r>
        <w:rPr/>
        <w:t>(206) 919-4960</w:t>
      </w:r>
    </w:p>
    <w:p>
      <w:pPr>
        <w:spacing w:after="0" w:line="240" w:lineRule="auto"/>
        <w:jc w:val="left"/>
        <w:sectPr>
          <w:pgSz w:w="12240" w:h="15840"/>
          <w:pgMar w:header="0" w:footer="1025" w:top="1400" w:bottom="1220" w:left="13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7"/>
        <w:ind w:right="96"/>
        <w:jc w:val="center"/>
      </w:pPr>
      <w:r>
        <w:rPr/>
        <w:t>Attachment: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9"/>
          <w:szCs w:val="39"/>
        </w:rPr>
      </w:pPr>
    </w:p>
    <w:p>
      <w:pPr>
        <w:spacing w:before="0"/>
        <w:ind w:left="96" w:right="96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sz w:val="40"/>
        </w:rPr>
        <w:t>Valuation of Solar + Storage in Hawaii:</w:t>
      </w:r>
      <w:r>
        <w:rPr>
          <w:rFonts w:ascii="Times New Roman"/>
          <w:spacing w:val="-29"/>
          <w:sz w:val="40"/>
        </w:rPr>
        <w:t> </w:t>
      </w:r>
      <w:r>
        <w:rPr>
          <w:rFonts w:ascii="Times New Roman"/>
          <w:sz w:val="40"/>
        </w:rPr>
        <w:t>Methodology</w:t>
      </w:r>
    </w:p>
    <w:sectPr>
      <w:pgSz w:w="12240" w:h="15840"/>
      <w:pgMar w:header="0" w:footer="1025" w:top="1500" w:bottom="1220" w:left="17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950592pt;margin-top:729.734497pt;width:10pt;height:14pt;mso-position-horizontal-relative:page;mso-position-vertical-relative:page;z-index:-46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/>
        <w:b/>
        <w:bCs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14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5"/>
      <w:outlineLvl w:val="1"/>
    </w:pPr>
    <w:rPr>
      <w:rFonts w:ascii="Times New Roman" w:hAnsi="Times New Roman" w:eastAsia="Times New Roman"/>
      <w:sz w:val="40"/>
      <w:szCs w:val="40"/>
    </w:rPr>
  </w:style>
  <w:style w:styleId="Heading2" w:type="paragraph">
    <w:name w:val="Heading 2"/>
    <w:basedOn w:val="Normal"/>
    <w:uiPriority w:val="1"/>
    <w:qFormat/>
    <w:pPr>
      <w:ind w:left="83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hyperlink" Target="mailto:jkeyes@kfwlaw.com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265E5B3AF5A498F041FB34EEA8E7E" ma:contentTypeVersion="119" ma:contentTypeDescription="" ma:contentTypeScope="" ma:versionID="edca5ab1cda14bc272c7078bec0967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2015-05-18T07:00:00+00:00</OpenedDate>
    <Date1 xmlns="dc463f71-b30c-4ab2-9473-d307f9d35888">2015-09-25T07:00:00+00:00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151069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1EB25A-7FF0-4AAC-9D43-5EC6698F9C67}"/>
</file>

<file path=customXml/itemProps2.xml><?xml version="1.0" encoding="utf-8"?>
<ds:datastoreItem xmlns:ds="http://schemas.openxmlformats.org/officeDocument/2006/customXml" ds:itemID="{E262C362-CC23-43FF-B786-3E44144DBA12}"/>
</file>

<file path=customXml/itemProps3.xml><?xml version="1.0" encoding="utf-8"?>
<ds:datastoreItem xmlns:ds="http://schemas.openxmlformats.org/officeDocument/2006/customXml" ds:itemID="{3011D78E-DA06-482E-8F52-EE93F54A54C5}"/>
</file>

<file path=customXml/itemProps4.xml><?xml version="1.0" encoding="utf-8"?>
<ds:datastoreItem xmlns:ds="http://schemas.openxmlformats.org/officeDocument/2006/customXml" ds:itemID="{ABBF1370-A7CE-4134-8794-26F48B16BB6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2015-09-25T19:31:04Z</dcterms:created>
  <dcterms:modified xsi:type="dcterms:W3CDTF">2015-09-25T19:31:04Z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0x0101006E56B4D1795A2E4DB2F0B01679ED314A0025F265E5B3AF5A498F041FB34EEA8E7E</vt:lpwstr>
  </property>
  <property fmtid="{D5CDD505-2E9C-101B-9397-08002B2CF9AE}" pid="3" name="_docset_NoMedatataSyncRequired">
    <vt:lpwstr>False</vt:lpwstr>
  </property>
</Properties>
</file>