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74CD5" w14:textId="77777777" w:rsidR="00244353" w:rsidRPr="00CB7F45" w:rsidRDefault="00244353" w:rsidP="002E21F8">
      <w:pPr>
        <w:pStyle w:val="Title"/>
        <w:tabs>
          <w:tab w:val="left" w:pos="2520"/>
          <w:tab w:val="left" w:pos="2610"/>
        </w:tabs>
        <w:rPr>
          <w:rFonts w:ascii="Times New Roman" w:hAnsi="Times New Roman"/>
          <w:sz w:val="25"/>
          <w:szCs w:val="25"/>
        </w:rPr>
      </w:pPr>
      <w:r w:rsidRPr="00CB7F45">
        <w:rPr>
          <w:rFonts w:ascii="Times New Roman" w:hAnsi="Times New Roman"/>
          <w:sz w:val="25"/>
          <w:szCs w:val="25"/>
        </w:rPr>
        <w:t>BEFORE THE WASHINGTON</w:t>
      </w:r>
    </w:p>
    <w:p w14:paraId="70AB53BA" w14:textId="77777777" w:rsidR="00244353" w:rsidRPr="00CB7F45" w:rsidRDefault="00244353">
      <w:pPr>
        <w:pStyle w:val="Heading2"/>
        <w:rPr>
          <w:rFonts w:ascii="Times New Roman" w:hAnsi="Times New Roman"/>
          <w:sz w:val="25"/>
          <w:szCs w:val="25"/>
        </w:rPr>
      </w:pPr>
      <w:r w:rsidRPr="00CB7F45">
        <w:rPr>
          <w:rFonts w:ascii="Times New Roman" w:hAnsi="Times New Roman"/>
          <w:sz w:val="25"/>
          <w:szCs w:val="25"/>
        </w:rPr>
        <w:t>UTILITIES AND TRANSPORTATION COMMISSION</w:t>
      </w:r>
    </w:p>
    <w:p w14:paraId="77B80A4B" w14:textId="77777777" w:rsidR="00B666E6" w:rsidRDefault="00B666E6">
      <w:pPr>
        <w:rPr>
          <w:rFonts w:ascii="Times New Roman" w:hAnsi="Times New Roman"/>
          <w:sz w:val="25"/>
          <w:szCs w:val="25"/>
        </w:rPr>
      </w:pPr>
    </w:p>
    <w:p w14:paraId="6A6FC5AC" w14:textId="77777777" w:rsidR="00DF75E1" w:rsidRPr="000B2D05" w:rsidRDefault="00DF75E1">
      <w:pPr>
        <w:rPr>
          <w:rFonts w:ascii="Times New Roman" w:hAnsi="Times New Roman"/>
          <w:sz w:val="25"/>
          <w:szCs w:val="25"/>
        </w:rPr>
      </w:pPr>
    </w:p>
    <w:tbl>
      <w:tblPr>
        <w:tblW w:w="0" w:type="auto"/>
        <w:tblLook w:val="0000" w:firstRow="0" w:lastRow="0" w:firstColumn="0" w:lastColumn="0" w:noHBand="0" w:noVBand="0"/>
      </w:tblPr>
      <w:tblGrid>
        <w:gridCol w:w="4212"/>
        <w:gridCol w:w="356"/>
        <w:gridCol w:w="4072"/>
      </w:tblGrid>
      <w:tr w:rsidR="00244353" w:rsidRPr="000B2D05" w14:paraId="2C20407E" w14:textId="77777777">
        <w:tc>
          <w:tcPr>
            <w:tcW w:w="4248" w:type="dxa"/>
          </w:tcPr>
          <w:p w14:paraId="5CFF3D03" w14:textId="77777777" w:rsidR="001828F3" w:rsidRPr="001828F3" w:rsidRDefault="001828F3" w:rsidP="005318FE">
            <w:pPr>
              <w:spacing w:line="264" w:lineRule="auto"/>
              <w:rPr>
                <w:rFonts w:ascii="Times New Roman" w:hAnsi="Times New Roman"/>
                <w:bCs/>
                <w:sz w:val="25"/>
                <w:szCs w:val="25"/>
              </w:rPr>
            </w:pPr>
            <w:r w:rsidRPr="001828F3">
              <w:rPr>
                <w:rFonts w:ascii="Times New Roman" w:hAnsi="Times New Roman"/>
                <w:bCs/>
                <w:sz w:val="25"/>
                <w:szCs w:val="25"/>
              </w:rPr>
              <w:t>WASHINGTON UTILITIES AND TRANSPORTATION COMMISSION,</w:t>
            </w:r>
          </w:p>
          <w:p w14:paraId="46D47AA6" w14:textId="77777777" w:rsidR="001828F3" w:rsidRPr="001828F3" w:rsidRDefault="001828F3" w:rsidP="001828F3">
            <w:pPr>
              <w:spacing w:line="264" w:lineRule="auto"/>
              <w:rPr>
                <w:rFonts w:ascii="Times New Roman" w:hAnsi="Times New Roman"/>
                <w:bCs/>
                <w:sz w:val="25"/>
                <w:szCs w:val="25"/>
              </w:rPr>
            </w:pPr>
          </w:p>
          <w:p w14:paraId="607214FC" w14:textId="77777777" w:rsidR="001828F3" w:rsidRPr="001828F3" w:rsidRDefault="001828F3" w:rsidP="001828F3">
            <w:pPr>
              <w:spacing w:line="264" w:lineRule="auto"/>
              <w:ind w:left="2160"/>
              <w:rPr>
                <w:rFonts w:ascii="Times New Roman" w:hAnsi="Times New Roman"/>
                <w:bCs/>
                <w:sz w:val="25"/>
                <w:szCs w:val="25"/>
              </w:rPr>
            </w:pPr>
            <w:r w:rsidRPr="001828F3">
              <w:rPr>
                <w:rFonts w:ascii="Times New Roman" w:hAnsi="Times New Roman"/>
                <w:bCs/>
                <w:sz w:val="25"/>
                <w:szCs w:val="25"/>
              </w:rPr>
              <w:t>Complainant,</w:t>
            </w:r>
          </w:p>
          <w:p w14:paraId="139BE9DB" w14:textId="77777777" w:rsidR="001828F3" w:rsidRPr="001828F3" w:rsidRDefault="001828F3" w:rsidP="001828F3">
            <w:pPr>
              <w:spacing w:line="264" w:lineRule="auto"/>
              <w:rPr>
                <w:rFonts w:ascii="Times New Roman" w:hAnsi="Times New Roman"/>
                <w:bCs/>
                <w:sz w:val="25"/>
                <w:szCs w:val="25"/>
              </w:rPr>
            </w:pPr>
          </w:p>
          <w:p w14:paraId="5F673605" w14:textId="77777777" w:rsidR="001828F3" w:rsidRPr="001828F3" w:rsidRDefault="001828F3" w:rsidP="001828F3">
            <w:pPr>
              <w:spacing w:line="264" w:lineRule="auto"/>
              <w:rPr>
                <w:rFonts w:ascii="Times New Roman" w:hAnsi="Times New Roman"/>
                <w:bCs/>
                <w:sz w:val="25"/>
                <w:szCs w:val="25"/>
              </w:rPr>
            </w:pPr>
            <w:r w:rsidRPr="001828F3">
              <w:rPr>
                <w:rFonts w:ascii="Times New Roman" w:hAnsi="Times New Roman"/>
                <w:bCs/>
                <w:sz w:val="25"/>
                <w:szCs w:val="25"/>
              </w:rPr>
              <w:t>v.</w:t>
            </w:r>
          </w:p>
          <w:p w14:paraId="15905841" w14:textId="77777777" w:rsidR="001828F3" w:rsidRPr="001828F3" w:rsidRDefault="001828F3" w:rsidP="001828F3">
            <w:pPr>
              <w:spacing w:line="264" w:lineRule="auto"/>
              <w:rPr>
                <w:rFonts w:ascii="Times New Roman" w:hAnsi="Times New Roman"/>
                <w:bCs/>
                <w:sz w:val="25"/>
                <w:szCs w:val="25"/>
              </w:rPr>
            </w:pPr>
          </w:p>
          <w:p w14:paraId="5D966172" w14:textId="1219F03C" w:rsidR="001828F3" w:rsidRPr="001828F3" w:rsidRDefault="002E5EC8" w:rsidP="001828F3">
            <w:pPr>
              <w:spacing w:line="264" w:lineRule="auto"/>
              <w:rPr>
                <w:rFonts w:ascii="Times New Roman" w:hAnsi="Times New Roman"/>
                <w:bCs/>
                <w:sz w:val="25"/>
                <w:szCs w:val="25"/>
              </w:rPr>
            </w:pPr>
            <w:r>
              <w:rPr>
                <w:rFonts w:ascii="Times New Roman" w:hAnsi="Times New Roman"/>
                <w:bCs/>
                <w:sz w:val="25"/>
                <w:szCs w:val="25"/>
              </w:rPr>
              <w:t>BEST MOVING AND DELIVERY</w:t>
            </w:r>
            <w:r w:rsidR="001828F3" w:rsidRPr="001828F3">
              <w:rPr>
                <w:rFonts w:ascii="Times New Roman" w:hAnsi="Times New Roman"/>
                <w:bCs/>
                <w:sz w:val="25"/>
                <w:szCs w:val="25"/>
              </w:rPr>
              <w:t>, LLC,</w:t>
            </w:r>
          </w:p>
          <w:p w14:paraId="6D253637" w14:textId="77777777" w:rsidR="001828F3" w:rsidRPr="001828F3" w:rsidRDefault="001828F3" w:rsidP="001828F3">
            <w:pPr>
              <w:spacing w:line="264" w:lineRule="auto"/>
              <w:rPr>
                <w:rFonts w:ascii="Times New Roman" w:hAnsi="Times New Roman"/>
                <w:bCs/>
                <w:sz w:val="25"/>
                <w:szCs w:val="25"/>
              </w:rPr>
            </w:pPr>
          </w:p>
          <w:p w14:paraId="479DDA16" w14:textId="77777777" w:rsidR="001828F3" w:rsidRPr="001828F3" w:rsidRDefault="001828F3" w:rsidP="001828F3">
            <w:pPr>
              <w:spacing w:line="264" w:lineRule="auto"/>
              <w:ind w:left="2160"/>
              <w:rPr>
                <w:rFonts w:ascii="Times New Roman" w:hAnsi="Times New Roman"/>
                <w:bCs/>
                <w:sz w:val="25"/>
                <w:szCs w:val="25"/>
              </w:rPr>
            </w:pPr>
            <w:r w:rsidRPr="001828F3">
              <w:rPr>
                <w:rFonts w:ascii="Times New Roman" w:hAnsi="Times New Roman"/>
                <w:bCs/>
                <w:sz w:val="25"/>
                <w:szCs w:val="25"/>
              </w:rPr>
              <w:t>Respondent.</w:t>
            </w:r>
          </w:p>
          <w:p w14:paraId="0DC44C72" w14:textId="77777777" w:rsidR="00244353" w:rsidRPr="000B2D05" w:rsidRDefault="00244353">
            <w:pPr>
              <w:tabs>
                <w:tab w:val="left" w:pos="2160"/>
              </w:tabs>
              <w:rPr>
                <w:rFonts w:ascii="Times New Roman" w:hAnsi="Times New Roman"/>
                <w:sz w:val="25"/>
                <w:szCs w:val="25"/>
              </w:rPr>
            </w:pPr>
            <w:r w:rsidRPr="000B2D05">
              <w:rPr>
                <w:rFonts w:ascii="Times New Roman" w:hAnsi="Times New Roman"/>
                <w:sz w:val="25"/>
                <w:szCs w:val="25"/>
              </w:rPr>
              <w:t xml:space="preserve">. . . . . . . . . . . . . . . . . . . . . . . . . . . . . . . . </w:t>
            </w:r>
          </w:p>
        </w:tc>
        <w:tc>
          <w:tcPr>
            <w:tcW w:w="360" w:type="dxa"/>
          </w:tcPr>
          <w:p w14:paraId="3EB56BB5" w14:textId="77777777" w:rsidR="00244353" w:rsidRPr="000B2D05" w:rsidRDefault="00244353">
            <w:pPr>
              <w:rPr>
                <w:rFonts w:ascii="Times New Roman" w:hAnsi="Times New Roman"/>
                <w:sz w:val="25"/>
                <w:szCs w:val="25"/>
              </w:rPr>
            </w:pPr>
            <w:r w:rsidRPr="000B2D05">
              <w:rPr>
                <w:rFonts w:ascii="Times New Roman" w:hAnsi="Times New Roman"/>
                <w:sz w:val="25"/>
                <w:szCs w:val="25"/>
              </w:rPr>
              <w:t>)</w:t>
            </w:r>
          </w:p>
          <w:p w14:paraId="50F1E4BB" w14:textId="77777777" w:rsidR="00244353" w:rsidRPr="000B2D05" w:rsidRDefault="00244353">
            <w:pPr>
              <w:rPr>
                <w:rFonts w:ascii="Times New Roman" w:hAnsi="Times New Roman"/>
                <w:sz w:val="25"/>
                <w:szCs w:val="25"/>
              </w:rPr>
            </w:pPr>
            <w:r w:rsidRPr="000B2D05">
              <w:rPr>
                <w:rFonts w:ascii="Times New Roman" w:hAnsi="Times New Roman"/>
                <w:sz w:val="25"/>
                <w:szCs w:val="25"/>
              </w:rPr>
              <w:t>)</w:t>
            </w:r>
          </w:p>
          <w:p w14:paraId="6AE0BBF0" w14:textId="77777777" w:rsidR="00244353" w:rsidRPr="000B2D05" w:rsidRDefault="00244353">
            <w:pPr>
              <w:rPr>
                <w:rFonts w:ascii="Times New Roman" w:hAnsi="Times New Roman"/>
                <w:sz w:val="25"/>
                <w:szCs w:val="25"/>
              </w:rPr>
            </w:pPr>
            <w:r w:rsidRPr="000B2D05">
              <w:rPr>
                <w:rFonts w:ascii="Times New Roman" w:hAnsi="Times New Roman"/>
                <w:sz w:val="25"/>
                <w:szCs w:val="25"/>
              </w:rPr>
              <w:t>)</w:t>
            </w:r>
          </w:p>
          <w:p w14:paraId="4A96D681" w14:textId="77777777" w:rsidR="00244353" w:rsidRPr="000B2D05" w:rsidRDefault="00244353">
            <w:pPr>
              <w:rPr>
                <w:rFonts w:ascii="Times New Roman" w:hAnsi="Times New Roman"/>
                <w:sz w:val="25"/>
                <w:szCs w:val="25"/>
              </w:rPr>
            </w:pPr>
            <w:r w:rsidRPr="000B2D05">
              <w:rPr>
                <w:rFonts w:ascii="Times New Roman" w:hAnsi="Times New Roman"/>
                <w:sz w:val="25"/>
                <w:szCs w:val="25"/>
              </w:rPr>
              <w:t>)</w:t>
            </w:r>
          </w:p>
          <w:p w14:paraId="17AFF77F" w14:textId="77777777" w:rsidR="00244353" w:rsidRPr="000B2D05" w:rsidRDefault="003D6E0E">
            <w:pPr>
              <w:rPr>
                <w:rFonts w:ascii="Times New Roman" w:hAnsi="Times New Roman"/>
                <w:sz w:val="25"/>
                <w:szCs w:val="25"/>
              </w:rPr>
            </w:pPr>
            <w:r>
              <w:rPr>
                <w:rFonts w:ascii="Times New Roman" w:hAnsi="Times New Roman"/>
                <w:sz w:val="25"/>
                <w:szCs w:val="25"/>
              </w:rPr>
              <w:t>)</w:t>
            </w:r>
          </w:p>
          <w:p w14:paraId="54B67470" w14:textId="77777777" w:rsidR="00244353" w:rsidRPr="000B2D05" w:rsidRDefault="00244353">
            <w:pPr>
              <w:rPr>
                <w:rFonts w:ascii="Times New Roman" w:hAnsi="Times New Roman"/>
                <w:sz w:val="25"/>
                <w:szCs w:val="25"/>
              </w:rPr>
            </w:pPr>
            <w:r w:rsidRPr="000B2D05">
              <w:rPr>
                <w:rFonts w:ascii="Times New Roman" w:hAnsi="Times New Roman"/>
                <w:sz w:val="25"/>
                <w:szCs w:val="25"/>
              </w:rPr>
              <w:t>)</w:t>
            </w:r>
          </w:p>
          <w:p w14:paraId="769DDA74" w14:textId="77777777" w:rsidR="00244353" w:rsidRDefault="00244353">
            <w:pPr>
              <w:rPr>
                <w:rFonts w:ascii="Times New Roman" w:hAnsi="Times New Roman"/>
                <w:sz w:val="25"/>
                <w:szCs w:val="25"/>
              </w:rPr>
            </w:pPr>
            <w:r w:rsidRPr="000B2D05">
              <w:rPr>
                <w:rFonts w:ascii="Times New Roman" w:hAnsi="Times New Roman"/>
                <w:sz w:val="25"/>
                <w:szCs w:val="25"/>
              </w:rPr>
              <w:t>)</w:t>
            </w:r>
          </w:p>
          <w:p w14:paraId="20D29851" w14:textId="77777777" w:rsidR="000B2D05" w:rsidRDefault="000B2D05">
            <w:pPr>
              <w:rPr>
                <w:rFonts w:ascii="Times New Roman" w:hAnsi="Times New Roman"/>
                <w:sz w:val="25"/>
                <w:szCs w:val="25"/>
              </w:rPr>
            </w:pPr>
            <w:r>
              <w:rPr>
                <w:rFonts w:ascii="Times New Roman" w:hAnsi="Times New Roman"/>
                <w:sz w:val="25"/>
                <w:szCs w:val="25"/>
              </w:rPr>
              <w:t>)</w:t>
            </w:r>
          </w:p>
          <w:p w14:paraId="4A2A1EC9" w14:textId="77777777" w:rsidR="001828F3" w:rsidRDefault="001828F3">
            <w:pPr>
              <w:rPr>
                <w:rFonts w:ascii="Times New Roman" w:hAnsi="Times New Roman"/>
                <w:sz w:val="25"/>
                <w:szCs w:val="25"/>
              </w:rPr>
            </w:pPr>
            <w:r>
              <w:rPr>
                <w:rFonts w:ascii="Times New Roman" w:hAnsi="Times New Roman"/>
                <w:sz w:val="25"/>
                <w:szCs w:val="25"/>
              </w:rPr>
              <w:t>)</w:t>
            </w:r>
          </w:p>
          <w:p w14:paraId="4CEBEA2C" w14:textId="77777777" w:rsidR="001828F3" w:rsidRDefault="001828F3">
            <w:pPr>
              <w:rPr>
                <w:rFonts w:ascii="Times New Roman" w:hAnsi="Times New Roman"/>
                <w:sz w:val="25"/>
                <w:szCs w:val="25"/>
              </w:rPr>
            </w:pPr>
            <w:r>
              <w:rPr>
                <w:rFonts w:ascii="Times New Roman" w:hAnsi="Times New Roman"/>
                <w:sz w:val="25"/>
                <w:szCs w:val="25"/>
              </w:rPr>
              <w:t>)</w:t>
            </w:r>
          </w:p>
          <w:p w14:paraId="11837C12" w14:textId="77777777" w:rsidR="001828F3" w:rsidRDefault="001828F3">
            <w:pPr>
              <w:rPr>
                <w:rFonts w:ascii="Times New Roman" w:hAnsi="Times New Roman"/>
                <w:sz w:val="25"/>
                <w:szCs w:val="25"/>
              </w:rPr>
            </w:pPr>
            <w:r>
              <w:rPr>
                <w:rFonts w:ascii="Times New Roman" w:hAnsi="Times New Roman"/>
                <w:sz w:val="25"/>
                <w:szCs w:val="25"/>
              </w:rPr>
              <w:t>)</w:t>
            </w:r>
          </w:p>
          <w:p w14:paraId="7C3B6918" w14:textId="77777777" w:rsidR="001828F3" w:rsidRDefault="001828F3">
            <w:pPr>
              <w:rPr>
                <w:rFonts w:ascii="Times New Roman" w:hAnsi="Times New Roman"/>
                <w:sz w:val="25"/>
                <w:szCs w:val="25"/>
              </w:rPr>
            </w:pPr>
            <w:r>
              <w:rPr>
                <w:rFonts w:ascii="Times New Roman" w:hAnsi="Times New Roman"/>
                <w:sz w:val="25"/>
                <w:szCs w:val="25"/>
              </w:rPr>
              <w:t>)</w:t>
            </w:r>
          </w:p>
          <w:p w14:paraId="0E3BC485" w14:textId="77777777" w:rsidR="001828F3" w:rsidRPr="000B2D05" w:rsidRDefault="001828F3">
            <w:pPr>
              <w:rPr>
                <w:rFonts w:ascii="Times New Roman" w:hAnsi="Times New Roman"/>
                <w:sz w:val="25"/>
                <w:szCs w:val="25"/>
              </w:rPr>
            </w:pPr>
            <w:r>
              <w:rPr>
                <w:rFonts w:ascii="Times New Roman" w:hAnsi="Times New Roman"/>
                <w:sz w:val="25"/>
                <w:szCs w:val="25"/>
              </w:rPr>
              <w:t>)</w:t>
            </w:r>
          </w:p>
        </w:tc>
        <w:tc>
          <w:tcPr>
            <w:tcW w:w="4248" w:type="dxa"/>
          </w:tcPr>
          <w:p w14:paraId="25EECD1A" w14:textId="16928EB1" w:rsidR="00244353" w:rsidRPr="000B2D05" w:rsidRDefault="00244353">
            <w:pPr>
              <w:rPr>
                <w:rFonts w:ascii="Times New Roman" w:hAnsi="Times New Roman"/>
                <w:sz w:val="25"/>
                <w:szCs w:val="25"/>
              </w:rPr>
            </w:pPr>
            <w:r w:rsidRPr="000B2D05">
              <w:rPr>
                <w:rFonts w:ascii="Times New Roman" w:hAnsi="Times New Roman"/>
                <w:sz w:val="25"/>
                <w:szCs w:val="25"/>
              </w:rPr>
              <w:t>DOCKET</w:t>
            </w:r>
            <w:r w:rsidR="00367033">
              <w:rPr>
                <w:rFonts w:ascii="Times New Roman" w:hAnsi="Times New Roman"/>
                <w:sz w:val="25"/>
                <w:szCs w:val="25"/>
              </w:rPr>
              <w:t xml:space="preserve"> </w:t>
            </w:r>
            <w:r w:rsidR="001828F3" w:rsidRPr="00C45B87">
              <w:t>TV-1</w:t>
            </w:r>
            <w:r w:rsidR="002E5EC8">
              <w:t>32030</w:t>
            </w:r>
          </w:p>
          <w:p w14:paraId="553F2D6B" w14:textId="77777777" w:rsidR="00244353" w:rsidRDefault="00244353">
            <w:pPr>
              <w:rPr>
                <w:rFonts w:ascii="Times New Roman" w:hAnsi="Times New Roman"/>
                <w:sz w:val="25"/>
                <w:szCs w:val="25"/>
              </w:rPr>
            </w:pPr>
          </w:p>
          <w:p w14:paraId="4D1D528D" w14:textId="77777777" w:rsidR="009A30A4" w:rsidRPr="000B2D05" w:rsidRDefault="009A30A4">
            <w:pPr>
              <w:rPr>
                <w:rFonts w:ascii="Times New Roman" w:hAnsi="Times New Roman"/>
                <w:sz w:val="25"/>
                <w:szCs w:val="25"/>
              </w:rPr>
            </w:pPr>
          </w:p>
          <w:p w14:paraId="73BE4CF1" w14:textId="01BFB0AF" w:rsidR="00244353" w:rsidRDefault="00FD0989">
            <w:pPr>
              <w:rPr>
                <w:rFonts w:ascii="Times New Roman" w:hAnsi="Times New Roman"/>
                <w:sz w:val="25"/>
                <w:szCs w:val="25"/>
              </w:rPr>
            </w:pPr>
            <w:r>
              <w:rPr>
                <w:rFonts w:ascii="Times New Roman" w:hAnsi="Times New Roman"/>
                <w:sz w:val="25"/>
                <w:szCs w:val="25"/>
              </w:rPr>
              <w:t>ORDER 0</w:t>
            </w:r>
            <w:r w:rsidR="002E5EC8">
              <w:rPr>
                <w:rFonts w:ascii="Times New Roman" w:hAnsi="Times New Roman"/>
                <w:sz w:val="25"/>
                <w:szCs w:val="25"/>
              </w:rPr>
              <w:t>2</w:t>
            </w:r>
          </w:p>
          <w:p w14:paraId="669AA90B" w14:textId="77777777" w:rsidR="000B2D05" w:rsidRDefault="000B2D05">
            <w:pPr>
              <w:rPr>
                <w:rFonts w:ascii="Times New Roman" w:hAnsi="Times New Roman"/>
                <w:sz w:val="25"/>
                <w:szCs w:val="25"/>
              </w:rPr>
            </w:pPr>
          </w:p>
          <w:p w14:paraId="7EEAC726" w14:textId="77777777" w:rsidR="001828F3" w:rsidRDefault="001828F3" w:rsidP="001828F3">
            <w:pPr>
              <w:rPr>
                <w:rFonts w:ascii="Times New Roman" w:hAnsi="Times New Roman"/>
                <w:sz w:val="25"/>
                <w:szCs w:val="25"/>
              </w:rPr>
            </w:pPr>
          </w:p>
          <w:p w14:paraId="0FE7010E" w14:textId="2A023397" w:rsidR="00244353" w:rsidRPr="000B2D05" w:rsidRDefault="00FD0989" w:rsidP="002E5EC8">
            <w:pPr>
              <w:rPr>
                <w:rFonts w:ascii="Times New Roman" w:hAnsi="Times New Roman"/>
                <w:sz w:val="25"/>
                <w:szCs w:val="25"/>
              </w:rPr>
            </w:pPr>
            <w:r>
              <w:rPr>
                <w:rFonts w:ascii="Times New Roman" w:hAnsi="Times New Roman"/>
                <w:sz w:val="25"/>
                <w:szCs w:val="25"/>
              </w:rPr>
              <w:t>INITIAL</w:t>
            </w:r>
            <w:r w:rsidR="00BF445C">
              <w:rPr>
                <w:rFonts w:ascii="Times New Roman" w:hAnsi="Times New Roman"/>
                <w:sz w:val="25"/>
                <w:szCs w:val="25"/>
              </w:rPr>
              <w:t xml:space="preserve"> </w:t>
            </w:r>
            <w:r w:rsidR="00453DC9">
              <w:rPr>
                <w:rFonts w:ascii="Times New Roman" w:hAnsi="Times New Roman"/>
                <w:sz w:val="25"/>
                <w:szCs w:val="25"/>
              </w:rPr>
              <w:t>OR</w:t>
            </w:r>
            <w:r w:rsidR="00B64D29">
              <w:rPr>
                <w:rFonts w:ascii="Times New Roman" w:hAnsi="Times New Roman"/>
                <w:sz w:val="25"/>
                <w:szCs w:val="25"/>
              </w:rPr>
              <w:t>DER</w:t>
            </w:r>
            <w:r w:rsidR="008D2E7A">
              <w:rPr>
                <w:rFonts w:ascii="Times New Roman" w:hAnsi="Times New Roman"/>
                <w:sz w:val="25"/>
                <w:szCs w:val="25"/>
              </w:rPr>
              <w:t xml:space="preserve"> </w:t>
            </w:r>
            <w:r w:rsidR="00A37E38">
              <w:rPr>
                <w:rFonts w:ascii="Times New Roman" w:hAnsi="Times New Roman"/>
                <w:sz w:val="25"/>
                <w:szCs w:val="25"/>
              </w:rPr>
              <w:t>IMPOSING PENALTIES</w:t>
            </w:r>
            <w:r w:rsidR="003E037B">
              <w:rPr>
                <w:rFonts w:ascii="Times New Roman" w:hAnsi="Times New Roman"/>
                <w:sz w:val="25"/>
                <w:szCs w:val="25"/>
              </w:rPr>
              <w:t xml:space="preserve"> AND REVOKING HOUSEHOLD GOODS PERMIT</w:t>
            </w:r>
          </w:p>
        </w:tc>
      </w:tr>
    </w:tbl>
    <w:p w14:paraId="1826EE54" w14:textId="77777777" w:rsidR="005318FE" w:rsidRDefault="005318FE" w:rsidP="005318FE">
      <w:pPr>
        <w:spacing w:line="264" w:lineRule="auto"/>
        <w:rPr>
          <w:rFonts w:ascii="Times New Roman" w:hAnsi="Times New Roman"/>
          <w:sz w:val="25"/>
          <w:szCs w:val="25"/>
        </w:rPr>
      </w:pPr>
    </w:p>
    <w:p w14:paraId="5C5F117A" w14:textId="77777777" w:rsidR="00257B38" w:rsidRDefault="00DA3C37" w:rsidP="005318FE">
      <w:pPr>
        <w:spacing w:line="264" w:lineRule="auto"/>
        <w:jc w:val="center"/>
        <w:rPr>
          <w:rFonts w:ascii="Times New Roman" w:hAnsi="Times New Roman"/>
          <w:b/>
          <w:bCs/>
          <w:sz w:val="25"/>
          <w:szCs w:val="25"/>
        </w:rPr>
      </w:pPr>
      <w:r w:rsidRPr="00E06E49">
        <w:rPr>
          <w:rFonts w:ascii="Times New Roman" w:hAnsi="Times New Roman"/>
          <w:b/>
          <w:bCs/>
          <w:sz w:val="25"/>
          <w:szCs w:val="25"/>
        </w:rPr>
        <w:t>BACKGROUND</w:t>
      </w:r>
    </w:p>
    <w:p w14:paraId="149FA863" w14:textId="77777777" w:rsidR="00601D76" w:rsidRPr="00257B38" w:rsidRDefault="00601D76" w:rsidP="005318FE">
      <w:pPr>
        <w:spacing w:line="264" w:lineRule="auto"/>
        <w:jc w:val="center"/>
        <w:rPr>
          <w:rFonts w:ascii="Times New Roman" w:hAnsi="Times New Roman"/>
          <w:sz w:val="25"/>
          <w:szCs w:val="25"/>
        </w:rPr>
      </w:pPr>
    </w:p>
    <w:p w14:paraId="67DFED52" w14:textId="0462BA3A" w:rsidR="000E32D5" w:rsidRDefault="000B2D05" w:rsidP="005318FE">
      <w:pPr>
        <w:numPr>
          <w:ilvl w:val="0"/>
          <w:numId w:val="1"/>
        </w:numPr>
        <w:spacing w:line="264" w:lineRule="auto"/>
        <w:ind w:hanging="720"/>
        <w:rPr>
          <w:rFonts w:ascii="Times New Roman" w:hAnsi="Times New Roman"/>
          <w:sz w:val="25"/>
          <w:szCs w:val="25"/>
        </w:rPr>
      </w:pPr>
      <w:r w:rsidRPr="001828F3">
        <w:rPr>
          <w:rFonts w:ascii="Times New Roman" w:hAnsi="Times New Roman"/>
          <w:bCs/>
          <w:sz w:val="25"/>
          <w:szCs w:val="25"/>
        </w:rPr>
        <w:t>On</w:t>
      </w:r>
      <w:r w:rsidR="006512D4" w:rsidRPr="001828F3">
        <w:rPr>
          <w:rFonts w:ascii="Times New Roman" w:hAnsi="Times New Roman"/>
          <w:sz w:val="25"/>
          <w:szCs w:val="25"/>
        </w:rPr>
        <w:t xml:space="preserve"> </w:t>
      </w:r>
      <w:r w:rsidR="00946651">
        <w:rPr>
          <w:rFonts w:ascii="Times New Roman" w:hAnsi="Times New Roman"/>
          <w:sz w:val="25"/>
          <w:szCs w:val="25"/>
        </w:rPr>
        <w:t>September 14, 2014</w:t>
      </w:r>
      <w:r w:rsidR="006512D4" w:rsidRPr="001828F3">
        <w:rPr>
          <w:rFonts w:ascii="Times New Roman" w:hAnsi="Times New Roman"/>
          <w:sz w:val="25"/>
          <w:szCs w:val="25"/>
        </w:rPr>
        <w:t xml:space="preserve">, </w:t>
      </w:r>
      <w:r w:rsidR="001828F3" w:rsidRPr="001828F3">
        <w:rPr>
          <w:rFonts w:ascii="Times New Roman" w:hAnsi="Times New Roman"/>
          <w:sz w:val="25"/>
          <w:szCs w:val="25"/>
        </w:rPr>
        <w:t xml:space="preserve">the Washington Utilities and Transportation Commission (Commission) through its regulatory </w:t>
      </w:r>
      <w:r w:rsidR="00DE025F">
        <w:rPr>
          <w:rFonts w:ascii="Times New Roman" w:hAnsi="Times New Roman"/>
          <w:sz w:val="25"/>
          <w:szCs w:val="25"/>
        </w:rPr>
        <w:t>s</w:t>
      </w:r>
      <w:r w:rsidR="001828F3" w:rsidRPr="001828F3">
        <w:rPr>
          <w:rFonts w:ascii="Times New Roman" w:hAnsi="Times New Roman"/>
          <w:sz w:val="25"/>
          <w:szCs w:val="25"/>
        </w:rPr>
        <w:t>taff (Staff)</w:t>
      </w:r>
      <w:r w:rsidR="001828F3" w:rsidRPr="001828F3">
        <w:rPr>
          <w:rStyle w:val="FootnoteReference"/>
          <w:rFonts w:ascii="Times New Roman" w:hAnsi="Times New Roman"/>
          <w:bCs/>
          <w:sz w:val="25"/>
          <w:szCs w:val="25"/>
        </w:rPr>
        <w:footnoteReference w:id="1"/>
      </w:r>
      <w:r w:rsidR="001828F3" w:rsidRPr="001828F3">
        <w:rPr>
          <w:rFonts w:ascii="Times New Roman" w:hAnsi="Times New Roman"/>
          <w:sz w:val="25"/>
          <w:szCs w:val="25"/>
        </w:rPr>
        <w:t xml:space="preserve"> filed a complaint against </w:t>
      </w:r>
      <w:r w:rsidR="00946651">
        <w:rPr>
          <w:rFonts w:ascii="Times New Roman" w:hAnsi="Times New Roman"/>
          <w:sz w:val="25"/>
          <w:szCs w:val="25"/>
        </w:rPr>
        <w:t>Best Moving and Delivery</w:t>
      </w:r>
      <w:r w:rsidR="001828F3" w:rsidRPr="001828F3">
        <w:rPr>
          <w:rFonts w:ascii="Times New Roman" w:hAnsi="Times New Roman"/>
          <w:sz w:val="25"/>
          <w:szCs w:val="25"/>
        </w:rPr>
        <w:t>, LLC</w:t>
      </w:r>
      <w:r w:rsidR="006512D4" w:rsidRPr="001828F3">
        <w:rPr>
          <w:rFonts w:ascii="Times New Roman" w:hAnsi="Times New Roman"/>
          <w:sz w:val="25"/>
          <w:szCs w:val="25"/>
        </w:rPr>
        <w:t xml:space="preserve"> </w:t>
      </w:r>
      <w:r w:rsidR="001828F3">
        <w:rPr>
          <w:rFonts w:ascii="Times New Roman" w:hAnsi="Times New Roman"/>
          <w:sz w:val="25"/>
          <w:szCs w:val="25"/>
        </w:rPr>
        <w:t>(</w:t>
      </w:r>
      <w:r w:rsidR="00946651">
        <w:rPr>
          <w:rFonts w:ascii="Times New Roman" w:hAnsi="Times New Roman"/>
          <w:sz w:val="25"/>
          <w:szCs w:val="25"/>
        </w:rPr>
        <w:t>Best</w:t>
      </w:r>
      <w:r w:rsidR="001828F3">
        <w:rPr>
          <w:rFonts w:ascii="Times New Roman" w:hAnsi="Times New Roman"/>
          <w:sz w:val="25"/>
          <w:szCs w:val="25"/>
        </w:rPr>
        <w:t xml:space="preserve"> Moving </w:t>
      </w:r>
      <w:r w:rsidR="006512D4" w:rsidRPr="001828F3">
        <w:rPr>
          <w:rFonts w:ascii="Times New Roman" w:hAnsi="Times New Roman"/>
          <w:sz w:val="25"/>
          <w:szCs w:val="25"/>
        </w:rPr>
        <w:t>or Company)</w:t>
      </w:r>
      <w:r w:rsidR="009B0CD8">
        <w:rPr>
          <w:rFonts w:ascii="Times New Roman" w:hAnsi="Times New Roman"/>
          <w:sz w:val="25"/>
          <w:szCs w:val="25"/>
        </w:rPr>
        <w:t>.</w:t>
      </w:r>
      <w:r w:rsidR="001828F3">
        <w:rPr>
          <w:rFonts w:ascii="Times New Roman" w:hAnsi="Times New Roman"/>
          <w:sz w:val="25"/>
          <w:szCs w:val="25"/>
        </w:rPr>
        <w:t xml:space="preserve">  </w:t>
      </w:r>
      <w:r w:rsidR="00172D1B">
        <w:rPr>
          <w:rFonts w:ascii="Times New Roman" w:hAnsi="Times New Roman"/>
          <w:sz w:val="25"/>
          <w:szCs w:val="25"/>
        </w:rPr>
        <w:t xml:space="preserve">Staff raised </w:t>
      </w:r>
      <w:r w:rsidR="003E037B">
        <w:rPr>
          <w:rFonts w:ascii="Times New Roman" w:hAnsi="Times New Roman"/>
          <w:sz w:val="25"/>
          <w:szCs w:val="25"/>
        </w:rPr>
        <w:t>eight</w:t>
      </w:r>
      <w:r w:rsidR="00172D1B">
        <w:rPr>
          <w:rFonts w:ascii="Times New Roman" w:hAnsi="Times New Roman"/>
          <w:sz w:val="25"/>
          <w:szCs w:val="25"/>
        </w:rPr>
        <w:t xml:space="preserve"> causes of action against Best Moving, alleging a total of </w:t>
      </w:r>
      <w:r w:rsidR="003E037B">
        <w:rPr>
          <w:rFonts w:ascii="Times New Roman" w:hAnsi="Times New Roman"/>
          <w:sz w:val="25"/>
          <w:szCs w:val="25"/>
        </w:rPr>
        <w:t>205</w:t>
      </w:r>
      <w:r w:rsidR="002437EE" w:rsidRPr="002437EE">
        <w:rPr>
          <w:rFonts w:ascii="Times New Roman" w:hAnsi="Times New Roman"/>
          <w:sz w:val="25"/>
          <w:szCs w:val="25"/>
        </w:rPr>
        <w:t xml:space="preserve"> violations of Commission rules</w:t>
      </w:r>
      <w:r w:rsidR="00946651">
        <w:rPr>
          <w:rFonts w:ascii="Times New Roman" w:hAnsi="Times New Roman"/>
          <w:sz w:val="25"/>
          <w:szCs w:val="25"/>
        </w:rPr>
        <w:t>,</w:t>
      </w:r>
      <w:r w:rsidR="002437EE" w:rsidRPr="002437EE">
        <w:rPr>
          <w:rFonts w:ascii="Times New Roman" w:hAnsi="Times New Roman"/>
          <w:sz w:val="25"/>
          <w:szCs w:val="25"/>
        </w:rPr>
        <w:t xml:space="preserve"> statutes</w:t>
      </w:r>
      <w:r w:rsidR="00DE025F">
        <w:rPr>
          <w:rFonts w:ascii="Times New Roman" w:hAnsi="Times New Roman"/>
          <w:sz w:val="25"/>
          <w:szCs w:val="25"/>
        </w:rPr>
        <w:t>,</w:t>
      </w:r>
      <w:r w:rsidR="002437EE">
        <w:rPr>
          <w:rFonts w:ascii="Times New Roman" w:hAnsi="Times New Roman"/>
          <w:sz w:val="25"/>
          <w:szCs w:val="25"/>
        </w:rPr>
        <w:t xml:space="preserve"> and </w:t>
      </w:r>
      <w:r w:rsidR="00946651">
        <w:rPr>
          <w:rFonts w:ascii="Times New Roman" w:hAnsi="Times New Roman"/>
          <w:sz w:val="25"/>
          <w:szCs w:val="25"/>
        </w:rPr>
        <w:t xml:space="preserve">Tariff 15-C.  Staff recommends </w:t>
      </w:r>
      <w:r w:rsidR="002437EE">
        <w:rPr>
          <w:rFonts w:ascii="Times New Roman" w:hAnsi="Times New Roman"/>
          <w:sz w:val="25"/>
          <w:szCs w:val="25"/>
        </w:rPr>
        <w:t>penalties of $14,000</w:t>
      </w:r>
      <w:r w:rsidR="006C48ED">
        <w:rPr>
          <w:rFonts w:ascii="Times New Roman" w:hAnsi="Times New Roman"/>
          <w:sz w:val="25"/>
          <w:szCs w:val="25"/>
        </w:rPr>
        <w:t xml:space="preserve"> and </w:t>
      </w:r>
      <w:r w:rsidR="00172D1B">
        <w:rPr>
          <w:rFonts w:ascii="Times New Roman" w:hAnsi="Times New Roman"/>
          <w:sz w:val="25"/>
          <w:szCs w:val="25"/>
        </w:rPr>
        <w:t>cancellation of the Company’s permit for good cause</w:t>
      </w:r>
      <w:r w:rsidR="002437EE">
        <w:rPr>
          <w:rFonts w:ascii="Times New Roman" w:hAnsi="Times New Roman"/>
          <w:sz w:val="25"/>
          <w:szCs w:val="25"/>
        </w:rPr>
        <w:t xml:space="preserve">. </w:t>
      </w:r>
      <w:r w:rsidR="006512D4" w:rsidRPr="001828F3">
        <w:rPr>
          <w:rFonts w:ascii="Times New Roman" w:hAnsi="Times New Roman"/>
          <w:sz w:val="25"/>
          <w:szCs w:val="25"/>
        </w:rPr>
        <w:t xml:space="preserve">  </w:t>
      </w:r>
    </w:p>
    <w:p w14:paraId="66A3CBB9" w14:textId="77777777" w:rsidR="000E32D5" w:rsidRDefault="000E32D5" w:rsidP="005318FE">
      <w:pPr>
        <w:spacing w:line="264" w:lineRule="auto"/>
        <w:rPr>
          <w:rFonts w:ascii="Times New Roman" w:hAnsi="Times New Roman"/>
          <w:sz w:val="25"/>
          <w:szCs w:val="25"/>
        </w:rPr>
      </w:pPr>
    </w:p>
    <w:p w14:paraId="6B997D62" w14:textId="5A8EEE3A" w:rsidR="00216BAB" w:rsidRDefault="000E32D5" w:rsidP="005318FE">
      <w:pPr>
        <w:numPr>
          <w:ilvl w:val="0"/>
          <w:numId w:val="1"/>
        </w:numPr>
        <w:spacing w:line="264" w:lineRule="auto"/>
        <w:ind w:hanging="720"/>
        <w:rPr>
          <w:rFonts w:ascii="Times New Roman" w:hAnsi="Times New Roman"/>
          <w:sz w:val="25"/>
          <w:szCs w:val="25"/>
        </w:rPr>
      </w:pPr>
      <w:r>
        <w:rPr>
          <w:rFonts w:ascii="Times New Roman" w:hAnsi="Times New Roman"/>
          <w:sz w:val="25"/>
          <w:szCs w:val="25"/>
        </w:rPr>
        <w:t>Best Moving received its permanent household goods permit on January 8, 2009, in Docket TV-082178.</w:t>
      </w:r>
      <w:r w:rsidR="00524FAD">
        <w:rPr>
          <w:rStyle w:val="FootnoteReference"/>
          <w:rFonts w:ascii="Times New Roman" w:hAnsi="Times New Roman"/>
          <w:sz w:val="25"/>
          <w:szCs w:val="25"/>
        </w:rPr>
        <w:footnoteReference w:id="2"/>
      </w:r>
      <w:r w:rsidR="00524FAD">
        <w:rPr>
          <w:rFonts w:ascii="Times New Roman" w:hAnsi="Times New Roman"/>
          <w:sz w:val="25"/>
          <w:szCs w:val="25"/>
        </w:rPr>
        <w:t xml:space="preserve">  </w:t>
      </w:r>
      <w:r w:rsidR="00216BAB">
        <w:rPr>
          <w:rFonts w:ascii="Times New Roman" w:hAnsi="Times New Roman"/>
          <w:sz w:val="25"/>
          <w:szCs w:val="25"/>
        </w:rPr>
        <w:t>Later in the year, Mr. Ivan Ratko, owner of Best Moving</w:t>
      </w:r>
      <w:r w:rsidR="003E037B">
        <w:rPr>
          <w:rFonts w:ascii="Times New Roman" w:hAnsi="Times New Roman"/>
          <w:sz w:val="25"/>
          <w:szCs w:val="25"/>
        </w:rPr>
        <w:t>,</w:t>
      </w:r>
      <w:r w:rsidR="00216BAB">
        <w:rPr>
          <w:rFonts w:ascii="Times New Roman" w:hAnsi="Times New Roman"/>
          <w:sz w:val="25"/>
          <w:szCs w:val="25"/>
        </w:rPr>
        <w:t xml:space="preserve"> attended a Commission-sponsored household goods rule and tariff training session.</w:t>
      </w:r>
      <w:r w:rsidR="00216BAB">
        <w:rPr>
          <w:rStyle w:val="FootnoteReference"/>
          <w:rFonts w:ascii="Times New Roman" w:hAnsi="Times New Roman"/>
          <w:sz w:val="25"/>
          <w:szCs w:val="25"/>
        </w:rPr>
        <w:footnoteReference w:id="3"/>
      </w:r>
      <w:r w:rsidR="00216BAB">
        <w:rPr>
          <w:rFonts w:ascii="Times New Roman" w:hAnsi="Times New Roman"/>
          <w:sz w:val="25"/>
          <w:szCs w:val="25"/>
        </w:rPr>
        <w:t xml:space="preserve"> </w:t>
      </w:r>
    </w:p>
    <w:p w14:paraId="1B9C7B14" w14:textId="77777777" w:rsidR="00216BAB" w:rsidRDefault="00216BAB" w:rsidP="005318FE">
      <w:pPr>
        <w:pStyle w:val="ListParagraph"/>
        <w:spacing w:line="264" w:lineRule="auto"/>
        <w:rPr>
          <w:rFonts w:ascii="Times New Roman" w:hAnsi="Times New Roman"/>
          <w:sz w:val="25"/>
          <w:szCs w:val="25"/>
        </w:rPr>
      </w:pPr>
    </w:p>
    <w:p w14:paraId="3617CF5B" w14:textId="6C008909" w:rsidR="00223CD9" w:rsidRDefault="00524FAD" w:rsidP="005318FE">
      <w:pPr>
        <w:numPr>
          <w:ilvl w:val="0"/>
          <w:numId w:val="1"/>
        </w:numPr>
        <w:spacing w:line="264" w:lineRule="auto"/>
        <w:ind w:hanging="720"/>
        <w:rPr>
          <w:rFonts w:ascii="Times New Roman" w:hAnsi="Times New Roman"/>
          <w:sz w:val="25"/>
          <w:szCs w:val="25"/>
        </w:rPr>
      </w:pPr>
      <w:r>
        <w:rPr>
          <w:rFonts w:ascii="Times New Roman" w:hAnsi="Times New Roman"/>
          <w:sz w:val="25"/>
          <w:szCs w:val="25"/>
        </w:rPr>
        <w:t>Staff received a complaint against the Company later in 2009 and opened an investigation into Best Moving’s adverti</w:t>
      </w:r>
      <w:r w:rsidR="00216BAB">
        <w:rPr>
          <w:rFonts w:ascii="Times New Roman" w:hAnsi="Times New Roman"/>
          <w:sz w:val="25"/>
          <w:szCs w:val="25"/>
        </w:rPr>
        <w:t>s</w:t>
      </w:r>
      <w:r>
        <w:rPr>
          <w:rFonts w:ascii="Times New Roman" w:hAnsi="Times New Roman"/>
          <w:sz w:val="25"/>
          <w:szCs w:val="25"/>
        </w:rPr>
        <w:t>ing practices.</w:t>
      </w:r>
      <w:r>
        <w:rPr>
          <w:rStyle w:val="FootnoteReference"/>
          <w:rFonts w:ascii="Times New Roman" w:hAnsi="Times New Roman"/>
          <w:sz w:val="25"/>
          <w:szCs w:val="25"/>
        </w:rPr>
        <w:footnoteReference w:id="4"/>
      </w:r>
      <w:r w:rsidR="00726A82">
        <w:rPr>
          <w:rFonts w:ascii="Times New Roman" w:hAnsi="Times New Roman"/>
          <w:sz w:val="25"/>
          <w:szCs w:val="25"/>
        </w:rPr>
        <w:t xml:space="preserve">  </w:t>
      </w:r>
      <w:r w:rsidR="00C20740">
        <w:rPr>
          <w:rFonts w:ascii="Times New Roman" w:hAnsi="Times New Roman"/>
          <w:sz w:val="25"/>
          <w:szCs w:val="25"/>
        </w:rPr>
        <w:t xml:space="preserve">After contacting the </w:t>
      </w:r>
      <w:r w:rsidR="00171D5C">
        <w:rPr>
          <w:rFonts w:ascii="Times New Roman" w:hAnsi="Times New Roman"/>
          <w:sz w:val="25"/>
          <w:szCs w:val="25"/>
        </w:rPr>
        <w:t>Company regarding the advertising complaint</w:t>
      </w:r>
      <w:r w:rsidR="00C20740">
        <w:rPr>
          <w:rFonts w:ascii="Times New Roman" w:hAnsi="Times New Roman"/>
          <w:sz w:val="25"/>
          <w:szCs w:val="25"/>
        </w:rPr>
        <w:t>, Staff</w:t>
      </w:r>
      <w:r w:rsidR="00171D5C">
        <w:rPr>
          <w:rFonts w:ascii="Times New Roman" w:hAnsi="Times New Roman"/>
          <w:sz w:val="25"/>
          <w:szCs w:val="25"/>
        </w:rPr>
        <w:t xml:space="preserve"> conducted a follow-up investigation</w:t>
      </w:r>
      <w:r w:rsidR="003E037B">
        <w:rPr>
          <w:rFonts w:ascii="Times New Roman" w:hAnsi="Times New Roman"/>
          <w:sz w:val="25"/>
          <w:szCs w:val="25"/>
        </w:rPr>
        <w:t>, which it documented in its 2011 Investigation Report</w:t>
      </w:r>
      <w:r w:rsidR="00171D5C">
        <w:rPr>
          <w:rFonts w:ascii="Times New Roman" w:hAnsi="Times New Roman"/>
          <w:sz w:val="25"/>
          <w:szCs w:val="25"/>
        </w:rPr>
        <w:t>.</w:t>
      </w:r>
      <w:r w:rsidR="00171D5C">
        <w:rPr>
          <w:rStyle w:val="FootnoteReference"/>
          <w:rFonts w:ascii="Times New Roman" w:hAnsi="Times New Roman"/>
          <w:sz w:val="25"/>
          <w:szCs w:val="25"/>
        </w:rPr>
        <w:footnoteReference w:id="5"/>
      </w:r>
      <w:r w:rsidR="00171D5C">
        <w:rPr>
          <w:rFonts w:ascii="Times New Roman" w:hAnsi="Times New Roman"/>
          <w:sz w:val="25"/>
          <w:szCs w:val="25"/>
        </w:rPr>
        <w:t xml:space="preserve">  </w:t>
      </w:r>
      <w:r w:rsidR="00C20740">
        <w:rPr>
          <w:rFonts w:ascii="Times New Roman" w:hAnsi="Times New Roman"/>
          <w:sz w:val="25"/>
          <w:szCs w:val="25"/>
        </w:rPr>
        <w:t xml:space="preserve">In this report, </w:t>
      </w:r>
      <w:r w:rsidR="00171D5C">
        <w:rPr>
          <w:rFonts w:ascii="Times New Roman" w:hAnsi="Times New Roman"/>
          <w:sz w:val="25"/>
          <w:szCs w:val="25"/>
        </w:rPr>
        <w:t xml:space="preserve">Staff discovered continuing violations of </w:t>
      </w:r>
      <w:r w:rsidR="00223CD9">
        <w:rPr>
          <w:rFonts w:ascii="Times New Roman" w:hAnsi="Times New Roman"/>
          <w:sz w:val="25"/>
          <w:szCs w:val="25"/>
        </w:rPr>
        <w:t>the Commission’s advertising and household goods rules, including, of particular relevance:</w:t>
      </w:r>
    </w:p>
    <w:p w14:paraId="5C3444D5" w14:textId="77777777" w:rsidR="00223CD9" w:rsidRDefault="00223CD9" w:rsidP="005318FE">
      <w:pPr>
        <w:pStyle w:val="ListParagraph"/>
        <w:spacing w:line="264" w:lineRule="auto"/>
        <w:rPr>
          <w:rFonts w:ascii="Times New Roman" w:hAnsi="Times New Roman"/>
          <w:sz w:val="25"/>
          <w:szCs w:val="25"/>
        </w:rPr>
      </w:pPr>
    </w:p>
    <w:p w14:paraId="349E1D11" w14:textId="74D78AD8" w:rsidR="00223CD9" w:rsidRDefault="00223CD9" w:rsidP="005318FE">
      <w:pPr>
        <w:pStyle w:val="ListParagraph"/>
        <w:numPr>
          <w:ilvl w:val="0"/>
          <w:numId w:val="4"/>
        </w:numPr>
        <w:spacing w:line="264" w:lineRule="auto"/>
        <w:rPr>
          <w:rFonts w:ascii="Times New Roman" w:hAnsi="Times New Roman"/>
          <w:sz w:val="25"/>
          <w:szCs w:val="25"/>
        </w:rPr>
      </w:pPr>
      <w:r w:rsidRPr="00223CD9">
        <w:rPr>
          <w:rFonts w:ascii="Times New Roman" w:hAnsi="Times New Roman"/>
          <w:sz w:val="25"/>
          <w:szCs w:val="25"/>
        </w:rPr>
        <w:t>Failure to provide written estimates</w:t>
      </w:r>
      <w:r w:rsidR="003E037B">
        <w:rPr>
          <w:rFonts w:ascii="Times New Roman" w:hAnsi="Times New Roman"/>
          <w:sz w:val="25"/>
          <w:szCs w:val="25"/>
        </w:rPr>
        <w:t>, including cube sheets,</w:t>
      </w:r>
      <w:r w:rsidRPr="00223CD9">
        <w:rPr>
          <w:rFonts w:ascii="Times New Roman" w:hAnsi="Times New Roman"/>
          <w:sz w:val="25"/>
          <w:szCs w:val="25"/>
        </w:rPr>
        <w:t xml:space="preserve"> to customers prior to the move in violation of WAC 480-15-630 and Tariff 15-C</w:t>
      </w:r>
      <w:r w:rsidR="00216BAB">
        <w:rPr>
          <w:rFonts w:ascii="Times New Roman" w:hAnsi="Times New Roman"/>
          <w:sz w:val="25"/>
          <w:szCs w:val="25"/>
        </w:rPr>
        <w:t>.</w:t>
      </w:r>
      <w:r w:rsidRPr="00223CD9">
        <w:rPr>
          <w:rFonts w:ascii="Times New Roman" w:hAnsi="Times New Roman"/>
          <w:sz w:val="25"/>
          <w:szCs w:val="25"/>
        </w:rPr>
        <w:t xml:space="preserve"> </w:t>
      </w:r>
    </w:p>
    <w:p w14:paraId="6FE72602" w14:textId="77777777" w:rsidR="00601D76" w:rsidRDefault="00601D76" w:rsidP="005318FE">
      <w:pPr>
        <w:pStyle w:val="ListParagraph"/>
        <w:spacing w:line="264" w:lineRule="auto"/>
        <w:rPr>
          <w:rFonts w:ascii="Times New Roman" w:hAnsi="Times New Roman"/>
          <w:sz w:val="25"/>
          <w:szCs w:val="25"/>
        </w:rPr>
      </w:pPr>
    </w:p>
    <w:p w14:paraId="65DEAF11" w14:textId="6E8AAF07" w:rsidR="00223CD9" w:rsidRDefault="00223CD9" w:rsidP="005318FE">
      <w:pPr>
        <w:pStyle w:val="ListParagraph"/>
        <w:numPr>
          <w:ilvl w:val="0"/>
          <w:numId w:val="4"/>
        </w:numPr>
        <w:spacing w:line="264" w:lineRule="auto"/>
        <w:rPr>
          <w:rFonts w:ascii="Times New Roman" w:hAnsi="Times New Roman"/>
          <w:sz w:val="25"/>
          <w:szCs w:val="25"/>
        </w:rPr>
      </w:pPr>
      <w:r>
        <w:rPr>
          <w:rFonts w:ascii="Times New Roman" w:hAnsi="Times New Roman"/>
          <w:sz w:val="25"/>
          <w:szCs w:val="25"/>
        </w:rPr>
        <w:t>Failure to use a proper bill of lading format, including required language regarding contract terms and conditions, in violation of WAC 480-15-710(3) and Tariff 15-C</w:t>
      </w:r>
      <w:r w:rsidR="00216BAB">
        <w:rPr>
          <w:rFonts w:ascii="Times New Roman" w:hAnsi="Times New Roman"/>
          <w:sz w:val="25"/>
          <w:szCs w:val="25"/>
        </w:rPr>
        <w:t>.</w:t>
      </w:r>
    </w:p>
    <w:p w14:paraId="11AA1B62" w14:textId="77777777" w:rsidR="00601D76" w:rsidRPr="00601D76" w:rsidRDefault="00601D76" w:rsidP="005318FE">
      <w:pPr>
        <w:spacing w:line="264" w:lineRule="auto"/>
        <w:rPr>
          <w:rFonts w:ascii="Times New Roman" w:hAnsi="Times New Roman"/>
          <w:sz w:val="25"/>
          <w:szCs w:val="25"/>
        </w:rPr>
      </w:pPr>
    </w:p>
    <w:p w14:paraId="121493C0" w14:textId="6A3EE0E4" w:rsidR="00223CD9" w:rsidRDefault="00223CD9" w:rsidP="005318FE">
      <w:pPr>
        <w:pStyle w:val="ListParagraph"/>
        <w:numPr>
          <w:ilvl w:val="0"/>
          <w:numId w:val="4"/>
        </w:numPr>
        <w:spacing w:line="264" w:lineRule="auto"/>
        <w:rPr>
          <w:rFonts w:ascii="Times New Roman" w:hAnsi="Times New Roman"/>
          <w:sz w:val="25"/>
          <w:szCs w:val="25"/>
        </w:rPr>
      </w:pPr>
      <w:r>
        <w:rPr>
          <w:rFonts w:ascii="Times New Roman" w:hAnsi="Times New Roman"/>
          <w:sz w:val="25"/>
          <w:szCs w:val="25"/>
        </w:rPr>
        <w:t>Failure to follow the terms, conditions, and rates imposed by Tariff 15-C in violation of WAC 480-15-490(3)</w:t>
      </w:r>
      <w:r w:rsidR="00216BAB">
        <w:rPr>
          <w:rFonts w:ascii="Times New Roman" w:hAnsi="Times New Roman"/>
          <w:sz w:val="25"/>
          <w:szCs w:val="25"/>
        </w:rPr>
        <w:t>.</w:t>
      </w:r>
      <w:r>
        <w:rPr>
          <w:rFonts w:ascii="Times New Roman" w:hAnsi="Times New Roman"/>
          <w:sz w:val="25"/>
          <w:szCs w:val="25"/>
        </w:rPr>
        <w:t xml:space="preserve"> </w:t>
      </w:r>
    </w:p>
    <w:p w14:paraId="42109BFD" w14:textId="77777777" w:rsidR="00601D76" w:rsidRPr="00601D76" w:rsidRDefault="00601D76" w:rsidP="005318FE">
      <w:pPr>
        <w:spacing w:line="264" w:lineRule="auto"/>
        <w:rPr>
          <w:rFonts w:ascii="Times New Roman" w:hAnsi="Times New Roman"/>
          <w:sz w:val="25"/>
          <w:szCs w:val="25"/>
        </w:rPr>
      </w:pPr>
    </w:p>
    <w:p w14:paraId="545BE213" w14:textId="58D54DC4" w:rsidR="00223CD9" w:rsidRDefault="00223CD9" w:rsidP="005318FE">
      <w:pPr>
        <w:pStyle w:val="ListParagraph"/>
        <w:numPr>
          <w:ilvl w:val="0"/>
          <w:numId w:val="4"/>
        </w:numPr>
        <w:spacing w:line="264" w:lineRule="auto"/>
        <w:rPr>
          <w:rFonts w:ascii="Times New Roman" w:hAnsi="Times New Roman"/>
          <w:sz w:val="25"/>
          <w:szCs w:val="25"/>
        </w:rPr>
      </w:pPr>
      <w:r>
        <w:rPr>
          <w:rFonts w:ascii="Times New Roman" w:hAnsi="Times New Roman"/>
          <w:sz w:val="25"/>
          <w:szCs w:val="25"/>
        </w:rPr>
        <w:t>Failure to properly advise customers of their right to file complaints and claims as required by WAC 480-15-800(2)</w:t>
      </w:r>
      <w:r w:rsidR="00216BAB">
        <w:rPr>
          <w:rFonts w:ascii="Times New Roman" w:hAnsi="Times New Roman"/>
          <w:sz w:val="25"/>
          <w:szCs w:val="25"/>
        </w:rPr>
        <w:t>.</w:t>
      </w:r>
    </w:p>
    <w:p w14:paraId="5651E8D4" w14:textId="77777777" w:rsidR="00601D76" w:rsidRPr="00601D76" w:rsidRDefault="00601D76" w:rsidP="005318FE">
      <w:pPr>
        <w:spacing w:line="264" w:lineRule="auto"/>
        <w:rPr>
          <w:rFonts w:ascii="Times New Roman" w:hAnsi="Times New Roman"/>
          <w:sz w:val="25"/>
          <w:szCs w:val="25"/>
        </w:rPr>
      </w:pPr>
    </w:p>
    <w:p w14:paraId="462E6989" w14:textId="23538656" w:rsidR="00E06E49" w:rsidRPr="00223CD9" w:rsidRDefault="00223CD9" w:rsidP="005318FE">
      <w:pPr>
        <w:pStyle w:val="ListParagraph"/>
        <w:numPr>
          <w:ilvl w:val="0"/>
          <w:numId w:val="4"/>
        </w:numPr>
        <w:spacing w:line="264" w:lineRule="auto"/>
        <w:rPr>
          <w:rFonts w:ascii="Times New Roman" w:hAnsi="Times New Roman"/>
          <w:sz w:val="25"/>
          <w:szCs w:val="25"/>
        </w:rPr>
      </w:pPr>
      <w:r>
        <w:rPr>
          <w:rFonts w:ascii="Times New Roman" w:hAnsi="Times New Roman"/>
          <w:sz w:val="25"/>
          <w:szCs w:val="25"/>
        </w:rPr>
        <w:t>Failing to include the Company’s business address on its website, in violation of WAC 480-15-610(1)</w:t>
      </w:r>
      <w:r w:rsidR="00216BAB">
        <w:rPr>
          <w:rFonts w:ascii="Times New Roman" w:hAnsi="Times New Roman"/>
          <w:sz w:val="25"/>
          <w:szCs w:val="25"/>
        </w:rPr>
        <w:t>.</w:t>
      </w:r>
      <w:r w:rsidR="00C20740">
        <w:rPr>
          <w:rStyle w:val="FootnoteReference"/>
          <w:rFonts w:ascii="Times New Roman" w:hAnsi="Times New Roman"/>
          <w:sz w:val="25"/>
          <w:szCs w:val="25"/>
        </w:rPr>
        <w:footnoteReference w:id="6"/>
      </w:r>
      <w:r w:rsidR="009B0CD8" w:rsidRPr="00223CD9">
        <w:rPr>
          <w:rFonts w:ascii="Times New Roman" w:hAnsi="Times New Roman"/>
          <w:sz w:val="25"/>
          <w:szCs w:val="25"/>
        </w:rPr>
        <w:br/>
      </w:r>
    </w:p>
    <w:p w14:paraId="27DE0B87" w14:textId="233C75DC" w:rsidR="00C20740" w:rsidRDefault="00216BAB" w:rsidP="005318FE">
      <w:pPr>
        <w:spacing w:line="264" w:lineRule="auto"/>
        <w:rPr>
          <w:rFonts w:ascii="Times New Roman" w:hAnsi="Times New Roman"/>
          <w:sz w:val="25"/>
          <w:szCs w:val="25"/>
        </w:rPr>
      </w:pPr>
      <w:r>
        <w:rPr>
          <w:rFonts w:ascii="Times New Roman" w:hAnsi="Times New Roman"/>
          <w:sz w:val="25"/>
          <w:szCs w:val="25"/>
        </w:rPr>
        <w:t xml:space="preserve">Staff recommended a $500 penalty for the </w:t>
      </w:r>
      <w:r w:rsidR="00C20740">
        <w:rPr>
          <w:rFonts w:ascii="Times New Roman" w:hAnsi="Times New Roman"/>
          <w:sz w:val="25"/>
          <w:szCs w:val="25"/>
        </w:rPr>
        <w:t xml:space="preserve">above-referenced </w:t>
      </w:r>
      <w:r>
        <w:rPr>
          <w:rFonts w:ascii="Times New Roman" w:hAnsi="Times New Roman"/>
          <w:sz w:val="25"/>
          <w:szCs w:val="25"/>
        </w:rPr>
        <w:t xml:space="preserve">violations and encouraged the Company’s representative to attend </w:t>
      </w:r>
      <w:r w:rsidR="00C20740">
        <w:rPr>
          <w:rFonts w:ascii="Times New Roman" w:hAnsi="Times New Roman"/>
          <w:sz w:val="25"/>
          <w:szCs w:val="25"/>
        </w:rPr>
        <w:t xml:space="preserve">additional </w:t>
      </w:r>
      <w:r>
        <w:rPr>
          <w:rFonts w:ascii="Times New Roman" w:hAnsi="Times New Roman"/>
          <w:sz w:val="25"/>
          <w:szCs w:val="25"/>
        </w:rPr>
        <w:t>Commission-</w:t>
      </w:r>
      <w:r w:rsidR="00BF1686">
        <w:rPr>
          <w:rFonts w:ascii="Times New Roman" w:hAnsi="Times New Roman"/>
          <w:sz w:val="25"/>
          <w:szCs w:val="25"/>
        </w:rPr>
        <w:t>sponsor</w:t>
      </w:r>
      <w:r>
        <w:rPr>
          <w:rFonts w:ascii="Times New Roman" w:hAnsi="Times New Roman"/>
          <w:sz w:val="25"/>
          <w:szCs w:val="25"/>
        </w:rPr>
        <w:t>ed household goods rule and tariff training in 2012.</w:t>
      </w:r>
      <w:r w:rsidR="00C20740">
        <w:rPr>
          <w:rStyle w:val="FootnoteReference"/>
          <w:rFonts w:ascii="Times New Roman" w:hAnsi="Times New Roman"/>
          <w:sz w:val="25"/>
          <w:szCs w:val="25"/>
        </w:rPr>
        <w:footnoteReference w:id="7"/>
      </w:r>
      <w:r>
        <w:rPr>
          <w:rFonts w:ascii="Times New Roman" w:hAnsi="Times New Roman"/>
          <w:sz w:val="25"/>
          <w:szCs w:val="25"/>
        </w:rPr>
        <w:t xml:space="preserve"> </w:t>
      </w:r>
      <w:r w:rsidR="00263144">
        <w:rPr>
          <w:rFonts w:ascii="Times New Roman" w:hAnsi="Times New Roman"/>
          <w:sz w:val="25"/>
          <w:szCs w:val="25"/>
        </w:rPr>
        <w:t xml:space="preserve"> </w:t>
      </w:r>
    </w:p>
    <w:p w14:paraId="273BCFEC" w14:textId="73448CE4" w:rsidR="00C20740" w:rsidRDefault="00216BAB" w:rsidP="005318FE">
      <w:pPr>
        <w:spacing w:line="264" w:lineRule="auto"/>
        <w:rPr>
          <w:rFonts w:ascii="Times New Roman" w:hAnsi="Times New Roman"/>
          <w:sz w:val="25"/>
          <w:szCs w:val="25"/>
        </w:rPr>
      </w:pPr>
      <w:r>
        <w:rPr>
          <w:rFonts w:ascii="Times New Roman" w:hAnsi="Times New Roman"/>
          <w:sz w:val="25"/>
          <w:szCs w:val="25"/>
        </w:rPr>
        <w:t xml:space="preserve"> </w:t>
      </w:r>
    </w:p>
    <w:p w14:paraId="09126CAB" w14:textId="4AEC3662" w:rsidR="00C20740" w:rsidRDefault="001654F1" w:rsidP="005318FE">
      <w:pPr>
        <w:numPr>
          <w:ilvl w:val="0"/>
          <w:numId w:val="1"/>
        </w:numPr>
        <w:spacing w:line="264" w:lineRule="auto"/>
        <w:ind w:hanging="720"/>
        <w:rPr>
          <w:rFonts w:ascii="Times New Roman" w:hAnsi="Times New Roman"/>
          <w:sz w:val="25"/>
          <w:szCs w:val="25"/>
        </w:rPr>
      </w:pPr>
      <w:r>
        <w:rPr>
          <w:rFonts w:ascii="Times New Roman" w:hAnsi="Times New Roman"/>
          <w:sz w:val="25"/>
          <w:szCs w:val="25"/>
        </w:rPr>
        <w:lastRenderedPageBreak/>
        <w:t xml:space="preserve">On March 12, 2013, Staff requested “all original supporting documents related to each customer’s move, including, but not limited to, the bill of lading, estimate, supplemental estimate, inventory records, weight slips, and all documentation related to temporary storage of the goods” for </w:t>
      </w:r>
      <w:r w:rsidR="00B66818">
        <w:rPr>
          <w:rFonts w:ascii="Times New Roman" w:hAnsi="Times New Roman"/>
          <w:sz w:val="25"/>
          <w:szCs w:val="25"/>
        </w:rPr>
        <w:t>all residential, in-state moves the Company performed between June 1, 2012, and September 30, 2012.</w:t>
      </w:r>
      <w:r w:rsidR="00B66818">
        <w:rPr>
          <w:rStyle w:val="FootnoteReference"/>
          <w:rFonts w:ascii="Times New Roman" w:hAnsi="Times New Roman"/>
          <w:sz w:val="25"/>
          <w:szCs w:val="25"/>
        </w:rPr>
        <w:footnoteReference w:id="8"/>
      </w:r>
      <w:r w:rsidR="00B66818">
        <w:rPr>
          <w:rFonts w:ascii="Times New Roman" w:hAnsi="Times New Roman"/>
          <w:sz w:val="25"/>
          <w:szCs w:val="25"/>
        </w:rPr>
        <w:t xml:space="preserve">  Best Moving supplied documents for 31 jurisdictional moves performed during this time period within the state of Washington.</w:t>
      </w:r>
      <w:r w:rsidR="00B66818">
        <w:rPr>
          <w:rStyle w:val="FootnoteReference"/>
          <w:rFonts w:ascii="Times New Roman" w:hAnsi="Times New Roman"/>
          <w:sz w:val="25"/>
          <w:szCs w:val="25"/>
        </w:rPr>
        <w:footnoteReference w:id="9"/>
      </w:r>
      <w:r w:rsidR="009A3CCC">
        <w:rPr>
          <w:rFonts w:ascii="Times New Roman" w:hAnsi="Times New Roman"/>
          <w:sz w:val="25"/>
          <w:szCs w:val="25"/>
        </w:rPr>
        <w:t xml:space="preserve"> </w:t>
      </w:r>
      <w:r w:rsidR="000A6748">
        <w:rPr>
          <w:rFonts w:ascii="Times New Roman" w:hAnsi="Times New Roman"/>
          <w:sz w:val="25"/>
          <w:szCs w:val="25"/>
        </w:rPr>
        <w:t xml:space="preserve"> </w:t>
      </w:r>
      <w:r w:rsidR="009A3CCC">
        <w:rPr>
          <w:rFonts w:ascii="Times New Roman" w:hAnsi="Times New Roman"/>
          <w:sz w:val="25"/>
          <w:szCs w:val="25"/>
        </w:rPr>
        <w:t xml:space="preserve">Staff </w:t>
      </w:r>
      <w:r w:rsidR="002F2FB3">
        <w:rPr>
          <w:rFonts w:ascii="Times New Roman" w:hAnsi="Times New Roman"/>
          <w:sz w:val="25"/>
          <w:szCs w:val="25"/>
        </w:rPr>
        <w:t>conducted an investigation after receiving</w:t>
      </w:r>
      <w:r w:rsidR="000A6748">
        <w:rPr>
          <w:rFonts w:ascii="Times New Roman" w:hAnsi="Times New Roman"/>
          <w:sz w:val="25"/>
          <w:szCs w:val="25"/>
        </w:rPr>
        <w:t xml:space="preserve"> the Company’s documents and </w:t>
      </w:r>
      <w:r w:rsidR="002F2FB3">
        <w:rPr>
          <w:rFonts w:ascii="Times New Roman" w:hAnsi="Times New Roman"/>
          <w:sz w:val="25"/>
          <w:szCs w:val="25"/>
        </w:rPr>
        <w:t>issu</w:t>
      </w:r>
      <w:r w:rsidR="009A3CCC">
        <w:rPr>
          <w:rFonts w:ascii="Times New Roman" w:hAnsi="Times New Roman"/>
          <w:sz w:val="25"/>
          <w:szCs w:val="25"/>
        </w:rPr>
        <w:t>ed th</w:t>
      </w:r>
      <w:r w:rsidR="002F2FB3">
        <w:rPr>
          <w:rFonts w:ascii="Times New Roman" w:hAnsi="Times New Roman"/>
          <w:sz w:val="25"/>
          <w:szCs w:val="25"/>
        </w:rPr>
        <w:t>e</w:t>
      </w:r>
      <w:r w:rsidR="009A3CCC">
        <w:rPr>
          <w:rFonts w:ascii="Times New Roman" w:hAnsi="Times New Roman"/>
          <w:sz w:val="25"/>
          <w:szCs w:val="25"/>
        </w:rPr>
        <w:t xml:space="preserve"> complaint</w:t>
      </w:r>
      <w:r w:rsidR="000A6748">
        <w:rPr>
          <w:rFonts w:ascii="Times New Roman" w:hAnsi="Times New Roman"/>
          <w:sz w:val="25"/>
          <w:szCs w:val="25"/>
        </w:rPr>
        <w:t xml:space="preserve"> </w:t>
      </w:r>
      <w:r w:rsidR="002F2FB3">
        <w:rPr>
          <w:rFonts w:ascii="Times New Roman" w:hAnsi="Times New Roman"/>
          <w:sz w:val="25"/>
          <w:szCs w:val="25"/>
        </w:rPr>
        <w:t xml:space="preserve">in this proceeding </w:t>
      </w:r>
      <w:r w:rsidR="000A6748">
        <w:rPr>
          <w:rFonts w:ascii="Times New Roman" w:hAnsi="Times New Roman"/>
          <w:sz w:val="25"/>
          <w:szCs w:val="25"/>
        </w:rPr>
        <w:t>on September 11, 2014.</w:t>
      </w:r>
    </w:p>
    <w:p w14:paraId="64234913" w14:textId="77777777" w:rsidR="00B66818" w:rsidRDefault="00B66818" w:rsidP="005318FE">
      <w:pPr>
        <w:spacing w:line="264" w:lineRule="auto"/>
        <w:rPr>
          <w:rFonts w:ascii="Times New Roman" w:hAnsi="Times New Roman"/>
          <w:sz w:val="25"/>
          <w:szCs w:val="25"/>
        </w:rPr>
      </w:pPr>
    </w:p>
    <w:p w14:paraId="16A616DA" w14:textId="565D7938" w:rsidR="009D6F5C" w:rsidRDefault="00172D1B" w:rsidP="005318F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The Commission convened an evidentiary hearing </w:t>
      </w:r>
      <w:r w:rsidR="009D6F5C">
        <w:rPr>
          <w:rFonts w:ascii="Times New Roman" w:hAnsi="Times New Roman"/>
          <w:sz w:val="25"/>
          <w:szCs w:val="25"/>
        </w:rPr>
        <w:t xml:space="preserve">on </w:t>
      </w:r>
      <w:r w:rsidR="009B0CD8">
        <w:rPr>
          <w:rFonts w:ascii="Times New Roman" w:hAnsi="Times New Roman"/>
          <w:sz w:val="25"/>
          <w:szCs w:val="25"/>
        </w:rPr>
        <w:t xml:space="preserve">March </w:t>
      </w:r>
      <w:r>
        <w:rPr>
          <w:rFonts w:ascii="Times New Roman" w:hAnsi="Times New Roman"/>
          <w:sz w:val="25"/>
          <w:szCs w:val="25"/>
        </w:rPr>
        <w:t>9</w:t>
      </w:r>
      <w:r w:rsidR="009B0CD8">
        <w:rPr>
          <w:rFonts w:ascii="Times New Roman" w:hAnsi="Times New Roman"/>
          <w:sz w:val="25"/>
          <w:szCs w:val="25"/>
        </w:rPr>
        <w:t>, 2015</w:t>
      </w:r>
      <w:r w:rsidR="00A57CEE">
        <w:rPr>
          <w:rFonts w:ascii="Times New Roman" w:hAnsi="Times New Roman"/>
          <w:sz w:val="25"/>
          <w:szCs w:val="25"/>
        </w:rPr>
        <w:t xml:space="preserve">, before Administrative Law Judge </w:t>
      </w:r>
      <w:r>
        <w:rPr>
          <w:rFonts w:ascii="Times New Roman" w:hAnsi="Times New Roman"/>
          <w:sz w:val="25"/>
          <w:szCs w:val="25"/>
        </w:rPr>
        <w:t>Marguerite Friedlander</w:t>
      </w:r>
      <w:r w:rsidR="009D6F5C">
        <w:rPr>
          <w:rFonts w:ascii="Times New Roman" w:hAnsi="Times New Roman"/>
          <w:sz w:val="25"/>
          <w:szCs w:val="25"/>
        </w:rPr>
        <w:t xml:space="preserve">.  </w:t>
      </w:r>
      <w:r w:rsidR="00296E4C">
        <w:rPr>
          <w:rFonts w:ascii="Times New Roman" w:hAnsi="Times New Roman"/>
          <w:sz w:val="25"/>
          <w:szCs w:val="25"/>
        </w:rPr>
        <w:t xml:space="preserve">The </w:t>
      </w:r>
      <w:r w:rsidR="00B46228">
        <w:rPr>
          <w:rFonts w:ascii="Times New Roman" w:hAnsi="Times New Roman"/>
          <w:sz w:val="25"/>
          <w:szCs w:val="25"/>
        </w:rPr>
        <w:t>parties addressed</w:t>
      </w:r>
      <w:r w:rsidR="0057415E">
        <w:rPr>
          <w:rFonts w:ascii="Times New Roman" w:hAnsi="Times New Roman"/>
          <w:sz w:val="25"/>
          <w:szCs w:val="25"/>
        </w:rPr>
        <w:t xml:space="preserve">, in turn, </w:t>
      </w:r>
      <w:r w:rsidR="00DE025F">
        <w:rPr>
          <w:rFonts w:ascii="Times New Roman" w:hAnsi="Times New Roman"/>
          <w:sz w:val="25"/>
          <w:szCs w:val="25"/>
        </w:rPr>
        <w:t xml:space="preserve">each </w:t>
      </w:r>
      <w:r w:rsidR="008B0D38">
        <w:rPr>
          <w:rFonts w:ascii="Times New Roman" w:hAnsi="Times New Roman"/>
          <w:sz w:val="25"/>
          <w:szCs w:val="25"/>
        </w:rPr>
        <w:t>cause of action</w:t>
      </w:r>
      <w:r w:rsidR="00DE025F">
        <w:rPr>
          <w:rFonts w:ascii="Times New Roman" w:hAnsi="Times New Roman"/>
          <w:sz w:val="25"/>
          <w:szCs w:val="25"/>
        </w:rPr>
        <w:t xml:space="preserve"> alleged </w:t>
      </w:r>
      <w:r w:rsidR="00CF4531">
        <w:rPr>
          <w:rFonts w:ascii="Times New Roman" w:hAnsi="Times New Roman"/>
          <w:sz w:val="25"/>
          <w:szCs w:val="25"/>
        </w:rPr>
        <w:t>in the complaint</w:t>
      </w:r>
      <w:r w:rsidR="00296E4C">
        <w:rPr>
          <w:rFonts w:ascii="Times New Roman" w:hAnsi="Times New Roman"/>
          <w:sz w:val="25"/>
          <w:szCs w:val="25"/>
        </w:rPr>
        <w:t>.</w:t>
      </w:r>
      <w:r w:rsidR="00A93573">
        <w:rPr>
          <w:rFonts w:ascii="Times New Roman" w:hAnsi="Times New Roman"/>
          <w:sz w:val="25"/>
          <w:szCs w:val="25"/>
        </w:rPr>
        <w:t xml:space="preserve">  On March 12, 2015, the Company filed revised estimate and bill of lading forms.</w:t>
      </w:r>
    </w:p>
    <w:p w14:paraId="7CC76FED" w14:textId="77777777" w:rsidR="009D6F5C" w:rsidRDefault="009D6F5C" w:rsidP="005318FE">
      <w:pPr>
        <w:pStyle w:val="ListParagraph"/>
        <w:spacing w:line="264" w:lineRule="auto"/>
        <w:rPr>
          <w:rFonts w:ascii="Times New Roman" w:hAnsi="Times New Roman"/>
          <w:sz w:val="25"/>
          <w:szCs w:val="25"/>
        </w:rPr>
      </w:pPr>
    </w:p>
    <w:p w14:paraId="0A1DC2EC" w14:textId="7BB4C3D4" w:rsidR="003A331B" w:rsidRDefault="00172D1B" w:rsidP="005318FE">
      <w:pPr>
        <w:numPr>
          <w:ilvl w:val="0"/>
          <w:numId w:val="1"/>
        </w:numPr>
        <w:spacing w:line="264" w:lineRule="auto"/>
        <w:ind w:hanging="720"/>
        <w:rPr>
          <w:rFonts w:ascii="Times New Roman" w:hAnsi="Times New Roman"/>
          <w:sz w:val="25"/>
          <w:szCs w:val="25"/>
        </w:rPr>
      </w:pPr>
      <w:r>
        <w:rPr>
          <w:rFonts w:ascii="Times New Roman" w:hAnsi="Times New Roman"/>
          <w:sz w:val="25"/>
          <w:szCs w:val="25"/>
        </w:rPr>
        <w:t>Brad Shearer</w:t>
      </w:r>
      <w:r w:rsidR="009D6F5C" w:rsidRPr="003A331B">
        <w:rPr>
          <w:rFonts w:ascii="Times New Roman" w:hAnsi="Times New Roman"/>
          <w:sz w:val="25"/>
          <w:szCs w:val="25"/>
        </w:rPr>
        <w:t xml:space="preserve">, Assistant Attorney General, Olympia, </w:t>
      </w:r>
      <w:r w:rsidR="009F66C9">
        <w:rPr>
          <w:rFonts w:ascii="Times New Roman" w:hAnsi="Times New Roman"/>
          <w:sz w:val="25"/>
          <w:szCs w:val="25"/>
        </w:rPr>
        <w:t xml:space="preserve">Washington, </w:t>
      </w:r>
      <w:r w:rsidR="009D6F5C" w:rsidRPr="003A331B">
        <w:rPr>
          <w:rFonts w:ascii="Times New Roman" w:hAnsi="Times New Roman"/>
          <w:sz w:val="25"/>
          <w:szCs w:val="25"/>
        </w:rPr>
        <w:t>represents Staff.</w:t>
      </w:r>
      <w:r w:rsidR="00F654DB">
        <w:rPr>
          <w:rFonts w:ascii="Times New Roman" w:hAnsi="Times New Roman"/>
          <w:sz w:val="25"/>
          <w:szCs w:val="25"/>
        </w:rPr>
        <w:t xml:space="preserve"> </w:t>
      </w:r>
      <w:r w:rsidR="009D6F5C" w:rsidRPr="003A331B">
        <w:rPr>
          <w:rFonts w:ascii="Times New Roman" w:hAnsi="Times New Roman"/>
          <w:sz w:val="25"/>
          <w:szCs w:val="25"/>
        </w:rPr>
        <w:t xml:space="preserve"> </w:t>
      </w:r>
      <w:r>
        <w:rPr>
          <w:rFonts w:ascii="Times New Roman" w:hAnsi="Times New Roman"/>
          <w:sz w:val="25"/>
          <w:szCs w:val="25"/>
        </w:rPr>
        <w:t>Ivan Ratko</w:t>
      </w:r>
      <w:r w:rsidR="009D6F5C" w:rsidRPr="003A331B">
        <w:rPr>
          <w:rFonts w:ascii="Times New Roman" w:hAnsi="Times New Roman"/>
          <w:sz w:val="25"/>
          <w:szCs w:val="25"/>
        </w:rPr>
        <w:t xml:space="preserve">, </w:t>
      </w:r>
      <w:r w:rsidR="0088209F">
        <w:rPr>
          <w:rFonts w:ascii="Times New Roman" w:hAnsi="Times New Roman"/>
          <w:sz w:val="25"/>
          <w:szCs w:val="25"/>
        </w:rPr>
        <w:t xml:space="preserve">owner, </w:t>
      </w:r>
      <w:r w:rsidR="009F66C9">
        <w:rPr>
          <w:rFonts w:ascii="Times New Roman" w:hAnsi="Times New Roman"/>
          <w:i/>
          <w:sz w:val="25"/>
          <w:szCs w:val="25"/>
        </w:rPr>
        <w:t>pro se</w:t>
      </w:r>
      <w:r w:rsidR="009D6F5C" w:rsidRPr="003A331B">
        <w:rPr>
          <w:rFonts w:ascii="Times New Roman" w:hAnsi="Times New Roman"/>
          <w:sz w:val="25"/>
          <w:szCs w:val="25"/>
        </w:rPr>
        <w:t xml:space="preserve">, </w:t>
      </w:r>
      <w:r w:rsidR="009F66C9">
        <w:rPr>
          <w:rFonts w:ascii="Times New Roman" w:hAnsi="Times New Roman"/>
          <w:sz w:val="25"/>
          <w:szCs w:val="25"/>
        </w:rPr>
        <w:t>Federal Way, Washington</w:t>
      </w:r>
      <w:r w:rsidR="009D6F5C" w:rsidRPr="003A331B">
        <w:rPr>
          <w:rFonts w:ascii="Times New Roman" w:hAnsi="Times New Roman"/>
          <w:sz w:val="25"/>
          <w:szCs w:val="25"/>
        </w:rPr>
        <w:t xml:space="preserve">, represents </w:t>
      </w:r>
      <w:r w:rsidR="009F66C9">
        <w:rPr>
          <w:rFonts w:ascii="Times New Roman" w:hAnsi="Times New Roman"/>
          <w:sz w:val="25"/>
          <w:szCs w:val="25"/>
        </w:rPr>
        <w:t>Best</w:t>
      </w:r>
      <w:r w:rsidR="00CF4531">
        <w:rPr>
          <w:rFonts w:ascii="Times New Roman" w:hAnsi="Times New Roman"/>
          <w:sz w:val="25"/>
          <w:szCs w:val="25"/>
        </w:rPr>
        <w:t xml:space="preserve"> Moving</w:t>
      </w:r>
      <w:r w:rsidR="009D6F5C" w:rsidRPr="003A331B">
        <w:rPr>
          <w:rFonts w:ascii="Times New Roman" w:hAnsi="Times New Roman"/>
          <w:sz w:val="25"/>
          <w:szCs w:val="25"/>
        </w:rPr>
        <w:t>.</w:t>
      </w:r>
    </w:p>
    <w:p w14:paraId="41AC59EC" w14:textId="575C4625" w:rsidR="009A30A4" w:rsidRDefault="009A30A4" w:rsidP="005318FE">
      <w:pPr>
        <w:spacing w:line="264" w:lineRule="auto"/>
        <w:jc w:val="center"/>
        <w:rPr>
          <w:rFonts w:ascii="Times New Roman" w:hAnsi="Times New Roman"/>
          <w:b/>
          <w:sz w:val="25"/>
          <w:szCs w:val="25"/>
        </w:rPr>
      </w:pPr>
    </w:p>
    <w:p w14:paraId="32CB99E6" w14:textId="3FA8508E" w:rsidR="003A331B" w:rsidRDefault="003A331B" w:rsidP="005318FE">
      <w:pPr>
        <w:spacing w:line="264" w:lineRule="auto"/>
        <w:jc w:val="center"/>
        <w:rPr>
          <w:rFonts w:ascii="Times New Roman" w:hAnsi="Times New Roman"/>
          <w:b/>
          <w:sz w:val="25"/>
          <w:szCs w:val="25"/>
        </w:rPr>
      </w:pPr>
      <w:r w:rsidRPr="00E06E49">
        <w:rPr>
          <w:rFonts w:ascii="Times New Roman" w:hAnsi="Times New Roman"/>
          <w:b/>
          <w:sz w:val="25"/>
          <w:szCs w:val="25"/>
        </w:rPr>
        <w:t>DISCUSSION AND DECISION</w:t>
      </w:r>
    </w:p>
    <w:p w14:paraId="37272477" w14:textId="77777777" w:rsidR="00601D76" w:rsidRPr="003A331B" w:rsidRDefault="00601D76" w:rsidP="005318FE">
      <w:pPr>
        <w:spacing w:line="264" w:lineRule="auto"/>
        <w:jc w:val="center"/>
        <w:rPr>
          <w:rFonts w:ascii="Times New Roman" w:hAnsi="Times New Roman"/>
          <w:b/>
          <w:sz w:val="25"/>
          <w:szCs w:val="25"/>
        </w:rPr>
      </w:pPr>
    </w:p>
    <w:p w14:paraId="47DBCEF1" w14:textId="77777777" w:rsidR="00D16389" w:rsidRDefault="00CF4531" w:rsidP="005318FE">
      <w:pPr>
        <w:spacing w:line="264" w:lineRule="auto"/>
        <w:rPr>
          <w:rFonts w:ascii="Times New Roman" w:hAnsi="Times New Roman"/>
          <w:b/>
          <w:sz w:val="25"/>
          <w:szCs w:val="25"/>
        </w:rPr>
      </w:pPr>
      <w:r>
        <w:rPr>
          <w:rFonts w:ascii="Times New Roman" w:hAnsi="Times New Roman"/>
          <w:b/>
          <w:sz w:val="25"/>
          <w:szCs w:val="25"/>
        </w:rPr>
        <w:t xml:space="preserve">First Cause of Action </w:t>
      </w:r>
    </w:p>
    <w:p w14:paraId="73AEAAA4" w14:textId="77777777" w:rsidR="00601D76" w:rsidRPr="00D16389" w:rsidRDefault="00601D76" w:rsidP="005318FE">
      <w:pPr>
        <w:spacing w:line="264" w:lineRule="auto"/>
        <w:rPr>
          <w:rFonts w:ascii="Times New Roman" w:hAnsi="Times New Roman"/>
          <w:b/>
          <w:sz w:val="25"/>
          <w:szCs w:val="25"/>
        </w:rPr>
      </w:pPr>
    </w:p>
    <w:p w14:paraId="0ABE2E95" w14:textId="77777777" w:rsidR="00631B9D" w:rsidRPr="00631B9D" w:rsidRDefault="002164E5" w:rsidP="005318FE">
      <w:pPr>
        <w:numPr>
          <w:ilvl w:val="0"/>
          <w:numId w:val="1"/>
        </w:numPr>
        <w:spacing w:line="264" w:lineRule="auto"/>
        <w:ind w:hanging="720"/>
        <w:rPr>
          <w:rFonts w:ascii="Times New Roman" w:hAnsi="Times New Roman"/>
          <w:b/>
          <w:sz w:val="25"/>
          <w:szCs w:val="25"/>
        </w:rPr>
      </w:pPr>
      <w:r w:rsidRPr="00286608">
        <w:rPr>
          <w:rFonts w:ascii="Times New Roman" w:hAnsi="Times New Roman"/>
          <w:sz w:val="25"/>
          <w:szCs w:val="25"/>
        </w:rPr>
        <w:t>Staff</w:t>
      </w:r>
      <w:r w:rsidR="00296E4C" w:rsidRPr="00286608">
        <w:rPr>
          <w:rFonts w:ascii="Times New Roman" w:hAnsi="Times New Roman"/>
          <w:sz w:val="25"/>
          <w:szCs w:val="25"/>
        </w:rPr>
        <w:t xml:space="preserve"> alleges</w:t>
      </w:r>
      <w:r w:rsidR="00286608" w:rsidRPr="00286608">
        <w:rPr>
          <w:rFonts w:ascii="Times New Roman" w:hAnsi="Times New Roman"/>
          <w:sz w:val="25"/>
          <w:szCs w:val="25"/>
        </w:rPr>
        <w:t xml:space="preserve"> </w:t>
      </w:r>
      <w:r w:rsidR="00B8257A">
        <w:rPr>
          <w:rFonts w:ascii="Times New Roman" w:hAnsi="Times New Roman"/>
          <w:sz w:val="25"/>
          <w:szCs w:val="25"/>
        </w:rPr>
        <w:t xml:space="preserve">that </w:t>
      </w:r>
      <w:r w:rsidR="00286608" w:rsidRPr="00286608">
        <w:rPr>
          <w:rFonts w:ascii="Times New Roman" w:hAnsi="Times New Roman"/>
          <w:sz w:val="25"/>
          <w:szCs w:val="25"/>
        </w:rPr>
        <w:t xml:space="preserve">the Company </w:t>
      </w:r>
      <w:r w:rsidR="004560FC">
        <w:rPr>
          <w:rFonts w:ascii="Times New Roman" w:hAnsi="Times New Roman"/>
          <w:sz w:val="25"/>
          <w:szCs w:val="25"/>
        </w:rPr>
        <w:t xml:space="preserve">violated RCW 81.04.070 by providing Staff </w:t>
      </w:r>
      <w:r w:rsidR="00BF1686">
        <w:rPr>
          <w:rFonts w:ascii="Times New Roman" w:hAnsi="Times New Roman"/>
          <w:sz w:val="25"/>
          <w:szCs w:val="25"/>
        </w:rPr>
        <w:t xml:space="preserve">seven </w:t>
      </w:r>
      <w:r w:rsidR="008B0D38">
        <w:rPr>
          <w:rFonts w:ascii="Times New Roman" w:hAnsi="Times New Roman"/>
          <w:sz w:val="25"/>
          <w:szCs w:val="25"/>
        </w:rPr>
        <w:t>falsified estimate forms</w:t>
      </w:r>
      <w:r w:rsidR="00286608" w:rsidRPr="00286608">
        <w:rPr>
          <w:rFonts w:ascii="Times New Roman" w:hAnsi="Times New Roman"/>
          <w:sz w:val="25"/>
          <w:szCs w:val="25"/>
        </w:rPr>
        <w:t>.</w:t>
      </w:r>
      <w:r w:rsidR="004560FC">
        <w:rPr>
          <w:rStyle w:val="FootnoteReference"/>
          <w:rFonts w:ascii="Times New Roman" w:hAnsi="Times New Roman"/>
          <w:sz w:val="25"/>
          <w:szCs w:val="25"/>
        </w:rPr>
        <w:footnoteReference w:id="10"/>
      </w:r>
      <w:r w:rsidR="00286608" w:rsidRPr="00286608">
        <w:rPr>
          <w:rFonts w:ascii="Times New Roman" w:hAnsi="Times New Roman"/>
          <w:sz w:val="25"/>
          <w:szCs w:val="25"/>
        </w:rPr>
        <w:t xml:space="preserve"> </w:t>
      </w:r>
      <w:r w:rsidR="006C48ED">
        <w:rPr>
          <w:rFonts w:ascii="Times New Roman" w:hAnsi="Times New Roman"/>
          <w:sz w:val="25"/>
          <w:szCs w:val="25"/>
        </w:rPr>
        <w:t xml:space="preserve"> </w:t>
      </w:r>
      <w:r w:rsidR="004560FC">
        <w:rPr>
          <w:rFonts w:ascii="Times New Roman" w:hAnsi="Times New Roman"/>
          <w:sz w:val="25"/>
          <w:szCs w:val="25"/>
        </w:rPr>
        <w:t xml:space="preserve">RCW 81.04.070 </w:t>
      </w:r>
      <w:r w:rsidR="00C10997">
        <w:rPr>
          <w:rFonts w:ascii="Times New Roman" w:hAnsi="Times New Roman"/>
          <w:sz w:val="25"/>
          <w:szCs w:val="25"/>
        </w:rPr>
        <w:t xml:space="preserve">grants the Commission the right to inspect the accounts, books, papers, and documents of any public service company.  </w:t>
      </w:r>
      <w:r w:rsidR="009562BE">
        <w:rPr>
          <w:rFonts w:ascii="Times New Roman" w:hAnsi="Times New Roman"/>
          <w:sz w:val="25"/>
          <w:szCs w:val="25"/>
        </w:rPr>
        <w:t xml:space="preserve">WAC 480-15-630 requires a household goods carrier to issue an estimate, containing all of the information listed in Tariff 15-C, Item 85, prior to every move.  </w:t>
      </w:r>
    </w:p>
    <w:p w14:paraId="521321C8" w14:textId="77777777" w:rsidR="00631B9D" w:rsidRPr="00631B9D" w:rsidRDefault="00631B9D" w:rsidP="005318FE">
      <w:pPr>
        <w:spacing w:line="264" w:lineRule="auto"/>
        <w:rPr>
          <w:rFonts w:ascii="Times New Roman" w:hAnsi="Times New Roman"/>
          <w:b/>
          <w:sz w:val="25"/>
          <w:szCs w:val="25"/>
        </w:rPr>
      </w:pPr>
    </w:p>
    <w:p w14:paraId="569ECAD7" w14:textId="38B92D2B" w:rsidR="005B3F9C" w:rsidRPr="009A30A4" w:rsidRDefault="00C10997" w:rsidP="005318FE">
      <w:pPr>
        <w:numPr>
          <w:ilvl w:val="0"/>
          <w:numId w:val="1"/>
        </w:numPr>
        <w:spacing w:line="264" w:lineRule="auto"/>
        <w:ind w:hanging="720"/>
        <w:rPr>
          <w:rFonts w:ascii="Times New Roman" w:hAnsi="Times New Roman"/>
          <w:b/>
          <w:sz w:val="25"/>
          <w:szCs w:val="25"/>
        </w:rPr>
      </w:pPr>
      <w:r>
        <w:rPr>
          <w:rFonts w:ascii="Times New Roman" w:hAnsi="Times New Roman"/>
          <w:sz w:val="25"/>
          <w:szCs w:val="25"/>
        </w:rPr>
        <w:t xml:space="preserve">Staff </w:t>
      </w:r>
      <w:r w:rsidR="00BF1686">
        <w:rPr>
          <w:rFonts w:ascii="Times New Roman" w:hAnsi="Times New Roman"/>
          <w:sz w:val="25"/>
          <w:szCs w:val="25"/>
        </w:rPr>
        <w:t>asserts</w:t>
      </w:r>
      <w:r>
        <w:rPr>
          <w:rFonts w:ascii="Times New Roman" w:hAnsi="Times New Roman"/>
          <w:sz w:val="25"/>
          <w:szCs w:val="25"/>
        </w:rPr>
        <w:t xml:space="preserve"> that</w:t>
      </w:r>
      <w:r w:rsidR="00086105">
        <w:rPr>
          <w:rFonts w:ascii="Times New Roman" w:hAnsi="Times New Roman"/>
          <w:sz w:val="25"/>
          <w:szCs w:val="25"/>
        </w:rPr>
        <w:t xml:space="preserve">, at the time the Company submitted the 31 estimate forms, </w:t>
      </w:r>
      <w:r w:rsidR="00D30B8B">
        <w:rPr>
          <w:rFonts w:ascii="Times New Roman" w:hAnsi="Times New Roman"/>
          <w:sz w:val="25"/>
          <w:szCs w:val="25"/>
        </w:rPr>
        <w:t xml:space="preserve">Best Moving’s representative, </w:t>
      </w:r>
      <w:r w:rsidR="0088209F">
        <w:rPr>
          <w:rFonts w:ascii="Times New Roman" w:hAnsi="Times New Roman"/>
          <w:sz w:val="25"/>
          <w:szCs w:val="25"/>
        </w:rPr>
        <w:t>Ivan</w:t>
      </w:r>
      <w:r w:rsidR="00D30B8B">
        <w:rPr>
          <w:rFonts w:ascii="Times New Roman" w:hAnsi="Times New Roman"/>
          <w:sz w:val="25"/>
          <w:szCs w:val="25"/>
        </w:rPr>
        <w:t xml:space="preserve"> Ratko</w:t>
      </w:r>
      <w:r w:rsidR="00086105">
        <w:rPr>
          <w:rFonts w:ascii="Times New Roman" w:hAnsi="Times New Roman"/>
          <w:sz w:val="25"/>
          <w:szCs w:val="25"/>
        </w:rPr>
        <w:t xml:space="preserve"> </w:t>
      </w:r>
      <w:r w:rsidR="00631B9D">
        <w:rPr>
          <w:rFonts w:ascii="Times New Roman" w:hAnsi="Times New Roman"/>
          <w:sz w:val="25"/>
          <w:szCs w:val="25"/>
        </w:rPr>
        <w:t>confirmed</w:t>
      </w:r>
      <w:r w:rsidR="00086105">
        <w:rPr>
          <w:rFonts w:ascii="Times New Roman" w:hAnsi="Times New Roman"/>
          <w:sz w:val="25"/>
          <w:szCs w:val="25"/>
        </w:rPr>
        <w:t xml:space="preserve"> that </w:t>
      </w:r>
      <w:r w:rsidR="00BF1686">
        <w:rPr>
          <w:rFonts w:ascii="Times New Roman" w:hAnsi="Times New Roman"/>
          <w:sz w:val="25"/>
          <w:szCs w:val="25"/>
        </w:rPr>
        <w:t xml:space="preserve">each of </w:t>
      </w:r>
      <w:r w:rsidR="00086105">
        <w:rPr>
          <w:rFonts w:ascii="Times New Roman" w:hAnsi="Times New Roman"/>
          <w:sz w:val="25"/>
          <w:szCs w:val="25"/>
        </w:rPr>
        <w:t>the forms were provided to customers at or prior to the time of each move.</w:t>
      </w:r>
      <w:r w:rsidR="00086105">
        <w:rPr>
          <w:rStyle w:val="FootnoteReference"/>
          <w:rFonts w:ascii="Times New Roman" w:hAnsi="Times New Roman"/>
          <w:sz w:val="25"/>
          <w:szCs w:val="25"/>
        </w:rPr>
        <w:footnoteReference w:id="11"/>
      </w:r>
      <w:r w:rsidR="00086105">
        <w:rPr>
          <w:rFonts w:ascii="Times New Roman" w:hAnsi="Times New Roman"/>
          <w:sz w:val="25"/>
          <w:szCs w:val="25"/>
        </w:rPr>
        <w:t xml:space="preserve">  </w:t>
      </w:r>
      <w:r w:rsidR="00D30B8B">
        <w:rPr>
          <w:rFonts w:ascii="Times New Roman" w:hAnsi="Times New Roman"/>
          <w:sz w:val="25"/>
          <w:szCs w:val="25"/>
        </w:rPr>
        <w:t>Staff</w:t>
      </w:r>
      <w:r w:rsidR="00944355">
        <w:rPr>
          <w:rFonts w:ascii="Times New Roman" w:hAnsi="Times New Roman"/>
          <w:sz w:val="25"/>
          <w:szCs w:val="25"/>
        </w:rPr>
        <w:t>’s</w:t>
      </w:r>
      <w:r w:rsidR="00D30B8B">
        <w:rPr>
          <w:rFonts w:ascii="Times New Roman" w:hAnsi="Times New Roman"/>
          <w:sz w:val="25"/>
          <w:szCs w:val="25"/>
        </w:rPr>
        <w:t xml:space="preserve"> suspicions</w:t>
      </w:r>
      <w:r w:rsidR="00631B9D">
        <w:rPr>
          <w:rFonts w:ascii="Times New Roman" w:hAnsi="Times New Roman"/>
          <w:sz w:val="25"/>
          <w:szCs w:val="25"/>
        </w:rPr>
        <w:t>, however,</w:t>
      </w:r>
      <w:r w:rsidR="00D30B8B">
        <w:rPr>
          <w:rFonts w:ascii="Times New Roman" w:hAnsi="Times New Roman"/>
          <w:sz w:val="25"/>
          <w:szCs w:val="25"/>
        </w:rPr>
        <w:t xml:space="preserve"> were raised when its review of the </w:t>
      </w:r>
      <w:r>
        <w:rPr>
          <w:rFonts w:ascii="Times New Roman" w:hAnsi="Times New Roman"/>
          <w:sz w:val="25"/>
          <w:szCs w:val="25"/>
        </w:rPr>
        <w:t xml:space="preserve">estimate forms </w:t>
      </w:r>
      <w:r w:rsidR="00D30B8B">
        <w:rPr>
          <w:rFonts w:ascii="Times New Roman" w:hAnsi="Times New Roman"/>
          <w:sz w:val="25"/>
          <w:szCs w:val="25"/>
        </w:rPr>
        <w:t xml:space="preserve">showed that all </w:t>
      </w:r>
      <w:r w:rsidR="001F4A8F">
        <w:rPr>
          <w:rFonts w:ascii="Times New Roman" w:hAnsi="Times New Roman"/>
          <w:sz w:val="25"/>
          <w:szCs w:val="25"/>
        </w:rPr>
        <w:t xml:space="preserve">were unsigned and </w:t>
      </w:r>
      <w:r>
        <w:rPr>
          <w:rFonts w:ascii="Times New Roman" w:hAnsi="Times New Roman"/>
          <w:sz w:val="25"/>
          <w:szCs w:val="25"/>
        </w:rPr>
        <w:lastRenderedPageBreak/>
        <w:t>completed in very similar handwriting and ink</w:t>
      </w:r>
      <w:r w:rsidR="001F4A8F">
        <w:rPr>
          <w:rFonts w:ascii="Times New Roman" w:hAnsi="Times New Roman"/>
          <w:sz w:val="25"/>
          <w:szCs w:val="25"/>
        </w:rPr>
        <w:t>.</w:t>
      </w:r>
      <w:r w:rsidR="009D7FB3">
        <w:rPr>
          <w:rStyle w:val="FootnoteReference"/>
          <w:rFonts w:ascii="Times New Roman" w:hAnsi="Times New Roman"/>
          <w:sz w:val="25"/>
          <w:szCs w:val="25"/>
        </w:rPr>
        <w:footnoteReference w:id="12"/>
      </w:r>
      <w:r>
        <w:rPr>
          <w:rFonts w:ascii="Times New Roman" w:hAnsi="Times New Roman"/>
          <w:sz w:val="25"/>
          <w:szCs w:val="25"/>
        </w:rPr>
        <w:t xml:space="preserve"> </w:t>
      </w:r>
      <w:r w:rsidR="009D7FB3">
        <w:rPr>
          <w:rFonts w:ascii="Times New Roman" w:hAnsi="Times New Roman"/>
          <w:sz w:val="25"/>
          <w:szCs w:val="25"/>
        </w:rPr>
        <w:t xml:space="preserve"> Of the 31 customers listed on the estimate forms, Staff was able to contact nine, of whom seven stated that they had never received an estimate form from the Company.</w:t>
      </w:r>
      <w:r w:rsidR="009D7FB3">
        <w:rPr>
          <w:rStyle w:val="FootnoteReference"/>
          <w:rFonts w:ascii="Times New Roman" w:hAnsi="Times New Roman"/>
          <w:sz w:val="25"/>
          <w:szCs w:val="25"/>
        </w:rPr>
        <w:footnoteReference w:id="13"/>
      </w:r>
      <w:r w:rsidR="009D7FB3">
        <w:rPr>
          <w:rFonts w:ascii="Times New Roman" w:hAnsi="Times New Roman"/>
          <w:sz w:val="25"/>
          <w:szCs w:val="25"/>
        </w:rPr>
        <w:t xml:space="preserve">  </w:t>
      </w:r>
      <w:r w:rsidR="00944355">
        <w:rPr>
          <w:rFonts w:ascii="Times New Roman" w:hAnsi="Times New Roman"/>
          <w:sz w:val="25"/>
          <w:szCs w:val="25"/>
        </w:rPr>
        <w:t xml:space="preserve">Staff alleges that the Company falsified the estimate forms to conceal its noncompliance with the Commission’s rule </w:t>
      </w:r>
      <w:r w:rsidR="00BF1686">
        <w:rPr>
          <w:rFonts w:ascii="Times New Roman" w:hAnsi="Times New Roman"/>
          <w:sz w:val="25"/>
          <w:szCs w:val="25"/>
        </w:rPr>
        <w:t>requiring</w:t>
      </w:r>
      <w:r w:rsidR="00944355">
        <w:rPr>
          <w:rFonts w:ascii="Times New Roman" w:hAnsi="Times New Roman"/>
          <w:sz w:val="25"/>
          <w:szCs w:val="25"/>
        </w:rPr>
        <w:t xml:space="preserve"> household goods carriers to provide customers with estimate forms prior to conducting a move.</w:t>
      </w:r>
      <w:r w:rsidR="00944355">
        <w:rPr>
          <w:rStyle w:val="FootnoteReference"/>
          <w:rFonts w:ascii="Times New Roman" w:hAnsi="Times New Roman"/>
          <w:sz w:val="25"/>
          <w:szCs w:val="25"/>
        </w:rPr>
        <w:footnoteReference w:id="14"/>
      </w:r>
      <w:r w:rsidR="005816D1">
        <w:rPr>
          <w:rFonts w:ascii="Times New Roman" w:hAnsi="Times New Roman"/>
          <w:sz w:val="25"/>
          <w:szCs w:val="25"/>
        </w:rPr>
        <w:t xml:space="preserve">  For these seven violations of RCW 81.04.070, </w:t>
      </w:r>
      <w:r w:rsidR="009562BE">
        <w:rPr>
          <w:rFonts w:ascii="Times New Roman" w:hAnsi="Times New Roman"/>
          <w:sz w:val="25"/>
          <w:szCs w:val="25"/>
        </w:rPr>
        <w:t xml:space="preserve">falsifying estimate forms, </w:t>
      </w:r>
      <w:r w:rsidR="005816D1">
        <w:rPr>
          <w:rFonts w:ascii="Times New Roman" w:hAnsi="Times New Roman"/>
          <w:sz w:val="25"/>
          <w:szCs w:val="25"/>
        </w:rPr>
        <w:t>Staff recommends that the Commission impose a penalty of up to $7,000.</w:t>
      </w:r>
    </w:p>
    <w:p w14:paraId="1DDC77B5" w14:textId="77777777" w:rsidR="009A30A4" w:rsidRPr="00286608" w:rsidRDefault="009A30A4" w:rsidP="005318FE">
      <w:pPr>
        <w:spacing w:line="264" w:lineRule="auto"/>
        <w:ind w:left="-720"/>
        <w:rPr>
          <w:rFonts w:ascii="Times New Roman" w:hAnsi="Times New Roman"/>
          <w:b/>
          <w:sz w:val="25"/>
          <w:szCs w:val="25"/>
        </w:rPr>
      </w:pPr>
    </w:p>
    <w:p w14:paraId="2DE92B01" w14:textId="6FE547EB" w:rsidR="009A30A4" w:rsidRPr="009A30A4" w:rsidRDefault="0088209F" w:rsidP="005318FE">
      <w:pPr>
        <w:numPr>
          <w:ilvl w:val="0"/>
          <w:numId w:val="1"/>
        </w:numPr>
        <w:spacing w:line="264" w:lineRule="auto"/>
        <w:ind w:hanging="720"/>
        <w:rPr>
          <w:rFonts w:ascii="Times New Roman" w:hAnsi="Times New Roman"/>
          <w:b/>
          <w:sz w:val="25"/>
          <w:szCs w:val="25"/>
        </w:rPr>
      </w:pPr>
      <w:r>
        <w:rPr>
          <w:rFonts w:ascii="Times New Roman" w:hAnsi="Times New Roman"/>
          <w:sz w:val="25"/>
          <w:szCs w:val="25"/>
        </w:rPr>
        <w:t>Mr. Ratko</w:t>
      </w:r>
      <w:r w:rsidR="00CF4531" w:rsidRPr="00BD56D5">
        <w:rPr>
          <w:rFonts w:ascii="Times New Roman" w:hAnsi="Times New Roman"/>
          <w:sz w:val="25"/>
          <w:szCs w:val="25"/>
        </w:rPr>
        <w:t xml:space="preserve"> testified at hearing that </w:t>
      </w:r>
      <w:r>
        <w:rPr>
          <w:rFonts w:ascii="Times New Roman" w:hAnsi="Times New Roman"/>
          <w:sz w:val="25"/>
          <w:szCs w:val="25"/>
        </w:rPr>
        <w:t>the seven estimate forms in question had not been altered</w:t>
      </w:r>
      <w:r w:rsidR="00BD56D5" w:rsidRPr="00BD56D5">
        <w:rPr>
          <w:rFonts w:ascii="Times New Roman" w:hAnsi="Times New Roman"/>
          <w:sz w:val="25"/>
          <w:szCs w:val="25"/>
        </w:rPr>
        <w:t>.</w:t>
      </w:r>
      <w:r>
        <w:rPr>
          <w:rStyle w:val="FootnoteReference"/>
          <w:rFonts w:ascii="Times New Roman" w:hAnsi="Times New Roman"/>
          <w:sz w:val="25"/>
          <w:szCs w:val="25"/>
        </w:rPr>
        <w:footnoteReference w:id="15"/>
      </w:r>
      <w:r w:rsidR="00BD56D5" w:rsidRPr="00BD56D5">
        <w:rPr>
          <w:rFonts w:ascii="Times New Roman" w:hAnsi="Times New Roman"/>
          <w:sz w:val="25"/>
          <w:szCs w:val="25"/>
        </w:rPr>
        <w:t xml:space="preserve">  </w:t>
      </w:r>
      <w:r w:rsidR="009562BE">
        <w:rPr>
          <w:rFonts w:ascii="Times New Roman" w:hAnsi="Times New Roman"/>
          <w:sz w:val="25"/>
          <w:szCs w:val="25"/>
        </w:rPr>
        <w:t>He</w:t>
      </w:r>
      <w:r w:rsidR="00DF07A3">
        <w:rPr>
          <w:rFonts w:ascii="Times New Roman" w:hAnsi="Times New Roman"/>
          <w:sz w:val="25"/>
          <w:szCs w:val="25"/>
        </w:rPr>
        <w:t xml:space="preserve"> </w:t>
      </w:r>
      <w:r w:rsidR="00631B9D">
        <w:rPr>
          <w:rFonts w:ascii="Times New Roman" w:hAnsi="Times New Roman"/>
          <w:sz w:val="25"/>
          <w:szCs w:val="25"/>
        </w:rPr>
        <w:t>acknowledged that the seven customers had not received the estimates.</w:t>
      </w:r>
      <w:r w:rsidR="00631B9D">
        <w:rPr>
          <w:rStyle w:val="FootnoteReference"/>
          <w:rFonts w:ascii="Times New Roman" w:hAnsi="Times New Roman"/>
          <w:sz w:val="25"/>
          <w:szCs w:val="25"/>
        </w:rPr>
        <w:footnoteReference w:id="16"/>
      </w:r>
      <w:r w:rsidR="00DF07A3">
        <w:rPr>
          <w:rFonts w:ascii="Times New Roman" w:hAnsi="Times New Roman"/>
          <w:sz w:val="25"/>
          <w:szCs w:val="25"/>
        </w:rPr>
        <w:t xml:space="preserve"> </w:t>
      </w:r>
      <w:r w:rsidR="00631B9D">
        <w:rPr>
          <w:rFonts w:ascii="Times New Roman" w:hAnsi="Times New Roman"/>
          <w:sz w:val="25"/>
          <w:szCs w:val="25"/>
        </w:rPr>
        <w:t>Mr. Ratko testified that he</w:t>
      </w:r>
      <w:r w:rsidR="00DF07A3">
        <w:rPr>
          <w:rFonts w:ascii="Times New Roman" w:hAnsi="Times New Roman"/>
          <w:sz w:val="25"/>
          <w:szCs w:val="25"/>
        </w:rPr>
        <w:t xml:space="preserve"> asks his customers if they would like a written estimate, and “they say, ‘Oh, no.  We know what it’s going to cost’”</w:t>
      </w:r>
      <w:r w:rsidR="008C4CFB">
        <w:rPr>
          <w:rStyle w:val="FootnoteReference"/>
          <w:rFonts w:ascii="Times New Roman" w:hAnsi="Times New Roman"/>
          <w:sz w:val="25"/>
          <w:szCs w:val="25"/>
        </w:rPr>
        <w:footnoteReference w:id="17"/>
      </w:r>
      <w:r w:rsidR="008C4CFB">
        <w:rPr>
          <w:rFonts w:ascii="Times New Roman" w:hAnsi="Times New Roman"/>
          <w:sz w:val="25"/>
          <w:szCs w:val="25"/>
        </w:rPr>
        <w:t xml:space="preserve">  </w:t>
      </w:r>
    </w:p>
    <w:p w14:paraId="1FF61E37" w14:textId="77777777" w:rsidR="009A30A4" w:rsidRDefault="009A30A4" w:rsidP="005318FE">
      <w:pPr>
        <w:pStyle w:val="ListParagraph"/>
        <w:spacing w:line="264" w:lineRule="auto"/>
        <w:rPr>
          <w:rFonts w:ascii="Times New Roman" w:hAnsi="Times New Roman"/>
          <w:sz w:val="25"/>
          <w:szCs w:val="25"/>
        </w:rPr>
      </w:pPr>
    </w:p>
    <w:p w14:paraId="53FC9342" w14:textId="77777777" w:rsidR="00631B9D" w:rsidRDefault="00ED054B" w:rsidP="005318FE">
      <w:pPr>
        <w:numPr>
          <w:ilvl w:val="0"/>
          <w:numId w:val="1"/>
        </w:numPr>
        <w:spacing w:line="264" w:lineRule="auto"/>
        <w:ind w:hanging="720"/>
        <w:rPr>
          <w:rFonts w:ascii="Times New Roman" w:hAnsi="Times New Roman"/>
          <w:sz w:val="25"/>
          <w:szCs w:val="25"/>
        </w:rPr>
      </w:pPr>
      <w:r w:rsidRPr="000A6748">
        <w:rPr>
          <w:rFonts w:ascii="Times New Roman" w:hAnsi="Times New Roman"/>
          <w:b/>
          <w:sz w:val="25"/>
          <w:szCs w:val="25"/>
        </w:rPr>
        <w:t>Decision.</w:t>
      </w:r>
      <w:r w:rsidRPr="000A6748">
        <w:rPr>
          <w:rFonts w:ascii="Times New Roman" w:hAnsi="Times New Roman"/>
          <w:sz w:val="25"/>
          <w:szCs w:val="25"/>
        </w:rPr>
        <w:t xml:space="preserve">  </w:t>
      </w:r>
      <w:r w:rsidR="00B3174B" w:rsidRPr="000A6748">
        <w:rPr>
          <w:rFonts w:ascii="Times New Roman" w:hAnsi="Times New Roman"/>
          <w:sz w:val="25"/>
          <w:szCs w:val="25"/>
        </w:rPr>
        <w:t xml:space="preserve">Staff has the burden to prove that the Company, through Mr. Ratko, falsified the estimate forms.  </w:t>
      </w:r>
      <w:r w:rsidR="00631B9D">
        <w:rPr>
          <w:rFonts w:ascii="Times New Roman" w:hAnsi="Times New Roman"/>
          <w:sz w:val="25"/>
          <w:szCs w:val="25"/>
        </w:rPr>
        <w:t xml:space="preserve">In addition to the </w:t>
      </w:r>
      <w:r w:rsidR="00B3174B" w:rsidRPr="000A6748">
        <w:rPr>
          <w:rFonts w:ascii="Times New Roman" w:hAnsi="Times New Roman"/>
          <w:sz w:val="25"/>
          <w:szCs w:val="25"/>
        </w:rPr>
        <w:t>similar ink and handwriting style</w:t>
      </w:r>
      <w:r w:rsidR="00631B9D">
        <w:rPr>
          <w:rFonts w:ascii="Times New Roman" w:hAnsi="Times New Roman"/>
          <w:sz w:val="25"/>
          <w:szCs w:val="25"/>
        </w:rPr>
        <w:t xml:space="preserve">s found on all seven of the estimates, Staff demonstrated that none of the customers even signed the forms (an action which would have shown that the estimates were drafted when Mr. Ratko claims).  </w:t>
      </w:r>
    </w:p>
    <w:p w14:paraId="6CE26E99" w14:textId="77777777" w:rsidR="00631B9D" w:rsidRDefault="00631B9D" w:rsidP="005318FE">
      <w:pPr>
        <w:pStyle w:val="ListParagraph"/>
        <w:spacing w:line="264" w:lineRule="auto"/>
        <w:rPr>
          <w:rFonts w:ascii="Times New Roman" w:hAnsi="Times New Roman"/>
          <w:sz w:val="25"/>
          <w:szCs w:val="25"/>
        </w:rPr>
      </w:pPr>
    </w:p>
    <w:p w14:paraId="07058C1D" w14:textId="77777777" w:rsidR="00631B9D" w:rsidRDefault="00551EEE" w:rsidP="005318FE">
      <w:pPr>
        <w:numPr>
          <w:ilvl w:val="0"/>
          <w:numId w:val="1"/>
        </w:numPr>
        <w:spacing w:line="264" w:lineRule="auto"/>
        <w:ind w:hanging="720"/>
        <w:rPr>
          <w:rFonts w:ascii="Times New Roman" w:hAnsi="Times New Roman"/>
          <w:sz w:val="25"/>
          <w:szCs w:val="25"/>
        </w:rPr>
      </w:pPr>
      <w:r w:rsidRPr="000A6748">
        <w:rPr>
          <w:rFonts w:ascii="Times New Roman" w:hAnsi="Times New Roman"/>
          <w:sz w:val="25"/>
          <w:szCs w:val="25"/>
        </w:rPr>
        <w:t>A closer look at the estimate forms raise additional questions</w:t>
      </w:r>
      <w:r w:rsidR="009562BE" w:rsidRPr="000A6748">
        <w:rPr>
          <w:rFonts w:ascii="Times New Roman" w:hAnsi="Times New Roman"/>
          <w:sz w:val="25"/>
          <w:szCs w:val="25"/>
        </w:rPr>
        <w:t>, not brought up by Staff,</w:t>
      </w:r>
      <w:r w:rsidRPr="000A6748">
        <w:rPr>
          <w:rFonts w:ascii="Times New Roman" w:hAnsi="Times New Roman"/>
          <w:sz w:val="25"/>
          <w:szCs w:val="25"/>
        </w:rPr>
        <w:t xml:space="preserve"> about the veracity of Mr. Ratko’s story.  </w:t>
      </w:r>
      <w:r w:rsidR="009562BE" w:rsidRPr="000A6748">
        <w:rPr>
          <w:rFonts w:ascii="Times New Roman" w:hAnsi="Times New Roman"/>
          <w:sz w:val="25"/>
          <w:szCs w:val="25"/>
        </w:rPr>
        <w:t>For example, i</w:t>
      </w:r>
      <w:r w:rsidRPr="000A6748">
        <w:rPr>
          <w:rFonts w:ascii="Times New Roman" w:hAnsi="Times New Roman"/>
          <w:sz w:val="25"/>
          <w:szCs w:val="25"/>
        </w:rPr>
        <w:t xml:space="preserve">n Exhibit No. RP-1, Mr. Ratko claims that Best Moving provided an estimate to Gary J. Camenisch for a six and a half hour move </w:t>
      </w:r>
      <w:r w:rsidRPr="000A6748">
        <w:rPr>
          <w:rFonts w:ascii="Times New Roman" w:hAnsi="Times New Roman"/>
          <w:i/>
          <w:sz w:val="25"/>
          <w:szCs w:val="25"/>
        </w:rPr>
        <w:t>on the same day</w:t>
      </w:r>
      <w:r w:rsidRPr="000A6748">
        <w:rPr>
          <w:rFonts w:ascii="Times New Roman" w:hAnsi="Times New Roman"/>
          <w:sz w:val="25"/>
          <w:szCs w:val="25"/>
        </w:rPr>
        <w:t xml:space="preserve"> that Mr. Camenisch expected the movers to pack and </w:t>
      </w:r>
      <w:r w:rsidR="009562BE" w:rsidRPr="000A6748">
        <w:rPr>
          <w:rFonts w:ascii="Times New Roman" w:hAnsi="Times New Roman"/>
          <w:sz w:val="25"/>
          <w:szCs w:val="25"/>
        </w:rPr>
        <w:t>relocate</w:t>
      </w:r>
      <w:r w:rsidRPr="000A6748">
        <w:rPr>
          <w:rFonts w:ascii="Times New Roman" w:hAnsi="Times New Roman"/>
          <w:sz w:val="25"/>
          <w:szCs w:val="25"/>
        </w:rPr>
        <w:t xml:space="preserve"> hi</w:t>
      </w:r>
      <w:r w:rsidR="009562BE" w:rsidRPr="000A6748">
        <w:rPr>
          <w:rFonts w:ascii="Times New Roman" w:hAnsi="Times New Roman"/>
          <w:sz w:val="25"/>
          <w:szCs w:val="25"/>
        </w:rPr>
        <w:t>s belongings</w:t>
      </w:r>
      <w:r w:rsidRPr="000A6748">
        <w:rPr>
          <w:rFonts w:ascii="Times New Roman" w:hAnsi="Times New Roman"/>
          <w:sz w:val="25"/>
          <w:szCs w:val="25"/>
        </w:rPr>
        <w:t xml:space="preserve">.  If </w:t>
      </w:r>
      <w:r w:rsidR="00104A14" w:rsidRPr="000A6748">
        <w:rPr>
          <w:rFonts w:ascii="Times New Roman" w:hAnsi="Times New Roman"/>
          <w:sz w:val="25"/>
          <w:szCs w:val="25"/>
        </w:rPr>
        <w:t>one</w:t>
      </w:r>
      <w:r w:rsidRPr="000A6748">
        <w:rPr>
          <w:rFonts w:ascii="Times New Roman" w:hAnsi="Times New Roman"/>
          <w:sz w:val="25"/>
          <w:szCs w:val="25"/>
        </w:rPr>
        <w:t xml:space="preserve"> factor</w:t>
      </w:r>
      <w:r w:rsidR="00104A14" w:rsidRPr="000A6748">
        <w:rPr>
          <w:rFonts w:ascii="Times New Roman" w:hAnsi="Times New Roman"/>
          <w:sz w:val="25"/>
          <w:szCs w:val="25"/>
        </w:rPr>
        <w:t>s</w:t>
      </w:r>
      <w:r w:rsidRPr="000A6748">
        <w:rPr>
          <w:rFonts w:ascii="Times New Roman" w:hAnsi="Times New Roman"/>
          <w:sz w:val="25"/>
          <w:szCs w:val="25"/>
        </w:rPr>
        <w:t xml:space="preserve"> in the half</w:t>
      </w:r>
      <w:r w:rsidR="00104A14" w:rsidRPr="000A6748">
        <w:rPr>
          <w:rFonts w:ascii="Times New Roman" w:hAnsi="Times New Roman"/>
          <w:sz w:val="25"/>
          <w:szCs w:val="25"/>
        </w:rPr>
        <w:t xml:space="preserve"> an</w:t>
      </w:r>
      <w:r w:rsidRPr="000A6748">
        <w:rPr>
          <w:rFonts w:ascii="Times New Roman" w:hAnsi="Times New Roman"/>
          <w:sz w:val="25"/>
          <w:szCs w:val="25"/>
        </w:rPr>
        <w:t xml:space="preserve"> hour travel time, Mr. Ratko expects the Commission to believe that a customer waited until the </w:t>
      </w:r>
      <w:r w:rsidR="007266AC" w:rsidRPr="000A6748">
        <w:rPr>
          <w:rFonts w:ascii="Times New Roman" w:hAnsi="Times New Roman"/>
          <w:sz w:val="25"/>
          <w:szCs w:val="25"/>
        </w:rPr>
        <w:t>very day he was moving</w:t>
      </w:r>
      <w:r w:rsidRPr="000A6748">
        <w:rPr>
          <w:rFonts w:ascii="Times New Roman" w:hAnsi="Times New Roman"/>
          <w:sz w:val="25"/>
          <w:szCs w:val="25"/>
        </w:rPr>
        <w:t xml:space="preserve"> to get an estimate for a substantial</w:t>
      </w:r>
      <w:r w:rsidR="009A0ACD" w:rsidRPr="000A6748">
        <w:rPr>
          <w:rFonts w:ascii="Times New Roman" w:hAnsi="Times New Roman"/>
          <w:sz w:val="25"/>
          <w:szCs w:val="25"/>
        </w:rPr>
        <w:t>,</w:t>
      </w:r>
      <w:r w:rsidRPr="000A6748">
        <w:rPr>
          <w:rFonts w:ascii="Times New Roman" w:hAnsi="Times New Roman"/>
          <w:sz w:val="25"/>
          <w:szCs w:val="25"/>
        </w:rPr>
        <w:t xml:space="preserve"> seven hour move.  One customer waiting until the last minute to get an estimate </w:t>
      </w:r>
      <w:r w:rsidRPr="000A6748">
        <w:rPr>
          <w:rFonts w:ascii="Times New Roman" w:hAnsi="Times New Roman"/>
          <w:sz w:val="25"/>
          <w:szCs w:val="25"/>
          <w:u w:val="single"/>
        </w:rPr>
        <w:t>might</w:t>
      </w:r>
      <w:r w:rsidRPr="000A6748">
        <w:rPr>
          <w:rFonts w:ascii="Times New Roman" w:hAnsi="Times New Roman"/>
          <w:sz w:val="25"/>
          <w:szCs w:val="25"/>
        </w:rPr>
        <w:t xml:space="preserve"> be believable.  </w:t>
      </w:r>
      <w:r w:rsidR="009562BE" w:rsidRPr="000A6748">
        <w:rPr>
          <w:rFonts w:ascii="Times New Roman" w:hAnsi="Times New Roman"/>
          <w:sz w:val="25"/>
          <w:szCs w:val="25"/>
        </w:rPr>
        <w:t xml:space="preserve">Yet, every one of the seven estimate forms in Staff Exhibit Nos. RP-1 through RP-7 are dated for the very </w:t>
      </w:r>
      <w:r w:rsidR="009562BE" w:rsidRPr="000A6748">
        <w:rPr>
          <w:rFonts w:ascii="Times New Roman" w:hAnsi="Times New Roman"/>
          <w:sz w:val="25"/>
          <w:szCs w:val="25"/>
        </w:rPr>
        <w:lastRenderedPageBreak/>
        <w:t xml:space="preserve">day that packing and the moves were to take place.  </w:t>
      </w:r>
      <w:r w:rsidRPr="000A6748">
        <w:rPr>
          <w:rFonts w:ascii="Times New Roman" w:hAnsi="Times New Roman"/>
          <w:sz w:val="25"/>
          <w:szCs w:val="25"/>
        </w:rPr>
        <w:t xml:space="preserve">Seven customers waiting to get estimates </w:t>
      </w:r>
      <w:r w:rsidR="005816D1" w:rsidRPr="000A6748">
        <w:rPr>
          <w:rFonts w:ascii="Times New Roman" w:hAnsi="Times New Roman"/>
          <w:sz w:val="25"/>
          <w:szCs w:val="25"/>
        </w:rPr>
        <w:t>until the</w:t>
      </w:r>
      <w:r w:rsidRPr="000A6748">
        <w:rPr>
          <w:rFonts w:ascii="Times New Roman" w:hAnsi="Times New Roman"/>
          <w:sz w:val="25"/>
          <w:szCs w:val="25"/>
        </w:rPr>
        <w:t xml:space="preserve"> very day they are moving test</w:t>
      </w:r>
      <w:r w:rsidR="005816D1" w:rsidRPr="000A6748">
        <w:rPr>
          <w:rFonts w:ascii="Times New Roman" w:hAnsi="Times New Roman"/>
          <w:sz w:val="25"/>
          <w:szCs w:val="25"/>
        </w:rPr>
        <w:t>s</w:t>
      </w:r>
      <w:r w:rsidRPr="000A6748">
        <w:rPr>
          <w:rFonts w:ascii="Times New Roman" w:hAnsi="Times New Roman"/>
          <w:sz w:val="25"/>
          <w:szCs w:val="25"/>
        </w:rPr>
        <w:t xml:space="preserve"> the bounds of </w:t>
      </w:r>
      <w:r w:rsidR="00DC4763" w:rsidRPr="000A6748">
        <w:rPr>
          <w:rFonts w:ascii="Times New Roman" w:hAnsi="Times New Roman"/>
          <w:sz w:val="25"/>
          <w:szCs w:val="25"/>
        </w:rPr>
        <w:t>reality</w:t>
      </w:r>
      <w:r w:rsidR="005816D1" w:rsidRPr="000A6748">
        <w:rPr>
          <w:rFonts w:ascii="Times New Roman" w:hAnsi="Times New Roman"/>
          <w:sz w:val="25"/>
          <w:szCs w:val="25"/>
        </w:rPr>
        <w:t>, especially since these same seven customers stated that they never received the estimate</w:t>
      </w:r>
      <w:r w:rsidR="009562BE" w:rsidRPr="000A6748">
        <w:rPr>
          <w:rFonts w:ascii="Times New Roman" w:hAnsi="Times New Roman"/>
          <w:sz w:val="25"/>
          <w:szCs w:val="25"/>
        </w:rPr>
        <w:t>s</w:t>
      </w:r>
      <w:r w:rsidR="005816D1" w:rsidRPr="000A6748">
        <w:rPr>
          <w:rFonts w:ascii="Times New Roman" w:hAnsi="Times New Roman"/>
          <w:sz w:val="25"/>
          <w:szCs w:val="25"/>
        </w:rPr>
        <w:t xml:space="preserve"> </w:t>
      </w:r>
      <w:r w:rsidR="009562BE" w:rsidRPr="000A6748">
        <w:rPr>
          <w:rFonts w:ascii="Times New Roman" w:hAnsi="Times New Roman"/>
          <w:sz w:val="25"/>
          <w:szCs w:val="25"/>
        </w:rPr>
        <w:t>in question</w:t>
      </w:r>
      <w:r w:rsidR="00DC4763" w:rsidRPr="000A6748">
        <w:rPr>
          <w:rFonts w:ascii="Times New Roman" w:hAnsi="Times New Roman"/>
          <w:sz w:val="25"/>
          <w:szCs w:val="25"/>
        </w:rPr>
        <w:t xml:space="preserve">. </w:t>
      </w:r>
      <w:r w:rsidR="005816D1" w:rsidRPr="000A6748">
        <w:rPr>
          <w:rFonts w:ascii="Times New Roman" w:hAnsi="Times New Roman"/>
          <w:sz w:val="25"/>
          <w:szCs w:val="25"/>
        </w:rPr>
        <w:t xml:space="preserve"> </w:t>
      </w:r>
    </w:p>
    <w:p w14:paraId="0725339F" w14:textId="77777777" w:rsidR="00631B9D" w:rsidRDefault="00631B9D" w:rsidP="005318FE">
      <w:pPr>
        <w:pStyle w:val="ListParagraph"/>
        <w:spacing w:line="264" w:lineRule="auto"/>
        <w:rPr>
          <w:rFonts w:ascii="Times New Roman" w:hAnsi="Times New Roman"/>
          <w:sz w:val="25"/>
          <w:szCs w:val="25"/>
        </w:rPr>
      </w:pPr>
    </w:p>
    <w:p w14:paraId="0112E2E9" w14:textId="22D50F07" w:rsidR="005816D1" w:rsidRPr="00631B9D" w:rsidRDefault="009A3CCC" w:rsidP="005318FE">
      <w:pPr>
        <w:numPr>
          <w:ilvl w:val="0"/>
          <w:numId w:val="1"/>
        </w:numPr>
        <w:spacing w:line="264" w:lineRule="auto"/>
        <w:ind w:hanging="720"/>
        <w:rPr>
          <w:rFonts w:ascii="Times New Roman" w:hAnsi="Times New Roman"/>
          <w:sz w:val="25"/>
          <w:szCs w:val="25"/>
        </w:rPr>
      </w:pPr>
      <w:r w:rsidRPr="00631B9D">
        <w:rPr>
          <w:rFonts w:ascii="Times New Roman" w:hAnsi="Times New Roman"/>
          <w:sz w:val="25"/>
          <w:szCs w:val="25"/>
        </w:rPr>
        <w:t xml:space="preserve">Based on the totality </w:t>
      </w:r>
      <w:r w:rsidR="000A6748" w:rsidRPr="00631B9D">
        <w:rPr>
          <w:rFonts w:ascii="Times New Roman" w:hAnsi="Times New Roman"/>
          <w:sz w:val="25"/>
          <w:szCs w:val="25"/>
        </w:rPr>
        <w:t>of</w:t>
      </w:r>
      <w:r w:rsidRPr="00631B9D">
        <w:rPr>
          <w:rFonts w:ascii="Times New Roman" w:hAnsi="Times New Roman"/>
          <w:sz w:val="25"/>
          <w:szCs w:val="25"/>
        </w:rPr>
        <w:t xml:space="preserve"> the evidence presented, </w:t>
      </w:r>
      <w:r w:rsidR="00631B9D">
        <w:rPr>
          <w:rFonts w:ascii="Times New Roman" w:hAnsi="Times New Roman"/>
          <w:sz w:val="25"/>
          <w:szCs w:val="25"/>
        </w:rPr>
        <w:t>we</w:t>
      </w:r>
      <w:r w:rsidR="00113B62" w:rsidRPr="00631B9D">
        <w:rPr>
          <w:rFonts w:ascii="Times New Roman" w:hAnsi="Times New Roman"/>
          <w:sz w:val="25"/>
          <w:szCs w:val="25"/>
        </w:rPr>
        <w:t xml:space="preserve"> conclude</w:t>
      </w:r>
      <w:r w:rsidRPr="00631B9D">
        <w:rPr>
          <w:rFonts w:ascii="Times New Roman" w:hAnsi="Times New Roman"/>
          <w:sz w:val="25"/>
          <w:szCs w:val="25"/>
        </w:rPr>
        <w:t>s</w:t>
      </w:r>
      <w:r w:rsidR="00113B62" w:rsidRPr="00631B9D">
        <w:rPr>
          <w:rFonts w:ascii="Times New Roman" w:hAnsi="Times New Roman"/>
          <w:sz w:val="25"/>
          <w:szCs w:val="25"/>
        </w:rPr>
        <w:t xml:space="preserve"> that the estimate forms in Staff Exhibit Nos. RP-1 through RP-7 were falsified in violation of RCW 81.04.070.</w:t>
      </w:r>
      <w:r w:rsidR="009562BE" w:rsidRPr="00631B9D">
        <w:rPr>
          <w:rFonts w:ascii="Times New Roman" w:hAnsi="Times New Roman"/>
          <w:sz w:val="25"/>
          <w:szCs w:val="25"/>
        </w:rPr>
        <w:t xml:space="preserve">  Accordingly, the Commission will assess a $7,000 penalty for the </w:t>
      </w:r>
      <w:r w:rsidR="007C7DD1" w:rsidRPr="00631B9D">
        <w:rPr>
          <w:rFonts w:ascii="Times New Roman" w:hAnsi="Times New Roman"/>
          <w:sz w:val="25"/>
          <w:szCs w:val="25"/>
        </w:rPr>
        <w:t>7</w:t>
      </w:r>
      <w:r w:rsidR="009562BE" w:rsidRPr="00631B9D">
        <w:rPr>
          <w:rFonts w:ascii="Times New Roman" w:hAnsi="Times New Roman"/>
          <w:sz w:val="25"/>
          <w:szCs w:val="25"/>
        </w:rPr>
        <w:t xml:space="preserve"> violations of RCW 81.04.070.</w:t>
      </w:r>
    </w:p>
    <w:p w14:paraId="7986E9AC" w14:textId="77777777" w:rsidR="009A30A4" w:rsidRDefault="009A30A4" w:rsidP="005318FE">
      <w:pPr>
        <w:pStyle w:val="ListParagraph"/>
        <w:spacing w:line="264" w:lineRule="auto"/>
        <w:rPr>
          <w:rFonts w:ascii="Times New Roman" w:hAnsi="Times New Roman"/>
          <w:sz w:val="25"/>
          <w:szCs w:val="25"/>
        </w:rPr>
      </w:pPr>
    </w:p>
    <w:p w14:paraId="2106B7A9" w14:textId="12825411" w:rsidR="00652263" w:rsidRDefault="00652263" w:rsidP="005318FE">
      <w:pPr>
        <w:spacing w:line="264" w:lineRule="auto"/>
        <w:rPr>
          <w:rFonts w:ascii="Times New Roman" w:hAnsi="Times New Roman"/>
          <w:b/>
          <w:sz w:val="25"/>
          <w:szCs w:val="25"/>
        </w:rPr>
      </w:pPr>
      <w:r>
        <w:rPr>
          <w:rFonts w:ascii="Times New Roman" w:hAnsi="Times New Roman"/>
          <w:b/>
          <w:sz w:val="25"/>
          <w:szCs w:val="25"/>
        </w:rPr>
        <w:t>Second Cause of Action</w:t>
      </w:r>
    </w:p>
    <w:p w14:paraId="2C2F54B1" w14:textId="77777777" w:rsidR="00601D76" w:rsidRDefault="00601D76" w:rsidP="005318FE">
      <w:pPr>
        <w:spacing w:line="264" w:lineRule="auto"/>
        <w:rPr>
          <w:rFonts w:ascii="Times New Roman" w:hAnsi="Times New Roman"/>
          <w:sz w:val="25"/>
          <w:szCs w:val="25"/>
        </w:rPr>
      </w:pPr>
    </w:p>
    <w:p w14:paraId="19C09ECC" w14:textId="5C289380" w:rsidR="009D05D6" w:rsidRDefault="002A7E36" w:rsidP="005318FE">
      <w:pPr>
        <w:numPr>
          <w:ilvl w:val="0"/>
          <w:numId w:val="1"/>
        </w:numPr>
        <w:spacing w:line="264" w:lineRule="auto"/>
        <w:ind w:hanging="720"/>
        <w:rPr>
          <w:rFonts w:ascii="Times New Roman" w:hAnsi="Times New Roman"/>
          <w:sz w:val="25"/>
          <w:szCs w:val="25"/>
        </w:rPr>
      </w:pPr>
      <w:r>
        <w:rPr>
          <w:rFonts w:ascii="Times New Roman" w:hAnsi="Times New Roman"/>
          <w:sz w:val="25"/>
          <w:szCs w:val="25"/>
        </w:rPr>
        <w:t>In connection with the first cause of action</w:t>
      </w:r>
      <w:r w:rsidR="000A6748">
        <w:rPr>
          <w:rFonts w:ascii="Times New Roman" w:hAnsi="Times New Roman"/>
          <w:sz w:val="25"/>
          <w:szCs w:val="25"/>
        </w:rPr>
        <w:t xml:space="preserve"> involving seven falsified estimate forms</w:t>
      </w:r>
      <w:r>
        <w:rPr>
          <w:rFonts w:ascii="Times New Roman" w:hAnsi="Times New Roman"/>
          <w:sz w:val="25"/>
          <w:szCs w:val="25"/>
        </w:rPr>
        <w:t xml:space="preserve">, </w:t>
      </w:r>
      <w:r w:rsidR="00792851" w:rsidRPr="006C48ED">
        <w:rPr>
          <w:rFonts w:ascii="Times New Roman" w:hAnsi="Times New Roman"/>
          <w:sz w:val="25"/>
          <w:szCs w:val="25"/>
        </w:rPr>
        <w:t>Staff</w:t>
      </w:r>
      <w:r w:rsidR="0047470E" w:rsidRPr="006C48ED">
        <w:rPr>
          <w:rFonts w:ascii="Times New Roman" w:hAnsi="Times New Roman"/>
          <w:sz w:val="25"/>
          <w:szCs w:val="25"/>
        </w:rPr>
        <w:t xml:space="preserve"> </w:t>
      </w:r>
      <w:r>
        <w:rPr>
          <w:rFonts w:ascii="Times New Roman" w:hAnsi="Times New Roman"/>
          <w:sz w:val="25"/>
          <w:szCs w:val="25"/>
        </w:rPr>
        <w:t>asserts</w:t>
      </w:r>
      <w:r w:rsidR="0047470E" w:rsidRPr="006C48ED">
        <w:rPr>
          <w:rFonts w:ascii="Times New Roman" w:hAnsi="Times New Roman"/>
          <w:sz w:val="25"/>
          <w:szCs w:val="25"/>
        </w:rPr>
        <w:t xml:space="preserve"> </w:t>
      </w:r>
      <w:r w:rsidR="006C48ED" w:rsidRPr="006C48ED">
        <w:rPr>
          <w:rFonts w:ascii="Times New Roman" w:hAnsi="Times New Roman"/>
          <w:sz w:val="25"/>
          <w:szCs w:val="25"/>
        </w:rPr>
        <w:t>that the Company failed</w:t>
      </w:r>
      <w:r w:rsidR="0047470E" w:rsidRPr="006C48ED">
        <w:rPr>
          <w:rFonts w:ascii="Times New Roman" w:hAnsi="Times New Roman"/>
          <w:sz w:val="25"/>
          <w:szCs w:val="25"/>
        </w:rPr>
        <w:t xml:space="preserve"> to </w:t>
      </w:r>
      <w:r w:rsidR="00CF4531" w:rsidRPr="006C48ED">
        <w:rPr>
          <w:rFonts w:ascii="Times New Roman" w:hAnsi="Times New Roman"/>
          <w:sz w:val="25"/>
          <w:szCs w:val="25"/>
        </w:rPr>
        <w:t xml:space="preserve">provide written estimates to </w:t>
      </w:r>
      <w:r>
        <w:rPr>
          <w:rFonts w:ascii="Times New Roman" w:hAnsi="Times New Roman"/>
          <w:sz w:val="25"/>
          <w:szCs w:val="25"/>
        </w:rPr>
        <w:t>the</w:t>
      </w:r>
      <w:r w:rsidR="000A6748">
        <w:rPr>
          <w:rFonts w:ascii="Times New Roman" w:hAnsi="Times New Roman"/>
          <w:sz w:val="25"/>
          <w:szCs w:val="25"/>
        </w:rPr>
        <w:t>se</w:t>
      </w:r>
      <w:r>
        <w:rPr>
          <w:rFonts w:ascii="Times New Roman" w:hAnsi="Times New Roman"/>
          <w:sz w:val="25"/>
          <w:szCs w:val="25"/>
        </w:rPr>
        <w:t xml:space="preserve"> </w:t>
      </w:r>
      <w:r w:rsidR="00A93573">
        <w:rPr>
          <w:rFonts w:ascii="Times New Roman" w:hAnsi="Times New Roman"/>
          <w:sz w:val="25"/>
          <w:szCs w:val="25"/>
        </w:rPr>
        <w:t xml:space="preserve">seven </w:t>
      </w:r>
      <w:r w:rsidR="00CF4531" w:rsidRPr="006C48ED">
        <w:rPr>
          <w:rFonts w:ascii="Times New Roman" w:hAnsi="Times New Roman"/>
          <w:sz w:val="25"/>
          <w:szCs w:val="25"/>
        </w:rPr>
        <w:t>customer</w:t>
      </w:r>
      <w:r w:rsidR="006C48ED" w:rsidRPr="006C48ED">
        <w:rPr>
          <w:rFonts w:ascii="Times New Roman" w:hAnsi="Times New Roman"/>
          <w:sz w:val="25"/>
          <w:szCs w:val="25"/>
        </w:rPr>
        <w:t>s</w:t>
      </w:r>
      <w:r w:rsidR="00CF4531" w:rsidRPr="006C48ED">
        <w:rPr>
          <w:rFonts w:ascii="Times New Roman" w:hAnsi="Times New Roman"/>
          <w:sz w:val="25"/>
          <w:szCs w:val="25"/>
        </w:rPr>
        <w:t xml:space="preserve"> prior to </w:t>
      </w:r>
      <w:r w:rsidR="00A93573">
        <w:rPr>
          <w:rFonts w:ascii="Times New Roman" w:hAnsi="Times New Roman"/>
          <w:sz w:val="25"/>
          <w:szCs w:val="25"/>
        </w:rPr>
        <w:t xml:space="preserve">conducting </w:t>
      </w:r>
      <w:r w:rsidR="00DF07A3">
        <w:rPr>
          <w:rFonts w:ascii="Times New Roman" w:hAnsi="Times New Roman"/>
          <w:sz w:val="25"/>
          <w:szCs w:val="25"/>
        </w:rPr>
        <w:t>the</w:t>
      </w:r>
      <w:r w:rsidR="00A93573">
        <w:rPr>
          <w:rFonts w:ascii="Times New Roman" w:hAnsi="Times New Roman"/>
          <w:sz w:val="25"/>
          <w:szCs w:val="25"/>
        </w:rPr>
        <w:t>ir</w:t>
      </w:r>
      <w:r w:rsidR="00DF07A3">
        <w:rPr>
          <w:rFonts w:ascii="Times New Roman" w:hAnsi="Times New Roman"/>
          <w:sz w:val="25"/>
          <w:szCs w:val="25"/>
        </w:rPr>
        <w:t xml:space="preserve"> moves</w:t>
      </w:r>
      <w:r w:rsidR="006C48ED" w:rsidRPr="006C48ED">
        <w:rPr>
          <w:rFonts w:ascii="Times New Roman" w:hAnsi="Times New Roman"/>
          <w:sz w:val="25"/>
          <w:szCs w:val="25"/>
        </w:rPr>
        <w:t xml:space="preserve">. </w:t>
      </w:r>
      <w:r w:rsidR="007B576D">
        <w:rPr>
          <w:rFonts w:ascii="Times New Roman" w:hAnsi="Times New Roman"/>
          <w:sz w:val="25"/>
          <w:szCs w:val="25"/>
        </w:rPr>
        <w:t xml:space="preserve"> </w:t>
      </w:r>
      <w:r w:rsidR="00416F9A" w:rsidRPr="006C48ED">
        <w:rPr>
          <w:rFonts w:ascii="Times New Roman" w:hAnsi="Times New Roman"/>
          <w:sz w:val="25"/>
          <w:szCs w:val="25"/>
        </w:rPr>
        <w:t>WAC 480-15-630</w:t>
      </w:r>
      <w:r w:rsidR="006F12C9">
        <w:rPr>
          <w:rFonts w:ascii="Times New Roman" w:hAnsi="Times New Roman"/>
          <w:sz w:val="25"/>
          <w:szCs w:val="25"/>
        </w:rPr>
        <w:t xml:space="preserve"> </w:t>
      </w:r>
      <w:r w:rsidR="00416F9A" w:rsidRPr="006C48ED">
        <w:rPr>
          <w:rFonts w:ascii="Times New Roman" w:hAnsi="Times New Roman"/>
          <w:sz w:val="25"/>
          <w:szCs w:val="25"/>
        </w:rPr>
        <w:t>requires carriers to issue a written estimate, bas</w:t>
      </w:r>
      <w:r w:rsidR="007B576D">
        <w:rPr>
          <w:rFonts w:ascii="Times New Roman" w:hAnsi="Times New Roman"/>
          <w:sz w:val="25"/>
          <w:szCs w:val="25"/>
        </w:rPr>
        <w:t>ed on a visual inspection of a</w:t>
      </w:r>
      <w:r w:rsidR="00416F9A" w:rsidRPr="006C48ED">
        <w:rPr>
          <w:rFonts w:ascii="Times New Roman" w:hAnsi="Times New Roman"/>
          <w:sz w:val="25"/>
          <w:szCs w:val="25"/>
        </w:rPr>
        <w:t xml:space="preserve"> customer’s goods, prior to performing a move.  </w:t>
      </w:r>
      <w:r w:rsidR="005816D1">
        <w:rPr>
          <w:rFonts w:ascii="Times New Roman" w:hAnsi="Times New Roman"/>
          <w:sz w:val="25"/>
          <w:szCs w:val="25"/>
        </w:rPr>
        <w:t>None</w:t>
      </w:r>
      <w:r w:rsidR="001F4F38">
        <w:rPr>
          <w:rFonts w:ascii="Times New Roman" w:hAnsi="Times New Roman"/>
          <w:sz w:val="25"/>
          <w:szCs w:val="25"/>
        </w:rPr>
        <w:t xml:space="preserve"> of the </w:t>
      </w:r>
      <w:r w:rsidR="007C7DD1">
        <w:rPr>
          <w:rFonts w:ascii="Times New Roman" w:hAnsi="Times New Roman"/>
          <w:sz w:val="25"/>
          <w:szCs w:val="25"/>
        </w:rPr>
        <w:t>7</w:t>
      </w:r>
      <w:r w:rsidR="001F4F38">
        <w:rPr>
          <w:rFonts w:ascii="Times New Roman" w:hAnsi="Times New Roman"/>
          <w:sz w:val="25"/>
          <w:szCs w:val="25"/>
        </w:rPr>
        <w:t xml:space="preserve"> estim</w:t>
      </w:r>
      <w:r w:rsidR="00933297">
        <w:rPr>
          <w:rFonts w:ascii="Times New Roman" w:hAnsi="Times New Roman"/>
          <w:sz w:val="25"/>
          <w:szCs w:val="25"/>
        </w:rPr>
        <w:t xml:space="preserve">ate forms </w:t>
      </w:r>
      <w:r w:rsidR="000A6748">
        <w:rPr>
          <w:rFonts w:ascii="Times New Roman" w:hAnsi="Times New Roman"/>
          <w:sz w:val="25"/>
          <w:szCs w:val="25"/>
        </w:rPr>
        <w:t xml:space="preserve">provided by the Company to Staff and </w:t>
      </w:r>
      <w:r w:rsidR="005816D1">
        <w:rPr>
          <w:rFonts w:ascii="Times New Roman" w:hAnsi="Times New Roman"/>
          <w:sz w:val="25"/>
          <w:szCs w:val="25"/>
        </w:rPr>
        <w:t xml:space="preserve">discussed in the first cause of action </w:t>
      </w:r>
      <w:r w:rsidR="00933297">
        <w:rPr>
          <w:rFonts w:ascii="Times New Roman" w:hAnsi="Times New Roman"/>
          <w:sz w:val="25"/>
          <w:szCs w:val="25"/>
        </w:rPr>
        <w:t xml:space="preserve">were signed, and when </w:t>
      </w:r>
      <w:r w:rsidR="001F4F38">
        <w:rPr>
          <w:rFonts w:ascii="Times New Roman" w:hAnsi="Times New Roman"/>
          <w:sz w:val="25"/>
          <w:szCs w:val="25"/>
        </w:rPr>
        <w:t>Staff questioned the customers, they denied having received the forms from Best Moving.</w:t>
      </w:r>
      <w:r w:rsidR="005816D1">
        <w:rPr>
          <w:rStyle w:val="FootnoteReference"/>
          <w:rFonts w:ascii="Times New Roman" w:hAnsi="Times New Roman"/>
          <w:sz w:val="25"/>
          <w:szCs w:val="25"/>
        </w:rPr>
        <w:footnoteReference w:id="18"/>
      </w:r>
      <w:r w:rsidR="001F4F38">
        <w:rPr>
          <w:rFonts w:ascii="Times New Roman" w:hAnsi="Times New Roman"/>
          <w:sz w:val="25"/>
          <w:szCs w:val="25"/>
        </w:rPr>
        <w:t xml:space="preserve">  </w:t>
      </w:r>
    </w:p>
    <w:p w14:paraId="1BAF7D6E" w14:textId="77777777" w:rsidR="000A6748" w:rsidRDefault="000A6748" w:rsidP="005318FE">
      <w:pPr>
        <w:spacing w:line="264" w:lineRule="auto"/>
        <w:rPr>
          <w:rFonts w:ascii="Times New Roman" w:hAnsi="Times New Roman"/>
          <w:sz w:val="25"/>
          <w:szCs w:val="25"/>
        </w:rPr>
      </w:pPr>
    </w:p>
    <w:p w14:paraId="0AB9120A" w14:textId="72A79DDE" w:rsidR="000A6748" w:rsidRDefault="000A6748" w:rsidP="005318FE">
      <w:pPr>
        <w:numPr>
          <w:ilvl w:val="0"/>
          <w:numId w:val="1"/>
        </w:numPr>
        <w:spacing w:line="264" w:lineRule="auto"/>
        <w:ind w:hanging="720"/>
        <w:rPr>
          <w:rFonts w:ascii="Times New Roman" w:hAnsi="Times New Roman"/>
          <w:sz w:val="25"/>
          <w:szCs w:val="25"/>
        </w:rPr>
      </w:pPr>
      <w:r>
        <w:rPr>
          <w:rFonts w:ascii="Times New Roman" w:hAnsi="Times New Roman"/>
          <w:sz w:val="25"/>
          <w:szCs w:val="25"/>
        </w:rPr>
        <w:t>This is a continuing violation from Staff’s 2011 Investigation Report.  In that analysis, Staff found that Best Moving had failed to provide written estimates to customers prior to moves on 27 occasions.</w:t>
      </w:r>
      <w:r>
        <w:rPr>
          <w:rStyle w:val="FootnoteReference"/>
          <w:rFonts w:ascii="Times New Roman" w:hAnsi="Times New Roman"/>
          <w:sz w:val="25"/>
          <w:szCs w:val="25"/>
        </w:rPr>
        <w:footnoteReference w:id="19"/>
      </w:r>
    </w:p>
    <w:p w14:paraId="7FB2F7FB" w14:textId="77777777" w:rsidR="00DC4763" w:rsidRDefault="00DC4763" w:rsidP="005318FE">
      <w:pPr>
        <w:spacing w:line="264" w:lineRule="auto"/>
        <w:rPr>
          <w:rFonts w:ascii="Times New Roman" w:hAnsi="Times New Roman"/>
          <w:sz w:val="25"/>
          <w:szCs w:val="25"/>
        </w:rPr>
      </w:pPr>
    </w:p>
    <w:p w14:paraId="5CE1B057" w14:textId="05594364" w:rsidR="006F12C9" w:rsidRDefault="006F12C9" w:rsidP="005318F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Mr. Ratko </w:t>
      </w:r>
      <w:r w:rsidR="00D6131B">
        <w:rPr>
          <w:rFonts w:ascii="Times New Roman" w:hAnsi="Times New Roman"/>
          <w:sz w:val="25"/>
          <w:szCs w:val="25"/>
        </w:rPr>
        <w:t>testified</w:t>
      </w:r>
      <w:r>
        <w:rPr>
          <w:rFonts w:ascii="Times New Roman" w:hAnsi="Times New Roman"/>
          <w:sz w:val="25"/>
          <w:szCs w:val="25"/>
        </w:rPr>
        <w:t xml:space="preserve"> that </w:t>
      </w:r>
      <w:r w:rsidR="00113B62">
        <w:rPr>
          <w:rFonts w:ascii="Times New Roman" w:hAnsi="Times New Roman"/>
          <w:sz w:val="25"/>
          <w:szCs w:val="25"/>
        </w:rPr>
        <w:t>his</w:t>
      </w:r>
      <w:r>
        <w:rPr>
          <w:rFonts w:ascii="Times New Roman" w:hAnsi="Times New Roman"/>
          <w:sz w:val="25"/>
          <w:szCs w:val="25"/>
        </w:rPr>
        <w:t xml:space="preserve"> customers were satisfied with verbal estimates and denied his offer of written estimate</w:t>
      </w:r>
      <w:r w:rsidR="00113B62">
        <w:rPr>
          <w:rFonts w:ascii="Times New Roman" w:hAnsi="Times New Roman"/>
          <w:sz w:val="25"/>
          <w:szCs w:val="25"/>
        </w:rPr>
        <w:t>s</w:t>
      </w:r>
      <w:r>
        <w:rPr>
          <w:rFonts w:ascii="Times New Roman" w:hAnsi="Times New Roman"/>
          <w:sz w:val="25"/>
          <w:szCs w:val="25"/>
        </w:rPr>
        <w:t>.</w:t>
      </w:r>
      <w:r>
        <w:rPr>
          <w:rStyle w:val="FootnoteReference"/>
          <w:rFonts w:ascii="Times New Roman" w:hAnsi="Times New Roman"/>
          <w:sz w:val="25"/>
          <w:szCs w:val="25"/>
        </w:rPr>
        <w:footnoteReference w:id="20"/>
      </w:r>
      <w:r>
        <w:rPr>
          <w:rFonts w:ascii="Times New Roman" w:hAnsi="Times New Roman"/>
          <w:sz w:val="25"/>
          <w:szCs w:val="25"/>
        </w:rPr>
        <w:t xml:space="preserve">  </w:t>
      </w:r>
      <w:r w:rsidR="002A7E36">
        <w:rPr>
          <w:rFonts w:ascii="Times New Roman" w:hAnsi="Times New Roman"/>
          <w:sz w:val="25"/>
          <w:szCs w:val="25"/>
        </w:rPr>
        <w:t>His business practice, admittedly, was to predominantly give verbal or electronic estimates in order to save time.</w:t>
      </w:r>
      <w:r w:rsidR="002A7E36">
        <w:rPr>
          <w:rStyle w:val="FootnoteReference"/>
          <w:rFonts w:ascii="Times New Roman" w:hAnsi="Times New Roman"/>
          <w:sz w:val="25"/>
          <w:szCs w:val="25"/>
        </w:rPr>
        <w:footnoteReference w:id="21"/>
      </w:r>
      <w:r w:rsidR="002A7E36">
        <w:rPr>
          <w:rFonts w:ascii="Times New Roman" w:hAnsi="Times New Roman"/>
          <w:sz w:val="25"/>
          <w:szCs w:val="25"/>
        </w:rPr>
        <w:t xml:space="preserve">  </w:t>
      </w:r>
      <w:r w:rsidR="00113B62">
        <w:rPr>
          <w:rFonts w:ascii="Times New Roman" w:hAnsi="Times New Roman"/>
          <w:sz w:val="25"/>
          <w:szCs w:val="25"/>
        </w:rPr>
        <w:t>He</w:t>
      </w:r>
      <w:r>
        <w:rPr>
          <w:rFonts w:ascii="Times New Roman" w:hAnsi="Times New Roman"/>
          <w:sz w:val="25"/>
          <w:szCs w:val="25"/>
        </w:rPr>
        <w:t xml:space="preserve"> also </w:t>
      </w:r>
      <w:r w:rsidR="00D6131B">
        <w:rPr>
          <w:rFonts w:ascii="Times New Roman" w:hAnsi="Times New Roman"/>
          <w:sz w:val="25"/>
          <w:szCs w:val="25"/>
        </w:rPr>
        <w:t>claimed</w:t>
      </w:r>
      <w:r>
        <w:rPr>
          <w:rFonts w:ascii="Times New Roman" w:hAnsi="Times New Roman"/>
          <w:sz w:val="25"/>
          <w:szCs w:val="25"/>
        </w:rPr>
        <w:t xml:space="preserve"> that</w:t>
      </w:r>
      <w:r w:rsidR="00113B62">
        <w:rPr>
          <w:rFonts w:ascii="Times New Roman" w:hAnsi="Times New Roman"/>
          <w:sz w:val="25"/>
          <w:szCs w:val="25"/>
        </w:rPr>
        <w:t>, at the 2009 Commission-sponsored training he attended,</w:t>
      </w:r>
      <w:r>
        <w:rPr>
          <w:rFonts w:ascii="Times New Roman" w:hAnsi="Times New Roman"/>
          <w:sz w:val="25"/>
          <w:szCs w:val="25"/>
        </w:rPr>
        <w:t xml:space="preserve"> a member of Staff </w:t>
      </w:r>
      <w:r w:rsidR="00113B62">
        <w:rPr>
          <w:rFonts w:ascii="Times New Roman" w:hAnsi="Times New Roman"/>
          <w:sz w:val="25"/>
          <w:szCs w:val="25"/>
        </w:rPr>
        <w:t>tol</w:t>
      </w:r>
      <w:r>
        <w:rPr>
          <w:rFonts w:ascii="Times New Roman" w:hAnsi="Times New Roman"/>
          <w:sz w:val="25"/>
          <w:szCs w:val="25"/>
        </w:rPr>
        <w:t xml:space="preserve">d </w:t>
      </w:r>
      <w:r w:rsidR="00113B62">
        <w:rPr>
          <w:rFonts w:ascii="Times New Roman" w:hAnsi="Times New Roman"/>
          <w:sz w:val="25"/>
          <w:szCs w:val="25"/>
        </w:rPr>
        <w:t>him that</w:t>
      </w:r>
      <w:r>
        <w:rPr>
          <w:rFonts w:ascii="Times New Roman" w:hAnsi="Times New Roman"/>
          <w:sz w:val="25"/>
          <w:szCs w:val="25"/>
        </w:rPr>
        <w:t xml:space="preserve"> his verbal estimates were an acceptable compliance with the Commission’s rules.</w:t>
      </w:r>
      <w:r>
        <w:rPr>
          <w:rStyle w:val="FootnoteReference"/>
          <w:rFonts w:ascii="Times New Roman" w:hAnsi="Times New Roman"/>
          <w:sz w:val="25"/>
          <w:szCs w:val="25"/>
        </w:rPr>
        <w:footnoteReference w:id="22"/>
      </w:r>
    </w:p>
    <w:p w14:paraId="0B23950E" w14:textId="77777777" w:rsidR="009A30A4" w:rsidRPr="006C48ED" w:rsidRDefault="009A30A4" w:rsidP="005318FE">
      <w:pPr>
        <w:spacing w:line="264" w:lineRule="auto"/>
        <w:ind w:left="-720"/>
        <w:rPr>
          <w:rFonts w:ascii="Times New Roman" w:hAnsi="Times New Roman"/>
          <w:sz w:val="25"/>
          <w:szCs w:val="25"/>
        </w:rPr>
      </w:pPr>
    </w:p>
    <w:p w14:paraId="2C5F1B94" w14:textId="72AA9A44" w:rsidR="009A30A4" w:rsidRDefault="00ED054B" w:rsidP="005318FE">
      <w:pPr>
        <w:numPr>
          <w:ilvl w:val="0"/>
          <w:numId w:val="1"/>
        </w:numPr>
        <w:spacing w:line="264" w:lineRule="auto"/>
        <w:ind w:hanging="720"/>
        <w:rPr>
          <w:rFonts w:ascii="Times New Roman" w:hAnsi="Times New Roman"/>
          <w:sz w:val="25"/>
          <w:szCs w:val="25"/>
        </w:rPr>
      </w:pPr>
      <w:r w:rsidRPr="005A4C78">
        <w:rPr>
          <w:rFonts w:ascii="Times New Roman" w:hAnsi="Times New Roman"/>
          <w:b/>
          <w:sz w:val="25"/>
          <w:szCs w:val="25"/>
        </w:rPr>
        <w:lastRenderedPageBreak/>
        <w:t>Decision.</w:t>
      </w:r>
      <w:r w:rsidRPr="005A4C78">
        <w:rPr>
          <w:rFonts w:ascii="Times New Roman" w:hAnsi="Times New Roman"/>
          <w:sz w:val="25"/>
          <w:szCs w:val="25"/>
        </w:rPr>
        <w:t xml:space="preserve">  </w:t>
      </w:r>
      <w:r w:rsidR="00D6131B" w:rsidRPr="005A4C78">
        <w:rPr>
          <w:rFonts w:ascii="Times New Roman" w:hAnsi="Times New Roman"/>
          <w:sz w:val="25"/>
          <w:szCs w:val="25"/>
        </w:rPr>
        <w:t>The Commission’s rule is quite clear that carrier</w:t>
      </w:r>
      <w:r w:rsidR="002A7E36" w:rsidRPr="005A4C78">
        <w:rPr>
          <w:rFonts w:ascii="Times New Roman" w:hAnsi="Times New Roman"/>
          <w:sz w:val="25"/>
          <w:szCs w:val="25"/>
        </w:rPr>
        <w:t>s</w:t>
      </w:r>
      <w:r w:rsidR="00D6131B" w:rsidRPr="005A4C78">
        <w:rPr>
          <w:rFonts w:ascii="Times New Roman" w:hAnsi="Times New Roman"/>
          <w:sz w:val="25"/>
          <w:szCs w:val="25"/>
        </w:rPr>
        <w:t xml:space="preserve"> must provide a written estimate to every customer prior to moving a household shipment of goods.  Staff has consistently claimed, and Mr. Ratko does not deny, that seven of his customers </w:t>
      </w:r>
      <w:r w:rsidR="005F00FD" w:rsidRPr="005A4C78">
        <w:rPr>
          <w:rFonts w:ascii="Times New Roman" w:hAnsi="Times New Roman"/>
          <w:sz w:val="25"/>
          <w:szCs w:val="25"/>
        </w:rPr>
        <w:t>did not receive</w:t>
      </w:r>
      <w:r w:rsidR="00D6131B" w:rsidRPr="005A4C78">
        <w:rPr>
          <w:rFonts w:ascii="Times New Roman" w:hAnsi="Times New Roman"/>
          <w:sz w:val="25"/>
          <w:szCs w:val="25"/>
        </w:rPr>
        <w:t xml:space="preserve"> the </w:t>
      </w:r>
      <w:r w:rsidR="005F00FD" w:rsidRPr="005A4C78">
        <w:rPr>
          <w:rFonts w:ascii="Times New Roman" w:hAnsi="Times New Roman"/>
          <w:sz w:val="25"/>
          <w:szCs w:val="25"/>
        </w:rPr>
        <w:t xml:space="preserve">written </w:t>
      </w:r>
      <w:r w:rsidR="00D6131B" w:rsidRPr="005A4C78">
        <w:rPr>
          <w:rFonts w:ascii="Times New Roman" w:hAnsi="Times New Roman"/>
          <w:sz w:val="25"/>
          <w:szCs w:val="25"/>
        </w:rPr>
        <w:t>estimate forms in Staff’s Exhibits RP-1 through RP-7</w:t>
      </w:r>
      <w:r w:rsidR="005F00FD" w:rsidRPr="005A4C78">
        <w:rPr>
          <w:rFonts w:ascii="Times New Roman" w:hAnsi="Times New Roman"/>
          <w:sz w:val="25"/>
          <w:szCs w:val="25"/>
        </w:rPr>
        <w:t xml:space="preserve">.  </w:t>
      </w:r>
      <w:r w:rsidR="00551EEE" w:rsidRPr="005A4C78">
        <w:rPr>
          <w:rFonts w:ascii="Times New Roman" w:hAnsi="Times New Roman"/>
          <w:sz w:val="25"/>
          <w:szCs w:val="25"/>
        </w:rPr>
        <w:t>Neither a customer nor a Commission employee, if such a conversation did occur</w:t>
      </w:r>
      <w:r w:rsidR="00113B62" w:rsidRPr="005A4C78">
        <w:rPr>
          <w:rFonts w:ascii="Times New Roman" w:hAnsi="Times New Roman"/>
          <w:sz w:val="25"/>
          <w:szCs w:val="25"/>
        </w:rPr>
        <w:t xml:space="preserve"> at the training in question</w:t>
      </w:r>
      <w:r w:rsidR="00551EEE" w:rsidRPr="005A4C78">
        <w:rPr>
          <w:rFonts w:ascii="Times New Roman" w:hAnsi="Times New Roman"/>
          <w:sz w:val="25"/>
          <w:szCs w:val="25"/>
        </w:rPr>
        <w:t>, may waiv</w:t>
      </w:r>
      <w:r w:rsidR="002A7E36" w:rsidRPr="005A4C78">
        <w:rPr>
          <w:rFonts w:ascii="Times New Roman" w:hAnsi="Times New Roman"/>
          <w:sz w:val="25"/>
          <w:szCs w:val="25"/>
        </w:rPr>
        <w:t xml:space="preserve">e a Commission requirement.  </w:t>
      </w:r>
      <w:r w:rsidR="000A6748">
        <w:rPr>
          <w:rFonts w:ascii="Times New Roman" w:hAnsi="Times New Roman"/>
          <w:sz w:val="25"/>
          <w:szCs w:val="25"/>
        </w:rPr>
        <w:t xml:space="preserve">It is troubling that this violation was first brought to Best Moving’s attention with Staff’s 2011 Investigation Report, and </w:t>
      </w:r>
      <w:r w:rsidR="00AB2862">
        <w:rPr>
          <w:rFonts w:ascii="Times New Roman" w:hAnsi="Times New Roman"/>
          <w:sz w:val="25"/>
          <w:szCs w:val="25"/>
        </w:rPr>
        <w:t xml:space="preserve">the Company has failed to correct it in the intervening time period.  </w:t>
      </w:r>
      <w:r w:rsidR="002A7E36" w:rsidRPr="005A4C78">
        <w:rPr>
          <w:rFonts w:ascii="Times New Roman" w:hAnsi="Times New Roman"/>
          <w:sz w:val="25"/>
          <w:szCs w:val="25"/>
        </w:rPr>
        <w:t xml:space="preserve">We find that </w:t>
      </w:r>
      <w:r w:rsidR="00273186" w:rsidRPr="005A4C78">
        <w:rPr>
          <w:rFonts w:ascii="Times New Roman" w:hAnsi="Times New Roman"/>
          <w:sz w:val="25"/>
          <w:szCs w:val="25"/>
        </w:rPr>
        <w:t>a penalty of</w:t>
      </w:r>
      <w:r w:rsidR="00660F3C" w:rsidRPr="005A4C78">
        <w:rPr>
          <w:rFonts w:ascii="Times New Roman" w:hAnsi="Times New Roman"/>
          <w:sz w:val="25"/>
          <w:szCs w:val="25"/>
        </w:rPr>
        <w:t xml:space="preserve"> $1</w:t>
      </w:r>
      <w:r w:rsidR="00113B62" w:rsidRPr="005A4C78">
        <w:rPr>
          <w:rFonts w:ascii="Times New Roman" w:hAnsi="Times New Roman"/>
          <w:sz w:val="25"/>
          <w:szCs w:val="25"/>
        </w:rPr>
        <w:t>,0</w:t>
      </w:r>
      <w:r w:rsidR="002A7E36" w:rsidRPr="005A4C78">
        <w:rPr>
          <w:rFonts w:ascii="Times New Roman" w:hAnsi="Times New Roman"/>
          <w:sz w:val="25"/>
          <w:szCs w:val="25"/>
        </w:rPr>
        <w:t xml:space="preserve">00 should be assessed for these </w:t>
      </w:r>
      <w:r w:rsidR="00551EEE" w:rsidRPr="005A4C78">
        <w:rPr>
          <w:rFonts w:ascii="Times New Roman" w:hAnsi="Times New Roman"/>
          <w:sz w:val="25"/>
          <w:szCs w:val="25"/>
        </w:rPr>
        <w:t>7</w:t>
      </w:r>
      <w:r w:rsidR="00660F3C" w:rsidRPr="005A4C78">
        <w:rPr>
          <w:rFonts w:ascii="Times New Roman" w:hAnsi="Times New Roman"/>
          <w:sz w:val="25"/>
          <w:szCs w:val="25"/>
        </w:rPr>
        <w:t xml:space="preserve"> violations of WAC 480-15-630.</w:t>
      </w:r>
    </w:p>
    <w:p w14:paraId="7928CE23" w14:textId="77777777" w:rsidR="005A4C78" w:rsidRPr="005A4C78" w:rsidRDefault="005A4C78" w:rsidP="005318FE">
      <w:pPr>
        <w:spacing w:line="264" w:lineRule="auto"/>
        <w:rPr>
          <w:rFonts w:ascii="Times New Roman" w:hAnsi="Times New Roman"/>
          <w:sz w:val="25"/>
          <w:szCs w:val="25"/>
        </w:rPr>
      </w:pPr>
    </w:p>
    <w:p w14:paraId="3443EB39" w14:textId="76903A15" w:rsidR="00660F3C" w:rsidRDefault="00660F3C" w:rsidP="005318FE">
      <w:pPr>
        <w:spacing w:line="264" w:lineRule="auto"/>
        <w:rPr>
          <w:rFonts w:ascii="Times New Roman" w:hAnsi="Times New Roman"/>
          <w:b/>
          <w:sz w:val="25"/>
          <w:szCs w:val="25"/>
        </w:rPr>
      </w:pPr>
      <w:r>
        <w:rPr>
          <w:rFonts w:ascii="Times New Roman" w:hAnsi="Times New Roman"/>
          <w:b/>
          <w:sz w:val="25"/>
          <w:szCs w:val="25"/>
        </w:rPr>
        <w:t>Third Cause of Action</w:t>
      </w:r>
    </w:p>
    <w:p w14:paraId="62C6A68E" w14:textId="77777777" w:rsidR="00601D76" w:rsidRDefault="00601D76" w:rsidP="005318FE">
      <w:pPr>
        <w:spacing w:line="264" w:lineRule="auto"/>
        <w:rPr>
          <w:rFonts w:ascii="Times New Roman" w:hAnsi="Times New Roman"/>
          <w:sz w:val="25"/>
          <w:szCs w:val="25"/>
        </w:rPr>
      </w:pPr>
    </w:p>
    <w:p w14:paraId="6195C646" w14:textId="73081EC5" w:rsidR="00B1243F" w:rsidRDefault="00660F3C" w:rsidP="005318FE">
      <w:pPr>
        <w:numPr>
          <w:ilvl w:val="0"/>
          <w:numId w:val="1"/>
        </w:numPr>
        <w:spacing w:line="264" w:lineRule="auto"/>
        <w:ind w:hanging="720"/>
        <w:rPr>
          <w:rFonts w:ascii="Times New Roman" w:hAnsi="Times New Roman"/>
          <w:sz w:val="25"/>
          <w:szCs w:val="25"/>
        </w:rPr>
      </w:pPr>
      <w:r w:rsidRPr="00254D60">
        <w:rPr>
          <w:rFonts w:ascii="Times New Roman" w:hAnsi="Times New Roman"/>
          <w:sz w:val="25"/>
          <w:szCs w:val="25"/>
        </w:rPr>
        <w:t>Staff alleges,</w:t>
      </w:r>
      <w:r w:rsidR="008C1A22">
        <w:rPr>
          <w:rStyle w:val="FootnoteReference"/>
          <w:rFonts w:ascii="Times New Roman" w:hAnsi="Times New Roman"/>
          <w:sz w:val="25"/>
          <w:szCs w:val="25"/>
        </w:rPr>
        <w:footnoteReference w:id="23"/>
      </w:r>
      <w:r w:rsidRPr="00254D60">
        <w:rPr>
          <w:rFonts w:ascii="Times New Roman" w:hAnsi="Times New Roman"/>
          <w:sz w:val="25"/>
          <w:szCs w:val="25"/>
        </w:rPr>
        <w:t xml:space="preserve"> and </w:t>
      </w:r>
      <w:r w:rsidR="005977CD" w:rsidRPr="00254D60">
        <w:rPr>
          <w:rFonts w:ascii="Times New Roman" w:hAnsi="Times New Roman"/>
          <w:sz w:val="25"/>
          <w:szCs w:val="25"/>
        </w:rPr>
        <w:t>Best</w:t>
      </w:r>
      <w:r w:rsidRPr="00254D60">
        <w:rPr>
          <w:rFonts w:ascii="Times New Roman" w:hAnsi="Times New Roman"/>
          <w:sz w:val="25"/>
          <w:szCs w:val="25"/>
        </w:rPr>
        <w:t xml:space="preserve"> Moving admits,</w:t>
      </w:r>
      <w:r w:rsidR="008C1A22">
        <w:rPr>
          <w:rStyle w:val="FootnoteReference"/>
          <w:rFonts w:ascii="Times New Roman" w:hAnsi="Times New Roman"/>
          <w:sz w:val="25"/>
          <w:szCs w:val="25"/>
        </w:rPr>
        <w:footnoteReference w:id="24"/>
      </w:r>
      <w:r w:rsidRPr="00254D60">
        <w:rPr>
          <w:rFonts w:ascii="Times New Roman" w:hAnsi="Times New Roman"/>
          <w:sz w:val="25"/>
          <w:szCs w:val="25"/>
        </w:rPr>
        <w:t xml:space="preserve"> that the Company</w:t>
      </w:r>
      <w:r w:rsidR="00B1243F">
        <w:rPr>
          <w:rFonts w:ascii="Times New Roman" w:hAnsi="Times New Roman"/>
          <w:sz w:val="25"/>
          <w:szCs w:val="25"/>
        </w:rPr>
        <w:t>:</w:t>
      </w:r>
    </w:p>
    <w:p w14:paraId="573C22FA" w14:textId="77777777" w:rsidR="00B1243F" w:rsidRDefault="00B1243F" w:rsidP="005318FE">
      <w:pPr>
        <w:spacing w:line="264" w:lineRule="auto"/>
        <w:rPr>
          <w:rFonts w:ascii="Times New Roman" w:hAnsi="Times New Roman"/>
          <w:sz w:val="25"/>
          <w:szCs w:val="25"/>
        </w:rPr>
      </w:pPr>
    </w:p>
    <w:p w14:paraId="33031457" w14:textId="19F55B22" w:rsidR="00B1243F" w:rsidRDefault="00B1243F" w:rsidP="005318FE">
      <w:pPr>
        <w:pStyle w:val="ListParagraph"/>
        <w:numPr>
          <w:ilvl w:val="0"/>
          <w:numId w:val="5"/>
        </w:numPr>
        <w:spacing w:line="264" w:lineRule="auto"/>
        <w:rPr>
          <w:rFonts w:ascii="Times New Roman" w:hAnsi="Times New Roman"/>
          <w:sz w:val="25"/>
          <w:szCs w:val="25"/>
        </w:rPr>
      </w:pPr>
      <w:r>
        <w:rPr>
          <w:rFonts w:ascii="Times New Roman" w:hAnsi="Times New Roman"/>
          <w:sz w:val="25"/>
          <w:szCs w:val="25"/>
        </w:rPr>
        <w:t>F</w:t>
      </w:r>
      <w:r w:rsidRPr="00B1243F">
        <w:rPr>
          <w:rFonts w:ascii="Times New Roman" w:hAnsi="Times New Roman"/>
          <w:sz w:val="25"/>
          <w:szCs w:val="25"/>
        </w:rPr>
        <w:t xml:space="preserve">ailed to complete each of the 31 estimate forms according to the requirements of Tariff 15-C, </w:t>
      </w:r>
      <w:r>
        <w:rPr>
          <w:rFonts w:ascii="Times New Roman" w:hAnsi="Times New Roman"/>
          <w:sz w:val="25"/>
          <w:szCs w:val="25"/>
        </w:rPr>
        <w:t>in violation of WAC 480-15-630(7).</w:t>
      </w:r>
      <w:r w:rsidR="00BB7ACB">
        <w:rPr>
          <w:rStyle w:val="FootnoteReference"/>
          <w:rFonts w:ascii="Times New Roman" w:hAnsi="Times New Roman"/>
          <w:sz w:val="25"/>
          <w:szCs w:val="25"/>
        </w:rPr>
        <w:footnoteReference w:id="25"/>
      </w:r>
    </w:p>
    <w:p w14:paraId="24777037" w14:textId="77777777" w:rsidR="00601D76" w:rsidRDefault="00601D76" w:rsidP="005318FE">
      <w:pPr>
        <w:pStyle w:val="ListParagraph"/>
        <w:spacing w:line="264" w:lineRule="auto"/>
        <w:ind w:left="780"/>
        <w:rPr>
          <w:rFonts w:ascii="Times New Roman" w:hAnsi="Times New Roman"/>
          <w:sz w:val="25"/>
          <w:szCs w:val="25"/>
        </w:rPr>
      </w:pPr>
    </w:p>
    <w:p w14:paraId="217A8817" w14:textId="77777777" w:rsidR="00B1243F" w:rsidRDefault="00B1243F" w:rsidP="005318FE">
      <w:pPr>
        <w:pStyle w:val="ListParagraph"/>
        <w:numPr>
          <w:ilvl w:val="0"/>
          <w:numId w:val="5"/>
        </w:numPr>
        <w:spacing w:line="264" w:lineRule="auto"/>
        <w:rPr>
          <w:rFonts w:ascii="Times New Roman" w:hAnsi="Times New Roman"/>
          <w:sz w:val="25"/>
          <w:szCs w:val="25"/>
        </w:rPr>
      </w:pPr>
      <w:r>
        <w:rPr>
          <w:rFonts w:ascii="Times New Roman" w:hAnsi="Times New Roman"/>
          <w:sz w:val="25"/>
          <w:szCs w:val="25"/>
        </w:rPr>
        <w:t>Failed to obtain signatures and dates signed from each of the 31 customers and the carrier personnel, in violation of WAC 480-07-630(8).</w:t>
      </w:r>
    </w:p>
    <w:p w14:paraId="55C3BC89" w14:textId="77777777" w:rsidR="00601D76" w:rsidRPr="00601D76" w:rsidRDefault="00601D76" w:rsidP="005318FE">
      <w:pPr>
        <w:spacing w:line="264" w:lineRule="auto"/>
        <w:rPr>
          <w:rFonts w:ascii="Times New Roman" w:hAnsi="Times New Roman"/>
          <w:sz w:val="25"/>
          <w:szCs w:val="25"/>
        </w:rPr>
      </w:pPr>
    </w:p>
    <w:p w14:paraId="09F66955" w14:textId="77777777" w:rsidR="00BB7ACB" w:rsidRDefault="00BB7ACB" w:rsidP="005318FE">
      <w:pPr>
        <w:pStyle w:val="ListParagraph"/>
        <w:numPr>
          <w:ilvl w:val="0"/>
          <w:numId w:val="5"/>
        </w:numPr>
        <w:spacing w:line="264" w:lineRule="auto"/>
        <w:rPr>
          <w:rFonts w:ascii="Times New Roman" w:hAnsi="Times New Roman"/>
          <w:sz w:val="25"/>
          <w:szCs w:val="25"/>
        </w:rPr>
      </w:pPr>
      <w:r>
        <w:rPr>
          <w:rFonts w:ascii="Times New Roman" w:hAnsi="Times New Roman"/>
          <w:sz w:val="25"/>
          <w:szCs w:val="25"/>
        </w:rPr>
        <w:t>Included language allowing customers to waive a visual inspection of their goods prior to the move, in violation of WAC 480-15-630(5).</w:t>
      </w:r>
    </w:p>
    <w:p w14:paraId="68390635" w14:textId="77777777" w:rsidR="00601D76" w:rsidRPr="00601D76" w:rsidRDefault="00601D76" w:rsidP="005318FE">
      <w:pPr>
        <w:spacing w:line="264" w:lineRule="auto"/>
        <w:rPr>
          <w:rFonts w:ascii="Times New Roman" w:hAnsi="Times New Roman"/>
          <w:sz w:val="25"/>
          <w:szCs w:val="25"/>
        </w:rPr>
      </w:pPr>
    </w:p>
    <w:p w14:paraId="2E4DF6F5" w14:textId="77777777" w:rsidR="00BB7ACB" w:rsidRDefault="00BB7ACB" w:rsidP="005318FE">
      <w:pPr>
        <w:pStyle w:val="ListParagraph"/>
        <w:numPr>
          <w:ilvl w:val="0"/>
          <w:numId w:val="5"/>
        </w:numPr>
        <w:spacing w:line="264" w:lineRule="auto"/>
        <w:rPr>
          <w:rFonts w:ascii="Times New Roman" w:hAnsi="Times New Roman"/>
          <w:sz w:val="25"/>
          <w:szCs w:val="25"/>
        </w:rPr>
      </w:pPr>
      <w:r>
        <w:rPr>
          <w:rFonts w:ascii="Times New Roman" w:hAnsi="Times New Roman"/>
          <w:sz w:val="25"/>
          <w:szCs w:val="25"/>
        </w:rPr>
        <w:t>Failed to include complete and correct language regarding valuation options, in violation of Tariff 15-C, Item 90.</w:t>
      </w:r>
    </w:p>
    <w:p w14:paraId="7EE06ED5" w14:textId="77777777" w:rsidR="00BB7ACB" w:rsidRDefault="00BB7ACB" w:rsidP="005318FE">
      <w:pPr>
        <w:spacing w:line="264" w:lineRule="auto"/>
        <w:rPr>
          <w:rFonts w:ascii="Times New Roman" w:hAnsi="Times New Roman"/>
          <w:sz w:val="25"/>
          <w:szCs w:val="25"/>
        </w:rPr>
      </w:pPr>
    </w:p>
    <w:p w14:paraId="3B7A885C" w14:textId="776E6246" w:rsidR="009A30A4" w:rsidRPr="00254D60" w:rsidRDefault="00150CA1" w:rsidP="005318FE">
      <w:pPr>
        <w:spacing w:line="264" w:lineRule="auto"/>
        <w:rPr>
          <w:rFonts w:ascii="Times New Roman" w:hAnsi="Times New Roman"/>
          <w:sz w:val="25"/>
          <w:szCs w:val="25"/>
        </w:rPr>
      </w:pPr>
      <w:r w:rsidRPr="00254D60">
        <w:rPr>
          <w:rFonts w:ascii="Times New Roman" w:hAnsi="Times New Roman"/>
          <w:sz w:val="25"/>
          <w:szCs w:val="25"/>
        </w:rPr>
        <w:t xml:space="preserve">Staff </w:t>
      </w:r>
      <w:r w:rsidR="00484CAD" w:rsidRPr="00254D60">
        <w:rPr>
          <w:rFonts w:ascii="Times New Roman" w:hAnsi="Times New Roman"/>
          <w:sz w:val="25"/>
          <w:szCs w:val="25"/>
        </w:rPr>
        <w:t>recommends a penalty of</w:t>
      </w:r>
      <w:r w:rsidR="00D82035" w:rsidRPr="00254D60">
        <w:rPr>
          <w:rFonts w:ascii="Times New Roman" w:hAnsi="Times New Roman"/>
          <w:sz w:val="25"/>
          <w:szCs w:val="25"/>
        </w:rPr>
        <w:t xml:space="preserve"> up to</w:t>
      </w:r>
      <w:r w:rsidR="00113B62">
        <w:rPr>
          <w:rFonts w:ascii="Times New Roman" w:hAnsi="Times New Roman"/>
          <w:sz w:val="25"/>
          <w:szCs w:val="25"/>
        </w:rPr>
        <w:t xml:space="preserve"> $1,000 for </w:t>
      </w:r>
      <w:r w:rsidR="00BB7ACB">
        <w:rPr>
          <w:rFonts w:ascii="Times New Roman" w:hAnsi="Times New Roman"/>
          <w:sz w:val="25"/>
          <w:szCs w:val="25"/>
        </w:rPr>
        <w:t>124</w:t>
      </w:r>
      <w:r w:rsidR="00484CAD" w:rsidRPr="00254D60">
        <w:rPr>
          <w:rFonts w:ascii="Times New Roman" w:hAnsi="Times New Roman"/>
          <w:sz w:val="25"/>
          <w:szCs w:val="25"/>
        </w:rPr>
        <w:t xml:space="preserve"> violations</w:t>
      </w:r>
      <w:r w:rsidR="00BB7ACB">
        <w:rPr>
          <w:rStyle w:val="FootnoteReference"/>
          <w:rFonts w:ascii="Times New Roman" w:hAnsi="Times New Roman"/>
          <w:sz w:val="25"/>
          <w:szCs w:val="25"/>
        </w:rPr>
        <w:footnoteReference w:id="26"/>
      </w:r>
      <w:r w:rsidR="00484CAD" w:rsidRPr="00254D60">
        <w:rPr>
          <w:rFonts w:ascii="Times New Roman" w:hAnsi="Times New Roman"/>
          <w:sz w:val="25"/>
          <w:szCs w:val="25"/>
        </w:rPr>
        <w:t xml:space="preserve"> of WAC 480-15-630</w:t>
      </w:r>
      <w:r w:rsidR="00BB7ACB">
        <w:rPr>
          <w:rFonts w:ascii="Times New Roman" w:hAnsi="Times New Roman"/>
          <w:sz w:val="25"/>
          <w:szCs w:val="25"/>
        </w:rPr>
        <w:t xml:space="preserve"> and Tariff 15-C.  </w:t>
      </w:r>
      <w:r w:rsidR="00BB7ACB" w:rsidRPr="00BB7ACB">
        <w:rPr>
          <w:rFonts w:ascii="Times New Roman" w:hAnsi="Times New Roman"/>
          <w:sz w:val="25"/>
          <w:szCs w:val="25"/>
        </w:rPr>
        <w:t xml:space="preserve">    </w:t>
      </w:r>
    </w:p>
    <w:p w14:paraId="5B49A2A4" w14:textId="06A1BCE6" w:rsidR="004E67EC" w:rsidRPr="00150CA1" w:rsidRDefault="004E67EC" w:rsidP="005318FE">
      <w:pPr>
        <w:spacing w:line="264" w:lineRule="auto"/>
        <w:rPr>
          <w:rFonts w:ascii="Times New Roman" w:hAnsi="Times New Roman"/>
          <w:sz w:val="25"/>
          <w:szCs w:val="25"/>
        </w:rPr>
      </w:pPr>
    </w:p>
    <w:p w14:paraId="657FF52C" w14:textId="5282651D" w:rsidR="009A30A4" w:rsidRDefault="004E67EC" w:rsidP="005318FE">
      <w:pPr>
        <w:numPr>
          <w:ilvl w:val="0"/>
          <w:numId w:val="1"/>
        </w:numPr>
        <w:spacing w:line="264" w:lineRule="auto"/>
        <w:ind w:hanging="720"/>
        <w:rPr>
          <w:rFonts w:ascii="Times New Roman" w:hAnsi="Times New Roman"/>
          <w:sz w:val="25"/>
          <w:szCs w:val="25"/>
        </w:rPr>
      </w:pPr>
      <w:r>
        <w:rPr>
          <w:rFonts w:ascii="Times New Roman" w:hAnsi="Times New Roman"/>
          <w:b/>
          <w:sz w:val="25"/>
          <w:szCs w:val="25"/>
        </w:rPr>
        <w:t xml:space="preserve">Decision.  </w:t>
      </w:r>
      <w:r>
        <w:rPr>
          <w:rFonts w:ascii="Times New Roman" w:hAnsi="Times New Roman"/>
          <w:sz w:val="25"/>
          <w:szCs w:val="25"/>
        </w:rPr>
        <w:t xml:space="preserve">Estimates formatted in compliance with Tariff 15-C provide important </w:t>
      </w:r>
      <w:r w:rsidR="0059239D">
        <w:rPr>
          <w:rFonts w:ascii="Times New Roman" w:hAnsi="Times New Roman"/>
          <w:sz w:val="25"/>
          <w:szCs w:val="25"/>
        </w:rPr>
        <w:t xml:space="preserve">information to </w:t>
      </w:r>
      <w:r>
        <w:rPr>
          <w:rFonts w:ascii="Times New Roman" w:hAnsi="Times New Roman"/>
          <w:sz w:val="25"/>
          <w:szCs w:val="25"/>
        </w:rPr>
        <w:t>consumer</w:t>
      </w:r>
      <w:r w:rsidR="0059239D">
        <w:rPr>
          <w:rFonts w:ascii="Times New Roman" w:hAnsi="Times New Roman"/>
          <w:sz w:val="25"/>
          <w:szCs w:val="25"/>
        </w:rPr>
        <w:t>s about their rights and responsibilities</w:t>
      </w:r>
      <w:r>
        <w:rPr>
          <w:rFonts w:ascii="Times New Roman" w:hAnsi="Times New Roman"/>
          <w:sz w:val="25"/>
          <w:szCs w:val="25"/>
        </w:rPr>
        <w:t xml:space="preserve"> </w:t>
      </w:r>
      <w:r w:rsidR="0059239D">
        <w:rPr>
          <w:rFonts w:ascii="Times New Roman" w:hAnsi="Times New Roman"/>
          <w:sz w:val="25"/>
          <w:szCs w:val="25"/>
        </w:rPr>
        <w:t>during a jurisdictional move with</w:t>
      </w:r>
      <w:r w:rsidR="00BB7ACB">
        <w:rPr>
          <w:rFonts w:ascii="Times New Roman" w:hAnsi="Times New Roman"/>
          <w:sz w:val="25"/>
          <w:szCs w:val="25"/>
        </w:rPr>
        <w:t>in</w:t>
      </w:r>
      <w:r w:rsidR="0059239D">
        <w:rPr>
          <w:rFonts w:ascii="Times New Roman" w:hAnsi="Times New Roman"/>
          <w:sz w:val="25"/>
          <w:szCs w:val="25"/>
        </w:rPr>
        <w:t xml:space="preserve"> the state of Washington</w:t>
      </w:r>
      <w:r>
        <w:rPr>
          <w:rFonts w:ascii="Times New Roman" w:hAnsi="Times New Roman"/>
          <w:sz w:val="25"/>
          <w:szCs w:val="25"/>
        </w:rPr>
        <w:t xml:space="preserve">.  </w:t>
      </w:r>
      <w:r w:rsidR="00150CA1">
        <w:rPr>
          <w:rFonts w:ascii="Times New Roman" w:hAnsi="Times New Roman"/>
          <w:sz w:val="25"/>
          <w:szCs w:val="25"/>
        </w:rPr>
        <w:t xml:space="preserve">The Company’s estimate form </w:t>
      </w:r>
      <w:r w:rsidR="0059239D">
        <w:rPr>
          <w:rFonts w:ascii="Times New Roman" w:hAnsi="Times New Roman"/>
          <w:sz w:val="25"/>
          <w:szCs w:val="25"/>
        </w:rPr>
        <w:t>w</w:t>
      </w:r>
      <w:r w:rsidR="00B238C3">
        <w:rPr>
          <w:rFonts w:ascii="Times New Roman" w:hAnsi="Times New Roman"/>
          <w:sz w:val="25"/>
          <w:szCs w:val="25"/>
        </w:rPr>
        <w:t>as</w:t>
      </w:r>
      <w:r w:rsidR="00150CA1">
        <w:rPr>
          <w:rFonts w:ascii="Times New Roman" w:hAnsi="Times New Roman"/>
          <w:sz w:val="25"/>
          <w:szCs w:val="25"/>
        </w:rPr>
        <w:t xml:space="preserve"> missing </w:t>
      </w:r>
      <w:r w:rsidR="0059239D">
        <w:rPr>
          <w:rFonts w:ascii="Times New Roman" w:hAnsi="Times New Roman"/>
          <w:sz w:val="25"/>
          <w:szCs w:val="25"/>
        </w:rPr>
        <w:t>significant,</w:t>
      </w:r>
      <w:r w:rsidR="00150CA1">
        <w:rPr>
          <w:rFonts w:ascii="Times New Roman" w:hAnsi="Times New Roman"/>
          <w:sz w:val="25"/>
          <w:szCs w:val="25"/>
        </w:rPr>
        <w:t xml:space="preserve"> critical information. </w:t>
      </w:r>
      <w:r w:rsidR="00B238C3">
        <w:rPr>
          <w:rFonts w:ascii="Times New Roman" w:hAnsi="Times New Roman"/>
          <w:sz w:val="25"/>
          <w:szCs w:val="25"/>
        </w:rPr>
        <w:t xml:space="preserve"> </w:t>
      </w:r>
      <w:r w:rsidR="00254D60" w:rsidRPr="00254D60">
        <w:rPr>
          <w:rFonts w:ascii="Times New Roman" w:hAnsi="Times New Roman"/>
          <w:sz w:val="25"/>
          <w:szCs w:val="25"/>
        </w:rPr>
        <w:t>Mr. Ratko</w:t>
      </w:r>
      <w:r w:rsidR="00B238C3">
        <w:rPr>
          <w:rFonts w:ascii="Times New Roman" w:hAnsi="Times New Roman"/>
          <w:sz w:val="25"/>
          <w:szCs w:val="25"/>
        </w:rPr>
        <w:t xml:space="preserve"> filed</w:t>
      </w:r>
      <w:r w:rsidR="00254D60" w:rsidRPr="00254D60">
        <w:rPr>
          <w:rFonts w:ascii="Times New Roman" w:hAnsi="Times New Roman"/>
          <w:sz w:val="25"/>
          <w:szCs w:val="25"/>
        </w:rPr>
        <w:t xml:space="preserve"> revised estimate forms on March 12, 2015.  An examination of these forms does indicate that a few of the deficiencies have been corrected.</w:t>
      </w:r>
      <w:r w:rsidR="00254D60">
        <w:rPr>
          <w:rStyle w:val="FootnoteReference"/>
          <w:rFonts w:ascii="Times New Roman" w:hAnsi="Times New Roman"/>
          <w:sz w:val="25"/>
          <w:szCs w:val="25"/>
        </w:rPr>
        <w:footnoteReference w:id="27"/>
      </w:r>
      <w:r w:rsidR="00254D60" w:rsidRPr="00254D60">
        <w:rPr>
          <w:rFonts w:ascii="Times New Roman" w:hAnsi="Times New Roman"/>
          <w:sz w:val="25"/>
          <w:szCs w:val="25"/>
        </w:rPr>
        <w:t xml:space="preserve">  </w:t>
      </w:r>
      <w:r w:rsidR="000E2D04">
        <w:rPr>
          <w:rFonts w:ascii="Times New Roman" w:hAnsi="Times New Roman"/>
          <w:sz w:val="25"/>
          <w:szCs w:val="25"/>
        </w:rPr>
        <w:t>The</w:t>
      </w:r>
      <w:r w:rsidR="00254D60" w:rsidRPr="00254D60">
        <w:rPr>
          <w:rFonts w:ascii="Times New Roman" w:hAnsi="Times New Roman"/>
          <w:sz w:val="25"/>
          <w:szCs w:val="25"/>
        </w:rPr>
        <w:t xml:space="preserve"> majority of the delinquent information required by Tariff 15-C is still missing.  </w:t>
      </w:r>
      <w:r w:rsidR="000E2D04">
        <w:rPr>
          <w:rFonts w:ascii="Times New Roman" w:hAnsi="Times New Roman"/>
          <w:sz w:val="25"/>
          <w:szCs w:val="25"/>
        </w:rPr>
        <w:t>Best Moving has admitted that the forms don’t contain the requisite information.  W</w:t>
      </w:r>
      <w:r w:rsidR="00484CAD">
        <w:rPr>
          <w:rFonts w:ascii="Times New Roman" w:hAnsi="Times New Roman"/>
          <w:sz w:val="25"/>
          <w:szCs w:val="25"/>
        </w:rPr>
        <w:t xml:space="preserve">e </w:t>
      </w:r>
      <w:r w:rsidR="00150CA1">
        <w:rPr>
          <w:rFonts w:ascii="Times New Roman" w:hAnsi="Times New Roman"/>
          <w:sz w:val="25"/>
          <w:szCs w:val="25"/>
        </w:rPr>
        <w:t xml:space="preserve">agree with Staff’s recommendation and </w:t>
      </w:r>
      <w:r w:rsidR="00273186">
        <w:rPr>
          <w:rFonts w:ascii="Times New Roman" w:hAnsi="Times New Roman"/>
          <w:sz w:val="25"/>
          <w:szCs w:val="25"/>
        </w:rPr>
        <w:t xml:space="preserve">assess a penalty of </w:t>
      </w:r>
      <w:r w:rsidR="00A51030">
        <w:rPr>
          <w:rFonts w:ascii="Times New Roman" w:hAnsi="Times New Roman"/>
          <w:sz w:val="25"/>
          <w:szCs w:val="25"/>
        </w:rPr>
        <w:t>$1,0</w:t>
      </w:r>
      <w:r w:rsidR="000E2D04">
        <w:rPr>
          <w:rFonts w:ascii="Times New Roman" w:hAnsi="Times New Roman"/>
          <w:sz w:val="25"/>
          <w:szCs w:val="25"/>
        </w:rPr>
        <w:t xml:space="preserve">00 for </w:t>
      </w:r>
      <w:r w:rsidR="00BB7ACB">
        <w:rPr>
          <w:rFonts w:ascii="Times New Roman" w:hAnsi="Times New Roman"/>
          <w:sz w:val="25"/>
          <w:szCs w:val="25"/>
        </w:rPr>
        <w:t>1</w:t>
      </w:r>
      <w:r w:rsidR="000E2D04">
        <w:rPr>
          <w:rFonts w:ascii="Times New Roman" w:hAnsi="Times New Roman"/>
          <w:sz w:val="25"/>
          <w:szCs w:val="25"/>
        </w:rPr>
        <w:t>2</w:t>
      </w:r>
      <w:r w:rsidR="00A10227">
        <w:rPr>
          <w:rFonts w:ascii="Times New Roman" w:hAnsi="Times New Roman"/>
          <w:sz w:val="25"/>
          <w:szCs w:val="25"/>
        </w:rPr>
        <w:t>4 violations of WAC 480-15-630</w:t>
      </w:r>
      <w:r w:rsidR="000E2D04">
        <w:rPr>
          <w:rFonts w:ascii="Times New Roman" w:hAnsi="Times New Roman"/>
          <w:sz w:val="25"/>
          <w:szCs w:val="25"/>
        </w:rPr>
        <w:t xml:space="preserve"> </w:t>
      </w:r>
      <w:r w:rsidR="008C1A22">
        <w:rPr>
          <w:rFonts w:ascii="Times New Roman" w:hAnsi="Times New Roman"/>
          <w:sz w:val="25"/>
          <w:szCs w:val="25"/>
        </w:rPr>
        <w:t>and Tariff 15-C</w:t>
      </w:r>
      <w:r w:rsidR="00A10227">
        <w:rPr>
          <w:rFonts w:ascii="Times New Roman" w:hAnsi="Times New Roman"/>
          <w:sz w:val="25"/>
          <w:szCs w:val="25"/>
        </w:rPr>
        <w:t xml:space="preserve">. </w:t>
      </w:r>
    </w:p>
    <w:p w14:paraId="4C460D30" w14:textId="77777777" w:rsidR="009A30A4" w:rsidRDefault="009A30A4" w:rsidP="005318FE">
      <w:pPr>
        <w:spacing w:line="264" w:lineRule="auto"/>
        <w:rPr>
          <w:rFonts w:ascii="Times New Roman" w:hAnsi="Times New Roman"/>
          <w:b/>
          <w:sz w:val="25"/>
          <w:szCs w:val="25"/>
        </w:rPr>
      </w:pPr>
    </w:p>
    <w:p w14:paraId="32F16205" w14:textId="33F63D8B" w:rsidR="00660F3C" w:rsidRDefault="00660F3C" w:rsidP="005318FE">
      <w:pPr>
        <w:spacing w:line="264" w:lineRule="auto"/>
        <w:rPr>
          <w:rFonts w:ascii="Times New Roman" w:hAnsi="Times New Roman"/>
          <w:b/>
          <w:sz w:val="25"/>
          <w:szCs w:val="25"/>
        </w:rPr>
      </w:pPr>
      <w:r w:rsidRPr="00660F3C">
        <w:rPr>
          <w:rFonts w:ascii="Times New Roman" w:hAnsi="Times New Roman"/>
          <w:b/>
          <w:sz w:val="25"/>
          <w:szCs w:val="25"/>
        </w:rPr>
        <w:t>Fourth</w:t>
      </w:r>
      <w:r w:rsidR="00CF4531" w:rsidRPr="00660F3C">
        <w:rPr>
          <w:rFonts w:ascii="Times New Roman" w:hAnsi="Times New Roman"/>
          <w:b/>
          <w:sz w:val="25"/>
          <w:szCs w:val="25"/>
        </w:rPr>
        <w:t xml:space="preserve"> Cause of Action</w:t>
      </w:r>
    </w:p>
    <w:p w14:paraId="6C758661" w14:textId="77777777" w:rsidR="00601D76" w:rsidRDefault="00601D76" w:rsidP="005318FE">
      <w:pPr>
        <w:spacing w:line="264" w:lineRule="auto"/>
        <w:rPr>
          <w:rFonts w:ascii="Times New Roman" w:hAnsi="Times New Roman"/>
          <w:sz w:val="25"/>
          <w:szCs w:val="25"/>
        </w:rPr>
      </w:pPr>
    </w:p>
    <w:p w14:paraId="714A17A1" w14:textId="39C0F664" w:rsidR="00CF4531" w:rsidRDefault="00D46609" w:rsidP="005318FE">
      <w:pPr>
        <w:numPr>
          <w:ilvl w:val="0"/>
          <w:numId w:val="1"/>
        </w:numPr>
        <w:spacing w:line="264" w:lineRule="auto"/>
        <w:ind w:hanging="720"/>
        <w:rPr>
          <w:rFonts w:ascii="Times New Roman" w:hAnsi="Times New Roman"/>
          <w:sz w:val="25"/>
          <w:szCs w:val="25"/>
        </w:rPr>
      </w:pPr>
      <w:r w:rsidRPr="00660F3C">
        <w:rPr>
          <w:rFonts w:ascii="Times New Roman" w:hAnsi="Times New Roman"/>
          <w:sz w:val="25"/>
          <w:szCs w:val="25"/>
        </w:rPr>
        <w:t>Staff</w:t>
      </w:r>
      <w:r w:rsidR="002164E5" w:rsidRPr="00660F3C">
        <w:rPr>
          <w:rFonts w:ascii="Times New Roman" w:hAnsi="Times New Roman"/>
          <w:sz w:val="25"/>
          <w:szCs w:val="25"/>
        </w:rPr>
        <w:t xml:space="preserve"> </w:t>
      </w:r>
      <w:r w:rsidR="008A6F8C" w:rsidRPr="00660F3C">
        <w:rPr>
          <w:rFonts w:ascii="Times New Roman" w:hAnsi="Times New Roman"/>
          <w:sz w:val="25"/>
          <w:szCs w:val="25"/>
        </w:rPr>
        <w:t>alleges</w:t>
      </w:r>
      <w:r w:rsidR="00660F3C" w:rsidRPr="00660F3C">
        <w:rPr>
          <w:rFonts w:ascii="Times New Roman" w:hAnsi="Times New Roman"/>
          <w:sz w:val="25"/>
          <w:szCs w:val="25"/>
        </w:rPr>
        <w:t>,</w:t>
      </w:r>
      <w:r w:rsidR="003F79F7">
        <w:rPr>
          <w:rStyle w:val="FootnoteReference"/>
          <w:rFonts w:ascii="Times New Roman" w:hAnsi="Times New Roman"/>
          <w:sz w:val="25"/>
          <w:szCs w:val="25"/>
        </w:rPr>
        <w:footnoteReference w:id="28"/>
      </w:r>
      <w:r w:rsidR="00660F3C" w:rsidRPr="00660F3C">
        <w:rPr>
          <w:rFonts w:ascii="Times New Roman" w:hAnsi="Times New Roman"/>
          <w:sz w:val="25"/>
          <w:szCs w:val="25"/>
        </w:rPr>
        <w:t xml:space="preserve"> and </w:t>
      </w:r>
      <w:r w:rsidR="008C1A22">
        <w:rPr>
          <w:rFonts w:ascii="Times New Roman" w:hAnsi="Times New Roman"/>
          <w:sz w:val="25"/>
          <w:szCs w:val="25"/>
        </w:rPr>
        <w:t>Best</w:t>
      </w:r>
      <w:r w:rsidR="00660F3C" w:rsidRPr="00660F3C">
        <w:rPr>
          <w:rFonts w:ascii="Times New Roman" w:hAnsi="Times New Roman"/>
          <w:sz w:val="25"/>
          <w:szCs w:val="25"/>
        </w:rPr>
        <w:t xml:space="preserve"> Moving admits,</w:t>
      </w:r>
      <w:r w:rsidR="003F79F7">
        <w:rPr>
          <w:rStyle w:val="FootnoteReference"/>
          <w:rFonts w:ascii="Times New Roman" w:hAnsi="Times New Roman"/>
          <w:sz w:val="25"/>
          <w:szCs w:val="25"/>
        </w:rPr>
        <w:footnoteReference w:id="29"/>
      </w:r>
      <w:r w:rsidR="00660F3C" w:rsidRPr="00660F3C">
        <w:rPr>
          <w:rFonts w:ascii="Times New Roman" w:hAnsi="Times New Roman"/>
          <w:sz w:val="25"/>
          <w:szCs w:val="25"/>
        </w:rPr>
        <w:t xml:space="preserve"> that the Company failed to provide cube sheet inventories on</w:t>
      </w:r>
      <w:r w:rsidR="008A6F8C" w:rsidRPr="00660F3C">
        <w:rPr>
          <w:rFonts w:ascii="Times New Roman" w:hAnsi="Times New Roman"/>
          <w:sz w:val="25"/>
          <w:szCs w:val="25"/>
        </w:rPr>
        <w:t xml:space="preserve"> </w:t>
      </w:r>
      <w:r w:rsidR="008C1A22">
        <w:rPr>
          <w:rFonts w:ascii="Times New Roman" w:hAnsi="Times New Roman"/>
          <w:sz w:val="25"/>
          <w:szCs w:val="25"/>
        </w:rPr>
        <w:t>31</w:t>
      </w:r>
      <w:r w:rsidR="00A10227">
        <w:rPr>
          <w:rFonts w:ascii="Times New Roman" w:hAnsi="Times New Roman"/>
          <w:sz w:val="25"/>
          <w:szCs w:val="25"/>
        </w:rPr>
        <w:t xml:space="preserve"> </w:t>
      </w:r>
      <w:r w:rsidR="00660F3C" w:rsidRPr="00660F3C">
        <w:rPr>
          <w:rFonts w:ascii="Times New Roman" w:hAnsi="Times New Roman"/>
          <w:sz w:val="25"/>
          <w:szCs w:val="25"/>
        </w:rPr>
        <w:t>occasions</w:t>
      </w:r>
      <w:r w:rsidR="00CF4531" w:rsidRPr="00660F3C">
        <w:rPr>
          <w:rFonts w:ascii="Times New Roman" w:hAnsi="Times New Roman"/>
          <w:sz w:val="25"/>
          <w:szCs w:val="25"/>
        </w:rPr>
        <w:t xml:space="preserve">. </w:t>
      </w:r>
      <w:r w:rsidR="00660F3C" w:rsidRPr="00660F3C">
        <w:rPr>
          <w:rFonts w:ascii="Times New Roman" w:hAnsi="Times New Roman"/>
          <w:sz w:val="25"/>
          <w:szCs w:val="25"/>
        </w:rPr>
        <w:t xml:space="preserve"> </w:t>
      </w:r>
      <w:r w:rsidR="00CF4531" w:rsidRPr="00660F3C">
        <w:rPr>
          <w:rFonts w:ascii="Times New Roman" w:hAnsi="Times New Roman"/>
          <w:sz w:val="25"/>
          <w:szCs w:val="25"/>
        </w:rPr>
        <w:t>WAC 480-15-630(7) provides</w:t>
      </w:r>
      <w:r w:rsidR="00660F3C" w:rsidRPr="00660F3C">
        <w:rPr>
          <w:rFonts w:ascii="Times New Roman" w:hAnsi="Times New Roman"/>
          <w:sz w:val="25"/>
          <w:szCs w:val="25"/>
        </w:rPr>
        <w:t xml:space="preserve"> that carriers “m</w:t>
      </w:r>
      <w:r w:rsidR="00CF4531" w:rsidRPr="00660F3C">
        <w:rPr>
          <w:rFonts w:ascii="Times New Roman" w:hAnsi="Times New Roman"/>
          <w:sz w:val="25"/>
          <w:szCs w:val="25"/>
        </w:rPr>
        <w:t xml:space="preserve">ust complete the </w:t>
      </w:r>
      <w:r w:rsidR="00660F3C" w:rsidRPr="00660F3C">
        <w:rPr>
          <w:rFonts w:ascii="Times New Roman" w:hAnsi="Times New Roman"/>
          <w:sz w:val="25"/>
          <w:szCs w:val="25"/>
        </w:rPr>
        <w:t>estimates as required by tariff,</w:t>
      </w:r>
      <w:r w:rsidR="00CF4531" w:rsidRPr="00660F3C">
        <w:rPr>
          <w:rFonts w:ascii="Times New Roman" w:hAnsi="Times New Roman"/>
          <w:sz w:val="25"/>
          <w:szCs w:val="25"/>
        </w:rPr>
        <w:t xml:space="preserve">” </w:t>
      </w:r>
      <w:r w:rsidR="00660F3C" w:rsidRPr="00660F3C">
        <w:rPr>
          <w:rFonts w:ascii="Times New Roman" w:hAnsi="Times New Roman"/>
          <w:sz w:val="25"/>
          <w:szCs w:val="25"/>
        </w:rPr>
        <w:t>and T</w:t>
      </w:r>
      <w:r w:rsidR="00CF4531" w:rsidRPr="00660F3C">
        <w:rPr>
          <w:rFonts w:ascii="Times New Roman" w:hAnsi="Times New Roman"/>
          <w:sz w:val="25"/>
          <w:szCs w:val="25"/>
        </w:rPr>
        <w:t xml:space="preserve">ariff 15-C, Item 85(2)(g), </w:t>
      </w:r>
      <w:r w:rsidR="00660F3C" w:rsidRPr="00660F3C">
        <w:rPr>
          <w:rFonts w:ascii="Times New Roman" w:hAnsi="Times New Roman"/>
          <w:sz w:val="25"/>
          <w:szCs w:val="25"/>
        </w:rPr>
        <w:t xml:space="preserve">requires carriers to </w:t>
      </w:r>
      <w:r w:rsidR="00CF4531" w:rsidRPr="00660F3C">
        <w:rPr>
          <w:rFonts w:ascii="Times New Roman" w:hAnsi="Times New Roman"/>
          <w:sz w:val="25"/>
          <w:szCs w:val="25"/>
        </w:rPr>
        <w:t>include with each estimate “[a] household goods cube sheet inventory of the items upon which the estimate is based and the estimated cubic footage for each item.”</w:t>
      </w:r>
    </w:p>
    <w:p w14:paraId="1C7F94E6" w14:textId="77777777" w:rsidR="009A30A4" w:rsidRPr="00660F3C" w:rsidRDefault="009A30A4" w:rsidP="005318FE">
      <w:pPr>
        <w:spacing w:line="264" w:lineRule="auto"/>
        <w:rPr>
          <w:rFonts w:ascii="Times New Roman" w:hAnsi="Times New Roman"/>
          <w:sz w:val="25"/>
          <w:szCs w:val="25"/>
        </w:rPr>
      </w:pPr>
    </w:p>
    <w:p w14:paraId="48B370AC" w14:textId="104DA807" w:rsidR="008A6F8C" w:rsidRDefault="00150CA1" w:rsidP="005318F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Staff’s </w:t>
      </w:r>
      <w:r w:rsidR="008305B2">
        <w:rPr>
          <w:rFonts w:ascii="Times New Roman" w:hAnsi="Times New Roman"/>
          <w:sz w:val="25"/>
          <w:szCs w:val="25"/>
        </w:rPr>
        <w:t>2013 Investigation R</w:t>
      </w:r>
      <w:r>
        <w:rPr>
          <w:rFonts w:ascii="Times New Roman" w:hAnsi="Times New Roman"/>
          <w:sz w:val="25"/>
          <w:szCs w:val="25"/>
        </w:rPr>
        <w:t xml:space="preserve">eport </w:t>
      </w:r>
      <w:r w:rsidR="008305B2">
        <w:rPr>
          <w:rFonts w:ascii="Times New Roman" w:hAnsi="Times New Roman"/>
          <w:sz w:val="25"/>
          <w:szCs w:val="25"/>
        </w:rPr>
        <w:t>indicates that this is a reoccurring violation, and Mr. Ratko was also cited for failing to provide cube sheets to 27 customers in Staff’s 2011 Investigation Report.</w:t>
      </w:r>
      <w:r w:rsidR="008305B2">
        <w:rPr>
          <w:rStyle w:val="FootnoteReference"/>
          <w:rFonts w:ascii="Times New Roman" w:hAnsi="Times New Roman"/>
          <w:sz w:val="25"/>
          <w:szCs w:val="25"/>
        </w:rPr>
        <w:footnoteReference w:id="30"/>
      </w:r>
      <w:r w:rsidR="008305B2">
        <w:rPr>
          <w:rFonts w:ascii="Times New Roman" w:hAnsi="Times New Roman"/>
          <w:sz w:val="25"/>
          <w:szCs w:val="25"/>
        </w:rPr>
        <w:t xml:space="preserve">  At that time, </w:t>
      </w:r>
      <w:r w:rsidR="00B238C3">
        <w:rPr>
          <w:rFonts w:ascii="Times New Roman" w:hAnsi="Times New Roman"/>
          <w:sz w:val="25"/>
          <w:szCs w:val="25"/>
        </w:rPr>
        <w:t>the Company</w:t>
      </w:r>
      <w:r w:rsidR="008305B2">
        <w:rPr>
          <w:rFonts w:ascii="Times New Roman" w:hAnsi="Times New Roman"/>
          <w:sz w:val="25"/>
          <w:szCs w:val="25"/>
        </w:rPr>
        <w:t xml:space="preserve"> was advised to “closely review </w:t>
      </w:r>
      <w:r w:rsidR="00FA31BE">
        <w:rPr>
          <w:rFonts w:ascii="Times New Roman" w:hAnsi="Times New Roman"/>
          <w:sz w:val="25"/>
          <w:szCs w:val="25"/>
        </w:rPr>
        <w:t>the 2011 Investigation Report</w:t>
      </w:r>
      <w:r w:rsidR="008305B2">
        <w:rPr>
          <w:rFonts w:ascii="Times New Roman" w:hAnsi="Times New Roman"/>
          <w:sz w:val="25"/>
          <w:szCs w:val="25"/>
        </w:rPr>
        <w:t xml:space="preserve"> because it pro</w:t>
      </w:r>
      <w:r w:rsidR="00FA31BE">
        <w:rPr>
          <w:rFonts w:ascii="Times New Roman" w:hAnsi="Times New Roman"/>
          <w:sz w:val="25"/>
          <w:szCs w:val="25"/>
        </w:rPr>
        <w:t>vided valuable technical assistance.”</w:t>
      </w:r>
      <w:r w:rsidR="00FA31BE">
        <w:rPr>
          <w:rStyle w:val="FootnoteReference"/>
          <w:rFonts w:ascii="Times New Roman" w:hAnsi="Times New Roman"/>
          <w:sz w:val="25"/>
          <w:szCs w:val="25"/>
        </w:rPr>
        <w:footnoteReference w:id="31"/>
      </w:r>
      <w:r>
        <w:rPr>
          <w:rFonts w:ascii="Times New Roman" w:hAnsi="Times New Roman"/>
          <w:sz w:val="25"/>
          <w:szCs w:val="25"/>
        </w:rPr>
        <w:t xml:space="preserve">  </w:t>
      </w:r>
      <w:r w:rsidR="00B238C3">
        <w:rPr>
          <w:rFonts w:ascii="Times New Roman" w:hAnsi="Times New Roman"/>
          <w:sz w:val="25"/>
          <w:szCs w:val="25"/>
        </w:rPr>
        <w:t xml:space="preserve">Staff also recommended that Best Moving </w:t>
      </w:r>
      <w:r>
        <w:rPr>
          <w:rFonts w:ascii="Times New Roman" w:hAnsi="Times New Roman"/>
          <w:sz w:val="25"/>
          <w:szCs w:val="25"/>
        </w:rPr>
        <w:t>attend the next Commission-sponsored household goods carrier training</w:t>
      </w:r>
      <w:r w:rsidR="00B238C3">
        <w:rPr>
          <w:rFonts w:ascii="Times New Roman" w:hAnsi="Times New Roman"/>
          <w:sz w:val="25"/>
          <w:szCs w:val="25"/>
        </w:rPr>
        <w:t xml:space="preserve">; however, there is no indication that </w:t>
      </w:r>
      <w:r w:rsidR="00487BDA">
        <w:rPr>
          <w:rFonts w:ascii="Times New Roman" w:hAnsi="Times New Roman"/>
          <w:sz w:val="25"/>
          <w:szCs w:val="25"/>
        </w:rPr>
        <w:t xml:space="preserve">a representative of the </w:t>
      </w:r>
      <w:r w:rsidR="00B238C3">
        <w:rPr>
          <w:rFonts w:ascii="Times New Roman" w:hAnsi="Times New Roman"/>
          <w:sz w:val="25"/>
          <w:szCs w:val="25"/>
        </w:rPr>
        <w:t>Company did so</w:t>
      </w:r>
      <w:r>
        <w:rPr>
          <w:rFonts w:ascii="Times New Roman" w:hAnsi="Times New Roman"/>
          <w:sz w:val="25"/>
          <w:szCs w:val="25"/>
        </w:rPr>
        <w:t>.</w:t>
      </w:r>
      <w:r w:rsidR="00BC7B73">
        <w:rPr>
          <w:rStyle w:val="FootnoteReference"/>
          <w:rFonts w:ascii="Times New Roman" w:hAnsi="Times New Roman"/>
          <w:sz w:val="25"/>
          <w:szCs w:val="25"/>
        </w:rPr>
        <w:footnoteReference w:id="32"/>
      </w:r>
      <w:r>
        <w:rPr>
          <w:rFonts w:ascii="Times New Roman" w:hAnsi="Times New Roman"/>
          <w:sz w:val="25"/>
          <w:szCs w:val="25"/>
        </w:rPr>
        <w:t xml:space="preserve">  </w:t>
      </w:r>
      <w:r w:rsidR="00A10227">
        <w:rPr>
          <w:rFonts w:ascii="Times New Roman" w:hAnsi="Times New Roman"/>
          <w:sz w:val="25"/>
          <w:szCs w:val="25"/>
        </w:rPr>
        <w:t xml:space="preserve">Staff recommends a penalty of up to $1,000 for </w:t>
      </w:r>
      <w:r w:rsidR="00BC7B73">
        <w:rPr>
          <w:rFonts w:ascii="Times New Roman" w:hAnsi="Times New Roman"/>
          <w:sz w:val="25"/>
          <w:szCs w:val="25"/>
        </w:rPr>
        <w:t>31</w:t>
      </w:r>
      <w:r w:rsidR="00A10227">
        <w:rPr>
          <w:rFonts w:ascii="Times New Roman" w:hAnsi="Times New Roman"/>
          <w:sz w:val="25"/>
          <w:szCs w:val="25"/>
        </w:rPr>
        <w:t xml:space="preserve"> violations of WAC 480-15-630</w:t>
      </w:r>
      <w:r w:rsidR="00F1400F">
        <w:rPr>
          <w:rFonts w:ascii="Times New Roman" w:hAnsi="Times New Roman"/>
          <w:sz w:val="25"/>
          <w:szCs w:val="25"/>
        </w:rPr>
        <w:t xml:space="preserve"> and Tariff 15-C</w:t>
      </w:r>
      <w:r w:rsidR="00A10227">
        <w:rPr>
          <w:rFonts w:ascii="Times New Roman" w:hAnsi="Times New Roman"/>
          <w:sz w:val="25"/>
          <w:szCs w:val="25"/>
        </w:rPr>
        <w:t>.</w:t>
      </w:r>
    </w:p>
    <w:p w14:paraId="770911FE" w14:textId="77777777" w:rsidR="009A30A4" w:rsidRDefault="009A30A4" w:rsidP="005318FE">
      <w:pPr>
        <w:pStyle w:val="ListParagraph"/>
        <w:spacing w:line="264" w:lineRule="auto"/>
        <w:rPr>
          <w:rFonts w:ascii="Times New Roman" w:hAnsi="Times New Roman"/>
          <w:sz w:val="25"/>
          <w:szCs w:val="25"/>
        </w:rPr>
      </w:pPr>
    </w:p>
    <w:p w14:paraId="26F6520C" w14:textId="518D02A0" w:rsidR="00F654DB" w:rsidRPr="004D2258" w:rsidRDefault="00ED054B" w:rsidP="005318FE">
      <w:pPr>
        <w:numPr>
          <w:ilvl w:val="0"/>
          <w:numId w:val="1"/>
        </w:numPr>
        <w:spacing w:line="264" w:lineRule="auto"/>
        <w:ind w:hanging="720"/>
        <w:rPr>
          <w:rFonts w:ascii="Times New Roman" w:hAnsi="Times New Roman"/>
          <w:b/>
          <w:sz w:val="25"/>
          <w:szCs w:val="25"/>
        </w:rPr>
      </w:pPr>
      <w:r w:rsidRPr="00F654DB">
        <w:rPr>
          <w:rFonts w:ascii="Times New Roman" w:hAnsi="Times New Roman"/>
          <w:b/>
          <w:sz w:val="25"/>
          <w:szCs w:val="25"/>
        </w:rPr>
        <w:t>Decision.</w:t>
      </w:r>
      <w:r w:rsidRPr="00F654DB">
        <w:rPr>
          <w:rFonts w:ascii="Times New Roman" w:hAnsi="Times New Roman"/>
          <w:sz w:val="25"/>
          <w:szCs w:val="25"/>
        </w:rPr>
        <w:t xml:space="preserve">  </w:t>
      </w:r>
      <w:r w:rsidR="00A10227">
        <w:rPr>
          <w:rFonts w:ascii="Times New Roman" w:hAnsi="Times New Roman"/>
          <w:sz w:val="25"/>
          <w:szCs w:val="25"/>
        </w:rPr>
        <w:t>Cube sheet inventories are an integral part of the estimate process.  In addition to providing an itemized list of the customer’s goods, cube sheets also provide a basis for estimating the time it will take to complete a move</w:t>
      </w:r>
      <w:r w:rsidR="00082A7A">
        <w:rPr>
          <w:rFonts w:ascii="Times New Roman" w:hAnsi="Times New Roman"/>
          <w:sz w:val="25"/>
          <w:szCs w:val="25"/>
        </w:rPr>
        <w:t xml:space="preserve">, </w:t>
      </w:r>
      <w:r w:rsidR="00B238C3">
        <w:rPr>
          <w:rFonts w:ascii="Times New Roman" w:hAnsi="Times New Roman"/>
          <w:sz w:val="25"/>
          <w:szCs w:val="25"/>
        </w:rPr>
        <w:t>and for</w:t>
      </w:r>
      <w:r w:rsidR="00A10227">
        <w:rPr>
          <w:rFonts w:ascii="Times New Roman" w:hAnsi="Times New Roman"/>
          <w:sz w:val="25"/>
          <w:szCs w:val="25"/>
        </w:rPr>
        <w:t xml:space="preserve"> calculating </w:t>
      </w:r>
      <w:r w:rsidR="001C4093">
        <w:rPr>
          <w:rFonts w:ascii="Times New Roman" w:hAnsi="Times New Roman"/>
          <w:sz w:val="25"/>
          <w:szCs w:val="25"/>
        </w:rPr>
        <w:t xml:space="preserve">constructive weight for the purpose of </w:t>
      </w:r>
      <w:r w:rsidR="00A10227">
        <w:rPr>
          <w:rFonts w:ascii="Times New Roman" w:hAnsi="Times New Roman"/>
          <w:sz w:val="25"/>
          <w:szCs w:val="25"/>
        </w:rPr>
        <w:t xml:space="preserve">valuation.  </w:t>
      </w:r>
      <w:r w:rsidR="005544D5">
        <w:rPr>
          <w:rFonts w:ascii="Times New Roman" w:hAnsi="Times New Roman"/>
          <w:sz w:val="25"/>
          <w:szCs w:val="25"/>
        </w:rPr>
        <w:t>We</w:t>
      </w:r>
      <w:r w:rsidR="004D2258">
        <w:rPr>
          <w:rFonts w:ascii="Times New Roman" w:hAnsi="Times New Roman"/>
          <w:sz w:val="25"/>
          <w:szCs w:val="25"/>
        </w:rPr>
        <w:t xml:space="preserve"> find Staff’s recommendation reasonable and </w:t>
      </w:r>
      <w:r w:rsidR="00082A7A">
        <w:rPr>
          <w:rFonts w:ascii="Times New Roman" w:hAnsi="Times New Roman"/>
          <w:sz w:val="25"/>
          <w:szCs w:val="25"/>
        </w:rPr>
        <w:t xml:space="preserve">assess a </w:t>
      </w:r>
      <w:r w:rsidR="00A10227">
        <w:rPr>
          <w:rFonts w:ascii="Times New Roman" w:hAnsi="Times New Roman"/>
          <w:sz w:val="25"/>
          <w:szCs w:val="25"/>
        </w:rPr>
        <w:t>penalty</w:t>
      </w:r>
      <w:r w:rsidR="00082A7A">
        <w:rPr>
          <w:rFonts w:ascii="Times New Roman" w:hAnsi="Times New Roman"/>
          <w:sz w:val="25"/>
          <w:szCs w:val="25"/>
        </w:rPr>
        <w:t xml:space="preserve"> of $1,000</w:t>
      </w:r>
      <w:r w:rsidR="00A10227">
        <w:rPr>
          <w:rFonts w:ascii="Times New Roman" w:hAnsi="Times New Roman"/>
          <w:sz w:val="25"/>
          <w:szCs w:val="25"/>
        </w:rPr>
        <w:t xml:space="preserve"> for </w:t>
      </w:r>
      <w:r w:rsidR="005544D5">
        <w:rPr>
          <w:rFonts w:ascii="Times New Roman" w:hAnsi="Times New Roman"/>
          <w:sz w:val="25"/>
          <w:szCs w:val="25"/>
        </w:rPr>
        <w:t>31</w:t>
      </w:r>
      <w:r w:rsidR="00A10227">
        <w:rPr>
          <w:rFonts w:ascii="Times New Roman" w:hAnsi="Times New Roman"/>
          <w:sz w:val="25"/>
          <w:szCs w:val="25"/>
        </w:rPr>
        <w:t xml:space="preserve"> </w:t>
      </w:r>
      <w:r w:rsidR="00487BDA">
        <w:rPr>
          <w:rFonts w:ascii="Times New Roman" w:hAnsi="Times New Roman"/>
          <w:sz w:val="25"/>
          <w:szCs w:val="25"/>
        </w:rPr>
        <w:t xml:space="preserve">repeated </w:t>
      </w:r>
      <w:r w:rsidR="00A10227">
        <w:rPr>
          <w:rFonts w:ascii="Times New Roman" w:hAnsi="Times New Roman"/>
          <w:sz w:val="25"/>
          <w:szCs w:val="25"/>
        </w:rPr>
        <w:t>violations of WAC 480-15-630</w:t>
      </w:r>
      <w:r w:rsidR="005544D5">
        <w:rPr>
          <w:rFonts w:ascii="Times New Roman" w:hAnsi="Times New Roman"/>
          <w:sz w:val="25"/>
          <w:szCs w:val="25"/>
        </w:rPr>
        <w:t xml:space="preserve"> and Tariff 15-C</w:t>
      </w:r>
      <w:r w:rsidR="00A10227">
        <w:rPr>
          <w:rFonts w:ascii="Times New Roman" w:hAnsi="Times New Roman"/>
          <w:sz w:val="25"/>
          <w:szCs w:val="25"/>
        </w:rPr>
        <w:t>.</w:t>
      </w:r>
    </w:p>
    <w:p w14:paraId="52B66ED9" w14:textId="15CAD691" w:rsidR="00601D76" w:rsidRDefault="00601D76" w:rsidP="005318FE">
      <w:pPr>
        <w:spacing w:line="264" w:lineRule="auto"/>
        <w:rPr>
          <w:rFonts w:ascii="Times New Roman" w:hAnsi="Times New Roman"/>
          <w:b/>
          <w:sz w:val="25"/>
          <w:szCs w:val="25"/>
        </w:rPr>
      </w:pPr>
    </w:p>
    <w:p w14:paraId="3BC76887" w14:textId="77777777" w:rsidR="00BA0DA4" w:rsidRDefault="00CF4531" w:rsidP="005318FE">
      <w:pPr>
        <w:spacing w:line="264" w:lineRule="auto"/>
        <w:rPr>
          <w:rFonts w:ascii="Times New Roman" w:hAnsi="Times New Roman"/>
          <w:b/>
          <w:sz w:val="25"/>
          <w:szCs w:val="25"/>
        </w:rPr>
      </w:pPr>
      <w:r>
        <w:rPr>
          <w:rFonts w:ascii="Times New Roman" w:hAnsi="Times New Roman"/>
          <w:b/>
          <w:sz w:val="25"/>
          <w:szCs w:val="25"/>
        </w:rPr>
        <w:t>Fifth Cause of Action</w:t>
      </w:r>
    </w:p>
    <w:p w14:paraId="458C0F66" w14:textId="77777777" w:rsidR="00601D76" w:rsidRPr="0093176C" w:rsidRDefault="00601D76" w:rsidP="005318FE">
      <w:pPr>
        <w:spacing w:line="264" w:lineRule="auto"/>
        <w:rPr>
          <w:rFonts w:ascii="Times New Roman" w:hAnsi="Times New Roman"/>
          <w:b/>
          <w:sz w:val="25"/>
          <w:szCs w:val="25"/>
        </w:rPr>
      </w:pPr>
    </w:p>
    <w:p w14:paraId="18A8D2E1" w14:textId="3789FD98" w:rsidR="00707AA6" w:rsidRPr="00707AA6" w:rsidRDefault="00273186" w:rsidP="005318FE">
      <w:pPr>
        <w:numPr>
          <w:ilvl w:val="0"/>
          <w:numId w:val="1"/>
        </w:numPr>
        <w:spacing w:line="264" w:lineRule="auto"/>
        <w:ind w:hanging="720"/>
        <w:rPr>
          <w:rFonts w:ascii="Times New Roman" w:hAnsi="Times New Roman"/>
          <w:b/>
          <w:sz w:val="25"/>
          <w:szCs w:val="25"/>
        </w:rPr>
      </w:pPr>
      <w:r>
        <w:rPr>
          <w:rFonts w:ascii="Times New Roman" w:hAnsi="Times New Roman"/>
          <w:sz w:val="25"/>
          <w:szCs w:val="25"/>
        </w:rPr>
        <w:t xml:space="preserve">Staff alleges, and </w:t>
      </w:r>
      <w:r w:rsidR="009C3F88">
        <w:rPr>
          <w:rFonts w:ascii="Times New Roman" w:hAnsi="Times New Roman"/>
          <w:sz w:val="25"/>
          <w:szCs w:val="25"/>
        </w:rPr>
        <w:t>Best</w:t>
      </w:r>
      <w:r>
        <w:rPr>
          <w:rFonts w:ascii="Times New Roman" w:hAnsi="Times New Roman"/>
          <w:sz w:val="25"/>
          <w:szCs w:val="25"/>
        </w:rPr>
        <w:t xml:space="preserve"> Moving admits,</w:t>
      </w:r>
      <w:r w:rsidR="004B66E3">
        <w:rPr>
          <w:rStyle w:val="FootnoteReference"/>
          <w:rFonts w:ascii="Times New Roman" w:hAnsi="Times New Roman"/>
          <w:sz w:val="25"/>
          <w:szCs w:val="25"/>
        </w:rPr>
        <w:footnoteReference w:id="33"/>
      </w:r>
      <w:r>
        <w:rPr>
          <w:rFonts w:ascii="Times New Roman" w:hAnsi="Times New Roman"/>
          <w:sz w:val="25"/>
          <w:szCs w:val="25"/>
        </w:rPr>
        <w:t xml:space="preserve"> that the Company failed to issue a properly formatted bill of lading on </w:t>
      </w:r>
      <w:r w:rsidR="009C3F88">
        <w:rPr>
          <w:rFonts w:ascii="Times New Roman" w:hAnsi="Times New Roman"/>
          <w:sz w:val="25"/>
          <w:szCs w:val="25"/>
        </w:rPr>
        <w:t>31</w:t>
      </w:r>
      <w:r>
        <w:rPr>
          <w:rFonts w:ascii="Times New Roman" w:hAnsi="Times New Roman"/>
          <w:sz w:val="25"/>
          <w:szCs w:val="25"/>
        </w:rPr>
        <w:t xml:space="preserve"> occasions.</w:t>
      </w:r>
      <w:r w:rsidR="0093176C">
        <w:rPr>
          <w:rFonts w:ascii="Times New Roman" w:hAnsi="Times New Roman"/>
          <w:sz w:val="25"/>
          <w:szCs w:val="25"/>
        </w:rPr>
        <w:t xml:space="preserve"> </w:t>
      </w:r>
      <w:r w:rsidR="001C4093">
        <w:rPr>
          <w:rFonts w:ascii="Times New Roman" w:hAnsi="Times New Roman"/>
          <w:sz w:val="25"/>
          <w:szCs w:val="25"/>
        </w:rPr>
        <w:t xml:space="preserve"> </w:t>
      </w:r>
      <w:r w:rsidR="00CF4531" w:rsidRPr="00CF4531">
        <w:rPr>
          <w:rFonts w:ascii="Times New Roman" w:hAnsi="Times New Roman"/>
          <w:sz w:val="25"/>
          <w:szCs w:val="25"/>
        </w:rPr>
        <w:t xml:space="preserve">WAC 480-15-710 </w:t>
      </w:r>
      <w:r>
        <w:rPr>
          <w:rFonts w:ascii="Times New Roman" w:hAnsi="Times New Roman"/>
          <w:sz w:val="25"/>
          <w:szCs w:val="25"/>
        </w:rPr>
        <w:t>requires household goods movers to issue</w:t>
      </w:r>
      <w:r w:rsidR="00247ECF">
        <w:rPr>
          <w:rFonts w:ascii="Times New Roman" w:hAnsi="Times New Roman"/>
          <w:sz w:val="25"/>
          <w:szCs w:val="25"/>
        </w:rPr>
        <w:t>, for every move,</w:t>
      </w:r>
      <w:r>
        <w:rPr>
          <w:rFonts w:ascii="Times New Roman" w:hAnsi="Times New Roman"/>
          <w:sz w:val="25"/>
          <w:szCs w:val="25"/>
        </w:rPr>
        <w:t xml:space="preserve"> a </w:t>
      </w:r>
      <w:r w:rsidR="007D42EA">
        <w:rPr>
          <w:rFonts w:ascii="Times New Roman" w:hAnsi="Times New Roman"/>
          <w:sz w:val="25"/>
          <w:szCs w:val="25"/>
        </w:rPr>
        <w:t xml:space="preserve">completed </w:t>
      </w:r>
      <w:r>
        <w:rPr>
          <w:rFonts w:ascii="Times New Roman" w:hAnsi="Times New Roman"/>
          <w:sz w:val="25"/>
          <w:szCs w:val="25"/>
        </w:rPr>
        <w:t xml:space="preserve">bill of lading that includes each of the requirements set forth in Tariff 15-C, Item 95.  The bill of lading is a contract between the carrier and the customer that describes the mover’s responsibilities, the charges for the move, and the liability the carrier assumes for handling and transporting the shipment.  Staff’s investigation found that the forms used by </w:t>
      </w:r>
      <w:r w:rsidR="005544D5">
        <w:rPr>
          <w:rFonts w:ascii="Times New Roman" w:hAnsi="Times New Roman"/>
          <w:sz w:val="25"/>
          <w:szCs w:val="25"/>
        </w:rPr>
        <w:t>the Company</w:t>
      </w:r>
      <w:r>
        <w:rPr>
          <w:rFonts w:ascii="Times New Roman" w:hAnsi="Times New Roman"/>
          <w:sz w:val="25"/>
          <w:szCs w:val="25"/>
        </w:rPr>
        <w:t xml:space="preserve"> </w:t>
      </w:r>
      <w:r w:rsidR="006E230B">
        <w:rPr>
          <w:rFonts w:ascii="Times New Roman" w:hAnsi="Times New Roman"/>
          <w:sz w:val="25"/>
          <w:szCs w:val="25"/>
        </w:rPr>
        <w:t xml:space="preserve">during the review period </w:t>
      </w:r>
      <w:r w:rsidR="00487BDA">
        <w:rPr>
          <w:rFonts w:ascii="Times New Roman" w:hAnsi="Times New Roman"/>
          <w:sz w:val="25"/>
          <w:szCs w:val="25"/>
        </w:rPr>
        <w:t>was the same form that it used when Staff performed its 2011 investigation</w:t>
      </w:r>
      <w:r>
        <w:rPr>
          <w:rFonts w:ascii="Times New Roman" w:hAnsi="Times New Roman"/>
          <w:sz w:val="25"/>
          <w:szCs w:val="25"/>
        </w:rPr>
        <w:t>.</w:t>
      </w:r>
      <w:r>
        <w:rPr>
          <w:rStyle w:val="FootnoteReference"/>
          <w:rFonts w:ascii="Times New Roman" w:hAnsi="Times New Roman"/>
          <w:sz w:val="25"/>
          <w:szCs w:val="25"/>
        </w:rPr>
        <w:footnoteReference w:id="34"/>
      </w:r>
      <w:r w:rsidR="001B701C">
        <w:rPr>
          <w:rFonts w:ascii="Times New Roman" w:hAnsi="Times New Roman"/>
          <w:sz w:val="25"/>
          <w:szCs w:val="25"/>
        </w:rPr>
        <w:t xml:space="preserve"> </w:t>
      </w:r>
      <w:r w:rsidR="00717B99">
        <w:rPr>
          <w:rFonts w:ascii="Times New Roman" w:hAnsi="Times New Roman"/>
          <w:sz w:val="25"/>
          <w:szCs w:val="25"/>
        </w:rPr>
        <w:t xml:space="preserve"> </w:t>
      </w:r>
      <w:r w:rsidR="00707AA6">
        <w:rPr>
          <w:rFonts w:ascii="Times New Roman" w:hAnsi="Times New Roman"/>
          <w:sz w:val="25"/>
          <w:szCs w:val="25"/>
        </w:rPr>
        <w:t>The 31 bills of lading supplied by Best Moving contained eight repeat violations, including:</w:t>
      </w:r>
    </w:p>
    <w:p w14:paraId="0FB50AC3" w14:textId="77777777" w:rsidR="00707AA6" w:rsidRDefault="00707AA6" w:rsidP="005318FE">
      <w:pPr>
        <w:spacing w:line="264" w:lineRule="auto"/>
        <w:rPr>
          <w:rFonts w:ascii="Times New Roman" w:hAnsi="Times New Roman"/>
          <w:b/>
          <w:sz w:val="25"/>
          <w:szCs w:val="25"/>
        </w:rPr>
      </w:pPr>
    </w:p>
    <w:p w14:paraId="1F38F3C7" w14:textId="77777777" w:rsidR="00707AA6" w:rsidRPr="00601D76" w:rsidRDefault="00707AA6" w:rsidP="005318FE">
      <w:pPr>
        <w:pStyle w:val="ListParagraph"/>
        <w:numPr>
          <w:ilvl w:val="0"/>
          <w:numId w:val="6"/>
        </w:numPr>
        <w:spacing w:line="264" w:lineRule="auto"/>
        <w:rPr>
          <w:rFonts w:ascii="Times New Roman" w:hAnsi="Times New Roman"/>
          <w:b/>
          <w:sz w:val="25"/>
          <w:szCs w:val="25"/>
        </w:rPr>
      </w:pPr>
      <w:r>
        <w:rPr>
          <w:rFonts w:ascii="Times New Roman" w:hAnsi="Times New Roman"/>
          <w:sz w:val="25"/>
          <w:szCs w:val="25"/>
        </w:rPr>
        <w:t>F</w:t>
      </w:r>
      <w:r w:rsidRPr="00707AA6">
        <w:rPr>
          <w:rFonts w:ascii="Times New Roman" w:hAnsi="Times New Roman"/>
          <w:sz w:val="25"/>
          <w:szCs w:val="25"/>
        </w:rPr>
        <w:t>ailure to include a separate section declaring the customer’s preferences relating to storage</w:t>
      </w:r>
      <w:r>
        <w:rPr>
          <w:rFonts w:ascii="Times New Roman" w:hAnsi="Times New Roman"/>
          <w:sz w:val="25"/>
          <w:szCs w:val="25"/>
        </w:rPr>
        <w:t>.</w:t>
      </w:r>
    </w:p>
    <w:p w14:paraId="639A680E" w14:textId="77777777" w:rsidR="00601D76" w:rsidRPr="00707AA6" w:rsidRDefault="00601D76" w:rsidP="005318FE">
      <w:pPr>
        <w:pStyle w:val="ListParagraph"/>
        <w:spacing w:line="264" w:lineRule="auto"/>
        <w:rPr>
          <w:rFonts w:ascii="Times New Roman" w:hAnsi="Times New Roman"/>
          <w:b/>
          <w:sz w:val="25"/>
          <w:szCs w:val="25"/>
        </w:rPr>
      </w:pPr>
    </w:p>
    <w:p w14:paraId="6F4140EC" w14:textId="77777777" w:rsidR="00707AA6" w:rsidRPr="00601D76" w:rsidRDefault="00707AA6" w:rsidP="005318FE">
      <w:pPr>
        <w:pStyle w:val="ListParagraph"/>
        <w:numPr>
          <w:ilvl w:val="0"/>
          <w:numId w:val="6"/>
        </w:numPr>
        <w:spacing w:line="264" w:lineRule="auto"/>
        <w:rPr>
          <w:rFonts w:ascii="Times New Roman" w:hAnsi="Times New Roman"/>
          <w:b/>
          <w:sz w:val="25"/>
          <w:szCs w:val="25"/>
        </w:rPr>
      </w:pPr>
      <w:r>
        <w:rPr>
          <w:rFonts w:ascii="Times New Roman" w:hAnsi="Times New Roman"/>
          <w:sz w:val="25"/>
          <w:szCs w:val="25"/>
        </w:rPr>
        <w:t>F</w:t>
      </w:r>
      <w:r w:rsidRPr="00707AA6">
        <w:rPr>
          <w:rFonts w:ascii="Times New Roman" w:hAnsi="Times New Roman"/>
          <w:sz w:val="25"/>
          <w:szCs w:val="25"/>
        </w:rPr>
        <w:t>ailure to indicate whether the estimate was binding or nonbinding</w:t>
      </w:r>
      <w:r>
        <w:rPr>
          <w:rFonts w:ascii="Times New Roman" w:hAnsi="Times New Roman"/>
          <w:sz w:val="25"/>
          <w:szCs w:val="25"/>
        </w:rPr>
        <w:t>.</w:t>
      </w:r>
    </w:p>
    <w:p w14:paraId="3596C138" w14:textId="77777777" w:rsidR="00601D76" w:rsidRPr="00601D76" w:rsidRDefault="00601D76" w:rsidP="005318FE">
      <w:pPr>
        <w:spacing w:line="264" w:lineRule="auto"/>
        <w:rPr>
          <w:rFonts w:ascii="Times New Roman" w:hAnsi="Times New Roman"/>
          <w:b/>
          <w:sz w:val="25"/>
          <w:szCs w:val="25"/>
        </w:rPr>
      </w:pPr>
    </w:p>
    <w:p w14:paraId="5DA7B1D9" w14:textId="1E737A0F" w:rsidR="00707AA6" w:rsidRPr="00601D76" w:rsidRDefault="00707AA6" w:rsidP="005318FE">
      <w:pPr>
        <w:pStyle w:val="ListParagraph"/>
        <w:numPr>
          <w:ilvl w:val="0"/>
          <w:numId w:val="6"/>
        </w:numPr>
        <w:spacing w:line="264" w:lineRule="auto"/>
        <w:rPr>
          <w:rFonts w:ascii="Times New Roman" w:hAnsi="Times New Roman"/>
          <w:b/>
          <w:sz w:val="25"/>
          <w:szCs w:val="25"/>
        </w:rPr>
      </w:pPr>
      <w:r>
        <w:rPr>
          <w:rFonts w:ascii="Times New Roman" w:hAnsi="Times New Roman"/>
          <w:sz w:val="25"/>
          <w:szCs w:val="25"/>
        </w:rPr>
        <w:t>F</w:t>
      </w:r>
      <w:r w:rsidRPr="00707AA6">
        <w:rPr>
          <w:rFonts w:ascii="Times New Roman" w:hAnsi="Times New Roman"/>
          <w:sz w:val="25"/>
          <w:szCs w:val="25"/>
        </w:rPr>
        <w:t>ailure to include a statement regarding the required release of shipment</w:t>
      </w:r>
      <w:r>
        <w:rPr>
          <w:rFonts w:ascii="Times New Roman" w:hAnsi="Times New Roman"/>
          <w:sz w:val="25"/>
          <w:szCs w:val="25"/>
        </w:rPr>
        <w:t>.</w:t>
      </w:r>
    </w:p>
    <w:p w14:paraId="63C34EDD" w14:textId="77777777" w:rsidR="00601D76" w:rsidRPr="00601D76" w:rsidRDefault="00601D76" w:rsidP="005318FE">
      <w:pPr>
        <w:spacing w:line="264" w:lineRule="auto"/>
        <w:rPr>
          <w:rFonts w:ascii="Times New Roman" w:hAnsi="Times New Roman"/>
          <w:b/>
          <w:sz w:val="25"/>
          <w:szCs w:val="25"/>
        </w:rPr>
      </w:pPr>
    </w:p>
    <w:p w14:paraId="0B266ECD" w14:textId="77777777" w:rsidR="00707AA6" w:rsidRPr="00601D76" w:rsidRDefault="00707AA6" w:rsidP="005318FE">
      <w:pPr>
        <w:pStyle w:val="ListParagraph"/>
        <w:numPr>
          <w:ilvl w:val="0"/>
          <w:numId w:val="6"/>
        </w:numPr>
        <w:spacing w:line="264" w:lineRule="auto"/>
        <w:rPr>
          <w:rFonts w:ascii="Times New Roman" w:hAnsi="Times New Roman"/>
          <w:b/>
          <w:sz w:val="25"/>
          <w:szCs w:val="25"/>
        </w:rPr>
      </w:pPr>
      <w:r>
        <w:rPr>
          <w:rFonts w:ascii="Times New Roman" w:hAnsi="Times New Roman"/>
          <w:sz w:val="25"/>
          <w:szCs w:val="25"/>
        </w:rPr>
        <w:t>F</w:t>
      </w:r>
      <w:r w:rsidRPr="00707AA6">
        <w:rPr>
          <w:rFonts w:ascii="Times New Roman" w:hAnsi="Times New Roman"/>
          <w:sz w:val="25"/>
          <w:szCs w:val="25"/>
        </w:rPr>
        <w:t>ailure to include a statement about extension of credit</w:t>
      </w:r>
      <w:r>
        <w:rPr>
          <w:rFonts w:ascii="Times New Roman" w:hAnsi="Times New Roman"/>
          <w:sz w:val="25"/>
          <w:szCs w:val="25"/>
        </w:rPr>
        <w:t>.</w:t>
      </w:r>
    </w:p>
    <w:p w14:paraId="27601F9A" w14:textId="77777777" w:rsidR="00601D76" w:rsidRPr="00601D76" w:rsidRDefault="00601D76" w:rsidP="005318FE">
      <w:pPr>
        <w:spacing w:line="264" w:lineRule="auto"/>
        <w:rPr>
          <w:rFonts w:ascii="Times New Roman" w:hAnsi="Times New Roman"/>
          <w:b/>
          <w:sz w:val="25"/>
          <w:szCs w:val="25"/>
        </w:rPr>
      </w:pPr>
    </w:p>
    <w:p w14:paraId="0C42F45D" w14:textId="77777777" w:rsidR="00707AA6" w:rsidRPr="00601D76" w:rsidRDefault="00707AA6" w:rsidP="005318FE">
      <w:pPr>
        <w:pStyle w:val="ListParagraph"/>
        <w:numPr>
          <w:ilvl w:val="0"/>
          <w:numId w:val="6"/>
        </w:numPr>
        <w:spacing w:line="264" w:lineRule="auto"/>
        <w:rPr>
          <w:rFonts w:ascii="Times New Roman" w:hAnsi="Times New Roman"/>
          <w:b/>
          <w:sz w:val="25"/>
          <w:szCs w:val="25"/>
        </w:rPr>
      </w:pPr>
      <w:r>
        <w:rPr>
          <w:rFonts w:ascii="Times New Roman" w:hAnsi="Times New Roman"/>
          <w:sz w:val="25"/>
          <w:szCs w:val="25"/>
        </w:rPr>
        <w:t>F</w:t>
      </w:r>
      <w:r w:rsidRPr="00707AA6">
        <w:rPr>
          <w:rFonts w:ascii="Times New Roman" w:hAnsi="Times New Roman"/>
          <w:sz w:val="25"/>
          <w:szCs w:val="25"/>
        </w:rPr>
        <w:t>ailure to include language regarding replacement cost coverage</w:t>
      </w:r>
      <w:r>
        <w:rPr>
          <w:rFonts w:ascii="Times New Roman" w:hAnsi="Times New Roman"/>
          <w:sz w:val="25"/>
          <w:szCs w:val="25"/>
        </w:rPr>
        <w:t>.</w:t>
      </w:r>
    </w:p>
    <w:p w14:paraId="3B48DE0D" w14:textId="77777777" w:rsidR="00601D76" w:rsidRPr="00601D76" w:rsidRDefault="00601D76" w:rsidP="005318FE">
      <w:pPr>
        <w:spacing w:line="264" w:lineRule="auto"/>
        <w:rPr>
          <w:rFonts w:ascii="Times New Roman" w:hAnsi="Times New Roman"/>
          <w:b/>
          <w:sz w:val="25"/>
          <w:szCs w:val="25"/>
        </w:rPr>
      </w:pPr>
    </w:p>
    <w:p w14:paraId="13A535F5" w14:textId="77777777" w:rsidR="00707AA6" w:rsidRPr="00601D76" w:rsidRDefault="00707AA6" w:rsidP="005318FE">
      <w:pPr>
        <w:pStyle w:val="ListParagraph"/>
        <w:numPr>
          <w:ilvl w:val="0"/>
          <w:numId w:val="6"/>
        </w:numPr>
        <w:spacing w:line="264" w:lineRule="auto"/>
        <w:rPr>
          <w:rFonts w:ascii="Times New Roman" w:hAnsi="Times New Roman"/>
          <w:b/>
          <w:sz w:val="25"/>
          <w:szCs w:val="25"/>
        </w:rPr>
      </w:pPr>
      <w:r>
        <w:rPr>
          <w:rFonts w:ascii="Times New Roman" w:hAnsi="Times New Roman"/>
          <w:sz w:val="25"/>
          <w:szCs w:val="25"/>
        </w:rPr>
        <w:t>F</w:t>
      </w:r>
      <w:r w:rsidRPr="00707AA6">
        <w:rPr>
          <w:rFonts w:ascii="Times New Roman" w:hAnsi="Times New Roman"/>
          <w:sz w:val="25"/>
          <w:szCs w:val="25"/>
        </w:rPr>
        <w:t>ailure to adequately document interruption times</w:t>
      </w:r>
      <w:r>
        <w:rPr>
          <w:rFonts w:ascii="Times New Roman" w:hAnsi="Times New Roman"/>
          <w:sz w:val="25"/>
          <w:szCs w:val="25"/>
        </w:rPr>
        <w:t>.</w:t>
      </w:r>
    </w:p>
    <w:p w14:paraId="2B014C76" w14:textId="77777777" w:rsidR="00601D76" w:rsidRPr="00601D76" w:rsidRDefault="00601D76" w:rsidP="005318FE">
      <w:pPr>
        <w:spacing w:line="264" w:lineRule="auto"/>
        <w:rPr>
          <w:rFonts w:ascii="Times New Roman" w:hAnsi="Times New Roman"/>
          <w:b/>
          <w:sz w:val="25"/>
          <w:szCs w:val="25"/>
        </w:rPr>
      </w:pPr>
    </w:p>
    <w:p w14:paraId="67D73AAC" w14:textId="77777777" w:rsidR="00707AA6" w:rsidRPr="00601D76" w:rsidRDefault="00707AA6" w:rsidP="005318FE">
      <w:pPr>
        <w:pStyle w:val="ListParagraph"/>
        <w:numPr>
          <w:ilvl w:val="0"/>
          <w:numId w:val="6"/>
        </w:numPr>
        <w:spacing w:line="264" w:lineRule="auto"/>
        <w:rPr>
          <w:rFonts w:ascii="Times New Roman" w:hAnsi="Times New Roman"/>
          <w:b/>
          <w:sz w:val="25"/>
          <w:szCs w:val="25"/>
        </w:rPr>
      </w:pPr>
      <w:r>
        <w:rPr>
          <w:rFonts w:ascii="Times New Roman" w:hAnsi="Times New Roman"/>
          <w:sz w:val="25"/>
          <w:szCs w:val="25"/>
        </w:rPr>
        <w:t>F</w:t>
      </w:r>
      <w:r w:rsidRPr="00707AA6">
        <w:rPr>
          <w:rFonts w:ascii="Times New Roman" w:hAnsi="Times New Roman"/>
          <w:sz w:val="25"/>
          <w:szCs w:val="25"/>
        </w:rPr>
        <w:t>ailure to include a list of all charges by separate line item</w:t>
      </w:r>
      <w:r>
        <w:rPr>
          <w:rFonts w:ascii="Times New Roman" w:hAnsi="Times New Roman"/>
          <w:sz w:val="25"/>
          <w:szCs w:val="25"/>
        </w:rPr>
        <w:t>.</w:t>
      </w:r>
    </w:p>
    <w:p w14:paraId="3ED7229B" w14:textId="77777777" w:rsidR="00601D76" w:rsidRPr="00601D76" w:rsidRDefault="00601D76" w:rsidP="005318FE">
      <w:pPr>
        <w:spacing w:line="264" w:lineRule="auto"/>
        <w:rPr>
          <w:rFonts w:ascii="Times New Roman" w:hAnsi="Times New Roman"/>
          <w:b/>
          <w:sz w:val="25"/>
          <w:szCs w:val="25"/>
        </w:rPr>
      </w:pPr>
    </w:p>
    <w:p w14:paraId="2F6AA206" w14:textId="3138E6BE" w:rsidR="00707AA6" w:rsidRPr="00707AA6" w:rsidRDefault="00707AA6" w:rsidP="005318FE">
      <w:pPr>
        <w:pStyle w:val="ListParagraph"/>
        <w:numPr>
          <w:ilvl w:val="0"/>
          <w:numId w:val="6"/>
        </w:numPr>
        <w:spacing w:line="264" w:lineRule="auto"/>
        <w:rPr>
          <w:rFonts w:ascii="Times New Roman" w:hAnsi="Times New Roman"/>
          <w:b/>
          <w:sz w:val="25"/>
          <w:szCs w:val="25"/>
        </w:rPr>
      </w:pPr>
      <w:r>
        <w:rPr>
          <w:rFonts w:ascii="Times New Roman" w:hAnsi="Times New Roman"/>
          <w:sz w:val="25"/>
          <w:szCs w:val="25"/>
        </w:rPr>
        <w:t>F</w:t>
      </w:r>
      <w:r w:rsidRPr="00707AA6">
        <w:rPr>
          <w:rFonts w:ascii="Times New Roman" w:hAnsi="Times New Roman"/>
          <w:sz w:val="25"/>
          <w:szCs w:val="25"/>
        </w:rPr>
        <w:t>ailure to include the Commission-disclosure of contract terms and conditions on the back of the bill of lading.</w:t>
      </w:r>
    </w:p>
    <w:p w14:paraId="28D68916" w14:textId="77777777" w:rsidR="00707AA6" w:rsidRPr="00707AA6" w:rsidRDefault="00707AA6" w:rsidP="005318FE">
      <w:pPr>
        <w:spacing w:line="264" w:lineRule="auto"/>
        <w:rPr>
          <w:rFonts w:ascii="Times New Roman" w:hAnsi="Times New Roman"/>
          <w:b/>
          <w:sz w:val="25"/>
          <w:szCs w:val="25"/>
        </w:rPr>
      </w:pPr>
    </w:p>
    <w:p w14:paraId="6C01D9E2" w14:textId="697911ED" w:rsidR="004D2258" w:rsidRPr="009A30A4" w:rsidRDefault="006E230B" w:rsidP="005318FE">
      <w:pPr>
        <w:numPr>
          <w:ilvl w:val="0"/>
          <w:numId w:val="1"/>
        </w:numPr>
        <w:spacing w:line="264" w:lineRule="auto"/>
        <w:ind w:hanging="720"/>
        <w:rPr>
          <w:rFonts w:ascii="Times New Roman" w:hAnsi="Times New Roman"/>
          <w:b/>
          <w:sz w:val="25"/>
          <w:szCs w:val="25"/>
        </w:rPr>
      </w:pPr>
      <w:r>
        <w:rPr>
          <w:rFonts w:ascii="Times New Roman" w:hAnsi="Times New Roman"/>
          <w:sz w:val="25"/>
          <w:szCs w:val="25"/>
        </w:rPr>
        <w:t xml:space="preserve">Staff recommends a penalty of up to $1,000 for failing to use a properly formatted bill of </w:t>
      </w:r>
      <w:r w:rsidR="009D1691">
        <w:rPr>
          <w:rFonts w:ascii="Times New Roman" w:hAnsi="Times New Roman"/>
          <w:sz w:val="25"/>
          <w:szCs w:val="25"/>
        </w:rPr>
        <w:t>lading in violation of WAC 480-15-710 and Tariff 15-C, Item 95.</w:t>
      </w:r>
    </w:p>
    <w:p w14:paraId="698FDAE5" w14:textId="77777777" w:rsidR="009A30A4" w:rsidRPr="004D2258" w:rsidRDefault="009A30A4" w:rsidP="005318FE">
      <w:pPr>
        <w:spacing w:line="264" w:lineRule="auto"/>
        <w:ind w:left="-720"/>
        <w:rPr>
          <w:rFonts w:ascii="Times New Roman" w:hAnsi="Times New Roman"/>
          <w:b/>
          <w:sz w:val="25"/>
          <w:szCs w:val="25"/>
        </w:rPr>
      </w:pPr>
    </w:p>
    <w:p w14:paraId="1E10A0F3" w14:textId="33D05DA3" w:rsidR="00150CA1" w:rsidRPr="009A30A4" w:rsidRDefault="004D2258" w:rsidP="005318FE">
      <w:pPr>
        <w:numPr>
          <w:ilvl w:val="0"/>
          <w:numId w:val="1"/>
        </w:numPr>
        <w:spacing w:line="264" w:lineRule="auto"/>
        <w:ind w:hanging="720"/>
        <w:rPr>
          <w:rFonts w:ascii="Times New Roman" w:hAnsi="Times New Roman"/>
          <w:b/>
          <w:sz w:val="25"/>
          <w:szCs w:val="25"/>
        </w:rPr>
      </w:pPr>
      <w:r>
        <w:rPr>
          <w:rFonts w:ascii="Times New Roman" w:hAnsi="Times New Roman"/>
          <w:sz w:val="25"/>
          <w:szCs w:val="25"/>
        </w:rPr>
        <w:t xml:space="preserve">Mr. </w:t>
      </w:r>
      <w:r w:rsidR="009D1691">
        <w:rPr>
          <w:rFonts w:ascii="Times New Roman" w:hAnsi="Times New Roman"/>
          <w:sz w:val="25"/>
          <w:szCs w:val="25"/>
        </w:rPr>
        <w:t>Ratko</w:t>
      </w:r>
      <w:r>
        <w:rPr>
          <w:rFonts w:ascii="Times New Roman" w:hAnsi="Times New Roman"/>
          <w:sz w:val="25"/>
          <w:szCs w:val="25"/>
        </w:rPr>
        <w:t xml:space="preserve"> testified at hearing that as a result of Staff’s investigation, the Company now uses </w:t>
      </w:r>
      <w:r w:rsidR="009D1691">
        <w:rPr>
          <w:rFonts w:ascii="Times New Roman" w:hAnsi="Times New Roman"/>
          <w:sz w:val="25"/>
          <w:szCs w:val="25"/>
        </w:rPr>
        <w:t>a revised</w:t>
      </w:r>
      <w:r>
        <w:rPr>
          <w:rFonts w:ascii="Times New Roman" w:hAnsi="Times New Roman"/>
          <w:sz w:val="25"/>
          <w:szCs w:val="25"/>
        </w:rPr>
        <w:t xml:space="preserve"> bill of lading form</w:t>
      </w:r>
      <w:r w:rsidR="009D1691">
        <w:rPr>
          <w:rFonts w:ascii="Times New Roman" w:hAnsi="Times New Roman"/>
          <w:sz w:val="25"/>
          <w:szCs w:val="25"/>
        </w:rPr>
        <w:t>,</w:t>
      </w:r>
      <w:r>
        <w:rPr>
          <w:rFonts w:ascii="Times New Roman" w:hAnsi="Times New Roman"/>
          <w:sz w:val="25"/>
          <w:szCs w:val="25"/>
        </w:rPr>
        <w:t xml:space="preserve"> </w:t>
      </w:r>
      <w:r w:rsidR="009D1691">
        <w:rPr>
          <w:rFonts w:ascii="Times New Roman" w:hAnsi="Times New Roman"/>
          <w:sz w:val="25"/>
          <w:szCs w:val="25"/>
        </w:rPr>
        <w:t xml:space="preserve">and he </w:t>
      </w:r>
      <w:r>
        <w:rPr>
          <w:rFonts w:ascii="Times New Roman" w:hAnsi="Times New Roman"/>
          <w:sz w:val="25"/>
          <w:szCs w:val="25"/>
        </w:rPr>
        <w:t xml:space="preserve">provided </w:t>
      </w:r>
      <w:r w:rsidR="009D1691">
        <w:rPr>
          <w:rFonts w:ascii="Times New Roman" w:hAnsi="Times New Roman"/>
          <w:sz w:val="25"/>
          <w:szCs w:val="25"/>
        </w:rPr>
        <w:t>the form for inspection</w:t>
      </w:r>
      <w:r w:rsidR="00487BDA">
        <w:rPr>
          <w:rFonts w:ascii="Times New Roman" w:hAnsi="Times New Roman"/>
          <w:sz w:val="25"/>
          <w:szCs w:val="25"/>
        </w:rPr>
        <w:t xml:space="preserve"> following the hearing</w:t>
      </w:r>
      <w:r>
        <w:rPr>
          <w:rFonts w:ascii="Times New Roman" w:hAnsi="Times New Roman"/>
          <w:sz w:val="25"/>
          <w:szCs w:val="25"/>
        </w:rPr>
        <w:t xml:space="preserve">. </w:t>
      </w:r>
      <w:r w:rsidR="00247ECF">
        <w:rPr>
          <w:rFonts w:ascii="Times New Roman" w:hAnsi="Times New Roman"/>
          <w:sz w:val="25"/>
          <w:szCs w:val="25"/>
        </w:rPr>
        <w:t xml:space="preserve"> </w:t>
      </w:r>
    </w:p>
    <w:p w14:paraId="5BCA3476" w14:textId="77777777" w:rsidR="009A30A4" w:rsidRDefault="009A30A4" w:rsidP="005318FE">
      <w:pPr>
        <w:pStyle w:val="ListParagraph"/>
        <w:spacing w:line="264" w:lineRule="auto"/>
        <w:rPr>
          <w:rFonts w:ascii="Times New Roman" w:hAnsi="Times New Roman"/>
          <w:b/>
          <w:sz w:val="25"/>
          <w:szCs w:val="25"/>
        </w:rPr>
      </w:pPr>
    </w:p>
    <w:p w14:paraId="64978DD8" w14:textId="0CD55C2D" w:rsidR="009A30A4" w:rsidRPr="009A30A4" w:rsidRDefault="00ED054B" w:rsidP="005318FE">
      <w:pPr>
        <w:numPr>
          <w:ilvl w:val="0"/>
          <w:numId w:val="1"/>
        </w:numPr>
        <w:spacing w:line="264" w:lineRule="auto"/>
        <w:ind w:hanging="720"/>
        <w:rPr>
          <w:rFonts w:ascii="Times New Roman" w:hAnsi="Times New Roman"/>
          <w:b/>
          <w:sz w:val="25"/>
          <w:szCs w:val="25"/>
        </w:rPr>
      </w:pPr>
      <w:r w:rsidRPr="00ED054B">
        <w:rPr>
          <w:rFonts w:ascii="Times New Roman" w:hAnsi="Times New Roman"/>
          <w:b/>
          <w:sz w:val="25"/>
          <w:szCs w:val="25"/>
        </w:rPr>
        <w:t>Decision.</w:t>
      </w:r>
      <w:r>
        <w:rPr>
          <w:rFonts w:ascii="Times New Roman" w:hAnsi="Times New Roman"/>
          <w:sz w:val="25"/>
          <w:szCs w:val="25"/>
        </w:rPr>
        <w:t xml:space="preserve">  </w:t>
      </w:r>
      <w:r w:rsidR="00102FF7">
        <w:rPr>
          <w:rFonts w:ascii="Times New Roman" w:hAnsi="Times New Roman"/>
          <w:sz w:val="25"/>
          <w:szCs w:val="25"/>
        </w:rPr>
        <w:t>The</w:t>
      </w:r>
      <w:r w:rsidR="006775AC">
        <w:rPr>
          <w:rFonts w:ascii="Times New Roman" w:hAnsi="Times New Roman"/>
          <w:sz w:val="25"/>
          <w:szCs w:val="25"/>
        </w:rPr>
        <w:t xml:space="preserve"> bill of lading is a binding contract between a carrier and a customer, </w:t>
      </w:r>
      <w:r w:rsidR="00102FF7">
        <w:rPr>
          <w:rFonts w:ascii="Times New Roman" w:hAnsi="Times New Roman"/>
          <w:sz w:val="25"/>
          <w:szCs w:val="25"/>
        </w:rPr>
        <w:t xml:space="preserve">and </w:t>
      </w:r>
      <w:r w:rsidR="006775AC">
        <w:rPr>
          <w:rFonts w:ascii="Times New Roman" w:hAnsi="Times New Roman"/>
          <w:sz w:val="25"/>
          <w:szCs w:val="25"/>
        </w:rPr>
        <w:t xml:space="preserve">it is crucial that it contain accurate information and describe, in full, the carrier’s obligations with respect to transporting and releasing the </w:t>
      </w:r>
      <w:r w:rsidR="008D3581">
        <w:rPr>
          <w:rFonts w:ascii="Times New Roman" w:hAnsi="Times New Roman"/>
          <w:sz w:val="25"/>
          <w:szCs w:val="25"/>
        </w:rPr>
        <w:t xml:space="preserve">customer’s </w:t>
      </w:r>
      <w:r w:rsidR="006775AC">
        <w:rPr>
          <w:rFonts w:ascii="Times New Roman" w:hAnsi="Times New Roman"/>
          <w:sz w:val="25"/>
          <w:szCs w:val="25"/>
        </w:rPr>
        <w:t xml:space="preserve">shipment.  </w:t>
      </w:r>
      <w:r w:rsidR="00102FF7">
        <w:rPr>
          <w:rFonts w:ascii="Times New Roman" w:hAnsi="Times New Roman"/>
          <w:sz w:val="25"/>
          <w:szCs w:val="25"/>
        </w:rPr>
        <w:t>Best Moving admitted to providing deficient bill</w:t>
      </w:r>
      <w:r w:rsidR="00707AA6">
        <w:rPr>
          <w:rFonts w:ascii="Times New Roman" w:hAnsi="Times New Roman"/>
          <w:sz w:val="25"/>
          <w:szCs w:val="25"/>
        </w:rPr>
        <w:t>s</w:t>
      </w:r>
      <w:r w:rsidR="00102FF7">
        <w:rPr>
          <w:rFonts w:ascii="Times New Roman" w:hAnsi="Times New Roman"/>
          <w:sz w:val="25"/>
          <w:szCs w:val="25"/>
        </w:rPr>
        <w:t xml:space="preserve"> of lading to </w:t>
      </w:r>
      <w:r w:rsidR="00707AA6">
        <w:rPr>
          <w:rFonts w:ascii="Times New Roman" w:hAnsi="Times New Roman"/>
          <w:sz w:val="25"/>
          <w:szCs w:val="25"/>
        </w:rPr>
        <w:t>its</w:t>
      </w:r>
      <w:r w:rsidR="00102FF7">
        <w:rPr>
          <w:rFonts w:ascii="Times New Roman" w:hAnsi="Times New Roman"/>
          <w:sz w:val="25"/>
          <w:szCs w:val="25"/>
        </w:rPr>
        <w:t xml:space="preserve"> customers</w:t>
      </w:r>
      <w:r w:rsidR="00711CCE">
        <w:rPr>
          <w:rFonts w:ascii="Times New Roman" w:hAnsi="Times New Roman"/>
          <w:sz w:val="25"/>
          <w:szCs w:val="25"/>
        </w:rPr>
        <w:t>.  The modified bill of lading filed by the Company on March 12, 2015, did correct some, but not all, of the original deficiencies.</w:t>
      </w:r>
      <w:r w:rsidR="00F35DB9">
        <w:rPr>
          <w:rFonts w:ascii="Times New Roman" w:hAnsi="Times New Roman"/>
          <w:sz w:val="25"/>
          <w:szCs w:val="25"/>
        </w:rPr>
        <w:t xml:space="preserve"> </w:t>
      </w:r>
      <w:r w:rsidR="00711CCE">
        <w:rPr>
          <w:rFonts w:ascii="Times New Roman" w:hAnsi="Times New Roman"/>
          <w:sz w:val="25"/>
          <w:szCs w:val="25"/>
        </w:rPr>
        <w:t xml:space="preserve"> We</w:t>
      </w:r>
      <w:r w:rsidR="00F35DB9">
        <w:rPr>
          <w:rFonts w:ascii="Times New Roman" w:hAnsi="Times New Roman"/>
          <w:sz w:val="25"/>
          <w:szCs w:val="25"/>
        </w:rPr>
        <w:t xml:space="preserve"> </w:t>
      </w:r>
      <w:r w:rsidR="00102FF7">
        <w:rPr>
          <w:rFonts w:ascii="Times New Roman" w:hAnsi="Times New Roman"/>
          <w:sz w:val="25"/>
          <w:szCs w:val="25"/>
        </w:rPr>
        <w:t xml:space="preserve">thus </w:t>
      </w:r>
      <w:r w:rsidR="00F35DB9">
        <w:rPr>
          <w:rFonts w:ascii="Times New Roman" w:hAnsi="Times New Roman"/>
          <w:sz w:val="25"/>
          <w:szCs w:val="25"/>
        </w:rPr>
        <w:t>assess a $</w:t>
      </w:r>
      <w:r w:rsidR="0077618D">
        <w:rPr>
          <w:rFonts w:ascii="Times New Roman" w:hAnsi="Times New Roman"/>
          <w:sz w:val="25"/>
          <w:szCs w:val="25"/>
        </w:rPr>
        <w:t>1,000</w:t>
      </w:r>
      <w:r w:rsidR="00F35DB9">
        <w:rPr>
          <w:rFonts w:ascii="Times New Roman" w:hAnsi="Times New Roman"/>
          <w:sz w:val="25"/>
          <w:szCs w:val="25"/>
        </w:rPr>
        <w:t xml:space="preserve"> penalty for </w:t>
      </w:r>
      <w:r w:rsidR="00102FF7">
        <w:rPr>
          <w:rFonts w:ascii="Times New Roman" w:hAnsi="Times New Roman"/>
          <w:sz w:val="25"/>
          <w:szCs w:val="25"/>
        </w:rPr>
        <w:t>the</w:t>
      </w:r>
      <w:r w:rsidR="00F35DB9">
        <w:rPr>
          <w:rFonts w:ascii="Times New Roman" w:hAnsi="Times New Roman"/>
          <w:sz w:val="25"/>
          <w:szCs w:val="25"/>
        </w:rPr>
        <w:t xml:space="preserve"> </w:t>
      </w:r>
      <w:r w:rsidR="007C7DD1">
        <w:rPr>
          <w:rFonts w:ascii="Times New Roman" w:hAnsi="Times New Roman"/>
          <w:sz w:val="25"/>
          <w:szCs w:val="25"/>
        </w:rPr>
        <w:t xml:space="preserve">31 </w:t>
      </w:r>
      <w:r w:rsidR="00707AA6">
        <w:rPr>
          <w:rFonts w:ascii="Times New Roman" w:hAnsi="Times New Roman"/>
          <w:sz w:val="25"/>
          <w:szCs w:val="25"/>
        </w:rPr>
        <w:t xml:space="preserve">repeat </w:t>
      </w:r>
      <w:r w:rsidR="00F35DB9">
        <w:rPr>
          <w:rFonts w:ascii="Times New Roman" w:hAnsi="Times New Roman"/>
          <w:sz w:val="25"/>
          <w:szCs w:val="25"/>
        </w:rPr>
        <w:t>violations of WAC 480-15-710</w:t>
      </w:r>
      <w:r w:rsidR="00102FF7">
        <w:rPr>
          <w:rFonts w:ascii="Times New Roman" w:hAnsi="Times New Roman"/>
          <w:sz w:val="25"/>
          <w:szCs w:val="25"/>
        </w:rPr>
        <w:t xml:space="preserve"> and Tariff 15-C, Item 95</w:t>
      </w:r>
      <w:r w:rsidR="00F35DB9">
        <w:rPr>
          <w:rFonts w:ascii="Times New Roman" w:hAnsi="Times New Roman"/>
          <w:sz w:val="25"/>
          <w:szCs w:val="25"/>
        </w:rPr>
        <w:t>.</w:t>
      </w:r>
      <w:r w:rsidR="00711CCE">
        <w:rPr>
          <w:rFonts w:ascii="Times New Roman" w:hAnsi="Times New Roman"/>
          <w:sz w:val="25"/>
          <w:szCs w:val="25"/>
        </w:rPr>
        <w:t xml:space="preserve">  </w:t>
      </w:r>
    </w:p>
    <w:p w14:paraId="477E753A" w14:textId="77777777" w:rsidR="009A30A4" w:rsidRDefault="009A30A4" w:rsidP="005318FE">
      <w:pPr>
        <w:pStyle w:val="ListParagraph"/>
        <w:spacing w:line="264" w:lineRule="auto"/>
        <w:ind w:left="0"/>
        <w:rPr>
          <w:rFonts w:ascii="Times New Roman" w:hAnsi="Times New Roman"/>
          <w:sz w:val="25"/>
          <w:szCs w:val="25"/>
        </w:rPr>
      </w:pPr>
    </w:p>
    <w:p w14:paraId="092653A6" w14:textId="596400AB" w:rsidR="001B701C" w:rsidRDefault="001B701C" w:rsidP="005318FE">
      <w:pPr>
        <w:spacing w:line="264" w:lineRule="auto"/>
        <w:rPr>
          <w:rFonts w:ascii="Times New Roman" w:hAnsi="Times New Roman"/>
          <w:b/>
          <w:sz w:val="25"/>
          <w:szCs w:val="25"/>
        </w:rPr>
      </w:pPr>
      <w:r>
        <w:rPr>
          <w:rFonts w:ascii="Times New Roman" w:hAnsi="Times New Roman"/>
          <w:b/>
          <w:sz w:val="25"/>
          <w:szCs w:val="25"/>
        </w:rPr>
        <w:t>Sixth Cause of Action</w:t>
      </w:r>
    </w:p>
    <w:p w14:paraId="0EBA374F" w14:textId="77777777" w:rsidR="00601D76" w:rsidRDefault="00601D76" w:rsidP="005318FE">
      <w:pPr>
        <w:spacing w:line="264" w:lineRule="auto"/>
        <w:rPr>
          <w:rFonts w:ascii="Times New Roman" w:hAnsi="Times New Roman"/>
          <w:b/>
          <w:sz w:val="25"/>
          <w:szCs w:val="25"/>
        </w:rPr>
      </w:pPr>
    </w:p>
    <w:p w14:paraId="1E63BE61" w14:textId="6C1DE0FD" w:rsidR="003B7D89" w:rsidRPr="009A30A4" w:rsidRDefault="004F7867" w:rsidP="005318FE">
      <w:pPr>
        <w:numPr>
          <w:ilvl w:val="0"/>
          <w:numId w:val="1"/>
        </w:numPr>
        <w:spacing w:line="264" w:lineRule="auto"/>
        <w:ind w:hanging="720"/>
        <w:rPr>
          <w:rFonts w:ascii="Times New Roman" w:hAnsi="Times New Roman"/>
          <w:b/>
          <w:sz w:val="25"/>
          <w:szCs w:val="25"/>
        </w:rPr>
      </w:pPr>
      <w:r w:rsidRPr="001B701C">
        <w:rPr>
          <w:rFonts w:ascii="Times New Roman" w:hAnsi="Times New Roman"/>
          <w:sz w:val="25"/>
          <w:szCs w:val="25"/>
        </w:rPr>
        <w:t>Staff alleges</w:t>
      </w:r>
      <w:r w:rsidR="0004510B">
        <w:rPr>
          <w:rFonts w:ascii="Times New Roman" w:hAnsi="Times New Roman"/>
          <w:sz w:val="25"/>
          <w:szCs w:val="25"/>
        </w:rPr>
        <w:t xml:space="preserve"> </w:t>
      </w:r>
      <w:r w:rsidR="003B7D89">
        <w:rPr>
          <w:rFonts w:ascii="Times New Roman" w:hAnsi="Times New Roman"/>
          <w:sz w:val="25"/>
          <w:szCs w:val="25"/>
        </w:rPr>
        <w:t xml:space="preserve">that </w:t>
      </w:r>
      <w:r w:rsidR="0004510B">
        <w:rPr>
          <w:rFonts w:ascii="Times New Roman" w:hAnsi="Times New Roman"/>
          <w:sz w:val="25"/>
          <w:szCs w:val="25"/>
        </w:rPr>
        <w:t>the bill of lading</w:t>
      </w:r>
      <w:r w:rsidR="003B7D89">
        <w:rPr>
          <w:rFonts w:ascii="Times New Roman" w:hAnsi="Times New Roman"/>
          <w:sz w:val="25"/>
          <w:szCs w:val="25"/>
        </w:rPr>
        <w:t xml:space="preserve"> </w:t>
      </w:r>
      <w:r w:rsidR="0004510B">
        <w:rPr>
          <w:rFonts w:ascii="Times New Roman" w:hAnsi="Times New Roman"/>
          <w:sz w:val="25"/>
          <w:szCs w:val="25"/>
        </w:rPr>
        <w:t>the Company u</w:t>
      </w:r>
      <w:r w:rsidR="00707AA6">
        <w:rPr>
          <w:rFonts w:ascii="Times New Roman" w:hAnsi="Times New Roman"/>
          <w:sz w:val="25"/>
          <w:szCs w:val="25"/>
        </w:rPr>
        <w:t>s</w:t>
      </w:r>
      <w:r w:rsidR="0004510B">
        <w:rPr>
          <w:rFonts w:ascii="Times New Roman" w:hAnsi="Times New Roman"/>
          <w:sz w:val="25"/>
          <w:szCs w:val="25"/>
        </w:rPr>
        <w:t>ed on 31 occasions contained inaccurate and unauthorized language</w:t>
      </w:r>
      <w:r w:rsidR="003B7D89">
        <w:rPr>
          <w:rFonts w:ascii="Times New Roman" w:hAnsi="Times New Roman"/>
          <w:sz w:val="25"/>
          <w:szCs w:val="25"/>
        </w:rPr>
        <w:t xml:space="preserve">.  </w:t>
      </w:r>
      <w:r w:rsidR="0004510B">
        <w:rPr>
          <w:rFonts w:ascii="Times New Roman" w:hAnsi="Times New Roman"/>
          <w:sz w:val="25"/>
          <w:szCs w:val="25"/>
        </w:rPr>
        <w:t>WAC 480-15-800(2) expressly grants customers up to nine months to file a complaint or claim against a mover for loss, damage, overcharge, injury, or damage.  Best Moving’s bill of lading stated that customers must report any claims for loss or damage within 24 hours.</w:t>
      </w:r>
      <w:r w:rsidR="0004510B">
        <w:rPr>
          <w:rStyle w:val="FootnoteReference"/>
          <w:rFonts w:ascii="Times New Roman" w:hAnsi="Times New Roman"/>
          <w:sz w:val="25"/>
          <w:szCs w:val="25"/>
        </w:rPr>
        <w:footnoteReference w:id="35"/>
      </w:r>
      <w:r w:rsidR="0004510B">
        <w:rPr>
          <w:rFonts w:ascii="Times New Roman" w:hAnsi="Times New Roman"/>
          <w:sz w:val="25"/>
          <w:szCs w:val="25"/>
        </w:rPr>
        <w:t xml:space="preserve">  </w:t>
      </w:r>
      <w:r w:rsidR="00CE1AB1">
        <w:rPr>
          <w:rFonts w:ascii="Times New Roman" w:hAnsi="Times New Roman"/>
          <w:sz w:val="25"/>
          <w:szCs w:val="25"/>
        </w:rPr>
        <w:t>According to Staff’s investigation report, the Company was instructed in the 2011 Investigation Report to remove this language from its forms.</w:t>
      </w:r>
      <w:r w:rsidR="00CE1AB1">
        <w:rPr>
          <w:rStyle w:val="FootnoteReference"/>
          <w:rFonts w:ascii="Times New Roman" w:hAnsi="Times New Roman"/>
          <w:sz w:val="25"/>
          <w:szCs w:val="25"/>
        </w:rPr>
        <w:footnoteReference w:id="36"/>
      </w:r>
      <w:r w:rsidR="00CE1AB1">
        <w:rPr>
          <w:rFonts w:ascii="Times New Roman" w:hAnsi="Times New Roman"/>
          <w:sz w:val="25"/>
          <w:szCs w:val="25"/>
        </w:rPr>
        <w:t xml:space="preserve">  Staff recommends a $1,000 penalty for one violation of WAC 480-15-800(2).</w:t>
      </w:r>
    </w:p>
    <w:p w14:paraId="4D52EE2D" w14:textId="77777777" w:rsidR="009A30A4" w:rsidRPr="003B7D89" w:rsidRDefault="009A30A4" w:rsidP="005318FE">
      <w:pPr>
        <w:spacing w:line="264" w:lineRule="auto"/>
        <w:rPr>
          <w:rFonts w:ascii="Times New Roman" w:hAnsi="Times New Roman"/>
          <w:b/>
          <w:sz w:val="25"/>
          <w:szCs w:val="25"/>
        </w:rPr>
      </w:pPr>
    </w:p>
    <w:p w14:paraId="738B561E" w14:textId="3B77CB77" w:rsidR="008A1F86" w:rsidRPr="009A30A4" w:rsidRDefault="0004510B" w:rsidP="005318FE">
      <w:pPr>
        <w:numPr>
          <w:ilvl w:val="0"/>
          <w:numId w:val="1"/>
        </w:numPr>
        <w:spacing w:line="264" w:lineRule="auto"/>
        <w:ind w:hanging="720"/>
        <w:rPr>
          <w:rFonts w:ascii="Times New Roman" w:hAnsi="Times New Roman"/>
          <w:b/>
          <w:sz w:val="25"/>
          <w:szCs w:val="25"/>
        </w:rPr>
      </w:pPr>
      <w:r>
        <w:rPr>
          <w:rFonts w:ascii="Times New Roman" w:hAnsi="Times New Roman"/>
          <w:sz w:val="25"/>
          <w:szCs w:val="25"/>
        </w:rPr>
        <w:t>Mr. Ratko testified that the Company has “added rights and responsibilities to the website</w:t>
      </w:r>
      <w:r w:rsidR="00F01D90">
        <w:rPr>
          <w:rFonts w:ascii="Times New Roman" w:hAnsi="Times New Roman"/>
          <w:sz w:val="25"/>
          <w:szCs w:val="25"/>
        </w:rPr>
        <w:t>”</w:t>
      </w:r>
      <w:r w:rsidR="008A1F86">
        <w:rPr>
          <w:rFonts w:ascii="Times New Roman" w:hAnsi="Times New Roman"/>
          <w:sz w:val="25"/>
          <w:szCs w:val="25"/>
        </w:rPr>
        <w:t xml:space="preserve"> </w:t>
      </w:r>
      <w:r w:rsidR="00F01D90">
        <w:rPr>
          <w:rFonts w:ascii="Times New Roman" w:hAnsi="Times New Roman"/>
          <w:sz w:val="25"/>
          <w:szCs w:val="25"/>
        </w:rPr>
        <w:t>and that “[t]he customer is aware that, you know, they can file within nine months.”</w:t>
      </w:r>
      <w:r w:rsidR="00F01D90">
        <w:rPr>
          <w:rStyle w:val="FootnoteReference"/>
          <w:rFonts w:ascii="Times New Roman" w:hAnsi="Times New Roman"/>
          <w:sz w:val="25"/>
          <w:szCs w:val="25"/>
        </w:rPr>
        <w:footnoteReference w:id="37"/>
      </w:r>
      <w:r w:rsidR="00F01D90">
        <w:rPr>
          <w:rFonts w:ascii="Times New Roman" w:hAnsi="Times New Roman"/>
          <w:sz w:val="25"/>
          <w:szCs w:val="25"/>
        </w:rPr>
        <w:t xml:space="preserve">  The revised bill of lading provided by Best Moving after the hearing state</w:t>
      </w:r>
      <w:r w:rsidR="00D66C5B">
        <w:rPr>
          <w:rFonts w:ascii="Times New Roman" w:hAnsi="Times New Roman"/>
          <w:sz w:val="25"/>
          <w:szCs w:val="25"/>
        </w:rPr>
        <w:t>s</w:t>
      </w:r>
      <w:r w:rsidR="00F01D90">
        <w:rPr>
          <w:rFonts w:ascii="Times New Roman" w:hAnsi="Times New Roman"/>
          <w:sz w:val="25"/>
          <w:szCs w:val="25"/>
        </w:rPr>
        <w:t xml:space="preserve"> that “[a]ll claims must be submitted to Carrier in writing within 90 days of completion of [the] move.”</w:t>
      </w:r>
      <w:r w:rsidR="00F01D90">
        <w:rPr>
          <w:rStyle w:val="FootnoteReference"/>
          <w:rFonts w:ascii="Times New Roman" w:hAnsi="Times New Roman"/>
          <w:sz w:val="25"/>
          <w:szCs w:val="25"/>
        </w:rPr>
        <w:footnoteReference w:id="38"/>
      </w:r>
    </w:p>
    <w:p w14:paraId="4F2206AD" w14:textId="77777777" w:rsidR="009A30A4" w:rsidRDefault="009A30A4" w:rsidP="005318FE">
      <w:pPr>
        <w:pStyle w:val="ListParagraph"/>
        <w:spacing w:line="264" w:lineRule="auto"/>
        <w:ind w:left="0"/>
        <w:rPr>
          <w:rFonts w:ascii="Times New Roman" w:hAnsi="Times New Roman"/>
          <w:b/>
          <w:sz w:val="25"/>
          <w:szCs w:val="25"/>
        </w:rPr>
      </w:pPr>
    </w:p>
    <w:p w14:paraId="19C89C41" w14:textId="0E9EB916" w:rsidR="009A30A4" w:rsidRPr="009A30A4" w:rsidRDefault="00ED054B" w:rsidP="005318FE">
      <w:pPr>
        <w:numPr>
          <w:ilvl w:val="0"/>
          <w:numId w:val="1"/>
        </w:numPr>
        <w:spacing w:line="264" w:lineRule="auto"/>
        <w:ind w:hanging="720"/>
        <w:rPr>
          <w:rFonts w:ascii="Times New Roman" w:hAnsi="Times New Roman"/>
          <w:b/>
          <w:sz w:val="25"/>
          <w:szCs w:val="25"/>
        </w:rPr>
      </w:pPr>
      <w:r w:rsidRPr="00ED054B">
        <w:rPr>
          <w:rFonts w:ascii="Times New Roman" w:hAnsi="Times New Roman"/>
          <w:b/>
          <w:sz w:val="25"/>
          <w:szCs w:val="25"/>
        </w:rPr>
        <w:t>Decision.</w:t>
      </w:r>
      <w:r>
        <w:rPr>
          <w:rFonts w:ascii="Times New Roman" w:hAnsi="Times New Roman"/>
          <w:sz w:val="25"/>
          <w:szCs w:val="25"/>
        </w:rPr>
        <w:t xml:space="preserve">  </w:t>
      </w:r>
      <w:r w:rsidR="00F2755E">
        <w:rPr>
          <w:rFonts w:ascii="Times New Roman" w:hAnsi="Times New Roman"/>
          <w:sz w:val="25"/>
          <w:szCs w:val="25"/>
        </w:rPr>
        <w:t xml:space="preserve">We agree with Staff’s recommendation and assess a $1,000 penalty for </w:t>
      </w:r>
      <w:r w:rsidR="00B21577">
        <w:rPr>
          <w:rFonts w:ascii="Times New Roman" w:hAnsi="Times New Roman"/>
          <w:sz w:val="25"/>
          <w:szCs w:val="25"/>
        </w:rPr>
        <w:t xml:space="preserve">Best Moving’s </w:t>
      </w:r>
      <w:r w:rsidR="00F2755E">
        <w:rPr>
          <w:rFonts w:ascii="Times New Roman" w:hAnsi="Times New Roman"/>
          <w:sz w:val="25"/>
          <w:szCs w:val="25"/>
        </w:rPr>
        <w:t xml:space="preserve">violation of </w:t>
      </w:r>
      <w:r w:rsidR="00F2755E" w:rsidRPr="001B701C">
        <w:rPr>
          <w:rFonts w:ascii="Times New Roman" w:hAnsi="Times New Roman"/>
          <w:sz w:val="25"/>
          <w:szCs w:val="25"/>
        </w:rPr>
        <w:t>WAC 480-15-</w:t>
      </w:r>
      <w:r w:rsidR="00B21577">
        <w:rPr>
          <w:rFonts w:ascii="Times New Roman" w:hAnsi="Times New Roman"/>
          <w:sz w:val="25"/>
          <w:szCs w:val="25"/>
        </w:rPr>
        <w:t>800</w:t>
      </w:r>
      <w:r w:rsidR="00F2755E" w:rsidRPr="001B701C">
        <w:rPr>
          <w:rFonts w:ascii="Times New Roman" w:hAnsi="Times New Roman"/>
          <w:sz w:val="25"/>
          <w:szCs w:val="25"/>
        </w:rPr>
        <w:t>(</w:t>
      </w:r>
      <w:r w:rsidR="00B21577">
        <w:rPr>
          <w:rFonts w:ascii="Times New Roman" w:hAnsi="Times New Roman"/>
          <w:sz w:val="25"/>
          <w:szCs w:val="25"/>
        </w:rPr>
        <w:t>2</w:t>
      </w:r>
      <w:r w:rsidR="00F2755E" w:rsidRPr="001B701C">
        <w:rPr>
          <w:rFonts w:ascii="Times New Roman" w:hAnsi="Times New Roman"/>
          <w:sz w:val="25"/>
          <w:szCs w:val="25"/>
        </w:rPr>
        <w:t>)</w:t>
      </w:r>
      <w:r w:rsidR="00F2755E">
        <w:rPr>
          <w:rFonts w:ascii="Times New Roman" w:hAnsi="Times New Roman"/>
          <w:sz w:val="25"/>
          <w:szCs w:val="25"/>
        </w:rPr>
        <w:t xml:space="preserve">.  The Company was notified </w:t>
      </w:r>
      <w:r w:rsidR="00B21577">
        <w:rPr>
          <w:rFonts w:ascii="Times New Roman" w:hAnsi="Times New Roman"/>
          <w:sz w:val="25"/>
          <w:szCs w:val="25"/>
        </w:rPr>
        <w:t xml:space="preserve">of </w:t>
      </w:r>
      <w:r w:rsidR="00F2755E">
        <w:rPr>
          <w:rFonts w:ascii="Times New Roman" w:hAnsi="Times New Roman"/>
          <w:sz w:val="25"/>
          <w:szCs w:val="25"/>
        </w:rPr>
        <w:t>the violation</w:t>
      </w:r>
      <w:r w:rsidR="00B21577">
        <w:rPr>
          <w:rFonts w:ascii="Times New Roman" w:hAnsi="Times New Roman"/>
          <w:sz w:val="25"/>
          <w:szCs w:val="25"/>
        </w:rPr>
        <w:t xml:space="preserve"> in the 2011 Investigation Report and did not remove the 24 hour language from its forms, as shown in Staff Exhibit Nos. RP-32 through R</w:t>
      </w:r>
      <w:r w:rsidR="00104A14">
        <w:rPr>
          <w:rFonts w:ascii="Times New Roman" w:hAnsi="Times New Roman"/>
          <w:sz w:val="25"/>
          <w:szCs w:val="25"/>
        </w:rPr>
        <w:t>P</w:t>
      </w:r>
      <w:r w:rsidR="00B21577">
        <w:rPr>
          <w:rFonts w:ascii="Times New Roman" w:hAnsi="Times New Roman"/>
          <w:sz w:val="25"/>
          <w:szCs w:val="25"/>
        </w:rPr>
        <w:t>-62, during 2012</w:t>
      </w:r>
      <w:r w:rsidR="00F2755E">
        <w:rPr>
          <w:rFonts w:ascii="Times New Roman" w:hAnsi="Times New Roman"/>
          <w:sz w:val="25"/>
          <w:szCs w:val="25"/>
        </w:rPr>
        <w:t xml:space="preserve">.  </w:t>
      </w:r>
      <w:r w:rsidR="00B21577">
        <w:rPr>
          <w:rFonts w:ascii="Times New Roman" w:hAnsi="Times New Roman"/>
          <w:sz w:val="25"/>
          <w:szCs w:val="25"/>
        </w:rPr>
        <w:t>Even the revised bill of lading, provided after the hearing, impermissibly claims that the customers only have 3 months to lodge a claim against the carrier</w:t>
      </w:r>
      <w:r w:rsidR="001470B9">
        <w:rPr>
          <w:rFonts w:ascii="Times New Roman" w:hAnsi="Times New Roman"/>
          <w:sz w:val="25"/>
          <w:szCs w:val="25"/>
        </w:rPr>
        <w:t>.</w:t>
      </w:r>
      <w:r w:rsidR="00B21577">
        <w:rPr>
          <w:rFonts w:ascii="Times New Roman" w:hAnsi="Times New Roman"/>
          <w:sz w:val="25"/>
          <w:szCs w:val="25"/>
        </w:rPr>
        <w:t xml:space="preserve">  We find the Company has continued to commit the violation alleged by Staff of WAC 480-15-800(2) and should thus be assessed a penalty of $1,000. </w:t>
      </w:r>
    </w:p>
    <w:p w14:paraId="06AE55E2" w14:textId="77777777" w:rsidR="009A30A4" w:rsidRDefault="009A30A4" w:rsidP="005318FE">
      <w:pPr>
        <w:pStyle w:val="ListParagraph"/>
        <w:spacing w:line="264" w:lineRule="auto"/>
        <w:rPr>
          <w:rFonts w:ascii="Times New Roman" w:hAnsi="Times New Roman"/>
          <w:b/>
          <w:sz w:val="25"/>
          <w:szCs w:val="25"/>
        </w:rPr>
      </w:pPr>
    </w:p>
    <w:p w14:paraId="49332B50" w14:textId="401F2A80" w:rsidR="001B701C" w:rsidRDefault="001B701C" w:rsidP="005318FE">
      <w:pPr>
        <w:spacing w:line="264" w:lineRule="auto"/>
        <w:rPr>
          <w:rFonts w:ascii="Times New Roman" w:hAnsi="Times New Roman"/>
          <w:b/>
          <w:sz w:val="25"/>
          <w:szCs w:val="25"/>
        </w:rPr>
      </w:pPr>
      <w:r>
        <w:rPr>
          <w:rFonts w:ascii="Times New Roman" w:hAnsi="Times New Roman"/>
          <w:b/>
          <w:sz w:val="25"/>
          <w:szCs w:val="25"/>
        </w:rPr>
        <w:t>Seventh Cause of Action</w:t>
      </w:r>
    </w:p>
    <w:p w14:paraId="39A3C83C" w14:textId="77777777" w:rsidR="00601D76" w:rsidRPr="001B701C" w:rsidRDefault="00601D76" w:rsidP="005318FE">
      <w:pPr>
        <w:spacing w:line="264" w:lineRule="auto"/>
        <w:rPr>
          <w:rFonts w:ascii="Times New Roman" w:hAnsi="Times New Roman"/>
          <w:b/>
          <w:sz w:val="25"/>
          <w:szCs w:val="25"/>
        </w:rPr>
      </w:pPr>
    </w:p>
    <w:p w14:paraId="5FA98C69" w14:textId="6E4ED32C" w:rsidR="00852649" w:rsidRPr="001D0C17" w:rsidRDefault="001B701C" w:rsidP="005318FE">
      <w:pPr>
        <w:numPr>
          <w:ilvl w:val="0"/>
          <w:numId w:val="1"/>
        </w:numPr>
        <w:spacing w:line="264" w:lineRule="auto"/>
        <w:ind w:hanging="720"/>
        <w:rPr>
          <w:rFonts w:ascii="Times New Roman" w:hAnsi="Times New Roman"/>
          <w:b/>
          <w:sz w:val="25"/>
          <w:szCs w:val="25"/>
        </w:rPr>
      </w:pPr>
      <w:r>
        <w:rPr>
          <w:rFonts w:ascii="Times New Roman" w:hAnsi="Times New Roman"/>
          <w:sz w:val="25"/>
          <w:szCs w:val="25"/>
        </w:rPr>
        <w:t xml:space="preserve">Staff alleges </w:t>
      </w:r>
      <w:r w:rsidR="003B33A4">
        <w:rPr>
          <w:rFonts w:ascii="Times New Roman" w:hAnsi="Times New Roman"/>
          <w:sz w:val="25"/>
          <w:szCs w:val="25"/>
        </w:rPr>
        <w:t>Best Moving continues to advertise on its website without including a physical address in violation of WAC 480-15-610(1)</w:t>
      </w:r>
      <w:r>
        <w:rPr>
          <w:rFonts w:ascii="Times New Roman" w:hAnsi="Times New Roman"/>
          <w:sz w:val="25"/>
          <w:szCs w:val="25"/>
        </w:rPr>
        <w:t>.</w:t>
      </w:r>
      <w:r w:rsidR="003B33A4">
        <w:rPr>
          <w:rFonts w:ascii="Times New Roman" w:hAnsi="Times New Roman"/>
          <w:sz w:val="25"/>
          <w:szCs w:val="25"/>
        </w:rPr>
        <w:t xml:space="preserve">  </w:t>
      </w:r>
      <w:r w:rsidR="00E74EB4">
        <w:rPr>
          <w:rFonts w:ascii="Times New Roman" w:hAnsi="Times New Roman"/>
          <w:sz w:val="25"/>
          <w:szCs w:val="25"/>
        </w:rPr>
        <w:t>This has been an issue as far back as 2009 when Staff contacted the Company to indicate that its physical address was required on its website.</w:t>
      </w:r>
      <w:r w:rsidR="00E74EB4">
        <w:rPr>
          <w:rStyle w:val="FootnoteReference"/>
          <w:rFonts w:ascii="Times New Roman" w:hAnsi="Times New Roman"/>
          <w:sz w:val="25"/>
          <w:szCs w:val="25"/>
        </w:rPr>
        <w:footnoteReference w:id="39"/>
      </w:r>
      <w:r w:rsidR="00E74EB4">
        <w:rPr>
          <w:rFonts w:ascii="Times New Roman" w:hAnsi="Times New Roman"/>
          <w:sz w:val="25"/>
          <w:szCs w:val="25"/>
        </w:rPr>
        <w:t xml:space="preserve">  At that time, Mr. Ratko told Staff via email that he had corrected the problem.</w:t>
      </w:r>
      <w:r w:rsidR="00B328DC">
        <w:rPr>
          <w:rStyle w:val="FootnoteReference"/>
          <w:rFonts w:ascii="Times New Roman" w:hAnsi="Times New Roman"/>
          <w:sz w:val="25"/>
          <w:szCs w:val="25"/>
        </w:rPr>
        <w:footnoteReference w:id="40"/>
      </w:r>
      <w:r w:rsidR="00E74EB4">
        <w:rPr>
          <w:rFonts w:ascii="Times New Roman" w:hAnsi="Times New Roman"/>
          <w:sz w:val="25"/>
          <w:szCs w:val="25"/>
        </w:rPr>
        <w:t xml:space="preserve">  </w:t>
      </w:r>
      <w:r w:rsidR="003B33A4">
        <w:rPr>
          <w:rFonts w:ascii="Times New Roman" w:hAnsi="Times New Roman"/>
          <w:sz w:val="25"/>
          <w:szCs w:val="25"/>
        </w:rPr>
        <w:t xml:space="preserve">Staff’s Exhibit No. RP-63 </w:t>
      </w:r>
      <w:r w:rsidR="005A693F">
        <w:rPr>
          <w:rFonts w:ascii="Times New Roman" w:hAnsi="Times New Roman"/>
          <w:sz w:val="25"/>
          <w:szCs w:val="25"/>
        </w:rPr>
        <w:t>is</w:t>
      </w:r>
      <w:r w:rsidR="003B33A4">
        <w:rPr>
          <w:rFonts w:ascii="Times New Roman" w:hAnsi="Times New Roman"/>
          <w:sz w:val="25"/>
          <w:szCs w:val="25"/>
        </w:rPr>
        <w:t xml:space="preserve"> a printout of the Company’s website</w:t>
      </w:r>
      <w:r w:rsidR="005A693F">
        <w:rPr>
          <w:rFonts w:ascii="Times New Roman" w:hAnsi="Times New Roman"/>
          <w:sz w:val="25"/>
          <w:szCs w:val="25"/>
        </w:rPr>
        <w:t xml:space="preserve"> </w:t>
      </w:r>
      <w:r w:rsidR="00C56B5D">
        <w:rPr>
          <w:rFonts w:ascii="Times New Roman" w:hAnsi="Times New Roman"/>
          <w:sz w:val="25"/>
          <w:szCs w:val="25"/>
        </w:rPr>
        <w:t xml:space="preserve">on May 7, 2014, </w:t>
      </w:r>
      <w:r w:rsidR="005A693F">
        <w:rPr>
          <w:rFonts w:ascii="Times New Roman" w:hAnsi="Times New Roman"/>
          <w:sz w:val="25"/>
          <w:szCs w:val="25"/>
        </w:rPr>
        <w:t>which</w:t>
      </w:r>
      <w:r w:rsidR="003B33A4">
        <w:rPr>
          <w:rFonts w:ascii="Times New Roman" w:hAnsi="Times New Roman"/>
          <w:sz w:val="25"/>
          <w:szCs w:val="25"/>
        </w:rPr>
        <w:t xml:space="preserve"> list</w:t>
      </w:r>
      <w:r w:rsidR="005A693F">
        <w:rPr>
          <w:rFonts w:ascii="Times New Roman" w:hAnsi="Times New Roman"/>
          <w:sz w:val="25"/>
          <w:szCs w:val="25"/>
        </w:rPr>
        <w:t>s</w:t>
      </w:r>
      <w:r w:rsidR="003B33A4">
        <w:rPr>
          <w:rFonts w:ascii="Times New Roman" w:hAnsi="Times New Roman"/>
          <w:sz w:val="25"/>
          <w:szCs w:val="25"/>
        </w:rPr>
        <w:t xml:space="preserve"> only a </w:t>
      </w:r>
      <w:r w:rsidR="005A693F">
        <w:rPr>
          <w:rFonts w:ascii="Times New Roman" w:hAnsi="Times New Roman"/>
          <w:sz w:val="25"/>
          <w:szCs w:val="25"/>
        </w:rPr>
        <w:t xml:space="preserve">post office box </w:t>
      </w:r>
      <w:r w:rsidR="003B33A4">
        <w:rPr>
          <w:rFonts w:ascii="Times New Roman" w:hAnsi="Times New Roman"/>
          <w:sz w:val="25"/>
          <w:szCs w:val="25"/>
        </w:rPr>
        <w:t>mailing address for Best Moving.</w:t>
      </w:r>
      <w:r w:rsidR="003B33A4">
        <w:rPr>
          <w:rStyle w:val="FootnoteReference"/>
          <w:rFonts w:ascii="Times New Roman" w:hAnsi="Times New Roman"/>
          <w:sz w:val="25"/>
          <w:szCs w:val="25"/>
        </w:rPr>
        <w:footnoteReference w:id="41"/>
      </w:r>
      <w:r>
        <w:rPr>
          <w:rFonts w:ascii="Times New Roman" w:hAnsi="Times New Roman"/>
          <w:sz w:val="25"/>
          <w:szCs w:val="25"/>
        </w:rPr>
        <w:t xml:space="preserve">  </w:t>
      </w:r>
      <w:r w:rsidR="00305F96">
        <w:rPr>
          <w:rFonts w:ascii="Times New Roman" w:hAnsi="Times New Roman"/>
          <w:sz w:val="25"/>
          <w:szCs w:val="25"/>
        </w:rPr>
        <w:t xml:space="preserve">Mr. Ratko testified at hearing that he thought the website had the Company’s physical address but that it would be added if it </w:t>
      </w:r>
      <w:r w:rsidR="005A693F">
        <w:rPr>
          <w:rFonts w:ascii="Times New Roman" w:hAnsi="Times New Roman"/>
          <w:sz w:val="25"/>
          <w:szCs w:val="25"/>
        </w:rPr>
        <w:t>did</w:t>
      </w:r>
      <w:r w:rsidR="00305F96">
        <w:rPr>
          <w:rFonts w:ascii="Times New Roman" w:hAnsi="Times New Roman"/>
          <w:sz w:val="25"/>
          <w:szCs w:val="25"/>
        </w:rPr>
        <w:t xml:space="preserve"> not</w:t>
      </w:r>
      <w:r w:rsidR="00F2755E">
        <w:rPr>
          <w:rFonts w:ascii="Times New Roman" w:hAnsi="Times New Roman"/>
          <w:sz w:val="25"/>
          <w:szCs w:val="25"/>
        </w:rPr>
        <w:t>.</w:t>
      </w:r>
      <w:r w:rsidR="00305F96">
        <w:rPr>
          <w:rStyle w:val="FootnoteReference"/>
          <w:rFonts w:ascii="Times New Roman" w:hAnsi="Times New Roman"/>
          <w:sz w:val="25"/>
          <w:szCs w:val="25"/>
        </w:rPr>
        <w:footnoteReference w:id="42"/>
      </w:r>
      <w:r w:rsidR="00305F96">
        <w:rPr>
          <w:rFonts w:ascii="Times New Roman" w:hAnsi="Times New Roman"/>
          <w:sz w:val="25"/>
          <w:szCs w:val="25"/>
        </w:rPr>
        <w:t xml:space="preserve">  He also stated that other websites </w:t>
      </w:r>
      <w:r w:rsidR="00852649">
        <w:rPr>
          <w:rFonts w:ascii="Times New Roman" w:hAnsi="Times New Roman"/>
          <w:sz w:val="25"/>
          <w:szCs w:val="25"/>
        </w:rPr>
        <w:t xml:space="preserve">on which </w:t>
      </w:r>
      <w:r w:rsidR="00305F96">
        <w:rPr>
          <w:rFonts w:ascii="Times New Roman" w:hAnsi="Times New Roman"/>
          <w:sz w:val="25"/>
          <w:szCs w:val="25"/>
        </w:rPr>
        <w:t xml:space="preserve">Best Moving advertises, e.g., Craigslist, </w:t>
      </w:r>
      <w:r w:rsidR="00852649">
        <w:rPr>
          <w:rFonts w:ascii="Times New Roman" w:hAnsi="Times New Roman"/>
          <w:sz w:val="25"/>
          <w:szCs w:val="25"/>
        </w:rPr>
        <w:t>have the Company’s physical address, as does the Commission.</w:t>
      </w:r>
      <w:r w:rsidR="00852649">
        <w:rPr>
          <w:rStyle w:val="FootnoteReference"/>
          <w:rFonts w:ascii="Times New Roman" w:hAnsi="Times New Roman"/>
          <w:sz w:val="25"/>
          <w:szCs w:val="25"/>
        </w:rPr>
        <w:footnoteReference w:id="43"/>
      </w:r>
      <w:r w:rsidR="00852649">
        <w:rPr>
          <w:rFonts w:ascii="Times New Roman" w:hAnsi="Times New Roman"/>
          <w:sz w:val="25"/>
          <w:szCs w:val="25"/>
        </w:rPr>
        <w:t xml:space="preserve">  </w:t>
      </w:r>
      <w:r w:rsidR="001D0C17" w:rsidRPr="00E17587">
        <w:rPr>
          <w:rFonts w:ascii="Times New Roman" w:hAnsi="Times New Roman"/>
          <w:sz w:val="25"/>
          <w:szCs w:val="25"/>
        </w:rPr>
        <w:t xml:space="preserve">Staff recommends that the Commission assess a penalty in the amount of up to $1,000 against Best Moving </w:t>
      </w:r>
      <w:r w:rsidR="00E17587" w:rsidRPr="00E17587">
        <w:rPr>
          <w:rFonts w:ascii="Times New Roman" w:hAnsi="Times New Roman"/>
          <w:sz w:val="25"/>
          <w:szCs w:val="25"/>
        </w:rPr>
        <w:t>for advertising on the Company’s website without including a physical address in violation of WAC 480-15-610(1).</w:t>
      </w:r>
    </w:p>
    <w:p w14:paraId="3EC8AF0E" w14:textId="77777777" w:rsidR="009A30A4" w:rsidRPr="00F2755E" w:rsidRDefault="009A30A4" w:rsidP="005318FE">
      <w:pPr>
        <w:spacing w:line="264" w:lineRule="auto"/>
        <w:rPr>
          <w:rFonts w:ascii="Times New Roman" w:hAnsi="Times New Roman"/>
          <w:b/>
          <w:sz w:val="25"/>
          <w:szCs w:val="25"/>
        </w:rPr>
      </w:pPr>
    </w:p>
    <w:p w14:paraId="67A6FD6A" w14:textId="5BACA63A" w:rsidR="009A30A4" w:rsidRPr="009A30A4" w:rsidRDefault="00F024C9" w:rsidP="005318FE">
      <w:pPr>
        <w:numPr>
          <w:ilvl w:val="0"/>
          <w:numId w:val="1"/>
        </w:numPr>
        <w:spacing w:line="264" w:lineRule="auto"/>
        <w:ind w:hanging="720"/>
        <w:rPr>
          <w:rFonts w:ascii="Times New Roman" w:hAnsi="Times New Roman"/>
          <w:b/>
          <w:sz w:val="25"/>
          <w:szCs w:val="25"/>
        </w:rPr>
      </w:pPr>
      <w:r w:rsidRPr="00852649">
        <w:rPr>
          <w:rFonts w:ascii="Times New Roman" w:hAnsi="Times New Roman"/>
          <w:b/>
          <w:sz w:val="25"/>
          <w:szCs w:val="25"/>
        </w:rPr>
        <w:t xml:space="preserve">Decision.  </w:t>
      </w:r>
      <w:r w:rsidR="00E17587">
        <w:rPr>
          <w:rFonts w:ascii="Times New Roman" w:hAnsi="Times New Roman"/>
          <w:sz w:val="25"/>
          <w:szCs w:val="25"/>
        </w:rPr>
        <w:t>Ensuring that all advertisements comply with Commission rules protects consumers by providing accurate information about the Company, including its physical address.  Mr. Ratko’s lack of knowledge about the contents of his own company’s website</w:t>
      </w:r>
      <w:r w:rsidR="007C7DD1">
        <w:rPr>
          <w:rFonts w:ascii="Times New Roman" w:hAnsi="Times New Roman"/>
          <w:sz w:val="25"/>
          <w:szCs w:val="25"/>
        </w:rPr>
        <w:t>,</w:t>
      </w:r>
      <w:r w:rsidR="00E17587">
        <w:rPr>
          <w:rFonts w:ascii="Times New Roman" w:hAnsi="Times New Roman"/>
          <w:sz w:val="25"/>
          <w:szCs w:val="25"/>
        </w:rPr>
        <w:t xml:space="preserve"> and whether it is currently in compliance with the Commission’s rules</w:t>
      </w:r>
      <w:r w:rsidR="007C7DD1">
        <w:rPr>
          <w:rFonts w:ascii="Times New Roman" w:hAnsi="Times New Roman"/>
          <w:sz w:val="25"/>
          <w:szCs w:val="25"/>
        </w:rPr>
        <w:t>,</w:t>
      </w:r>
      <w:r w:rsidR="00E17587">
        <w:rPr>
          <w:rFonts w:ascii="Times New Roman" w:hAnsi="Times New Roman"/>
          <w:sz w:val="25"/>
          <w:szCs w:val="25"/>
        </w:rPr>
        <w:t xml:space="preserve"> is troubling.  </w:t>
      </w:r>
      <w:r w:rsidR="005A693F">
        <w:rPr>
          <w:rFonts w:ascii="Times New Roman" w:hAnsi="Times New Roman"/>
          <w:sz w:val="25"/>
          <w:szCs w:val="25"/>
        </w:rPr>
        <w:t>T</w:t>
      </w:r>
      <w:r w:rsidR="00E17587">
        <w:rPr>
          <w:rFonts w:ascii="Times New Roman" w:hAnsi="Times New Roman"/>
          <w:sz w:val="25"/>
          <w:szCs w:val="25"/>
        </w:rPr>
        <w:t>he Company has continued to ignore the importance of this requirement.  Accordingly, we find the recommended penalty amount appropriate, and assess a $1,000 penalty for the violation of WAC 480-15-610</w:t>
      </w:r>
      <w:r w:rsidR="00A6599D">
        <w:rPr>
          <w:rFonts w:ascii="Times New Roman" w:hAnsi="Times New Roman"/>
          <w:sz w:val="25"/>
          <w:szCs w:val="25"/>
        </w:rPr>
        <w:t>(1)</w:t>
      </w:r>
      <w:r w:rsidR="00E17587">
        <w:rPr>
          <w:rFonts w:ascii="Times New Roman" w:hAnsi="Times New Roman"/>
          <w:sz w:val="25"/>
          <w:szCs w:val="25"/>
        </w:rPr>
        <w:t>.</w:t>
      </w:r>
      <w:r w:rsidR="003F6A5A">
        <w:rPr>
          <w:rFonts w:ascii="Times New Roman" w:hAnsi="Times New Roman"/>
          <w:sz w:val="25"/>
          <w:szCs w:val="25"/>
        </w:rPr>
        <w:t xml:space="preserve">  </w:t>
      </w:r>
    </w:p>
    <w:p w14:paraId="2BF83837" w14:textId="77777777" w:rsidR="009A30A4" w:rsidRDefault="009A30A4" w:rsidP="005318FE">
      <w:pPr>
        <w:pStyle w:val="ListParagraph"/>
        <w:spacing w:line="264" w:lineRule="auto"/>
        <w:rPr>
          <w:rFonts w:ascii="Times New Roman" w:hAnsi="Times New Roman"/>
          <w:b/>
          <w:sz w:val="25"/>
          <w:szCs w:val="25"/>
        </w:rPr>
      </w:pPr>
    </w:p>
    <w:p w14:paraId="2D4EFE06" w14:textId="6C914FF9" w:rsidR="001B701C" w:rsidRDefault="001B701C" w:rsidP="005318FE">
      <w:pPr>
        <w:spacing w:line="264" w:lineRule="auto"/>
        <w:rPr>
          <w:rFonts w:ascii="Times New Roman" w:hAnsi="Times New Roman"/>
          <w:b/>
          <w:sz w:val="25"/>
          <w:szCs w:val="25"/>
        </w:rPr>
      </w:pPr>
      <w:r w:rsidRPr="00220956">
        <w:rPr>
          <w:rFonts w:ascii="Times New Roman" w:hAnsi="Times New Roman"/>
          <w:b/>
          <w:sz w:val="25"/>
          <w:szCs w:val="25"/>
        </w:rPr>
        <w:t>Eighth Cause of Action</w:t>
      </w:r>
    </w:p>
    <w:p w14:paraId="4B447EEB" w14:textId="77777777" w:rsidR="00601D76" w:rsidRPr="00220956" w:rsidRDefault="00601D76" w:rsidP="005318FE">
      <w:pPr>
        <w:spacing w:line="264" w:lineRule="auto"/>
        <w:rPr>
          <w:rFonts w:ascii="Times New Roman" w:hAnsi="Times New Roman"/>
          <w:b/>
          <w:sz w:val="25"/>
          <w:szCs w:val="25"/>
        </w:rPr>
      </w:pPr>
    </w:p>
    <w:p w14:paraId="4A73F443" w14:textId="4880F846" w:rsidR="001B701C" w:rsidRPr="009A30A4" w:rsidRDefault="001B701C" w:rsidP="005318FE">
      <w:pPr>
        <w:numPr>
          <w:ilvl w:val="0"/>
          <w:numId w:val="1"/>
        </w:numPr>
        <w:spacing w:line="264" w:lineRule="auto"/>
        <w:ind w:hanging="720"/>
        <w:rPr>
          <w:rFonts w:ascii="Times New Roman" w:hAnsi="Times New Roman"/>
          <w:b/>
          <w:sz w:val="25"/>
          <w:szCs w:val="25"/>
        </w:rPr>
      </w:pPr>
      <w:r>
        <w:rPr>
          <w:rFonts w:ascii="Times New Roman" w:hAnsi="Times New Roman"/>
          <w:sz w:val="25"/>
          <w:szCs w:val="25"/>
        </w:rPr>
        <w:t>Staff alleges</w:t>
      </w:r>
      <w:r w:rsidR="005C4DC9">
        <w:rPr>
          <w:rFonts w:ascii="Times New Roman" w:hAnsi="Times New Roman"/>
          <w:sz w:val="25"/>
          <w:szCs w:val="25"/>
        </w:rPr>
        <w:t xml:space="preserve"> that </w:t>
      </w:r>
      <w:r w:rsidR="000F3F3F">
        <w:rPr>
          <w:rFonts w:ascii="Times New Roman" w:hAnsi="Times New Roman"/>
          <w:sz w:val="25"/>
          <w:szCs w:val="25"/>
        </w:rPr>
        <w:t>Best Moving</w:t>
      </w:r>
      <w:r w:rsidR="005C4DC9">
        <w:rPr>
          <w:rFonts w:ascii="Times New Roman" w:hAnsi="Times New Roman"/>
          <w:sz w:val="25"/>
          <w:szCs w:val="25"/>
        </w:rPr>
        <w:t xml:space="preserve"> failed t</w:t>
      </w:r>
      <w:r w:rsidR="001212B6">
        <w:rPr>
          <w:rFonts w:ascii="Times New Roman" w:hAnsi="Times New Roman"/>
          <w:sz w:val="25"/>
          <w:szCs w:val="25"/>
        </w:rPr>
        <w:t xml:space="preserve">o </w:t>
      </w:r>
      <w:r w:rsidR="000F3F3F">
        <w:rPr>
          <w:rFonts w:ascii="Times New Roman" w:hAnsi="Times New Roman"/>
          <w:sz w:val="25"/>
          <w:szCs w:val="25"/>
        </w:rPr>
        <w:t xml:space="preserve">follow </w:t>
      </w:r>
      <w:r w:rsidR="00781164">
        <w:rPr>
          <w:rFonts w:ascii="Times New Roman" w:hAnsi="Times New Roman"/>
          <w:sz w:val="25"/>
          <w:szCs w:val="25"/>
        </w:rPr>
        <w:t xml:space="preserve">the </w:t>
      </w:r>
      <w:r w:rsidR="000F3F3F">
        <w:rPr>
          <w:rFonts w:ascii="Times New Roman" w:hAnsi="Times New Roman"/>
          <w:sz w:val="25"/>
          <w:szCs w:val="25"/>
        </w:rPr>
        <w:t>rates, terms, and conditions set forth in Tariff 15-C</w:t>
      </w:r>
      <w:r w:rsidR="005C4DC9">
        <w:rPr>
          <w:rFonts w:ascii="Times New Roman" w:hAnsi="Times New Roman"/>
          <w:sz w:val="25"/>
          <w:szCs w:val="25"/>
        </w:rPr>
        <w:t xml:space="preserve"> on ten occasions.  </w:t>
      </w:r>
      <w:r w:rsidR="002512B6">
        <w:rPr>
          <w:rFonts w:ascii="Times New Roman" w:hAnsi="Times New Roman"/>
          <w:sz w:val="25"/>
          <w:szCs w:val="25"/>
        </w:rPr>
        <w:t>WAC 480-15-490(3) mandates that carriers follow the r</w:t>
      </w:r>
      <w:r w:rsidR="00FE4B11">
        <w:rPr>
          <w:rFonts w:ascii="Times New Roman" w:hAnsi="Times New Roman"/>
          <w:sz w:val="25"/>
          <w:szCs w:val="25"/>
        </w:rPr>
        <w:t>at</w:t>
      </w:r>
      <w:r w:rsidR="002512B6">
        <w:rPr>
          <w:rFonts w:ascii="Times New Roman" w:hAnsi="Times New Roman"/>
          <w:sz w:val="25"/>
          <w:szCs w:val="25"/>
        </w:rPr>
        <w:t xml:space="preserve">es, terms, and conditions </w:t>
      </w:r>
      <w:r w:rsidR="00FE4B11">
        <w:rPr>
          <w:rFonts w:ascii="Times New Roman" w:hAnsi="Times New Roman"/>
          <w:sz w:val="25"/>
          <w:szCs w:val="25"/>
        </w:rPr>
        <w:t>authorized in the Commission-published tariff</w:t>
      </w:r>
      <w:r w:rsidR="00781164">
        <w:rPr>
          <w:rFonts w:ascii="Times New Roman" w:hAnsi="Times New Roman"/>
          <w:sz w:val="25"/>
          <w:szCs w:val="25"/>
        </w:rPr>
        <w:t xml:space="preserve">, </w:t>
      </w:r>
      <w:r w:rsidR="007C7DD1">
        <w:rPr>
          <w:rFonts w:ascii="Times New Roman" w:hAnsi="Times New Roman"/>
          <w:sz w:val="25"/>
          <w:szCs w:val="25"/>
        </w:rPr>
        <w:t>including</w:t>
      </w:r>
      <w:r w:rsidR="00781164">
        <w:rPr>
          <w:rFonts w:ascii="Times New Roman" w:hAnsi="Times New Roman"/>
          <w:sz w:val="25"/>
          <w:szCs w:val="25"/>
        </w:rPr>
        <w:t xml:space="preserve"> </w:t>
      </w:r>
      <w:r w:rsidR="000F3F3F">
        <w:rPr>
          <w:rFonts w:ascii="Times New Roman" w:hAnsi="Times New Roman"/>
          <w:sz w:val="25"/>
          <w:szCs w:val="25"/>
        </w:rPr>
        <w:t>a minimum hourly charge of four hours for all weekend moves and record</w:t>
      </w:r>
      <w:r w:rsidR="007C7DD1">
        <w:rPr>
          <w:rFonts w:ascii="Times New Roman" w:hAnsi="Times New Roman"/>
          <w:sz w:val="25"/>
          <w:szCs w:val="25"/>
        </w:rPr>
        <w:t xml:space="preserve">ing </w:t>
      </w:r>
      <w:r w:rsidR="000F3F3F">
        <w:rPr>
          <w:rFonts w:ascii="Times New Roman" w:hAnsi="Times New Roman"/>
          <w:sz w:val="25"/>
          <w:szCs w:val="25"/>
        </w:rPr>
        <w:t>time in increments of 15 minutes</w:t>
      </w:r>
      <w:r w:rsidR="005C4DC9">
        <w:rPr>
          <w:rFonts w:ascii="Times New Roman" w:hAnsi="Times New Roman"/>
          <w:sz w:val="25"/>
          <w:szCs w:val="25"/>
        </w:rPr>
        <w:t>.</w:t>
      </w:r>
      <w:r w:rsidR="000F3F3F">
        <w:rPr>
          <w:rStyle w:val="FootnoteReference"/>
          <w:rFonts w:ascii="Times New Roman" w:hAnsi="Times New Roman"/>
          <w:sz w:val="25"/>
          <w:szCs w:val="25"/>
        </w:rPr>
        <w:footnoteReference w:id="44"/>
      </w:r>
      <w:r w:rsidR="000F3F3F">
        <w:rPr>
          <w:rFonts w:ascii="Times New Roman" w:hAnsi="Times New Roman"/>
          <w:sz w:val="25"/>
          <w:szCs w:val="25"/>
        </w:rPr>
        <w:t xml:space="preserve">  Carriers are </w:t>
      </w:r>
      <w:r w:rsidR="00262CB6">
        <w:rPr>
          <w:rFonts w:ascii="Times New Roman" w:hAnsi="Times New Roman"/>
          <w:sz w:val="25"/>
          <w:szCs w:val="25"/>
        </w:rPr>
        <w:t xml:space="preserve">also </w:t>
      </w:r>
      <w:r w:rsidR="000F3F3F">
        <w:rPr>
          <w:rFonts w:ascii="Times New Roman" w:hAnsi="Times New Roman"/>
          <w:sz w:val="25"/>
          <w:szCs w:val="25"/>
        </w:rPr>
        <w:t>not authorized to collect fuel surcharges or gas fees.</w:t>
      </w:r>
      <w:r w:rsidR="000F3F3F">
        <w:rPr>
          <w:rStyle w:val="FootnoteReference"/>
          <w:rFonts w:ascii="Times New Roman" w:hAnsi="Times New Roman"/>
          <w:sz w:val="25"/>
          <w:szCs w:val="25"/>
        </w:rPr>
        <w:footnoteReference w:id="45"/>
      </w:r>
    </w:p>
    <w:p w14:paraId="4B4D2446" w14:textId="77777777" w:rsidR="009A30A4" w:rsidRPr="005C4DC9" w:rsidRDefault="009A30A4" w:rsidP="005318FE">
      <w:pPr>
        <w:spacing w:line="264" w:lineRule="auto"/>
        <w:ind w:left="-720"/>
        <w:rPr>
          <w:rFonts w:ascii="Times New Roman" w:hAnsi="Times New Roman"/>
          <w:b/>
          <w:sz w:val="25"/>
          <w:szCs w:val="25"/>
        </w:rPr>
      </w:pPr>
    </w:p>
    <w:p w14:paraId="5D6E7E23" w14:textId="7D268836" w:rsidR="00C3240E" w:rsidRPr="007C7DD1" w:rsidRDefault="005C4DC9" w:rsidP="005318FE">
      <w:pPr>
        <w:numPr>
          <w:ilvl w:val="0"/>
          <w:numId w:val="1"/>
        </w:numPr>
        <w:spacing w:line="264" w:lineRule="auto"/>
        <w:ind w:hanging="720"/>
        <w:rPr>
          <w:rFonts w:ascii="Times New Roman" w:hAnsi="Times New Roman"/>
          <w:b/>
          <w:sz w:val="25"/>
          <w:szCs w:val="25"/>
        </w:rPr>
      </w:pPr>
      <w:r>
        <w:rPr>
          <w:rFonts w:ascii="Times New Roman" w:hAnsi="Times New Roman"/>
          <w:sz w:val="25"/>
          <w:szCs w:val="25"/>
        </w:rPr>
        <w:t xml:space="preserve">Staff’s investigation found that </w:t>
      </w:r>
      <w:r w:rsidR="000F3F3F">
        <w:rPr>
          <w:rFonts w:ascii="Times New Roman" w:hAnsi="Times New Roman"/>
          <w:sz w:val="25"/>
          <w:szCs w:val="25"/>
        </w:rPr>
        <w:t>Best</w:t>
      </w:r>
      <w:r>
        <w:rPr>
          <w:rFonts w:ascii="Times New Roman" w:hAnsi="Times New Roman"/>
          <w:sz w:val="25"/>
          <w:szCs w:val="25"/>
        </w:rPr>
        <w:t xml:space="preserve"> Moving</w:t>
      </w:r>
      <w:r w:rsidR="00C3240E">
        <w:rPr>
          <w:rFonts w:ascii="Times New Roman" w:hAnsi="Times New Roman"/>
          <w:sz w:val="25"/>
          <w:szCs w:val="25"/>
        </w:rPr>
        <w:t xml:space="preserve"> failed to </w:t>
      </w:r>
      <w:r w:rsidR="000F3F3F">
        <w:rPr>
          <w:rFonts w:ascii="Times New Roman" w:hAnsi="Times New Roman"/>
          <w:sz w:val="25"/>
          <w:szCs w:val="25"/>
        </w:rPr>
        <w:t>bill the minimum four hour rate for weekend moves on three occasions</w:t>
      </w:r>
      <w:r w:rsidR="00262CB6">
        <w:rPr>
          <w:rFonts w:ascii="Times New Roman" w:hAnsi="Times New Roman"/>
          <w:sz w:val="25"/>
          <w:szCs w:val="25"/>
        </w:rPr>
        <w:t>,</w:t>
      </w:r>
      <w:r w:rsidR="002512B6">
        <w:rPr>
          <w:rStyle w:val="FootnoteReference"/>
          <w:rFonts w:ascii="Times New Roman" w:hAnsi="Times New Roman"/>
          <w:sz w:val="25"/>
          <w:szCs w:val="25"/>
        </w:rPr>
        <w:footnoteReference w:id="46"/>
      </w:r>
      <w:r w:rsidR="000F3F3F">
        <w:rPr>
          <w:rFonts w:ascii="Times New Roman" w:hAnsi="Times New Roman"/>
          <w:sz w:val="25"/>
          <w:szCs w:val="25"/>
        </w:rPr>
        <w:t xml:space="preserve"> and </w:t>
      </w:r>
      <w:r w:rsidR="00262CB6">
        <w:rPr>
          <w:rFonts w:ascii="Times New Roman" w:hAnsi="Times New Roman"/>
          <w:sz w:val="25"/>
          <w:szCs w:val="25"/>
        </w:rPr>
        <w:t xml:space="preserve">the Company </w:t>
      </w:r>
      <w:r w:rsidR="000F3F3F">
        <w:rPr>
          <w:rFonts w:ascii="Times New Roman" w:hAnsi="Times New Roman"/>
          <w:sz w:val="25"/>
          <w:szCs w:val="25"/>
        </w:rPr>
        <w:t>recorded time using a six minute increment, instead of the 15 minute increment required by Tariff 15-C, on one occasion</w:t>
      </w:r>
      <w:r w:rsidR="00C3240E">
        <w:rPr>
          <w:rFonts w:ascii="Times New Roman" w:hAnsi="Times New Roman"/>
          <w:sz w:val="25"/>
          <w:szCs w:val="25"/>
        </w:rPr>
        <w:t>.</w:t>
      </w:r>
      <w:r w:rsidR="002512B6">
        <w:rPr>
          <w:rStyle w:val="FootnoteReference"/>
          <w:rFonts w:ascii="Times New Roman" w:hAnsi="Times New Roman"/>
          <w:sz w:val="25"/>
          <w:szCs w:val="25"/>
        </w:rPr>
        <w:footnoteReference w:id="47"/>
      </w:r>
      <w:r w:rsidR="00C3240E">
        <w:rPr>
          <w:rFonts w:ascii="Times New Roman" w:hAnsi="Times New Roman"/>
          <w:sz w:val="25"/>
          <w:szCs w:val="25"/>
        </w:rPr>
        <w:t xml:space="preserve">  </w:t>
      </w:r>
      <w:r w:rsidR="007C7DD1">
        <w:rPr>
          <w:rFonts w:ascii="Times New Roman" w:hAnsi="Times New Roman"/>
          <w:sz w:val="25"/>
          <w:szCs w:val="25"/>
        </w:rPr>
        <w:t>Staff</w:t>
      </w:r>
      <w:r w:rsidR="002512B6">
        <w:rPr>
          <w:rFonts w:ascii="Times New Roman" w:hAnsi="Times New Roman"/>
          <w:sz w:val="25"/>
          <w:szCs w:val="25"/>
        </w:rPr>
        <w:t xml:space="preserve"> also alleges that Best Moving added fuel surcharges or gas fees to 6 of the 31 bills of lading.</w:t>
      </w:r>
      <w:r w:rsidR="002512B6">
        <w:rPr>
          <w:rStyle w:val="FootnoteReference"/>
          <w:rFonts w:ascii="Times New Roman" w:hAnsi="Times New Roman"/>
          <w:sz w:val="25"/>
          <w:szCs w:val="25"/>
        </w:rPr>
        <w:footnoteReference w:id="48"/>
      </w:r>
      <w:r w:rsidR="002512B6">
        <w:rPr>
          <w:rFonts w:ascii="Times New Roman" w:hAnsi="Times New Roman"/>
          <w:sz w:val="25"/>
          <w:szCs w:val="25"/>
        </w:rPr>
        <w:t xml:space="preserve">  Staff recommends a penalty of $1,000 for </w:t>
      </w:r>
      <w:r w:rsidR="007C7DD1">
        <w:rPr>
          <w:rFonts w:ascii="Times New Roman" w:hAnsi="Times New Roman"/>
          <w:sz w:val="25"/>
          <w:szCs w:val="25"/>
        </w:rPr>
        <w:t xml:space="preserve">these </w:t>
      </w:r>
      <w:r w:rsidR="00972D7E">
        <w:rPr>
          <w:rFonts w:ascii="Times New Roman" w:hAnsi="Times New Roman"/>
          <w:sz w:val="25"/>
          <w:szCs w:val="25"/>
        </w:rPr>
        <w:t>3</w:t>
      </w:r>
      <w:r w:rsidR="002512B6" w:rsidRPr="007C7DD1">
        <w:rPr>
          <w:rFonts w:ascii="Times New Roman" w:hAnsi="Times New Roman"/>
          <w:sz w:val="25"/>
          <w:szCs w:val="25"/>
        </w:rPr>
        <w:t xml:space="preserve"> violations of Tariff 15-C and WAC 480-15-490(3).</w:t>
      </w:r>
    </w:p>
    <w:p w14:paraId="308409C6" w14:textId="77777777" w:rsidR="009A30A4" w:rsidRDefault="009A30A4" w:rsidP="005318FE">
      <w:pPr>
        <w:pStyle w:val="ListParagraph"/>
        <w:spacing w:line="264" w:lineRule="auto"/>
        <w:rPr>
          <w:rFonts w:ascii="Times New Roman" w:hAnsi="Times New Roman"/>
          <w:b/>
          <w:sz w:val="25"/>
          <w:szCs w:val="25"/>
        </w:rPr>
      </w:pPr>
    </w:p>
    <w:p w14:paraId="139E01A5" w14:textId="475CC189" w:rsidR="005C4DC9" w:rsidRPr="003B6764" w:rsidRDefault="00C3240E" w:rsidP="005318FE">
      <w:pPr>
        <w:numPr>
          <w:ilvl w:val="0"/>
          <w:numId w:val="1"/>
        </w:numPr>
        <w:spacing w:line="264" w:lineRule="auto"/>
        <w:ind w:hanging="720"/>
        <w:rPr>
          <w:rFonts w:ascii="Times New Roman" w:hAnsi="Times New Roman"/>
          <w:b/>
          <w:sz w:val="25"/>
          <w:szCs w:val="25"/>
        </w:rPr>
      </w:pPr>
      <w:r w:rsidRPr="003B6764">
        <w:rPr>
          <w:rFonts w:ascii="Times New Roman" w:hAnsi="Times New Roman"/>
          <w:sz w:val="25"/>
          <w:szCs w:val="25"/>
        </w:rPr>
        <w:t xml:space="preserve">Mr. </w:t>
      </w:r>
      <w:r w:rsidR="00FE4B11" w:rsidRPr="003B6764">
        <w:rPr>
          <w:rFonts w:ascii="Times New Roman" w:hAnsi="Times New Roman"/>
          <w:sz w:val="25"/>
          <w:szCs w:val="25"/>
        </w:rPr>
        <w:t>Ratko</w:t>
      </w:r>
      <w:r w:rsidRPr="003B6764">
        <w:rPr>
          <w:rFonts w:ascii="Times New Roman" w:hAnsi="Times New Roman"/>
          <w:sz w:val="25"/>
          <w:szCs w:val="25"/>
        </w:rPr>
        <w:t xml:space="preserve"> testified</w:t>
      </w:r>
      <w:r w:rsidR="00FE4B11" w:rsidRPr="003B6764">
        <w:rPr>
          <w:rFonts w:ascii="Times New Roman" w:hAnsi="Times New Roman"/>
          <w:sz w:val="25"/>
          <w:szCs w:val="25"/>
        </w:rPr>
        <w:t xml:space="preserve"> </w:t>
      </w:r>
      <w:r w:rsidR="00262CB6">
        <w:rPr>
          <w:rFonts w:ascii="Times New Roman" w:hAnsi="Times New Roman"/>
          <w:sz w:val="25"/>
          <w:szCs w:val="25"/>
        </w:rPr>
        <w:t>at hearing</w:t>
      </w:r>
      <w:r w:rsidR="00FE4B11" w:rsidRPr="003B6764">
        <w:rPr>
          <w:rFonts w:ascii="Times New Roman" w:hAnsi="Times New Roman"/>
          <w:sz w:val="25"/>
          <w:szCs w:val="25"/>
        </w:rPr>
        <w:t xml:space="preserve"> that </w:t>
      </w:r>
      <w:r w:rsidR="00FF30FD" w:rsidRPr="003B6764">
        <w:rPr>
          <w:rFonts w:ascii="Times New Roman" w:hAnsi="Times New Roman"/>
          <w:sz w:val="25"/>
          <w:szCs w:val="25"/>
        </w:rPr>
        <w:t>he included the</w:t>
      </w:r>
      <w:r w:rsidR="00FE4B11" w:rsidRPr="003B6764">
        <w:rPr>
          <w:rFonts w:ascii="Times New Roman" w:hAnsi="Times New Roman"/>
          <w:sz w:val="25"/>
          <w:szCs w:val="25"/>
        </w:rPr>
        <w:t xml:space="preserve"> gas </w:t>
      </w:r>
      <w:r w:rsidR="00FF30FD" w:rsidRPr="003B6764">
        <w:rPr>
          <w:rFonts w:ascii="Times New Roman" w:hAnsi="Times New Roman"/>
          <w:sz w:val="25"/>
          <w:szCs w:val="25"/>
        </w:rPr>
        <w:t>figures</w:t>
      </w:r>
      <w:r w:rsidR="00FE4B11" w:rsidRPr="003B6764">
        <w:rPr>
          <w:rFonts w:ascii="Times New Roman" w:hAnsi="Times New Roman"/>
          <w:sz w:val="25"/>
          <w:szCs w:val="25"/>
        </w:rPr>
        <w:t xml:space="preserve"> listed in the bills of lading </w:t>
      </w:r>
      <w:r w:rsidR="00221AAB" w:rsidRPr="003B6764">
        <w:rPr>
          <w:rFonts w:ascii="Times New Roman" w:hAnsi="Times New Roman"/>
          <w:sz w:val="25"/>
          <w:szCs w:val="25"/>
        </w:rPr>
        <w:t xml:space="preserve">to </w:t>
      </w:r>
      <w:r w:rsidR="00FE4B11" w:rsidRPr="003B6764">
        <w:rPr>
          <w:rFonts w:ascii="Times New Roman" w:hAnsi="Times New Roman"/>
          <w:sz w:val="25"/>
          <w:szCs w:val="25"/>
        </w:rPr>
        <w:t>“</w:t>
      </w:r>
      <w:r w:rsidR="00221AAB" w:rsidRPr="003B6764">
        <w:rPr>
          <w:rFonts w:ascii="Times New Roman" w:hAnsi="Times New Roman"/>
          <w:sz w:val="25"/>
          <w:szCs w:val="25"/>
        </w:rPr>
        <w:t>keep track of the expense…it never reflected the total cost of the service…this is just simply a note for me how much …how much gas I use … for that … particular day or whatever.”</w:t>
      </w:r>
      <w:r w:rsidR="00221AAB">
        <w:rPr>
          <w:rStyle w:val="FootnoteReference"/>
          <w:rFonts w:ascii="Times New Roman" w:hAnsi="Times New Roman"/>
          <w:sz w:val="25"/>
          <w:szCs w:val="25"/>
        </w:rPr>
        <w:footnoteReference w:id="49"/>
      </w:r>
      <w:r w:rsidR="00221AAB" w:rsidRPr="003B6764">
        <w:rPr>
          <w:rFonts w:ascii="Times New Roman" w:hAnsi="Times New Roman"/>
          <w:sz w:val="25"/>
          <w:szCs w:val="25"/>
        </w:rPr>
        <w:t xml:space="preserve">  </w:t>
      </w:r>
      <w:r w:rsidR="007C7DD1">
        <w:rPr>
          <w:rFonts w:ascii="Times New Roman" w:hAnsi="Times New Roman"/>
          <w:sz w:val="25"/>
          <w:szCs w:val="25"/>
        </w:rPr>
        <w:t xml:space="preserve">Mr. Ratko </w:t>
      </w:r>
      <w:r w:rsidR="003B6764" w:rsidRPr="003B6764">
        <w:rPr>
          <w:rFonts w:ascii="Times New Roman" w:hAnsi="Times New Roman"/>
          <w:sz w:val="25"/>
          <w:szCs w:val="25"/>
        </w:rPr>
        <w:t xml:space="preserve">stated that he has since changed his practice of charging less than the 4 hour minimum for weekend moves and also now utilizes the </w:t>
      </w:r>
      <w:r w:rsidR="007C7DD1">
        <w:rPr>
          <w:rFonts w:ascii="Times New Roman" w:hAnsi="Times New Roman"/>
          <w:sz w:val="25"/>
          <w:szCs w:val="25"/>
        </w:rPr>
        <w:t>mandatory</w:t>
      </w:r>
      <w:r w:rsidR="003B6764" w:rsidRPr="003B6764">
        <w:rPr>
          <w:rFonts w:ascii="Times New Roman" w:hAnsi="Times New Roman"/>
          <w:sz w:val="25"/>
          <w:szCs w:val="25"/>
        </w:rPr>
        <w:t xml:space="preserve"> 15 minute increment billing method.</w:t>
      </w:r>
      <w:r w:rsidR="003B6764">
        <w:rPr>
          <w:rStyle w:val="FootnoteReference"/>
          <w:rFonts w:ascii="Times New Roman" w:hAnsi="Times New Roman"/>
          <w:sz w:val="25"/>
          <w:szCs w:val="25"/>
        </w:rPr>
        <w:footnoteReference w:id="50"/>
      </w:r>
      <w:r w:rsidR="003B6764" w:rsidRPr="003B6764">
        <w:rPr>
          <w:rFonts w:ascii="Times New Roman" w:hAnsi="Times New Roman"/>
          <w:sz w:val="25"/>
          <w:szCs w:val="25"/>
        </w:rPr>
        <w:t xml:space="preserve">  </w:t>
      </w:r>
      <w:r w:rsidRPr="003B6764">
        <w:rPr>
          <w:rFonts w:ascii="Times New Roman" w:hAnsi="Times New Roman"/>
          <w:sz w:val="25"/>
          <w:szCs w:val="25"/>
        </w:rPr>
        <w:t xml:space="preserve"> </w:t>
      </w:r>
    </w:p>
    <w:p w14:paraId="6084AEFB" w14:textId="77777777" w:rsidR="003B6764" w:rsidRDefault="003B6764" w:rsidP="005318FE">
      <w:pPr>
        <w:pStyle w:val="ListParagraph"/>
        <w:spacing w:line="264" w:lineRule="auto"/>
        <w:rPr>
          <w:rFonts w:ascii="Times New Roman" w:hAnsi="Times New Roman"/>
          <w:b/>
          <w:sz w:val="25"/>
          <w:szCs w:val="25"/>
        </w:rPr>
      </w:pPr>
    </w:p>
    <w:p w14:paraId="14D59368" w14:textId="67C9D7CD" w:rsidR="003B6764" w:rsidRPr="003B6764" w:rsidRDefault="003B6764" w:rsidP="005318FE">
      <w:pPr>
        <w:numPr>
          <w:ilvl w:val="0"/>
          <w:numId w:val="1"/>
        </w:numPr>
        <w:spacing w:line="264" w:lineRule="auto"/>
        <w:ind w:hanging="720"/>
        <w:rPr>
          <w:rFonts w:ascii="Times New Roman" w:hAnsi="Times New Roman"/>
          <w:b/>
          <w:sz w:val="25"/>
          <w:szCs w:val="25"/>
        </w:rPr>
      </w:pPr>
      <w:r>
        <w:rPr>
          <w:rFonts w:ascii="Times New Roman" w:hAnsi="Times New Roman"/>
          <w:sz w:val="25"/>
          <w:szCs w:val="25"/>
        </w:rPr>
        <w:t xml:space="preserve">The revised bill of lading Mr. Ratko filed after the hearing does show that he has removed the </w:t>
      </w:r>
      <w:r w:rsidR="00B35DA8">
        <w:rPr>
          <w:rFonts w:ascii="Times New Roman" w:hAnsi="Times New Roman"/>
          <w:sz w:val="25"/>
          <w:szCs w:val="25"/>
        </w:rPr>
        <w:t xml:space="preserve">previous “gas” space where he </w:t>
      </w:r>
      <w:r w:rsidR="004E1293">
        <w:rPr>
          <w:rFonts w:ascii="Times New Roman" w:hAnsi="Times New Roman"/>
          <w:sz w:val="25"/>
          <w:szCs w:val="25"/>
        </w:rPr>
        <w:t xml:space="preserve">had </w:t>
      </w:r>
      <w:r w:rsidR="00B35DA8">
        <w:rPr>
          <w:rFonts w:ascii="Times New Roman" w:hAnsi="Times New Roman"/>
          <w:sz w:val="25"/>
          <w:szCs w:val="25"/>
        </w:rPr>
        <w:t>record</w:t>
      </w:r>
      <w:r w:rsidR="004E1293">
        <w:rPr>
          <w:rFonts w:ascii="Times New Roman" w:hAnsi="Times New Roman"/>
          <w:sz w:val="25"/>
          <w:szCs w:val="25"/>
        </w:rPr>
        <w:t>ed</w:t>
      </w:r>
      <w:r w:rsidR="00B35DA8">
        <w:rPr>
          <w:rFonts w:ascii="Times New Roman" w:hAnsi="Times New Roman"/>
          <w:sz w:val="25"/>
          <w:szCs w:val="25"/>
        </w:rPr>
        <w:t xml:space="preserve"> a fuel amount, and includes language indicating charges for the move are “calculated from the time the [v]an departs and returns to Carrier’s yard, or other designated point, and are pro-rated up to the </w:t>
      </w:r>
      <w:r w:rsidR="00B35DA8" w:rsidRPr="004E1293">
        <w:rPr>
          <w:rFonts w:ascii="Times New Roman" w:hAnsi="Times New Roman"/>
          <w:sz w:val="25"/>
          <w:szCs w:val="25"/>
          <w:u w:val="single"/>
        </w:rPr>
        <w:t>nearest quarter hour</w:t>
      </w:r>
      <w:r w:rsidR="00B35DA8">
        <w:rPr>
          <w:rFonts w:ascii="Times New Roman" w:hAnsi="Times New Roman"/>
          <w:sz w:val="25"/>
          <w:szCs w:val="25"/>
        </w:rPr>
        <w:t>.”</w:t>
      </w:r>
      <w:r w:rsidR="00B35DA8">
        <w:rPr>
          <w:rStyle w:val="FootnoteReference"/>
          <w:rFonts w:ascii="Times New Roman" w:hAnsi="Times New Roman"/>
          <w:sz w:val="25"/>
          <w:szCs w:val="25"/>
        </w:rPr>
        <w:footnoteReference w:id="51"/>
      </w:r>
      <w:r w:rsidR="00B35DA8">
        <w:rPr>
          <w:rFonts w:ascii="Times New Roman" w:hAnsi="Times New Roman"/>
          <w:sz w:val="25"/>
          <w:szCs w:val="25"/>
        </w:rPr>
        <w:t xml:space="preserve">  However, the modified form also includes a provision stating that “[c]harges for loading, transporting, and unloading are based upon the </w:t>
      </w:r>
      <w:r w:rsidR="004E1293">
        <w:rPr>
          <w:rFonts w:ascii="Times New Roman" w:hAnsi="Times New Roman"/>
          <w:sz w:val="25"/>
          <w:szCs w:val="25"/>
        </w:rPr>
        <w:t>actual hours and materials used</w:t>
      </w:r>
      <w:r w:rsidR="00B35DA8">
        <w:rPr>
          <w:rFonts w:ascii="Times New Roman" w:hAnsi="Times New Roman"/>
          <w:sz w:val="25"/>
          <w:szCs w:val="25"/>
        </w:rPr>
        <w:t>”</w:t>
      </w:r>
      <w:r w:rsidR="00B35DA8">
        <w:rPr>
          <w:rStyle w:val="FootnoteReference"/>
          <w:rFonts w:ascii="Times New Roman" w:hAnsi="Times New Roman"/>
          <w:sz w:val="25"/>
          <w:szCs w:val="25"/>
        </w:rPr>
        <w:footnoteReference w:id="52"/>
      </w:r>
      <w:r w:rsidR="004E1293">
        <w:rPr>
          <w:rFonts w:ascii="Times New Roman" w:hAnsi="Times New Roman"/>
          <w:sz w:val="25"/>
          <w:szCs w:val="25"/>
        </w:rPr>
        <w:t xml:space="preserve"> with no mention of a four hour minimum charge for weekend deliveries.</w:t>
      </w:r>
      <w:r w:rsidR="00B35DA8">
        <w:rPr>
          <w:rFonts w:ascii="Times New Roman" w:hAnsi="Times New Roman"/>
          <w:sz w:val="25"/>
          <w:szCs w:val="25"/>
        </w:rPr>
        <w:t xml:space="preserve">  </w:t>
      </w:r>
    </w:p>
    <w:p w14:paraId="78E630CF" w14:textId="77777777" w:rsidR="009A30A4" w:rsidRDefault="009A30A4" w:rsidP="005318FE">
      <w:pPr>
        <w:pStyle w:val="ListParagraph"/>
        <w:spacing w:line="264" w:lineRule="auto"/>
        <w:ind w:left="0"/>
        <w:rPr>
          <w:rFonts w:ascii="Times New Roman" w:hAnsi="Times New Roman"/>
          <w:b/>
          <w:sz w:val="25"/>
          <w:szCs w:val="25"/>
        </w:rPr>
      </w:pPr>
    </w:p>
    <w:p w14:paraId="1611D8FB" w14:textId="65279C35" w:rsidR="00601D76" w:rsidRPr="00601D76" w:rsidRDefault="001B701C" w:rsidP="005318FE">
      <w:pPr>
        <w:numPr>
          <w:ilvl w:val="0"/>
          <w:numId w:val="1"/>
        </w:numPr>
        <w:spacing w:line="264" w:lineRule="auto"/>
        <w:ind w:hanging="720"/>
        <w:rPr>
          <w:rFonts w:ascii="Times New Roman" w:hAnsi="Times New Roman"/>
          <w:b/>
          <w:sz w:val="25"/>
          <w:szCs w:val="25"/>
        </w:rPr>
      </w:pPr>
      <w:r w:rsidRPr="001B701C">
        <w:rPr>
          <w:rFonts w:ascii="Times New Roman" w:hAnsi="Times New Roman"/>
          <w:b/>
          <w:sz w:val="25"/>
          <w:szCs w:val="25"/>
        </w:rPr>
        <w:t>Decision.</w:t>
      </w:r>
      <w:r w:rsidR="0064715A">
        <w:rPr>
          <w:rFonts w:ascii="Times New Roman" w:hAnsi="Times New Roman"/>
          <w:b/>
          <w:sz w:val="25"/>
          <w:szCs w:val="25"/>
        </w:rPr>
        <w:t xml:space="preserve">  </w:t>
      </w:r>
      <w:r w:rsidR="00730387">
        <w:rPr>
          <w:rFonts w:ascii="Times New Roman" w:hAnsi="Times New Roman"/>
          <w:sz w:val="25"/>
          <w:szCs w:val="25"/>
        </w:rPr>
        <w:t xml:space="preserve">The Company admitted to violating the Tariff 15-C provisions mandating four hour minimum weekend </w:t>
      </w:r>
      <w:r w:rsidR="004E1293">
        <w:rPr>
          <w:rFonts w:ascii="Times New Roman" w:hAnsi="Times New Roman"/>
          <w:sz w:val="25"/>
          <w:szCs w:val="25"/>
        </w:rPr>
        <w:t>fees</w:t>
      </w:r>
      <w:r w:rsidR="00730387">
        <w:rPr>
          <w:rFonts w:ascii="Times New Roman" w:hAnsi="Times New Roman"/>
          <w:sz w:val="25"/>
          <w:szCs w:val="25"/>
        </w:rPr>
        <w:t xml:space="preserve"> and quarter hour billing increments</w:t>
      </w:r>
      <w:r w:rsidR="0064715A">
        <w:rPr>
          <w:rFonts w:ascii="Times New Roman" w:hAnsi="Times New Roman"/>
          <w:sz w:val="25"/>
          <w:szCs w:val="25"/>
        </w:rPr>
        <w:t>.</w:t>
      </w:r>
      <w:r w:rsidR="00730387">
        <w:rPr>
          <w:rFonts w:ascii="Times New Roman" w:hAnsi="Times New Roman"/>
          <w:sz w:val="25"/>
          <w:szCs w:val="25"/>
        </w:rPr>
        <w:t xml:space="preserve">  With regard to the allegation of unauthorized fuel surcharges, Mr. Ratko has provided a possible, if unconventional, explanation for the presence of the gas totals on customer bills of lading.  Staff has failed to </w:t>
      </w:r>
      <w:r w:rsidR="00D37051">
        <w:rPr>
          <w:rFonts w:ascii="Times New Roman" w:hAnsi="Times New Roman"/>
          <w:sz w:val="25"/>
          <w:szCs w:val="25"/>
        </w:rPr>
        <w:t>establish</w:t>
      </w:r>
      <w:r w:rsidR="00730387">
        <w:rPr>
          <w:rFonts w:ascii="Times New Roman" w:hAnsi="Times New Roman"/>
          <w:sz w:val="25"/>
          <w:szCs w:val="25"/>
        </w:rPr>
        <w:t xml:space="preserve"> that these amounts were included in the total charged to customers, and we thus decline to assess penalties based on these allegations.</w:t>
      </w:r>
      <w:r w:rsidR="0064715A">
        <w:rPr>
          <w:rFonts w:ascii="Times New Roman" w:hAnsi="Times New Roman"/>
          <w:sz w:val="25"/>
          <w:szCs w:val="25"/>
        </w:rPr>
        <w:t xml:space="preserve"> Accordingly, we find </w:t>
      </w:r>
      <w:r w:rsidR="00730387">
        <w:rPr>
          <w:rFonts w:ascii="Times New Roman" w:hAnsi="Times New Roman"/>
          <w:sz w:val="25"/>
          <w:szCs w:val="25"/>
        </w:rPr>
        <w:t>a</w:t>
      </w:r>
      <w:r w:rsidR="0064715A">
        <w:rPr>
          <w:rFonts w:ascii="Times New Roman" w:hAnsi="Times New Roman"/>
          <w:sz w:val="25"/>
          <w:szCs w:val="25"/>
        </w:rPr>
        <w:t xml:space="preserve"> penalty </w:t>
      </w:r>
      <w:r w:rsidR="00730387">
        <w:rPr>
          <w:rFonts w:ascii="Times New Roman" w:hAnsi="Times New Roman"/>
          <w:sz w:val="25"/>
          <w:szCs w:val="25"/>
        </w:rPr>
        <w:t xml:space="preserve">in the </w:t>
      </w:r>
      <w:r w:rsidR="0064715A">
        <w:rPr>
          <w:rFonts w:ascii="Times New Roman" w:hAnsi="Times New Roman"/>
          <w:sz w:val="25"/>
          <w:szCs w:val="25"/>
        </w:rPr>
        <w:t xml:space="preserve">amount </w:t>
      </w:r>
      <w:r w:rsidR="00730387">
        <w:rPr>
          <w:rFonts w:ascii="Times New Roman" w:hAnsi="Times New Roman"/>
          <w:sz w:val="25"/>
          <w:szCs w:val="25"/>
        </w:rPr>
        <w:t>of $</w:t>
      </w:r>
      <w:r w:rsidR="00972D7E">
        <w:rPr>
          <w:rFonts w:ascii="Times New Roman" w:hAnsi="Times New Roman"/>
          <w:sz w:val="25"/>
          <w:szCs w:val="25"/>
        </w:rPr>
        <w:t>700</w:t>
      </w:r>
      <w:r w:rsidR="00730387">
        <w:rPr>
          <w:rFonts w:ascii="Times New Roman" w:hAnsi="Times New Roman"/>
          <w:sz w:val="25"/>
          <w:szCs w:val="25"/>
        </w:rPr>
        <w:t xml:space="preserve"> </w:t>
      </w:r>
      <w:r w:rsidR="0064715A">
        <w:rPr>
          <w:rFonts w:ascii="Times New Roman" w:hAnsi="Times New Roman"/>
          <w:sz w:val="25"/>
          <w:szCs w:val="25"/>
        </w:rPr>
        <w:t>appropriate</w:t>
      </w:r>
      <w:r w:rsidR="00730387">
        <w:rPr>
          <w:rFonts w:ascii="Times New Roman" w:hAnsi="Times New Roman"/>
          <w:sz w:val="25"/>
          <w:szCs w:val="25"/>
        </w:rPr>
        <w:t xml:space="preserve"> </w:t>
      </w:r>
      <w:r w:rsidR="0064715A">
        <w:rPr>
          <w:rFonts w:ascii="Times New Roman" w:hAnsi="Times New Roman"/>
          <w:sz w:val="25"/>
          <w:szCs w:val="25"/>
        </w:rPr>
        <w:t xml:space="preserve">for </w:t>
      </w:r>
      <w:r w:rsidR="00730387">
        <w:rPr>
          <w:rFonts w:ascii="Times New Roman" w:hAnsi="Times New Roman"/>
          <w:sz w:val="25"/>
          <w:szCs w:val="25"/>
        </w:rPr>
        <w:t xml:space="preserve">the </w:t>
      </w:r>
      <w:r w:rsidR="00972D7E">
        <w:rPr>
          <w:rFonts w:ascii="Times New Roman" w:hAnsi="Times New Roman"/>
          <w:sz w:val="25"/>
          <w:szCs w:val="25"/>
        </w:rPr>
        <w:t>two</w:t>
      </w:r>
      <w:r w:rsidR="00730387">
        <w:rPr>
          <w:rFonts w:ascii="Times New Roman" w:hAnsi="Times New Roman"/>
          <w:sz w:val="25"/>
          <w:szCs w:val="25"/>
        </w:rPr>
        <w:t xml:space="preserve"> </w:t>
      </w:r>
      <w:r w:rsidR="0064715A">
        <w:rPr>
          <w:rFonts w:ascii="Times New Roman" w:hAnsi="Times New Roman"/>
          <w:sz w:val="25"/>
          <w:szCs w:val="25"/>
        </w:rPr>
        <w:t>violations of WAC 480-15-</w:t>
      </w:r>
      <w:r w:rsidR="00730387">
        <w:rPr>
          <w:rFonts w:ascii="Times New Roman" w:hAnsi="Times New Roman"/>
          <w:sz w:val="25"/>
          <w:szCs w:val="25"/>
        </w:rPr>
        <w:t>490(3) and Tariff 15-C</w:t>
      </w:r>
      <w:r w:rsidR="0064715A">
        <w:rPr>
          <w:rFonts w:ascii="Times New Roman" w:hAnsi="Times New Roman"/>
          <w:sz w:val="25"/>
          <w:szCs w:val="25"/>
        </w:rPr>
        <w:t>.</w:t>
      </w:r>
    </w:p>
    <w:p w14:paraId="3BA095D0" w14:textId="77777777" w:rsidR="00601D76" w:rsidRDefault="00601D76" w:rsidP="005318FE">
      <w:pPr>
        <w:spacing w:line="264" w:lineRule="auto"/>
        <w:rPr>
          <w:rFonts w:ascii="Times New Roman" w:hAnsi="Times New Roman"/>
          <w:b/>
          <w:sz w:val="25"/>
          <w:szCs w:val="25"/>
        </w:rPr>
      </w:pPr>
    </w:p>
    <w:p w14:paraId="527C2BD4" w14:textId="77777777" w:rsidR="005318FE" w:rsidRDefault="005318FE" w:rsidP="005318FE">
      <w:pPr>
        <w:spacing w:line="264" w:lineRule="auto"/>
        <w:rPr>
          <w:rFonts w:ascii="Times New Roman" w:hAnsi="Times New Roman"/>
          <w:b/>
          <w:sz w:val="25"/>
          <w:szCs w:val="25"/>
        </w:rPr>
      </w:pPr>
      <w:r>
        <w:rPr>
          <w:rFonts w:ascii="Times New Roman" w:hAnsi="Times New Roman"/>
          <w:b/>
          <w:sz w:val="25"/>
          <w:szCs w:val="25"/>
        </w:rPr>
        <w:br w:type="page"/>
      </w:r>
    </w:p>
    <w:p w14:paraId="2FB1D967" w14:textId="7E20FC4E" w:rsidR="006B0BF0" w:rsidRDefault="009E7F90" w:rsidP="005318FE">
      <w:pPr>
        <w:spacing w:line="264" w:lineRule="auto"/>
        <w:rPr>
          <w:rFonts w:ascii="Times New Roman" w:hAnsi="Times New Roman"/>
          <w:b/>
          <w:sz w:val="25"/>
          <w:szCs w:val="25"/>
        </w:rPr>
      </w:pPr>
      <w:r w:rsidRPr="001D499F">
        <w:rPr>
          <w:rFonts w:ascii="Times New Roman" w:hAnsi="Times New Roman"/>
          <w:b/>
          <w:sz w:val="25"/>
          <w:szCs w:val="25"/>
        </w:rPr>
        <w:t>Penalties</w:t>
      </w:r>
      <w:r w:rsidR="00D37051">
        <w:rPr>
          <w:rFonts w:ascii="Times New Roman" w:hAnsi="Times New Roman"/>
          <w:b/>
          <w:sz w:val="25"/>
          <w:szCs w:val="25"/>
        </w:rPr>
        <w:t xml:space="preserve"> and Permit Revocation</w:t>
      </w:r>
    </w:p>
    <w:p w14:paraId="38EC3013" w14:textId="77777777" w:rsidR="00601D76" w:rsidRPr="001D499F" w:rsidRDefault="00601D76" w:rsidP="005318FE">
      <w:pPr>
        <w:spacing w:line="264" w:lineRule="auto"/>
        <w:rPr>
          <w:rFonts w:ascii="Times New Roman" w:hAnsi="Times New Roman"/>
          <w:b/>
          <w:sz w:val="25"/>
          <w:szCs w:val="25"/>
        </w:rPr>
      </w:pPr>
    </w:p>
    <w:p w14:paraId="4EB53405" w14:textId="49C0627F" w:rsidR="00405FBF" w:rsidRPr="00405FBF" w:rsidRDefault="00686121" w:rsidP="005318FE">
      <w:pPr>
        <w:numPr>
          <w:ilvl w:val="0"/>
          <w:numId w:val="1"/>
        </w:numPr>
        <w:spacing w:line="264" w:lineRule="auto"/>
        <w:ind w:hanging="720"/>
        <w:rPr>
          <w:rFonts w:ascii="Times New Roman" w:hAnsi="Times New Roman"/>
          <w:b/>
          <w:sz w:val="25"/>
          <w:szCs w:val="25"/>
        </w:rPr>
      </w:pPr>
      <w:r>
        <w:rPr>
          <w:rFonts w:ascii="Times New Roman" w:hAnsi="Times New Roman"/>
          <w:sz w:val="25"/>
          <w:szCs w:val="25"/>
        </w:rPr>
        <w:t>We</w:t>
      </w:r>
      <w:r w:rsidR="00470B3A">
        <w:rPr>
          <w:rFonts w:ascii="Times New Roman" w:hAnsi="Times New Roman"/>
          <w:sz w:val="25"/>
          <w:szCs w:val="25"/>
        </w:rPr>
        <w:t xml:space="preserve"> find </w:t>
      </w:r>
      <w:r w:rsidR="00972D7E">
        <w:rPr>
          <w:rFonts w:ascii="Times New Roman" w:hAnsi="Times New Roman"/>
          <w:sz w:val="25"/>
          <w:szCs w:val="25"/>
        </w:rPr>
        <w:t>204</w:t>
      </w:r>
      <w:r w:rsidR="00470B3A">
        <w:rPr>
          <w:rFonts w:ascii="Times New Roman" w:hAnsi="Times New Roman"/>
          <w:sz w:val="25"/>
          <w:szCs w:val="25"/>
        </w:rPr>
        <w:t xml:space="preserve"> violations </w:t>
      </w:r>
      <w:r w:rsidR="00C22D4F">
        <w:rPr>
          <w:rFonts w:ascii="Times New Roman" w:hAnsi="Times New Roman"/>
          <w:sz w:val="25"/>
          <w:szCs w:val="25"/>
        </w:rPr>
        <w:t xml:space="preserve">of Commission rules </w:t>
      </w:r>
      <w:r w:rsidR="00470B3A">
        <w:rPr>
          <w:rFonts w:ascii="Times New Roman" w:hAnsi="Times New Roman"/>
          <w:sz w:val="25"/>
          <w:szCs w:val="25"/>
        </w:rPr>
        <w:t>and impose a total penalty of $</w:t>
      </w:r>
      <w:r w:rsidR="00E74EB4">
        <w:rPr>
          <w:rFonts w:ascii="Times New Roman" w:hAnsi="Times New Roman"/>
          <w:sz w:val="25"/>
          <w:szCs w:val="25"/>
        </w:rPr>
        <w:t>1</w:t>
      </w:r>
      <w:r w:rsidR="00972D7E">
        <w:rPr>
          <w:rFonts w:ascii="Times New Roman" w:hAnsi="Times New Roman"/>
          <w:sz w:val="25"/>
          <w:szCs w:val="25"/>
        </w:rPr>
        <w:t>3</w:t>
      </w:r>
      <w:r w:rsidR="00E74EB4">
        <w:rPr>
          <w:rFonts w:ascii="Times New Roman" w:hAnsi="Times New Roman"/>
          <w:sz w:val="25"/>
          <w:szCs w:val="25"/>
        </w:rPr>
        <w:t>,</w:t>
      </w:r>
      <w:r w:rsidR="00972D7E">
        <w:rPr>
          <w:rFonts w:ascii="Times New Roman" w:hAnsi="Times New Roman"/>
          <w:sz w:val="25"/>
          <w:szCs w:val="25"/>
        </w:rPr>
        <w:t>7</w:t>
      </w:r>
      <w:r w:rsidR="00E74EB4">
        <w:rPr>
          <w:rFonts w:ascii="Times New Roman" w:hAnsi="Times New Roman"/>
          <w:sz w:val="25"/>
          <w:szCs w:val="25"/>
        </w:rPr>
        <w:t>00</w:t>
      </w:r>
      <w:r w:rsidR="00470B3A">
        <w:rPr>
          <w:rFonts w:ascii="Times New Roman" w:hAnsi="Times New Roman"/>
          <w:sz w:val="25"/>
          <w:szCs w:val="25"/>
        </w:rPr>
        <w:t xml:space="preserve">.  </w:t>
      </w:r>
      <w:r w:rsidR="00E74EB4">
        <w:rPr>
          <w:rFonts w:ascii="Times New Roman" w:hAnsi="Times New Roman"/>
          <w:sz w:val="25"/>
          <w:szCs w:val="25"/>
        </w:rPr>
        <w:t>Best Moving</w:t>
      </w:r>
      <w:r w:rsidR="00486A23">
        <w:rPr>
          <w:rFonts w:ascii="Times New Roman" w:hAnsi="Times New Roman"/>
          <w:sz w:val="25"/>
          <w:szCs w:val="25"/>
        </w:rPr>
        <w:t xml:space="preserve"> has received extensive technical assistance </w:t>
      </w:r>
      <w:r w:rsidR="00405FBF">
        <w:rPr>
          <w:rFonts w:ascii="Times New Roman" w:hAnsi="Times New Roman"/>
          <w:sz w:val="25"/>
          <w:szCs w:val="25"/>
        </w:rPr>
        <w:t xml:space="preserve">in </w:t>
      </w:r>
      <w:r w:rsidR="00A75804">
        <w:rPr>
          <w:rFonts w:ascii="Times New Roman" w:hAnsi="Times New Roman"/>
          <w:sz w:val="25"/>
          <w:szCs w:val="25"/>
        </w:rPr>
        <w:t>a</w:t>
      </w:r>
      <w:r w:rsidR="00E74EB4">
        <w:rPr>
          <w:rFonts w:ascii="Times New Roman" w:hAnsi="Times New Roman"/>
          <w:sz w:val="25"/>
          <w:szCs w:val="25"/>
        </w:rPr>
        <w:t xml:space="preserve"> majority</w:t>
      </w:r>
      <w:r w:rsidR="00405FBF">
        <w:rPr>
          <w:rFonts w:ascii="Times New Roman" w:hAnsi="Times New Roman"/>
          <w:sz w:val="25"/>
          <w:szCs w:val="25"/>
        </w:rPr>
        <w:t xml:space="preserve"> </w:t>
      </w:r>
      <w:r w:rsidR="00486A23">
        <w:rPr>
          <w:rFonts w:ascii="Times New Roman" w:hAnsi="Times New Roman"/>
          <w:sz w:val="25"/>
          <w:szCs w:val="25"/>
        </w:rPr>
        <w:t>of</w:t>
      </w:r>
      <w:r w:rsidR="00405FBF">
        <w:rPr>
          <w:rFonts w:ascii="Times New Roman" w:hAnsi="Times New Roman"/>
          <w:sz w:val="25"/>
          <w:szCs w:val="25"/>
        </w:rPr>
        <w:t xml:space="preserve"> the</w:t>
      </w:r>
      <w:r w:rsidR="00486A23">
        <w:rPr>
          <w:rFonts w:ascii="Times New Roman" w:hAnsi="Times New Roman"/>
          <w:sz w:val="25"/>
          <w:szCs w:val="25"/>
        </w:rPr>
        <w:t xml:space="preserve"> areas</w:t>
      </w:r>
      <w:r w:rsidR="00405FBF">
        <w:rPr>
          <w:rFonts w:ascii="Times New Roman" w:hAnsi="Times New Roman"/>
          <w:sz w:val="25"/>
          <w:szCs w:val="25"/>
        </w:rPr>
        <w:t xml:space="preserve"> addressed in </w:t>
      </w:r>
      <w:r w:rsidR="00C22D4F">
        <w:rPr>
          <w:rFonts w:ascii="Times New Roman" w:hAnsi="Times New Roman"/>
          <w:sz w:val="25"/>
          <w:szCs w:val="25"/>
        </w:rPr>
        <w:t xml:space="preserve">the complaint and </w:t>
      </w:r>
      <w:r w:rsidR="00405FBF">
        <w:rPr>
          <w:rFonts w:ascii="Times New Roman" w:hAnsi="Times New Roman"/>
          <w:sz w:val="25"/>
          <w:szCs w:val="25"/>
        </w:rPr>
        <w:t xml:space="preserve">Staff’s </w:t>
      </w:r>
      <w:r w:rsidR="00E74EB4">
        <w:rPr>
          <w:rFonts w:ascii="Times New Roman" w:hAnsi="Times New Roman"/>
          <w:sz w:val="25"/>
          <w:szCs w:val="25"/>
        </w:rPr>
        <w:t xml:space="preserve">multiple </w:t>
      </w:r>
      <w:r w:rsidR="00405FBF">
        <w:rPr>
          <w:rFonts w:ascii="Times New Roman" w:hAnsi="Times New Roman"/>
          <w:sz w:val="25"/>
          <w:szCs w:val="25"/>
        </w:rPr>
        <w:t>investigation report</w:t>
      </w:r>
      <w:r w:rsidR="00E74EB4">
        <w:rPr>
          <w:rFonts w:ascii="Times New Roman" w:hAnsi="Times New Roman"/>
          <w:sz w:val="25"/>
          <w:szCs w:val="25"/>
        </w:rPr>
        <w:t>s</w:t>
      </w:r>
      <w:r w:rsidR="00486A23">
        <w:rPr>
          <w:rFonts w:ascii="Times New Roman" w:hAnsi="Times New Roman"/>
          <w:sz w:val="25"/>
          <w:szCs w:val="25"/>
        </w:rPr>
        <w:t>.</w:t>
      </w:r>
      <w:r w:rsidR="009562BE">
        <w:rPr>
          <w:rStyle w:val="FootnoteReference"/>
          <w:rFonts w:ascii="Times New Roman" w:hAnsi="Times New Roman"/>
          <w:sz w:val="25"/>
          <w:szCs w:val="25"/>
        </w:rPr>
        <w:footnoteReference w:id="53"/>
      </w:r>
      <w:r w:rsidR="00486A23">
        <w:rPr>
          <w:rFonts w:ascii="Times New Roman" w:hAnsi="Times New Roman"/>
          <w:sz w:val="25"/>
          <w:szCs w:val="25"/>
        </w:rPr>
        <w:t xml:space="preserve">  The Company </w:t>
      </w:r>
      <w:r w:rsidR="00F61908">
        <w:rPr>
          <w:rFonts w:ascii="Times New Roman" w:hAnsi="Times New Roman"/>
          <w:sz w:val="25"/>
          <w:szCs w:val="25"/>
        </w:rPr>
        <w:t>misrepresented to Staff</w:t>
      </w:r>
      <w:r w:rsidR="00486A23">
        <w:rPr>
          <w:rFonts w:ascii="Times New Roman" w:hAnsi="Times New Roman"/>
          <w:sz w:val="25"/>
          <w:szCs w:val="25"/>
        </w:rPr>
        <w:t xml:space="preserve"> that violations </w:t>
      </w:r>
      <w:r w:rsidR="00515690">
        <w:rPr>
          <w:rFonts w:ascii="Times New Roman" w:hAnsi="Times New Roman"/>
          <w:sz w:val="25"/>
          <w:szCs w:val="25"/>
        </w:rPr>
        <w:t>ha</w:t>
      </w:r>
      <w:r w:rsidR="00D97484">
        <w:rPr>
          <w:rFonts w:ascii="Times New Roman" w:hAnsi="Times New Roman"/>
          <w:sz w:val="25"/>
          <w:szCs w:val="25"/>
        </w:rPr>
        <w:t>d</w:t>
      </w:r>
      <w:r w:rsidR="00515690">
        <w:rPr>
          <w:rFonts w:ascii="Times New Roman" w:hAnsi="Times New Roman"/>
          <w:sz w:val="25"/>
          <w:szCs w:val="25"/>
        </w:rPr>
        <w:t xml:space="preserve"> been</w:t>
      </w:r>
      <w:r w:rsidR="003D4BF3">
        <w:rPr>
          <w:rFonts w:ascii="Times New Roman" w:hAnsi="Times New Roman"/>
          <w:sz w:val="25"/>
          <w:szCs w:val="25"/>
        </w:rPr>
        <w:t xml:space="preserve"> corrected</w:t>
      </w:r>
      <w:r w:rsidR="00486A23">
        <w:rPr>
          <w:rFonts w:ascii="Times New Roman" w:hAnsi="Times New Roman"/>
          <w:sz w:val="25"/>
          <w:szCs w:val="25"/>
        </w:rPr>
        <w:t xml:space="preserve">, and ignored </w:t>
      </w:r>
      <w:r w:rsidR="00405FBF">
        <w:rPr>
          <w:rFonts w:ascii="Times New Roman" w:hAnsi="Times New Roman"/>
          <w:sz w:val="25"/>
          <w:szCs w:val="25"/>
        </w:rPr>
        <w:t xml:space="preserve">Staff’s </w:t>
      </w:r>
      <w:r w:rsidR="0036332A">
        <w:rPr>
          <w:rFonts w:ascii="Times New Roman" w:hAnsi="Times New Roman"/>
          <w:sz w:val="25"/>
          <w:szCs w:val="25"/>
        </w:rPr>
        <w:t xml:space="preserve">directions </w:t>
      </w:r>
      <w:r w:rsidR="00405FBF">
        <w:rPr>
          <w:rFonts w:ascii="Times New Roman" w:hAnsi="Times New Roman"/>
          <w:sz w:val="25"/>
          <w:szCs w:val="25"/>
        </w:rPr>
        <w:t xml:space="preserve">to attend rule and tariff training on multiple occasions.  </w:t>
      </w:r>
      <w:r w:rsidR="005A4C78">
        <w:rPr>
          <w:rFonts w:ascii="Times New Roman" w:hAnsi="Times New Roman"/>
          <w:sz w:val="25"/>
          <w:szCs w:val="25"/>
        </w:rPr>
        <w:t>Best Moving’s</w:t>
      </w:r>
      <w:r w:rsidR="00405FBF">
        <w:rPr>
          <w:rFonts w:ascii="Times New Roman" w:hAnsi="Times New Roman"/>
          <w:sz w:val="25"/>
          <w:szCs w:val="25"/>
        </w:rPr>
        <w:t xml:space="preserve"> poor compliance history suggests that violations are likely to recur absent a penalty.  Accordingly, we have assessed </w:t>
      </w:r>
      <w:r w:rsidR="00F61908">
        <w:rPr>
          <w:rFonts w:ascii="Times New Roman" w:hAnsi="Times New Roman"/>
          <w:sz w:val="25"/>
          <w:szCs w:val="25"/>
        </w:rPr>
        <w:t xml:space="preserve">a </w:t>
      </w:r>
      <w:r w:rsidR="00405FBF">
        <w:rPr>
          <w:rFonts w:ascii="Times New Roman" w:hAnsi="Times New Roman"/>
          <w:sz w:val="25"/>
          <w:szCs w:val="25"/>
        </w:rPr>
        <w:t>total penalty</w:t>
      </w:r>
      <w:r w:rsidR="005A4C78">
        <w:rPr>
          <w:rFonts w:ascii="Times New Roman" w:hAnsi="Times New Roman"/>
          <w:sz w:val="25"/>
          <w:szCs w:val="25"/>
        </w:rPr>
        <w:t>, in the amount of $13,700,</w:t>
      </w:r>
      <w:r w:rsidR="00405FBF">
        <w:rPr>
          <w:rFonts w:ascii="Times New Roman" w:hAnsi="Times New Roman"/>
          <w:sz w:val="25"/>
          <w:szCs w:val="25"/>
        </w:rPr>
        <w:t xml:space="preserve"> </w:t>
      </w:r>
      <w:r w:rsidR="00F61908">
        <w:rPr>
          <w:rFonts w:ascii="Times New Roman" w:hAnsi="Times New Roman"/>
          <w:sz w:val="25"/>
          <w:szCs w:val="25"/>
        </w:rPr>
        <w:t xml:space="preserve">that </w:t>
      </w:r>
      <w:r w:rsidR="00405FBF">
        <w:rPr>
          <w:rFonts w:ascii="Times New Roman" w:hAnsi="Times New Roman"/>
          <w:sz w:val="25"/>
          <w:szCs w:val="25"/>
        </w:rPr>
        <w:t>is significant</w:t>
      </w:r>
      <w:r w:rsidR="00515690">
        <w:rPr>
          <w:rFonts w:ascii="Times New Roman" w:hAnsi="Times New Roman"/>
          <w:sz w:val="25"/>
          <w:szCs w:val="25"/>
        </w:rPr>
        <w:t xml:space="preserve"> but not</w:t>
      </w:r>
      <w:r w:rsidR="00405FBF">
        <w:rPr>
          <w:rFonts w:ascii="Times New Roman" w:hAnsi="Times New Roman"/>
          <w:sz w:val="25"/>
          <w:szCs w:val="25"/>
        </w:rPr>
        <w:t xml:space="preserve"> unduly punitive. </w:t>
      </w:r>
      <w:r w:rsidR="00405FBF">
        <w:rPr>
          <w:rFonts w:ascii="Times New Roman" w:hAnsi="Times New Roman"/>
          <w:sz w:val="25"/>
          <w:szCs w:val="25"/>
        </w:rPr>
        <w:br/>
      </w:r>
    </w:p>
    <w:p w14:paraId="4A1A28E5" w14:textId="0CE028BE" w:rsidR="0031172F" w:rsidRDefault="00F61908" w:rsidP="005318FE">
      <w:pPr>
        <w:numPr>
          <w:ilvl w:val="0"/>
          <w:numId w:val="1"/>
        </w:numPr>
        <w:spacing w:line="264" w:lineRule="auto"/>
        <w:ind w:hanging="720"/>
        <w:rPr>
          <w:rFonts w:ascii="Times New Roman" w:hAnsi="Times New Roman"/>
          <w:sz w:val="25"/>
          <w:szCs w:val="25"/>
        </w:rPr>
      </w:pPr>
      <w:r>
        <w:rPr>
          <w:rFonts w:ascii="Times New Roman" w:hAnsi="Times New Roman"/>
          <w:sz w:val="25"/>
          <w:szCs w:val="25"/>
        </w:rPr>
        <w:t>Staff also recommend</w:t>
      </w:r>
      <w:r w:rsidR="00B431A4">
        <w:rPr>
          <w:rFonts w:ascii="Times New Roman" w:hAnsi="Times New Roman"/>
          <w:sz w:val="25"/>
          <w:szCs w:val="25"/>
        </w:rPr>
        <w:t>s</w:t>
      </w:r>
      <w:r>
        <w:rPr>
          <w:rFonts w:ascii="Times New Roman" w:hAnsi="Times New Roman"/>
          <w:sz w:val="25"/>
          <w:szCs w:val="25"/>
        </w:rPr>
        <w:t xml:space="preserve"> revocation of Best Moving’s household goods carrier permit.  RCW 81.80.280 </w:t>
      </w:r>
      <w:r w:rsidR="00C96C63">
        <w:rPr>
          <w:rFonts w:ascii="Times New Roman" w:hAnsi="Times New Roman"/>
          <w:sz w:val="25"/>
          <w:szCs w:val="25"/>
        </w:rPr>
        <w:t>authorizes the Commission to revoke a carrier’s permit “upon the [C]ommission’s own motion after notice and opportunity for hearing, when the permittee or the permittee’s agent has repeatedly violated this chapter, the rules and regulations of the [C]om</w:t>
      </w:r>
      <w:r w:rsidR="001044B8">
        <w:rPr>
          <w:rFonts w:ascii="Times New Roman" w:hAnsi="Times New Roman"/>
          <w:sz w:val="25"/>
          <w:szCs w:val="25"/>
        </w:rPr>
        <w:t>m</w:t>
      </w:r>
      <w:r w:rsidR="00C96C63">
        <w:rPr>
          <w:rFonts w:ascii="Times New Roman" w:hAnsi="Times New Roman"/>
          <w:sz w:val="25"/>
          <w:szCs w:val="25"/>
        </w:rPr>
        <w:t xml:space="preserve">ission … or the household goods </w:t>
      </w:r>
      <w:r w:rsidR="005A4C78">
        <w:rPr>
          <w:rFonts w:ascii="Times New Roman" w:hAnsi="Times New Roman"/>
          <w:sz w:val="25"/>
          <w:szCs w:val="25"/>
        </w:rPr>
        <w:t xml:space="preserve">carrier </w:t>
      </w:r>
      <w:r w:rsidR="00C96C63">
        <w:rPr>
          <w:rFonts w:ascii="Times New Roman" w:hAnsi="Times New Roman"/>
          <w:sz w:val="25"/>
          <w:szCs w:val="25"/>
        </w:rPr>
        <w:t xml:space="preserve">has … not conducted its operation in accordance with the permit.”  </w:t>
      </w:r>
      <w:r w:rsidR="00F42B08">
        <w:rPr>
          <w:rFonts w:ascii="Times New Roman" w:hAnsi="Times New Roman"/>
          <w:sz w:val="25"/>
          <w:szCs w:val="25"/>
        </w:rPr>
        <w:t>The</w:t>
      </w:r>
      <w:r w:rsidR="00405FBF">
        <w:rPr>
          <w:rFonts w:ascii="Times New Roman" w:hAnsi="Times New Roman"/>
          <w:sz w:val="25"/>
          <w:szCs w:val="25"/>
        </w:rPr>
        <w:t xml:space="preserve"> Commission’s primary goal is compliance, </w:t>
      </w:r>
      <w:r w:rsidR="00F42B08">
        <w:rPr>
          <w:rFonts w:ascii="Times New Roman" w:hAnsi="Times New Roman"/>
          <w:sz w:val="25"/>
          <w:szCs w:val="25"/>
        </w:rPr>
        <w:t xml:space="preserve">and it is a rare occurrence indeed for us to revoke a carrier’s authority.  </w:t>
      </w:r>
      <w:r w:rsidR="00B26506">
        <w:rPr>
          <w:rFonts w:ascii="Times New Roman" w:hAnsi="Times New Roman"/>
          <w:sz w:val="25"/>
          <w:szCs w:val="25"/>
        </w:rPr>
        <w:t>Over the past six years, w</w:t>
      </w:r>
      <w:r w:rsidR="00F42B08">
        <w:rPr>
          <w:rFonts w:ascii="Times New Roman" w:hAnsi="Times New Roman"/>
          <w:sz w:val="25"/>
          <w:szCs w:val="25"/>
        </w:rPr>
        <w:t xml:space="preserve">e have offered </w:t>
      </w:r>
      <w:r w:rsidR="001044B8">
        <w:rPr>
          <w:rFonts w:ascii="Times New Roman" w:hAnsi="Times New Roman"/>
          <w:sz w:val="25"/>
          <w:szCs w:val="25"/>
        </w:rPr>
        <w:t>training</w:t>
      </w:r>
      <w:r w:rsidR="00B26506">
        <w:rPr>
          <w:rFonts w:ascii="Times New Roman" w:hAnsi="Times New Roman"/>
          <w:sz w:val="25"/>
          <w:szCs w:val="25"/>
        </w:rPr>
        <w:t xml:space="preserve"> at least twice annually</w:t>
      </w:r>
      <w:r w:rsidR="00F42B08">
        <w:rPr>
          <w:rFonts w:ascii="Times New Roman" w:hAnsi="Times New Roman"/>
          <w:sz w:val="25"/>
          <w:szCs w:val="25"/>
        </w:rPr>
        <w:t>, technical assistance</w:t>
      </w:r>
      <w:r w:rsidR="00B26506">
        <w:rPr>
          <w:rFonts w:ascii="Times New Roman" w:hAnsi="Times New Roman"/>
          <w:sz w:val="25"/>
          <w:szCs w:val="25"/>
        </w:rPr>
        <w:t xml:space="preserve"> during the 2009, 2011, and the 2013 investigations</w:t>
      </w:r>
      <w:r w:rsidR="00F42B08">
        <w:rPr>
          <w:rFonts w:ascii="Times New Roman" w:hAnsi="Times New Roman"/>
          <w:sz w:val="25"/>
          <w:szCs w:val="25"/>
        </w:rPr>
        <w:t>,</w:t>
      </w:r>
      <w:r w:rsidR="001044B8">
        <w:rPr>
          <w:rFonts w:ascii="Times New Roman" w:hAnsi="Times New Roman"/>
          <w:sz w:val="25"/>
          <w:szCs w:val="25"/>
        </w:rPr>
        <w:t xml:space="preserve"> and </w:t>
      </w:r>
      <w:r w:rsidR="00B26506">
        <w:rPr>
          <w:rFonts w:ascii="Times New Roman" w:hAnsi="Times New Roman"/>
          <w:sz w:val="25"/>
          <w:szCs w:val="25"/>
        </w:rPr>
        <w:t xml:space="preserve">imposed </w:t>
      </w:r>
      <w:r w:rsidR="001044B8">
        <w:rPr>
          <w:rFonts w:ascii="Times New Roman" w:hAnsi="Times New Roman"/>
          <w:sz w:val="25"/>
          <w:szCs w:val="25"/>
        </w:rPr>
        <w:t>penalties</w:t>
      </w:r>
      <w:r w:rsidR="00206639">
        <w:rPr>
          <w:rFonts w:ascii="Times New Roman" w:hAnsi="Times New Roman"/>
          <w:sz w:val="25"/>
          <w:szCs w:val="25"/>
        </w:rPr>
        <w:t xml:space="preserve"> against Best Moving, all</w:t>
      </w:r>
      <w:r w:rsidR="001044B8">
        <w:rPr>
          <w:rFonts w:ascii="Times New Roman" w:hAnsi="Times New Roman"/>
          <w:sz w:val="25"/>
          <w:szCs w:val="25"/>
        </w:rPr>
        <w:t xml:space="preserve"> </w:t>
      </w:r>
      <w:r w:rsidR="00B26506">
        <w:rPr>
          <w:rFonts w:ascii="Times New Roman" w:hAnsi="Times New Roman"/>
          <w:sz w:val="25"/>
          <w:szCs w:val="25"/>
        </w:rPr>
        <w:t>in an effort</w:t>
      </w:r>
      <w:r w:rsidR="001044B8">
        <w:rPr>
          <w:rFonts w:ascii="Times New Roman" w:hAnsi="Times New Roman"/>
          <w:sz w:val="25"/>
          <w:szCs w:val="25"/>
        </w:rPr>
        <w:t xml:space="preserve"> to coerce the Company into compliance with the Commission’s rules and regulations</w:t>
      </w:r>
      <w:r w:rsidR="00AF2559">
        <w:rPr>
          <w:rFonts w:ascii="Times New Roman" w:hAnsi="Times New Roman"/>
          <w:sz w:val="25"/>
          <w:szCs w:val="25"/>
        </w:rPr>
        <w:t xml:space="preserve">.  </w:t>
      </w:r>
      <w:r w:rsidR="00B26506">
        <w:rPr>
          <w:rFonts w:ascii="Times New Roman" w:hAnsi="Times New Roman"/>
          <w:sz w:val="25"/>
          <w:szCs w:val="25"/>
        </w:rPr>
        <w:t xml:space="preserve">In the end, where we should have seen significant progress in Best Moving’s efforts to come into compliance with the law, we are instead faced with five of the same causes of action </w:t>
      </w:r>
      <w:r w:rsidR="0031172F">
        <w:rPr>
          <w:rFonts w:ascii="Times New Roman" w:hAnsi="Times New Roman"/>
          <w:sz w:val="25"/>
          <w:szCs w:val="25"/>
        </w:rPr>
        <w:t>from prior investigations</w:t>
      </w:r>
      <w:r w:rsidR="00B26506">
        <w:rPr>
          <w:rFonts w:ascii="Times New Roman" w:hAnsi="Times New Roman"/>
          <w:sz w:val="25"/>
          <w:szCs w:val="25"/>
        </w:rPr>
        <w:t xml:space="preserve">.  </w:t>
      </w:r>
    </w:p>
    <w:p w14:paraId="077E98BB" w14:textId="77777777" w:rsidR="00601D76" w:rsidRDefault="00601D76" w:rsidP="005318FE">
      <w:pPr>
        <w:spacing w:line="264" w:lineRule="auto"/>
        <w:rPr>
          <w:rFonts w:ascii="Times New Roman" w:hAnsi="Times New Roman"/>
          <w:sz w:val="25"/>
          <w:szCs w:val="25"/>
        </w:rPr>
      </w:pPr>
    </w:p>
    <w:p w14:paraId="1899703F" w14:textId="0E87BFBE" w:rsidR="002E21F8" w:rsidRDefault="0031172F" w:rsidP="005318F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Our rules and regulations exist to protect both carriers and their customers.  Given the seriousness of the falsification in the first cause of action and the </w:t>
      </w:r>
      <w:r w:rsidR="001044B8">
        <w:rPr>
          <w:rFonts w:ascii="Times New Roman" w:hAnsi="Times New Roman"/>
          <w:sz w:val="25"/>
          <w:szCs w:val="25"/>
        </w:rPr>
        <w:t xml:space="preserve">significance and repetition of the violations in question, </w:t>
      </w:r>
      <w:r>
        <w:rPr>
          <w:rFonts w:ascii="Times New Roman" w:hAnsi="Times New Roman"/>
          <w:sz w:val="25"/>
          <w:szCs w:val="25"/>
        </w:rPr>
        <w:t>we find that</w:t>
      </w:r>
      <w:r w:rsidR="001044B8">
        <w:rPr>
          <w:rFonts w:ascii="Times New Roman" w:hAnsi="Times New Roman"/>
          <w:sz w:val="25"/>
          <w:szCs w:val="25"/>
        </w:rPr>
        <w:t xml:space="preserve"> revocation of Best Moving’s permit</w:t>
      </w:r>
      <w:r>
        <w:rPr>
          <w:rFonts w:ascii="Times New Roman" w:hAnsi="Times New Roman"/>
          <w:sz w:val="25"/>
          <w:szCs w:val="25"/>
        </w:rPr>
        <w:t xml:space="preserve"> is warranted</w:t>
      </w:r>
      <w:r w:rsidR="004A1B68" w:rsidRPr="004A1B68">
        <w:rPr>
          <w:rFonts w:ascii="Times New Roman" w:hAnsi="Times New Roman"/>
          <w:sz w:val="25"/>
          <w:szCs w:val="25"/>
        </w:rPr>
        <w:t>.</w:t>
      </w:r>
      <w:r w:rsidR="00B26506">
        <w:rPr>
          <w:rFonts w:ascii="Times New Roman" w:hAnsi="Times New Roman"/>
          <w:sz w:val="25"/>
          <w:szCs w:val="25"/>
        </w:rPr>
        <w:t xml:space="preserve">  </w:t>
      </w:r>
    </w:p>
    <w:p w14:paraId="62A67B75" w14:textId="580BC3F2" w:rsidR="002E21F8" w:rsidRDefault="002E21F8" w:rsidP="005318FE">
      <w:pPr>
        <w:spacing w:line="264" w:lineRule="auto"/>
        <w:rPr>
          <w:rFonts w:ascii="Times New Roman" w:hAnsi="Times New Roman"/>
          <w:sz w:val="25"/>
          <w:szCs w:val="25"/>
        </w:rPr>
      </w:pPr>
    </w:p>
    <w:p w14:paraId="65393359" w14:textId="446E4127" w:rsidR="00832894" w:rsidRDefault="00832894" w:rsidP="005318FE">
      <w:pPr>
        <w:spacing w:line="264" w:lineRule="auto"/>
        <w:jc w:val="center"/>
        <w:rPr>
          <w:rFonts w:ascii="Times New Roman" w:hAnsi="Times New Roman"/>
          <w:b/>
          <w:sz w:val="25"/>
          <w:szCs w:val="25"/>
        </w:rPr>
      </w:pPr>
      <w:r w:rsidRPr="007A62BB">
        <w:rPr>
          <w:rFonts w:ascii="Times New Roman" w:hAnsi="Times New Roman"/>
          <w:b/>
          <w:sz w:val="25"/>
          <w:szCs w:val="25"/>
        </w:rPr>
        <w:t>FINDINGS AND CONCLUSIONS</w:t>
      </w:r>
    </w:p>
    <w:p w14:paraId="18A2607B" w14:textId="77777777" w:rsidR="005318FE" w:rsidRPr="007A62BB" w:rsidRDefault="005318FE" w:rsidP="005318FE">
      <w:pPr>
        <w:spacing w:line="264" w:lineRule="auto"/>
        <w:jc w:val="center"/>
        <w:rPr>
          <w:rFonts w:ascii="Times New Roman" w:hAnsi="Times New Roman"/>
          <w:b/>
          <w:sz w:val="25"/>
          <w:szCs w:val="25"/>
        </w:rPr>
      </w:pPr>
    </w:p>
    <w:p w14:paraId="5E73DB96" w14:textId="77777777" w:rsidR="00832894" w:rsidRPr="007A62BB" w:rsidRDefault="00832894" w:rsidP="005318FE">
      <w:pPr>
        <w:numPr>
          <w:ilvl w:val="0"/>
          <w:numId w:val="1"/>
        </w:numPr>
        <w:spacing w:line="264" w:lineRule="auto"/>
        <w:ind w:left="720" w:hanging="1440"/>
        <w:rPr>
          <w:rFonts w:ascii="Times New Roman" w:hAnsi="Times New Roman"/>
          <w:sz w:val="25"/>
          <w:szCs w:val="25"/>
        </w:rPr>
      </w:pPr>
      <w:r w:rsidRPr="007A62BB">
        <w:rPr>
          <w:rFonts w:ascii="Times New Roman" w:hAnsi="Times New Roman"/>
          <w:sz w:val="25"/>
          <w:szCs w:val="25"/>
        </w:rPr>
        <w:t>(1)</w:t>
      </w:r>
      <w:r w:rsidRPr="007A62BB">
        <w:rPr>
          <w:rFonts w:ascii="Times New Roman" w:hAnsi="Times New Roman"/>
          <w:sz w:val="25"/>
          <w:szCs w:val="25"/>
        </w:rPr>
        <w:tab/>
        <w:t>The Washington Utilities and Transportation Commission is an agency of the State of</w:t>
      </w:r>
      <w:r>
        <w:rPr>
          <w:rFonts w:ascii="Times New Roman" w:hAnsi="Times New Roman"/>
          <w:sz w:val="25"/>
          <w:szCs w:val="25"/>
        </w:rPr>
        <w:t xml:space="preserve"> Washington, vested by statute w</w:t>
      </w:r>
      <w:r w:rsidRPr="007A62BB">
        <w:rPr>
          <w:rFonts w:ascii="Times New Roman" w:hAnsi="Times New Roman"/>
          <w:sz w:val="25"/>
          <w:szCs w:val="25"/>
        </w:rPr>
        <w:t xml:space="preserve">ith authority to regulate rates, rules, regulations, and practices of public service companies, including </w:t>
      </w:r>
      <w:r w:rsidR="00C22D4F">
        <w:rPr>
          <w:rFonts w:ascii="Times New Roman" w:hAnsi="Times New Roman"/>
          <w:sz w:val="25"/>
          <w:szCs w:val="25"/>
        </w:rPr>
        <w:t xml:space="preserve">household goods </w:t>
      </w:r>
      <w:r w:rsidRPr="007A62BB">
        <w:rPr>
          <w:rFonts w:ascii="Times New Roman" w:hAnsi="Times New Roman"/>
          <w:sz w:val="25"/>
          <w:szCs w:val="25"/>
        </w:rPr>
        <w:t>companies, and has jurisdiction over the parties and subject matter of this proceeding.</w:t>
      </w:r>
    </w:p>
    <w:p w14:paraId="1DBBE5CE" w14:textId="77777777" w:rsidR="00832894" w:rsidRPr="007A62BB" w:rsidRDefault="00832894" w:rsidP="005318FE">
      <w:pPr>
        <w:pStyle w:val="ListParagraph"/>
        <w:spacing w:line="264" w:lineRule="auto"/>
        <w:rPr>
          <w:rFonts w:ascii="Times New Roman" w:hAnsi="Times New Roman"/>
          <w:sz w:val="25"/>
          <w:szCs w:val="25"/>
        </w:rPr>
      </w:pPr>
    </w:p>
    <w:p w14:paraId="4C6BE148" w14:textId="4D4E4C7F" w:rsidR="00832894" w:rsidRPr="00C84FA4" w:rsidRDefault="00832894" w:rsidP="005318FE">
      <w:pPr>
        <w:numPr>
          <w:ilvl w:val="0"/>
          <w:numId w:val="1"/>
        </w:numPr>
        <w:spacing w:line="264" w:lineRule="auto"/>
        <w:ind w:left="720" w:hanging="1440"/>
        <w:rPr>
          <w:rFonts w:ascii="Times New Roman" w:hAnsi="Times New Roman"/>
          <w:sz w:val="25"/>
          <w:szCs w:val="25"/>
        </w:rPr>
      </w:pPr>
      <w:r w:rsidRPr="007A62BB">
        <w:rPr>
          <w:rFonts w:ascii="Times New Roman" w:hAnsi="Times New Roman"/>
          <w:sz w:val="25"/>
          <w:szCs w:val="25"/>
        </w:rPr>
        <w:t>(2)</w:t>
      </w:r>
      <w:r w:rsidRPr="007A62BB">
        <w:rPr>
          <w:rFonts w:ascii="Times New Roman" w:hAnsi="Times New Roman"/>
          <w:sz w:val="25"/>
          <w:szCs w:val="25"/>
        </w:rPr>
        <w:tab/>
      </w:r>
      <w:r w:rsidR="001044B8">
        <w:rPr>
          <w:rFonts w:ascii="Times New Roman" w:hAnsi="Times New Roman"/>
          <w:sz w:val="25"/>
          <w:szCs w:val="25"/>
        </w:rPr>
        <w:t>Best</w:t>
      </w:r>
      <w:r w:rsidR="001B701C">
        <w:rPr>
          <w:rFonts w:ascii="Times New Roman" w:hAnsi="Times New Roman"/>
          <w:sz w:val="25"/>
          <w:szCs w:val="25"/>
        </w:rPr>
        <w:t xml:space="preserve"> Moving</w:t>
      </w:r>
      <w:r w:rsidR="001044B8">
        <w:rPr>
          <w:rFonts w:ascii="Times New Roman" w:hAnsi="Times New Roman"/>
          <w:sz w:val="25"/>
          <w:szCs w:val="25"/>
        </w:rPr>
        <w:t xml:space="preserve"> and Delivery, LLC</w:t>
      </w:r>
      <w:r>
        <w:rPr>
          <w:rFonts w:ascii="Times New Roman" w:hAnsi="Times New Roman"/>
          <w:sz w:val="25"/>
          <w:szCs w:val="25"/>
        </w:rPr>
        <w:t xml:space="preserve"> is a </w:t>
      </w:r>
      <w:r w:rsidR="001B701C">
        <w:rPr>
          <w:rFonts w:ascii="Times New Roman" w:hAnsi="Times New Roman"/>
          <w:sz w:val="25"/>
          <w:szCs w:val="25"/>
        </w:rPr>
        <w:t>household goods</w:t>
      </w:r>
      <w:r>
        <w:rPr>
          <w:rFonts w:ascii="Times New Roman" w:hAnsi="Times New Roman"/>
          <w:sz w:val="25"/>
          <w:szCs w:val="25"/>
        </w:rPr>
        <w:t xml:space="preserve"> company su</w:t>
      </w:r>
      <w:r w:rsidR="008664CC">
        <w:rPr>
          <w:rFonts w:ascii="Times New Roman" w:hAnsi="Times New Roman"/>
          <w:sz w:val="25"/>
          <w:szCs w:val="25"/>
        </w:rPr>
        <w:t>bject to Commission regulation</w:t>
      </w:r>
      <w:r w:rsidRPr="007A62BB">
        <w:rPr>
          <w:rFonts w:ascii="Times New Roman" w:hAnsi="Times New Roman"/>
          <w:sz w:val="25"/>
          <w:szCs w:val="25"/>
        </w:rPr>
        <w:t>.</w:t>
      </w:r>
    </w:p>
    <w:p w14:paraId="61AE7201" w14:textId="77777777" w:rsidR="00832894" w:rsidRPr="005069FF" w:rsidRDefault="00832894" w:rsidP="005318FE">
      <w:pPr>
        <w:pStyle w:val="ListParagraph"/>
        <w:spacing w:line="264" w:lineRule="auto"/>
        <w:rPr>
          <w:rFonts w:ascii="Times New Roman" w:hAnsi="Times New Roman"/>
          <w:sz w:val="25"/>
          <w:szCs w:val="25"/>
          <w:highlight w:val="yellow"/>
        </w:rPr>
      </w:pPr>
    </w:p>
    <w:p w14:paraId="4D34769C" w14:textId="6145FFDB" w:rsidR="003D6E0E" w:rsidRDefault="00FC4DF5" w:rsidP="005318FE">
      <w:pPr>
        <w:numPr>
          <w:ilvl w:val="0"/>
          <w:numId w:val="1"/>
        </w:numPr>
        <w:spacing w:line="264" w:lineRule="auto"/>
        <w:ind w:left="720" w:hanging="1440"/>
        <w:rPr>
          <w:rFonts w:ascii="Times New Roman" w:hAnsi="Times New Roman"/>
          <w:sz w:val="25"/>
          <w:szCs w:val="25"/>
        </w:rPr>
      </w:pPr>
      <w:r w:rsidRPr="0077548E" w:rsidDel="00FC4DF5">
        <w:rPr>
          <w:rFonts w:ascii="Times New Roman" w:hAnsi="Times New Roman"/>
          <w:sz w:val="25"/>
          <w:szCs w:val="25"/>
        </w:rPr>
        <w:t xml:space="preserve"> </w:t>
      </w:r>
      <w:r w:rsidR="00832894" w:rsidRPr="00832894">
        <w:rPr>
          <w:rFonts w:ascii="Times New Roman" w:hAnsi="Times New Roman"/>
          <w:sz w:val="25"/>
          <w:szCs w:val="25"/>
        </w:rPr>
        <w:t>(</w:t>
      </w:r>
      <w:r w:rsidR="002E21F8">
        <w:rPr>
          <w:rFonts w:ascii="Times New Roman" w:hAnsi="Times New Roman"/>
          <w:sz w:val="25"/>
          <w:szCs w:val="25"/>
        </w:rPr>
        <w:t>3</w:t>
      </w:r>
      <w:r w:rsidR="00832894" w:rsidRPr="00832894">
        <w:rPr>
          <w:rFonts w:ascii="Times New Roman" w:hAnsi="Times New Roman"/>
          <w:sz w:val="25"/>
          <w:szCs w:val="25"/>
        </w:rPr>
        <w:t>)</w:t>
      </w:r>
      <w:r w:rsidR="00832894" w:rsidRPr="00832894">
        <w:rPr>
          <w:rFonts w:ascii="Times New Roman" w:hAnsi="Times New Roman"/>
          <w:sz w:val="25"/>
          <w:szCs w:val="25"/>
        </w:rPr>
        <w:tab/>
      </w:r>
      <w:r w:rsidR="001044B8">
        <w:rPr>
          <w:rFonts w:ascii="Times New Roman" w:hAnsi="Times New Roman"/>
          <w:sz w:val="25"/>
          <w:szCs w:val="25"/>
        </w:rPr>
        <w:t>Best</w:t>
      </w:r>
      <w:r w:rsidR="001B701C" w:rsidRPr="00E32F96">
        <w:rPr>
          <w:rFonts w:ascii="Times New Roman" w:hAnsi="Times New Roman"/>
          <w:sz w:val="25"/>
          <w:szCs w:val="25"/>
        </w:rPr>
        <w:t xml:space="preserve"> Moving </w:t>
      </w:r>
      <w:r w:rsidR="00AD4477" w:rsidRPr="00E32F96">
        <w:rPr>
          <w:rFonts w:ascii="Times New Roman" w:hAnsi="Times New Roman"/>
          <w:sz w:val="25"/>
          <w:szCs w:val="25"/>
        </w:rPr>
        <w:t xml:space="preserve">should be penalized </w:t>
      </w:r>
      <w:r w:rsidR="005A6EF9" w:rsidRPr="00E32F96">
        <w:rPr>
          <w:rFonts w:ascii="Times New Roman" w:hAnsi="Times New Roman"/>
          <w:sz w:val="25"/>
          <w:szCs w:val="25"/>
        </w:rPr>
        <w:t>$1</w:t>
      </w:r>
      <w:r w:rsidR="001044B8">
        <w:rPr>
          <w:rFonts w:ascii="Times New Roman" w:hAnsi="Times New Roman"/>
          <w:sz w:val="25"/>
          <w:szCs w:val="25"/>
        </w:rPr>
        <w:t>,</w:t>
      </w:r>
      <w:r w:rsidR="005A6EF9" w:rsidRPr="00E32F96">
        <w:rPr>
          <w:rFonts w:ascii="Times New Roman" w:hAnsi="Times New Roman"/>
          <w:sz w:val="25"/>
          <w:szCs w:val="25"/>
        </w:rPr>
        <w:t>00</w:t>
      </w:r>
      <w:r w:rsidR="001044B8">
        <w:rPr>
          <w:rFonts w:ascii="Times New Roman" w:hAnsi="Times New Roman"/>
          <w:sz w:val="25"/>
          <w:szCs w:val="25"/>
        </w:rPr>
        <w:t>0</w:t>
      </w:r>
      <w:r w:rsidR="005A6EF9" w:rsidRPr="00E32F96">
        <w:rPr>
          <w:rFonts w:ascii="Times New Roman" w:hAnsi="Times New Roman"/>
          <w:sz w:val="25"/>
          <w:szCs w:val="25"/>
        </w:rPr>
        <w:t xml:space="preserve"> for </w:t>
      </w:r>
      <w:r w:rsidR="00D64C64">
        <w:rPr>
          <w:rFonts w:ascii="Times New Roman" w:hAnsi="Times New Roman"/>
          <w:sz w:val="25"/>
          <w:szCs w:val="25"/>
        </w:rPr>
        <w:t>each of the 7</w:t>
      </w:r>
      <w:r w:rsidR="005A6EF9" w:rsidRPr="00E32F96">
        <w:rPr>
          <w:rFonts w:ascii="Times New Roman" w:hAnsi="Times New Roman"/>
          <w:sz w:val="25"/>
          <w:szCs w:val="25"/>
        </w:rPr>
        <w:t xml:space="preserve"> violations of </w:t>
      </w:r>
      <w:r w:rsidR="00D64C64">
        <w:rPr>
          <w:rFonts w:ascii="Times New Roman" w:hAnsi="Times New Roman"/>
          <w:sz w:val="25"/>
          <w:szCs w:val="25"/>
        </w:rPr>
        <w:t>RCW 81.04.070</w:t>
      </w:r>
      <w:r w:rsidR="005A6EF9" w:rsidRPr="00E32F96">
        <w:rPr>
          <w:rFonts w:ascii="Times New Roman" w:hAnsi="Times New Roman"/>
          <w:sz w:val="25"/>
          <w:szCs w:val="25"/>
        </w:rPr>
        <w:t xml:space="preserve"> </w:t>
      </w:r>
      <w:r w:rsidR="00C22D4F">
        <w:rPr>
          <w:rFonts w:ascii="Times New Roman" w:hAnsi="Times New Roman"/>
          <w:sz w:val="25"/>
          <w:szCs w:val="25"/>
        </w:rPr>
        <w:t xml:space="preserve">for </w:t>
      </w:r>
      <w:r w:rsidR="00D64C64">
        <w:rPr>
          <w:rFonts w:ascii="Times New Roman" w:hAnsi="Times New Roman"/>
          <w:sz w:val="25"/>
          <w:szCs w:val="25"/>
        </w:rPr>
        <w:t xml:space="preserve">falsifying estimates forms for </w:t>
      </w:r>
      <w:r w:rsidR="00BD33A1">
        <w:rPr>
          <w:rFonts w:ascii="Times New Roman" w:hAnsi="Times New Roman"/>
          <w:sz w:val="25"/>
          <w:szCs w:val="25"/>
        </w:rPr>
        <w:t>7</w:t>
      </w:r>
      <w:r w:rsidR="00D64C64">
        <w:rPr>
          <w:rFonts w:ascii="Times New Roman" w:hAnsi="Times New Roman"/>
          <w:sz w:val="25"/>
          <w:szCs w:val="25"/>
        </w:rPr>
        <w:t xml:space="preserve"> customers, for a total penalty of $7,000</w:t>
      </w:r>
      <w:r w:rsidR="00C22D4F">
        <w:rPr>
          <w:rFonts w:ascii="Times New Roman" w:hAnsi="Times New Roman"/>
          <w:sz w:val="25"/>
          <w:szCs w:val="25"/>
        </w:rPr>
        <w:t>.</w:t>
      </w:r>
    </w:p>
    <w:p w14:paraId="70B710A4" w14:textId="77777777" w:rsidR="00A460F4" w:rsidRDefault="00A460F4" w:rsidP="005318FE">
      <w:pPr>
        <w:pStyle w:val="ListParagraph"/>
        <w:spacing w:line="264" w:lineRule="auto"/>
        <w:rPr>
          <w:rFonts w:ascii="Times New Roman" w:hAnsi="Times New Roman"/>
          <w:sz w:val="25"/>
          <w:szCs w:val="25"/>
        </w:rPr>
      </w:pPr>
    </w:p>
    <w:p w14:paraId="3A0658D7" w14:textId="1911614C" w:rsidR="00BC03F0" w:rsidRDefault="00A460F4" w:rsidP="005318FE">
      <w:pPr>
        <w:numPr>
          <w:ilvl w:val="0"/>
          <w:numId w:val="1"/>
        </w:numPr>
        <w:spacing w:line="264" w:lineRule="auto"/>
        <w:ind w:left="720" w:hanging="1440"/>
        <w:rPr>
          <w:rFonts w:ascii="Times New Roman" w:hAnsi="Times New Roman"/>
          <w:sz w:val="25"/>
          <w:szCs w:val="25"/>
        </w:rPr>
      </w:pPr>
      <w:r>
        <w:rPr>
          <w:rFonts w:ascii="Times New Roman" w:hAnsi="Times New Roman"/>
          <w:sz w:val="25"/>
          <w:szCs w:val="25"/>
        </w:rPr>
        <w:t>(</w:t>
      </w:r>
      <w:r w:rsidR="002E21F8">
        <w:rPr>
          <w:rFonts w:ascii="Times New Roman" w:hAnsi="Times New Roman"/>
          <w:sz w:val="25"/>
          <w:szCs w:val="25"/>
        </w:rPr>
        <w:t>4</w:t>
      </w:r>
      <w:r>
        <w:rPr>
          <w:rFonts w:ascii="Times New Roman" w:hAnsi="Times New Roman"/>
          <w:sz w:val="25"/>
          <w:szCs w:val="25"/>
        </w:rPr>
        <w:t>)</w:t>
      </w:r>
      <w:r>
        <w:rPr>
          <w:rFonts w:ascii="Times New Roman" w:hAnsi="Times New Roman"/>
          <w:sz w:val="25"/>
          <w:szCs w:val="25"/>
        </w:rPr>
        <w:tab/>
      </w:r>
      <w:r w:rsidR="00D64C64">
        <w:rPr>
          <w:rFonts w:ascii="Times New Roman" w:hAnsi="Times New Roman"/>
          <w:sz w:val="25"/>
          <w:szCs w:val="25"/>
        </w:rPr>
        <w:t>Best Moving</w:t>
      </w:r>
      <w:r w:rsidR="001B701C">
        <w:rPr>
          <w:rFonts w:ascii="Times New Roman" w:hAnsi="Times New Roman"/>
          <w:sz w:val="25"/>
          <w:szCs w:val="25"/>
        </w:rPr>
        <w:t xml:space="preserve"> </w:t>
      </w:r>
      <w:r w:rsidR="007B7608">
        <w:rPr>
          <w:rFonts w:ascii="Times New Roman" w:hAnsi="Times New Roman"/>
          <w:sz w:val="25"/>
          <w:szCs w:val="25"/>
        </w:rPr>
        <w:t xml:space="preserve">should be penalized </w:t>
      </w:r>
      <w:r w:rsidR="005A6EF9">
        <w:rPr>
          <w:rFonts w:ascii="Times New Roman" w:hAnsi="Times New Roman"/>
          <w:sz w:val="25"/>
          <w:szCs w:val="25"/>
        </w:rPr>
        <w:t>$1</w:t>
      </w:r>
      <w:r w:rsidR="00D64C64">
        <w:rPr>
          <w:rFonts w:ascii="Times New Roman" w:hAnsi="Times New Roman"/>
          <w:sz w:val="25"/>
          <w:szCs w:val="25"/>
        </w:rPr>
        <w:t>,0</w:t>
      </w:r>
      <w:r w:rsidR="005A6EF9">
        <w:rPr>
          <w:rFonts w:ascii="Times New Roman" w:hAnsi="Times New Roman"/>
          <w:sz w:val="25"/>
          <w:szCs w:val="25"/>
        </w:rPr>
        <w:t xml:space="preserve">00 for </w:t>
      </w:r>
      <w:r w:rsidR="00BD33A1">
        <w:rPr>
          <w:rFonts w:ascii="Times New Roman" w:hAnsi="Times New Roman"/>
          <w:sz w:val="25"/>
          <w:szCs w:val="25"/>
        </w:rPr>
        <w:t>7</w:t>
      </w:r>
      <w:r w:rsidR="005A6EF9">
        <w:rPr>
          <w:rFonts w:ascii="Times New Roman" w:hAnsi="Times New Roman"/>
          <w:sz w:val="25"/>
          <w:szCs w:val="25"/>
        </w:rPr>
        <w:t xml:space="preserve"> violations of </w:t>
      </w:r>
      <w:r w:rsidR="005A6EF9" w:rsidRPr="006C48ED">
        <w:rPr>
          <w:rFonts w:ascii="Times New Roman" w:hAnsi="Times New Roman"/>
          <w:sz w:val="25"/>
          <w:szCs w:val="25"/>
        </w:rPr>
        <w:t>WAC 480-15-630</w:t>
      </w:r>
      <w:r w:rsidR="003D4BF3">
        <w:rPr>
          <w:rFonts w:ascii="Times New Roman" w:hAnsi="Times New Roman"/>
          <w:sz w:val="25"/>
          <w:szCs w:val="25"/>
        </w:rPr>
        <w:t xml:space="preserve"> </w:t>
      </w:r>
      <w:r w:rsidR="00C22D4F">
        <w:rPr>
          <w:rFonts w:ascii="Times New Roman" w:hAnsi="Times New Roman"/>
          <w:sz w:val="25"/>
          <w:szCs w:val="25"/>
        </w:rPr>
        <w:t xml:space="preserve">for failing to provide </w:t>
      </w:r>
      <w:r w:rsidR="006C7B34">
        <w:rPr>
          <w:rFonts w:ascii="Times New Roman" w:hAnsi="Times New Roman"/>
          <w:sz w:val="25"/>
          <w:szCs w:val="25"/>
        </w:rPr>
        <w:t xml:space="preserve">written </w:t>
      </w:r>
      <w:r w:rsidR="00C22D4F">
        <w:rPr>
          <w:rFonts w:ascii="Times New Roman" w:hAnsi="Times New Roman"/>
          <w:sz w:val="25"/>
          <w:szCs w:val="25"/>
        </w:rPr>
        <w:t xml:space="preserve">estimates </w:t>
      </w:r>
      <w:r w:rsidR="00BD33A1">
        <w:rPr>
          <w:rFonts w:ascii="Times New Roman" w:hAnsi="Times New Roman"/>
          <w:sz w:val="25"/>
          <w:szCs w:val="25"/>
        </w:rPr>
        <w:t>to 7 customers</w:t>
      </w:r>
      <w:r w:rsidR="00C22D4F">
        <w:rPr>
          <w:rFonts w:ascii="Times New Roman" w:hAnsi="Times New Roman"/>
          <w:sz w:val="25"/>
          <w:szCs w:val="25"/>
        </w:rPr>
        <w:t>.</w:t>
      </w:r>
    </w:p>
    <w:p w14:paraId="208B1449" w14:textId="77777777" w:rsidR="00BC03F0" w:rsidRDefault="00BC03F0" w:rsidP="005318FE">
      <w:pPr>
        <w:pStyle w:val="ListParagraph"/>
        <w:spacing w:line="264" w:lineRule="auto"/>
        <w:rPr>
          <w:rFonts w:ascii="Times New Roman" w:hAnsi="Times New Roman"/>
          <w:sz w:val="25"/>
          <w:szCs w:val="25"/>
        </w:rPr>
      </w:pPr>
    </w:p>
    <w:p w14:paraId="129608BE" w14:textId="096BBFD0" w:rsidR="00A460F4" w:rsidRDefault="00BC03F0" w:rsidP="005318FE">
      <w:pPr>
        <w:numPr>
          <w:ilvl w:val="0"/>
          <w:numId w:val="1"/>
        </w:numPr>
        <w:spacing w:line="264" w:lineRule="auto"/>
        <w:ind w:left="720" w:hanging="1440"/>
        <w:rPr>
          <w:rFonts w:ascii="Times New Roman" w:hAnsi="Times New Roman"/>
          <w:sz w:val="25"/>
          <w:szCs w:val="25"/>
        </w:rPr>
      </w:pPr>
      <w:r>
        <w:rPr>
          <w:rFonts w:ascii="Times New Roman" w:hAnsi="Times New Roman"/>
          <w:sz w:val="25"/>
          <w:szCs w:val="25"/>
        </w:rPr>
        <w:t>(</w:t>
      </w:r>
      <w:r w:rsidR="002E21F8">
        <w:rPr>
          <w:rFonts w:ascii="Times New Roman" w:hAnsi="Times New Roman"/>
          <w:sz w:val="25"/>
          <w:szCs w:val="25"/>
        </w:rPr>
        <w:t>5</w:t>
      </w:r>
      <w:r>
        <w:rPr>
          <w:rFonts w:ascii="Times New Roman" w:hAnsi="Times New Roman"/>
          <w:sz w:val="25"/>
          <w:szCs w:val="25"/>
        </w:rPr>
        <w:t>)</w:t>
      </w:r>
      <w:r>
        <w:rPr>
          <w:rFonts w:ascii="Times New Roman" w:hAnsi="Times New Roman"/>
          <w:sz w:val="25"/>
          <w:szCs w:val="25"/>
        </w:rPr>
        <w:tab/>
      </w:r>
      <w:r w:rsidR="00BD33A1">
        <w:rPr>
          <w:rFonts w:ascii="Times New Roman" w:hAnsi="Times New Roman"/>
          <w:sz w:val="25"/>
          <w:szCs w:val="25"/>
        </w:rPr>
        <w:t>Best</w:t>
      </w:r>
      <w:r w:rsidR="001B701C">
        <w:rPr>
          <w:rFonts w:ascii="Times New Roman" w:hAnsi="Times New Roman"/>
          <w:sz w:val="25"/>
          <w:szCs w:val="25"/>
        </w:rPr>
        <w:t xml:space="preserve"> Moving </w:t>
      </w:r>
      <w:r>
        <w:rPr>
          <w:rFonts w:ascii="Times New Roman" w:hAnsi="Times New Roman"/>
          <w:sz w:val="25"/>
          <w:szCs w:val="25"/>
        </w:rPr>
        <w:t>should be penalized</w:t>
      </w:r>
      <w:r w:rsidR="00A460F4">
        <w:rPr>
          <w:rFonts w:ascii="Times New Roman" w:hAnsi="Times New Roman"/>
          <w:sz w:val="25"/>
          <w:szCs w:val="25"/>
        </w:rPr>
        <w:t xml:space="preserve"> </w:t>
      </w:r>
      <w:r w:rsidR="003D4BF3">
        <w:rPr>
          <w:rFonts w:ascii="Times New Roman" w:hAnsi="Times New Roman"/>
          <w:sz w:val="25"/>
          <w:szCs w:val="25"/>
        </w:rPr>
        <w:t xml:space="preserve">$1,000 for </w:t>
      </w:r>
      <w:r w:rsidR="005A4C78">
        <w:rPr>
          <w:rFonts w:ascii="Times New Roman" w:hAnsi="Times New Roman"/>
          <w:sz w:val="25"/>
          <w:szCs w:val="25"/>
        </w:rPr>
        <w:t>1</w:t>
      </w:r>
      <w:r w:rsidR="006C7B34">
        <w:rPr>
          <w:rFonts w:ascii="Times New Roman" w:hAnsi="Times New Roman"/>
          <w:sz w:val="25"/>
          <w:szCs w:val="25"/>
        </w:rPr>
        <w:t>24</w:t>
      </w:r>
      <w:r w:rsidR="005A6EF9">
        <w:rPr>
          <w:rFonts w:ascii="Times New Roman" w:hAnsi="Times New Roman"/>
          <w:sz w:val="25"/>
          <w:szCs w:val="25"/>
        </w:rPr>
        <w:t xml:space="preserve"> violations of </w:t>
      </w:r>
      <w:r w:rsidR="005A6EF9" w:rsidRPr="006C48ED">
        <w:rPr>
          <w:rFonts w:ascii="Times New Roman" w:hAnsi="Times New Roman"/>
          <w:sz w:val="25"/>
          <w:szCs w:val="25"/>
        </w:rPr>
        <w:t>WAC 480-15-630</w:t>
      </w:r>
      <w:r w:rsidR="003D4BF3">
        <w:rPr>
          <w:rFonts w:ascii="Times New Roman" w:hAnsi="Times New Roman"/>
          <w:sz w:val="25"/>
          <w:szCs w:val="25"/>
        </w:rPr>
        <w:t xml:space="preserve">(7) </w:t>
      </w:r>
      <w:r w:rsidR="00C22D4F">
        <w:rPr>
          <w:rFonts w:ascii="Times New Roman" w:hAnsi="Times New Roman"/>
          <w:sz w:val="25"/>
          <w:szCs w:val="25"/>
        </w:rPr>
        <w:t xml:space="preserve">for failing to issue properly formatted estimates as required </w:t>
      </w:r>
      <w:r w:rsidR="00BD33A1">
        <w:rPr>
          <w:rFonts w:ascii="Times New Roman" w:hAnsi="Times New Roman"/>
          <w:sz w:val="25"/>
          <w:szCs w:val="25"/>
        </w:rPr>
        <w:t xml:space="preserve">to </w:t>
      </w:r>
      <w:r w:rsidR="005A4C78">
        <w:rPr>
          <w:rFonts w:ascii="Times New Roman" w:hAnsi="Times New Roman"/>
          <w:sz w:val="25"/>
          <w:szCs w:val="25"/>
        </w:rPr>
        <w:t>31</w:t>
      </w:r>
      <w:r w:rsidR="00BD33A1">
        <w:rPr>
          <w:rFonts w:ascii="Times New Roman" w:hAnsi="Times New Roman"/>
          <w:sz w:val="25"/>
          <w:szCs w:val="25"/>
        </w:rPr>
        <w:t xml:space="preserve"> customers</w:t>
      </w:r>
      <w:r w:rsidR="00C22D4F">
        <w:rPr>
          <w:rFonts w:ascii="Times New Roman" w:hAnsi="Times New Roman"/>
          <w:sz w:val="25"/>
          <w:szCs w:val="25"/>
        </w:rPr>
        <w:t xml:space="preserve">. </w:t>
      </w:r>
    </w:p>
    <w:p w14:paraId="20DA1ACC" w14:textId="77777777" w:rsidR="00A460F4" w:rsidRDefault="00A460F4" w:rsidP="005318FE">
      <w:pPr>
        <w:pStyle w:val="ListParagraph"/>
        <w:spacing w:line="264" w:lineRule="auto"/>
        <w:rPr>
          <w:rFonts w:ascii="Times New Roman" w:hAnsi="Times New Roman"/>
          <w:sz w:val="25"/>
          <w:szCs w:val="25"/>
        </w:rPr>
      </w:pPr>
    </w:p>
    <w:p w14:paraId="6A42B94E" w14:textId="098F3C65" w:rsidR="00A460F4" w:rsidRDefault="00A460F4" w:rsidP="005318FE">
      <w:pPr>
        <w:numPr>
          <w:ilvl w:val="0"/>
          <w:numId w:val="1"/>
        </w:numPr>
        <w:spacing w:line="264" w:lineRule="auto"/>
        <w:ind w:left="720" w:hanging="1440"/>
        <w:rPr>
          <w:rFonts w:ascii="Times New Roman" w:hAnsi="Times New Roman"/>
          <w:sz w:val="25"/>
          <w:szCs w:val="25"/>
        </w:rPr>
      </w:pPr>
      <w:r>
        <w:rPr>
          <w:rFonts w:ascii="Times New Roman" w:hAnsi="Times New Roman"/>
          <w:sz w:val="25"/>
          <w:szCs w:val="25"/>
        </w:rPr>
        <w:t>(</w:t>
      </w:r>
      <w:r w:rsidR="002E21F8">
        <w:rPr>
          <w:rFonts w:ascii="Times New Roman" w:hAnsi="Times New Roman"/>
          <w:sz w:val="25"/>
          <w:szCs w:val="25"/>
        </w:rPr>
        <w:t>6</w:t>
      </w:r>
      <w:r>
        <w:rPr>
          <w:rFonts w:ascii="Times New Roman" w:hAnsi="Times New Roman"/>
          <w:sz w:val="25"/>
          <w:szCs w:val="25"/>
        </w:rPr>
        <w:t>)</w:t>
      </w:r>
      <w:r>
        <w:rPr>
          <w:rFonts w:ascii="Times New Roman" w:hAnsi="Times New Roman"/>
          <w:sz w:val="25"/>
          <w:szCs w:val="25"/>
        </w:rPr>
        <w:tab/>
      </w:r>
      <w:r w:rsidR="00BD33A1">
        <w:rPr>
          <w:rFonts w:ascii="Times New Roman" w:hAnsi="Times New Roman"/>
          <w:sz w:val="25"/>
          <w:szCs w:val="25"/>
        </w:rPr>
        <w:t>Best</w:t>
      </w:r>
      <w:r w:rsidR="001B701C">
        <w:rPr>
          <w:rFonts w:ascii="Times New Roman" w:hAnsi="Times New Roman"/>
          <w:sz w:val="25"/>
          <w:szCs w:val="25"/>
        </w:rPr>
        <w:t xml:space="preserve"> Moving </w:t>
      </w:r>
      <w:r w:rsidR="007B7608">
        <w:rPr>
          <w:rFonts w:ascii="Times New Roman" w:hAnsi="Times New Roman"/>
          <w:sz w:val="25"/>
          <w:szCs w:val="25"/>
        </w:rPr>
        <w:t xml:space="preserve">should be penalized </w:t>
      </w:r>
      <w:r w:rsidR="005A6EF9">
        <w:rPr>
          <w:rFonts w:ascii="Times New Roman" w:hAnsi="Times New Roman"/>
          <w:sz w:val="25"/>
          <w:szCs w:val="25"/>
        </w:rPr>
        <w:t xml:space="preserve">$1,000 for </w:t>
      </w:r>
      <w:r w:rsidR="00BD33A1">
        <w:rPr>
          <w:rFonts w:ascii="Times New Roman" w:hAnsi="Times New Roman"/>
          <w:sz w:val="25"/>
          <w:szCs w:val="25"/>
        </w:rPr>
        <w:t>31</w:t>
      </w:r>
      <w:r w:rsidR="005A6EF9">
        <w:rPr>
          <w:rFonts w:ascii="Times New Roman" w:hAnsi="Times New Roman"/>
          <w:sz w:val="25"/>
          <w:szCs w:val="25"/>
        </w:rPr>
        <w:t xml:space="preserve"> violations of </w:t>
      </w:r>
      <w:r w:rsidR="005A6EF9" w:rsidRPr="006C48ED">
        <w:rPr>
          <w:rFonts w:ascii="Times New Roman" w:hAnsi="Times New Roman"/>
          <w:sz w:val="25"/>
          <w:szCs w:val="25"/>
        </w:rPr>
        <w:t>WAC 480-15-630</w:t>
      </w:r>
      <w:r w:rsidR="005A6EF9">
        <w:rPr>
          <w:rFonts w:ascii="Times New Roman" w:hAnsi="Times New Roman"/>
          <w:sz w:val="25"/>
          <w:szCs w:val="25"/>
        </w:rPr>
        <w:t xml:space="preserve">(7) </w:t>
      </w:r>
      <w:r w:rsidR="00C22D4F">
        <w:rPr>
          <w:rFonts w:ascii="Times New Roman" w:hAnsi="Times New Roman"/>
          <w:sz w:val="25"/>
          <w:szCs w:val="25"/>
        </w:rPr>
        <w:t xml:space="preserve">for failing to provide cube sheet inventories as required </w:t>
      </w:r>
      <w:r w:rsidR="00BD33A1">
        <w:rPr>
          <w:rFonts w:ascii="Times New Roman" w:hAnsi="Times New Roman"/>
          <w:sz w:val="25"/>
          <w:szCs w:val="25"/>
        </w:rPr>
        <w:t>to 31 customers</w:t>
      </w:r>
      <w:r w:rsidR="00C22D4F">
        <w:rPr>
          <w:rFonts w:ascii="Times New Roman" w:hAnsi="Times New Roman"/>
          <w:sz w:val="25"/>
          <w:szCs w:val="25"/>
        </w:rPr>
        <w:t>.</w:t>
      </w:r>
      <w:r w:rsidR="005A6EF9">
        <w:rPr>
          <w:rFonts w:ascii="Times New Roman" w:hAnsi="Times New Roman"/>
          <w:sz w:val="25"/>
          <w:szCs w:val="25"/>
        </w:rPr>
        <w:t xml:space="preserve"> </w:t>
      </w:r>
    </w:p>
    <w:p w14:paraId="1CCBE431" w14:textId="77777777" w:rsidR="00AD4477" w:rsidRDefault="00AD4477" w:rsidP="005318FE">
      <w:pPr>
        <w:pStyle w:val="ListParagraph"/>
        <w:spacing w:line="264" w:lineRule="auto"/>
        <w:rPr>
          <w:rFonts w:ascii="Times New Roman" w:hAnsi="Times New Roman"/>
          <w:sz w:val="25"/>
          <w:szCs w:val="25"/>
        </w:rPr>
      </w:pPr>
    </w:p>
    <w:p w14:paraId="54FDF322" w14:textId="22D4F4CB" w:rsidR="00AD4477" w:rsidRDefault="00AD4477" w:rsidP="005318FE">
      <w:pPr>
        <w:numPr>
          <w:ilvl w:val="0"/>
          <w:numId w:val="1"/>
        </w:numPr>
        <w:spacing w:line="264" w:lineRule="auto"/>
        <w:ind w:left="720" w:hanging="1440"/>
        <w:rPr>
          <w:rFonts w:ascii="Times New Roman" w:hAnsi="Times New Roman"/>
          <w:sz w:val="25"/>
          <w:szCs w:val="25"/>
        </w:rPr>
      </w:pPr>
      <w:r>
        <w:rPr>
          <w:rFonts w:ascii="Times New Roman" w:hAnsi="Times New Roman"/>
          <w:sz w:val="25"/>
          <w:szCs w:val="25"/>
        </w:rPr>
        <w:t>(</w:t>
      </w:r>
      <w:r w:rsidR="002E21F8">
        <w:rPr>
          <w:rFonts w:ascii="Times New Roman" w:hAnsi="Times New Roman"/>
          <w:sz w:val="25"/>
          <w:szCs w:val="25"/>
        </w:rPr>
        <w:t>7</w:t>
      </w:r>
      <w:r>
        <w:rPr>
          <w:rFonts w:ascii="Times New Roman" w:hAnsi="Times New Roman"/>
          <w:sz w:val="25"/>
          <w:szCs w:val="25"/>
        </w:rPr>
        <w:t>)</w:t>
      </w:r>
      <w:r>
        <w:rPr>
          <w:rFonts w:ascii="Times New Roman" w:hAnsi="Times New Roman"/>
          <w:sz w:val="25"/>
          <w:szCs w:val="25"/>
        </w:rPr>
        <w:tab/>
      </w:r>
      <w:r w:rsidR="00BD33A1">
        <w:rPr>
          <w:rFonts w:ascii="Times New Roman" w:hAnsi="Times New Roman"/>
          <w:sz w:val="25"/>
          <w:szCs w:val="25"/>
        </w:rPr>
        <w:t>Best</w:t>
      </w:r>
      <w:r w:rsidR="001B701C">
        <w:rPr>
          <w:rFonts w:ascii="Times New Roman" w:hAnsi="Times New Roman"/>
          <w:sz w:val="25"/>
          <w:szCs w:val="25"/>
        </w:rPr>
        <w:t xml:space="preserve"> Moving </w:t>
      </w:r>
      <w:r w:rsidR="007B7608">
        <w:rPr>
          <w:rFonts w:ascii="Times New Roman" w:hAnsi="Times New Roman"/>
          <w:sz w:val="25"/>
          <w:szCs w:val="25"/>
        </w:rPr>
        <w:t xml:space="preserve">should be penalized </w:t>
      </w:r>
      <w:r w:rsidR="001470B9">
        <w:rPr>
          <w:rFonts w:ascii="Times New Roman" w:hAnsi="Times New Roman"/>
          <w:sz w:val="25"/>
          <w:szCs w:val="25"/>
        </w:rPr>
        <w:t>$1,0</w:t>
      </w:r>
      <w:r w:rsidR="005A6EF9">
        <w:rPr>
          <w:rFonts w:ascii="Times New Roman" w:hAnsi="Times New Roman"/>
          <w:sz w:val="25"/>
          <w:szCs w:val="25"/>
        </w:rPr>
        <w:t xml:space="preserve">00 for </w:t>
      </w:r>
      <w:r w:rsidR="00BD33A1">
        <w:rPr>
          <w:rFonts w:ascii="Times New Roman" w:hAnsi="Times New Roman"/>
          <w:sz w:val="25"/>
          <w:szCs w:val="25"/>
        </w:rPr>
        <w:t>31</w:t>
      </w:r>
      <w:r w:rsidR="00CA5058">
        <w:rPr>
          <w:rFonts w:ascii="Times New Roman" w:hAnsi="Times New Roman"/>
          <w:sz w:val="25"/>
          <w:szCs w:val="25"/>
        </w:rPr>
        <w:t xml:space="preserve"> violations of WAC 480-15-710(</w:t>
      </w:r>
      <w:r w:rsidR="00BD33A1">
        <w:rPr>
          <w:rFonts w:ascii="Times New Roman" w:hAnsi="Times New Roman"/>
          <w:sz w:val="25"/>
          <w:szCs w:val="25"/>
        </w:rPr>
        <w:t>3</w:t>
      </w:r>
      <w:r w:rsidR="00CA5058">
        <w:rPr>
          <w:rFonts w:ascii="Times New Roman" w:hAnsi="Times New Roman"/>
          <w:sz w:val="25"/>
          <w:szCs w:val="25"/>
        </w:rPr>
        <w:t xml:space="preserve">) </w:t>
      </w:r>
      <w:r w:rsidR="00BD33A1">
        <w:rPr>
          <w:rFonts w:ascii="Times New Roman" w:hAnsi="Times New Roman"/>
          <w:sz w:val="25"/>
          <w:szCs w:val="25"/>
        </w:rPr>
        <w:t xml:space="preserve">for failing to use a </w:t>
      </w:r>
      <w:r w:rsidR="00C22D4F">
        <w:rPr>
          <w:rFonts w:ascii="Times New Roman" w:hAnsi="Times New Roman"/>
          <w:sz w:val="25"/>
          <w:szCs w:val="25"/>
        </w:rPr>
        <w:t>properly formatted bill of lading as required</w:t>
      </w:r>
      <w:r w:rsidR="00BD33A1">
        <w:rPr>
          <w:rFonts w:ascii="Times New Roman" w:hAnsi="Times New Roman"/>
          <w:sz w:val="25"/>
          <w:szCs w:val="25"/>
        </w:rPr>
        <w:t xml:space="preserve"> for each of the 31 moves performed during the review period</w:t>
      </w:r>
      <w:r w:rsidR="00C22D4F">
        <w:rPr>
          <w:rFonts w:ascii="Times New Roman" w:hAnsi="Times New Roman"/>
          <w:sz w:val="25"/>
          <w:szCs w:val="25"/>
        </w:rPr>
        <w:t>.</w:t>
      </w:r>
    </w:p>
    <w:p w14:paraId="2D653632" w14:textId="77777777" w:rsidR="00AD4477" w:rsidRDefault="00AD4477" w:rsidP="005318FE">
      <w:pPr>
        <w:pStyle w:val="ListParagraph"/>
        <w:spacing w:line="264" w:lineRule="auto"/>
        <w:rPr>
          <w:rFonts w:ascii="Times New Roman" w:hAnsi="Times New Roman"/>
          <w:sz w:val="25"/>
          <w:szCs w:val="25"/>
        </w:rPr>
      </w:pPr>
    </w:p>
    <w:p w14:paraId="1EDCE3A6" w14:textId="07E3CFA5" w:rsidR="00AD4477" w:rsidRDefault="00AD4477" w:rsidP="005318FE">
      <w:pPr>
        <w:numPr>
          <w:ilvl w:val="0"/>
          <w:numId w:val="1"/>
        </w:numPr>
        <w:spacing w:line="264" w:lineRule="auto"/>
        <w:ind w:left="720" w:hanging="1440"/>
        <w:rPr>
          <w:rFonts w:ascii="Times New Roman" w:hAnsi="Times New Roman"/>
          <w:sz w:val="25"/>
          <w:szCs w:val="25"/>
        </w:rPr>
      </w:pPr>
      <w:r>
        <w:rPr>
          <w:rFonts w:ascii="Times New Roman" w:hAnsi="Times New Roman"/>
          <w:sz w:val="25"/>
          <w:szCs w:val="25"/>
        </w:rPr>
        <w:t>(</w:t>
      </w:r>
      <w:r w:rsidR="002E21F8">
        <w:rPr>
          <w:rFonts w:ascii="Times New Roman" w:hAnsi="Times New Roman"/>
          <w:sz w:val="25"/>
          <w:szCs w:val="25"/>
        </w:rPr>
        <w:t>8</w:t>
      </w:r>
      <w:r>
        <w:rPr>
          <w:rFonts w:ascii="Times New Roman" w:hAnsi="Times New Roman"/>
          <w:sz w:val="25"/>
          <w:szCs w:val="25"/>
        </w:rPr>
        <w:t>)</w:t>
      </w:r>
      <w:r>
        <w:rPr>
          <w:rFonts w:ascii="Times New Roman" w:hAnsi="Times New Roman"/>
          <w:sz w:val="25"/>
          <w:szCs w:val="25"/>
        </w:rPr>
        <w:tab/>
      </w:r>
      <w:r w:rsidR="006C7B34">
        <w:rPr>
          <w:rFonts w:ascii="Times New Roman" w:hAnsi="Times New Roman"/>
          <w:sz w:val="25"/>
          <w:szCs w:val="25"/>
        </w:rPr>
        <w:t xml:space="preserve">Best Moving should be penalized $1,000 for </w:t>
      </w:r>
      <w:r w:rsidR="005A4C78">
        <w:rPr>
          <w:rFonts w:ascii="Times New Roman" w:hAnsi="Times New Roman"/>
          <w:sz w:val="25"/>
          <w:szCs w:val="25"/>
        </w:rPr>
        <w:t>a</w:t>
      </w:r>
      <w:r w:rsidR="006C7B34">
        <w:rPr>
          <w:rFonts w:ascii="Times New Roman" w:hAnsi="Times New Roman"/>
          <w:sz w:val="25"/>
          <w:szCs w:val="25"/>
        </w:rPr>
        <w:t xml:space="preserve"> violation of WAC 480-15-710 for including unauthorized language in the Company’s bills of lading on 31 occasions.</w:t>
      </w:r>
    </w:p>
    <w:p w14:paraId="1B1615B9" w14:textId="77777777" w:rsidR="005A6EF9" w:rsidRDefault="005A6EF9" w:rsidP="005318FE">
      <w:pPr>
        <w:pStyle w:val="ListParagraph"/>
        <w:spacing w:line="264" w:lineRule="auto"/>
        <w:rPr>
          <w:rFonts w:ascii="Times New Roman" w:hAnsi="Times New Roman"/>
          <w:sz w:val="25"/>
          <w:szCs w:val="25"/>
        </w:rPr>
      </w:pPr>
    </w:p>
    <w:p w14:paraId="394C1972" w14:textId="7BB40578" w:rsidR="005A6EF9" w:rsidRDefault="005A6EF9" w:rsidP="005318FE">
      <w:pPr>
        <w:numPr>
          <w:ilvl w:val="0"/>
          <w:numId w:val="1"/>
        </w:numPr>
        <w:spacing w:line="264" w:lineRule="auto"/>
        <w:ind w:left="720" w:hanging="1440"/>
        <w:rPr>
          <w:rFonts w:ascii="Times New Roman" w:hAnsi="Times New Roman"/>
          <w:sz w:val="25"/>
          <w:szCs w:val="25"/>
        </w:rPr>
      </w:pPr>
      <w:r>
        <w:rPr>
          <w:rFonts w:ascii="Times New Roman" w:hAnsi="Times New Roman"/>
          <w:sz w:val="25"/>
          <w:szCs w:val="25"/>
        </w:rPr>
        <w:t>(</w:t>
      </w:r>
      <w:r w:rsidR="002E21F8">
        <w:rPr>
          <w:rFonts w:ascii="Times New Roman" w:hAnsi="Times New Roman"/>
          <w:sz w:val="25"/>
          <w:szCs w:val="25"/>
        </w:rPr>
        <w:t>9</w:t>
      </w:r>
      <w:r>
        <w:rPr>
          <w:rFonts w:ascii="Times New Roman" w:hAnsi="Times New Roman"/>
          <w:sz w:val="25"/>
          <w:szCs w:val="25"/>
        </w:rPr>
        <w:t>)</w:t>
      </w:r>
      <w:r>
        <w:rPr>
          <w:rFonts w:ascii="Times New Roman" w:hAnsi="Times New Roman"/>
          <w:sz w:val="25"/>
          <w:szCs w:val="25"/>
        </w:rPr>
        <w:tab/>
      </w:r>
      <w:r w:rsidR="006C7B34">
        <w:rPr>
          <w:rFonts w:ascii="Times New Roman" w:hAnsi="Times New Roman"/>
          <w:sz w:val="25"/>
          <w:szCs w:val="25"/>
        </w:rPr>
        <w:t>Best Moving should be penalized $1,000 for a continued violation of WAC 480-15-610(1) for failing to include the Company’s physical address while advertising on its website.</w:t>
      </w:r>
    </w:p>
    <w:p w14:paraId="37790FF1" w14:textId="77777777" w:rsidR="005A6EF9" w:rsidRDefault="005A6EF9" w:rsidP="005318FE">
      <w:pPr>
        <w:pStyle w:val="ListParagraph"/>
        <w:spacing w:line="264" w:lineRule="auto"/>
        <w:rPr>
          <w:rFonts w:ascii="Times New Roman" w:hAnsi="Times New Roman"/>
          <w:sz w:val="25"/>
          <w:szCs w:val="25"/>
        </w:rPr>
      </w:pPr>
    </w:p>
    <w:p w14:paraId="3A656F1C" w14:textId="6A3DC5D7" w:rsidR="005A6EF9" w:rsidRDefault="005A6EF9" w:rsidP="005318FE">
      <w:pPr>
        <w:numPr>
          <w:ilvl w:val="0"/>
          <w:numId w:val="1"/>
        </w:numPr>
        <w:spacing w:line="264" w:lineRule="auto"/>
        <w:ind w:left="720" w:hanging="1440"/>
        <w:rPr>
          <w:rFonts w:ascii="Times New Roman" w:hAnsi="Times New Roman"/>
          <w:sz w:val="25"/>
          <w:szCs w:val="25"/>
        </w:rPr>
      </w:pPr>
      <w:r>
        <w:rPr>
          <w:rFonts w:ascii="Times New Roman" w:hAnsi="Times New Roman"/>
          <w:sz w:val="25"/>
          <w:szCs w:val="25"/>
        </w:rPr>
        <w:t>(1</w:t>
      </w:r>
      <w:r w:rsidR="002E21F8">
        <w:rPr>
          <w:rFonts w:ascii="Times New Roman" w:hAnsi="Times New Roman"/>
          <w:sz w:val="25"/>
          <w:szCs w:val="25"/>
        </w:rPr>
        <w:t>0</w:t>
      </w:r>
      <w:r>
        <w:rPr>
          <w:rFonts w:ascii="Times New Roman" w:hAnsi="Times New Roman"/>
          <w:sz w:val="25"/>
          <w:szCs w:val="25"/>
        </w:rPr>
        <w:t xml:space="preserve">) </w:t>
      </w:r>
      <w:r>
        <w:rPr>
          <w:rFonts w:ascii="Times New Roman" w:hAnsi="Times New Roman"/>
          <w:sz w:val="25"/>
          <w:szCs w:val="25"/>
        </w:rPr>
        <w:tab/>
      </w:r>
      <w:r w:rsidR="006C7B34">
        <w:rPr>
          <w:rFonts w:ascii="Times New Roman" w:hAnsi="Times New Roman"/>
          <w:sz w:val="25"/>
          <w:szCs w:val="25"/>
        </w:rPr>
        <w:t>Best</w:t>
      </w:r>
      <w:r>
        <w:rPr>
          <w:rFonts w:ascii="Times New Roman" w:hAnsi="Times New Roman"/>
          <w:sz w:val="25"/>
          <w:szCs w:val="25"/>
        </w:rPr>
        <w:t xml:space="preserve"> Moving should be penalized $</w:t>
      </w:r>
      <w:r w:rsidR="005A4C78">
        <w:rPr>
          <w:rFonts w:ascii="Times New Roman" w:hAnsi="Times New Roman"/>
          <w:sz w:val="25"/>
          <w:szCs w:val="25"/>
        </w:rPr>
        <w:t>7</w:t>
      </w:r>
      <w:r w:rsidR="006C7B34">
        <w:rPr>
          <w:rFonts w:ascii="Times New Roman" w:hAnsi="Times New Roman"/>
          <w:sz w:val="25"/>
          <w:szCs w:val="25"/>
        </w:rPr>
        <w:t>00</w:t>
      </w:r>
      <w:r>
        <w:rPr>
          <w:rFonts w:ascii="Times New Roman" w:hAnsi="Times New Roman"/>
          <w:sz w:val="25"/>
          <w:szCs w:val="25"/>
        </w:rPr>
        <w:t xml:space="preserve"> for </w:t>
      </w:r>
      <w:r w:rsidR="005A4C78">
        <w:rPr>
          <w:rFonts w:ascii="Times New Roman" w:hAnsi="Times New Roman"/>
          <w:sz w:val="25"/>
          <w:szCs w:val="25"/>
        </w:rPr>
        <w:t>two</w:t>
      </w:r>
      <w:r>
        <w:rPr>
          <w:rFonts w:ascii="Times New Roman" w:hAnsi="Times New Roman"/>
          <w:sz w:val="25"/>
          <w:szCs w:val="25"/>
        </w:rPr>
        <w:t xml:space="preserve"> violations of </w:t>
      </w:r>
      <w:r w:rsidR="00CA5058">
        <w:rPr>
          <w:rFonts w:ascii="Times New Roman" w:hAnsi="Times New Roman"/>
          <w:sz w:val="25"/>
          <w:szCs w:val="25"/>
        </w:rPr>
        <w:t>WAC 480-15-</w:t>
      </w:r>
      <w:r w:rsidR="006C7B34">
        <w:rPr>
          <w:rFonts w:ascii="Times New Roman" w:hAnsi="Times New Roman"/>
          <w:sz w:val="25"/>
          <w:szCs w:val="25"/>
        </w:rPr>
        <w:t>490(3), including one violation for</w:t>
      </w:r>
      <w:r w:rsidR="00C22D4F">
        <w:rPr>
          <w:rFonts w:ascii="Times New Roman" w:hAnsi="Times New Roman"/>
          <w:sz w:val="25"/>
          <w:szCs w:val="25"/>
        </w:rPr>
        <w:t xml:space="preserve"> </w:t>
      </w:r>
      <w:r w:rsidR="006C7B34">
        <w:rPr>
          <w:rFonts w:ascii="Times New Roman" w:hAnsi="Times New Roman"/>
          <w:sz w:val="25"/>
          <w:szCs w:val="25"/>
        </w:rPr>
        <w:t xml:space="preserve">charging customers in six minute increments on one occasion and </w:t>
      </w:r>
      <w:r w:rsidR="005A4C78">
        <w:rPr>
          <w:rFonts w:ascii="Times New Roman" w:hAnsi="Times New Roman"/>
          <w:sz w:val="25"/>
          <w:szCs w:val="25"/>
        </w:rPr>
        <w:t>one violation</w:t>
      </w:r>
      <w:r w:rsidR="006C7B34">
        <w:rPr>
          <w:rFonts w:ascii="Times New Roman" w:hAnsi="Times New Roman"/>
          <w:sz w:val="25"/>
          <w:szCs w:val="25"/>
        </w:rPr>
        <w:t xml:space="preserve"> for failing to calculate or record required minimum charges for weekend moves on three occasions</w:t>
      </w:r>
      <w:r w:rsidR="00C22D4F">
        <w:rPr>
          <w:rFonts w:ascii="Times New Roman" w:hAnsi="Times New Roman"/>
          <w:sz w:val="25"/>
          <w:szCs w:val="25"/>
        </w:rPr>
        <w:t>.</w:t>
      </w:r>
    </w:p>
    <w:p w14:paraId="606467DA" w14:textId="77777777" w:rsidR="005A6EF9" w:rsidRDefault="005A6EF9" w:rsidP="005318FE">
      <w:pPr>
        <w:pStyle w:val="ListParagraph"/>
        <w:spacing w:line="264" w:lineRule="auto"/>
        <w:rPr>
          <w:rFonts w:ascii="Times New Roman" w:hAnsi="Times New Roman"/>
          <w:sz w:val="25"/>
          <w:szCs w:val="25"/>
        </w:rPr>
      </w:pPr>
    </w:p>
    <w:p w14:paraId="1B036696" w14:textId="54350ACB" w:rsidR="005A6EF9" w:rsidRDefault="005A6EF9" w:rsidP="005318FE">
      <w:pPr>
        <w:numPr>
          <w:ilvl w:val="0"/>
          <w:numId w:val="1"/>
        </w:numPr>
        <w:spacing w:line="264" w:lineRule="auto"/>
        <w:ind w:left="720" w:hanging="1440"/>
        <w:rPr>
          <w:rFonts w:ascii="Times New Roman" w:hAnsi="Times New Roman"/>
          <w:sz w:val="25"/>
          <w:szCs w:val="25"/>
        </w:rPr>
      </w:pPr>
      <w:r>
        <w:rPr>
          <w:rFonts w:ascii="Times New Roman" w:hAnsi="Times New Roman"/>
          <w:sz w:val="25"/>
          <w:szCs w:val="25"/>
        </w:rPr>
        <w:t>(1</w:t>
      </w:r>
      <w:r w:rsidR="002E21F8">
        <w:rPr>
          <w:rFonts w:ascii="Times New Roman" w:hAnsi="Times New Roman"/>
          <w:sz w:val="25"/>
          <w:szCs w:val="25"/>
        </w:rPr>
        <w:t>1</w:t>
      </w:r>
      <w:r>
        <w:rPr>
          <w:rFonts w:ascii="Times New Roman" w:hAnsi="Times New Roman"/>
          <w:sz w:val="25"/>
          <w:szCs w:val="25"/>
        </w:rPr>
        <w:t xml:space="preserve">) </w:t>
      </w:r>
      <w:r>
        <w:rPr>
          <w:rFonts w:ascii="Times New Roman" w:hAnsi="Times New Roman"/>
          <w:sz w:val="25"/>
          <w:szCs w:val="25"/>
        </w:rPr>
        <w:tab/>
      </w:r>
      <w:r w:rsidR="006C7B34">
        <w:rPr>
          <w:rFonts w:ascii="Times New Roman" w:hAnsi="Times New Roman"/>
          <w:sz w:val="25"/>
          <w:szCs w:val="25"/>
        </w:rPr>
        <w:t xml:space="preserve">Best Moving’s household goods carrier permit should be revoked because of the significance and repetition of the violations </w:t>
      </w:r>
      <w:r w:rsidR="000216E6">
        <w:rPr>
          <w:rFonts w:ascii="Times New Roman" w:hAnsi="Times New Roman"/>
          <w:sz w:val="25"/>
          <w:szCs w:val="25"/>
        </w:rPr>
        <w:t>listed above</w:t>
      </w:r>
      <w:r w:rsidR="006C7B34">
        <w:rPr>
          <w:rFonts w:ascii="Times New Roman" w:hAnsi="Times New Roman"/>
          <w:sz w:val="25"/>
          <w:szCs w:val="25"/>
        </w:rPr>
        <w:t xml:space="preserve">, as well as </w:t>
      </w:r>
      <w:r w:rsidR="000216E6">
        <w:rPr>
          <w:rFonts w:ascii="Times New Roman" w:hAnsi="Times New Roman"/>
          <w:sz w:val="25"/>
          <w:szCs w:val="25"/>
        </w:rPr>
        <w:t>the</w:t>
      </w:r>
      <w:r w:rsidR="006C7B34">
        <w:rPr>
          <w:rFonts w:ascii="Times New Roman" w:hAnsi="Times New Roman"/>
          <w:sz w:val="25"/>
          <w:szCs w:val="25"/>
        </w:rPr>
        <w:t xml:space="preserve"> extensive investigative and corrective efforts </w:t>
      </w:r>
      <w:r w:rsidR="000216E6">
        <w:rPr>
          <w:rFonts w:ascii="Times New Roman" w:hAnsi="Times New Roman"/>
          <w:sz w:val="25"/>
          <w:szCs w:val="25"/>
        </w:rPr>
        <w:t xml:space="preserve">expended by Staff </w:t>
      </w:r>
      <w:r w:rsidR="006C7B34">
        <w:rPr>
          <w:rFonts w:ascii="Times New Roman" w:hAnsi="Times New Roman"/>
          <w:sz w:val="25"/>
          <w:szCs w:val="25"/>
        </w:rPr>
        <w:t>on the Company’s behalf</w:t>
      </w:r>
      <w:r>
        <w:rPr>
          <w:rFonts w:ascii="Times New Roman" w:hAnsi="Times New Roman"/>
          <w:sz w:val="25"/>
          <w:szCs w:val="25"/>
        </w:rPr>
        <w:t>.</w:t>
      </w:r>
    </w:p>
    <w:p w14:paraId="6C835AB0" w14:textId="3EA5FF41" w:rsidR="00DA3C37" w:rsidRPr="008664CC" w:rsidRDefault="00DA3C37" w:rsidP="005318FE">
      <w:pPr>
        <w:spacing w:line="264" w:lineRule="auto"/>
        <w:rPr>
          <w:rFonts w:ascii="Times New Roman" w:hAnsi="Times New Roman"/>
          <w:sz w:val="25"/>
          <w:szCs w:val="25"/>
        </w:rPr>
      </w:pPr>
    </w:p>
    <w:p w14:paraId="063AF5BF" w14:textId="77777777" w:rsidR="00161023" w:rsidRDefault="00161023" w:rsidP="005318FE">
      <w:pPr>
        <w:spacing w:line="264" w:lineRule="auto"/>
        <w:jc w:val="center"/>
        <w:rPr>
          <w:rFonts w:ascii="Times New Roman" w:hAnsi="Times New Roman"/>
          <w:b/>
          <w:sz w:val="25"/>
          <w:szCs w:val="25"/>
        </w:rPr>
      </w:pPr>
      <w:r w:rsidRPr="007A62BB">
        <w:rPr>
          <w:rFonts w:ascii="Times New Roman" w:hAnsi="Times New Roman"/>
          <w:b/>
          <w:sz w:val="25"/>
          <w:szCs w:val="25"/>
        </w:rPr>
        <w:t>ORDER</w:t>
      </w:r>
    </w:p>
    <w:p w14:paraId="21BD996D" w14:textId="77777777" w:rsidR="005318FE" w:rsidRPr="007A62BB" w:rsidRDefault="005318FE" w:rsidP="005318FE">
      <w:pPr>
        <w:spacing w:line="264" w:lineRule="auto"/>
        <w:jc w:val="center"/>
        <w:rPr>
          <w:rFonts w:ascii="Times New Roman" w:hAnsi="Times New Roman"/>
          <w:sz w:val="25"/>
          <w:szCs w:val="25"/>
        </w:rPr>
      </w:pPr>
    </w:p>
    <w:p w14:paraId="1EF251C4" w14:textId="77777777" w:rsidR="00161023" w:rsidRPr="007A62BB" w:rsidRDefault="00161023" w:rsidP="005318FE">
      <w:pPr>
        <w:spacing w:line="264" w:lineRule="auto"/>
        <w:rPr>
          <w:rFonts w:ascii="Times New Roman" w:hAnsi="Times New Roman"/>
          <w:sz w:val="25"/>
          <w:szCs w:val="25"/>
        </w:rPr>
      </w:pPr>
      <w:r w:rsidRPr="007A62BB">
        <w:rPr>
          <w:rFonts w:ascii="Times New Roman" w:hAnsi="Times New Roman"/>
          <w:sz w:val="25"/>
          <w:szCs w:val="25"/>
        </w:rPr>
        <w:t xml:space="preserve">THE COMMISSION ORDERS </w:t>
      </w:r>
      <w:r w:rsidR="00CC6999">
        <w:rPr>
          <w:rFonts w:ascii="Times New Roman" w:hAnsi="Times New Roman"/>
          <w:sz w:val="25"/>
          <w:szCs w:val="25"/>
        </w:rPr>
        <w:t>T</w:t>
      </w:r>
      <w:r w:rsidRPr="007A62BB">
        <w:rPr>
          <w:rFonts w:ascii="Times New Roman" w:hAnsi="Times New Roman"/>
          <w:sz w:val="25"/>
          <w:szCs w:val="25"/>
        </w:rPr>
        <w:t>hat</w:t>
      </w:r>
    </w:p>
    <w:p w14:paraId="51379A94" w14:textId="77777777" w:rsidR="00161023" w:rsidRPr="007A62BB" w:rsidRDefault="00161023" w:rsidP="005318FE">
      <w:pPr>
        <w:pStyle w:val="ListParagraph"/>
        <w:spacing w:line="264" w:lineRule="auto"/>
        <w:rPr>
          <w:rFonts w:ascii="Times New Roman" w:hAnsi="Times New Roman"/>
          <w:sz w:val="25"/>
          <w:szCs w:val="25"/>
        </w:rPr>
      </w:pPr>
    </w:p>
    <w:p w14:paraId="5D31F974" w14:textId="0B7A2F66" w:rsidR="000B37F7" w:rsidRDefault="00161023" w:rsidP="005318FE">
      <w:pPr>
        <w:numPr>
          <w:ilvl w:val="0"/>
          <w:numId w:val="1"/>
        </w:numPr>
        <w:spacing w:line="264" w:lineRule="auto"/>
        <w:ind w:left="720" w:hanging="1440"/>
        <w:rPr>
          <w:rFonts w:ascii="Times New Roman" w:hAnsi="Times New Roman"/>
          <w:sz w:val="25"/>
          <w:szCs w:val="25"/>
        </w:rPr>
      </w:pPr>
      <w:r w:rsidRPr="007A62BB">
        <w:rPr>
          <w:rFonts w:ascii="Times New Roman" w:hAnsi="Times New Roman"/>
          <w:sz w:val="25"/>
          <w:szCs w:val="25"/>
        </w:rPr>
        <w:t>(1)</w:t>
      </w:r>
      <w:r w:rsidRPr="007A62BB">
        <w:rPr>
          <w:rFonts w:ascii="Times New Roman" w:hAnsi="Times New Roman"/>
          <w:sz w:val="25"/>
          <w:szCs w:val="25"/>
        </w:rPr>
        <w:tab/>
      </w:r>
      <w:r w:rsidR="000216E6">
        <w:rPr>
          <w:rFonts w:ascii="Times New Roman" w:hAnsi="Times New Roman"/>
          <w:sz w:val="25"/>
          <w:szCs w:val="25"/>
        </w:rPr>
        <w:t>Best</w:t>
      </w:r>
      <w:r w:rsidR="004A1B68">
        <w:rPr>
          <w:rFonts w:ascii="Times New Roman" w:hAnsi="Times New Roman"/>
          <w:sz w:val="25"/>
          <w:szCs w:val="25"/>
        </w:rPr>
        <w:t xml:space="preserve"> Moving</w:t>
      </w:r>
      <w:r w:rsidR="00C22D4F">
        <w:rPr>
          <w:rFonts w:ascii="Times New Roman" w:hAnsi="Times New Roman"/>
          <w:sz w:val="25"/>
          <w:szCs w:val="25"/>
        </w:rPr>
        <w:t xml:space="preserve"> and Delivery</w:t>
      </w:r>
      <w:r w:rsidR="004A1B68">
        <w:rPr>
          <w:rFonts w:ascii="Times New Roman" w:hAnsi="Times New Roman"/>
          <w:sz w:val="25"/>
          <w:szCs w:val="25"/>
        </w:rPr>
        <w:t>, LLC is assessed a penalty of $</w:t>
      </w:r>
      <w:r w:rsidR="000216E6">
        <w:rPr>
          <w:rFonts w:ascii="Times New Roman" w:hAnsi="Times New Roman"/>
          <w:sz w:val="25"/>
          <w:szCs w:val="25"/>
        </w:rPr>
        <w:t>1</w:t>
      </w:r>
      <w:r w:rsidR="005A4C78">
        <w:rPr>
          <w:rFonts w:ascii="Times New Roman" w:hAnsi="Times New Roman"/>
          <w:sz w:val="25"/>
          <w:szCs w:val="25"/>
        </w:rPr>
        <w:t>3,7</w:t>
      </w:r>
      <w:r w:rsidR="000216E6">
        <w:rPr>
          <w:rFonts w:ascii="Times New Roman" w:hAnsi="Times New Roman"/>
          <w:sz w:val="25"/>
          <w:szCs w:val="25"/>
        </w:rPr>
        <w:t xml:space="preserve">00 for the above referenced </w:t>
      </w:r>
      <w:r w:rsidR="005A4C78">
        <w:rPr>
          <w:rFonts w:ascii="Times New Roman" w:hAnsi="Times New Roman"/>
          <w:sz w:val="25"/>
          <w:szCs w:val="25"/>
        </w:rPr>
        <w:t xml:space="preserve">204 </w:t>
      </w:r>
      <w:r w:rsidR="000216E6">
        <w:rPr>
          <w:rFonts w:ascii="Times New Roman" w:hAnsi="Times New Roman"/>
          <w:sz w:val="25"/>
          <w:szCs w:val="25"/>
        </w:rPr>
        <w:t>violations of the Commission’s rules and regulations</w:t>
      </w:r>
      <w:r w:rsidR="004A1B68">
        <w:rPr>
          <w:rFonts w:ascii="Times New Roman" w:hAnsi="Times New Roman"/>
          <w:sz w:val="25"/>
          <w:szCs w:val="25"/>
        </w:rPr>
        <w:t>.</w:t>
      </w:r>
    </w:p>
    <w:p w14:paraId="285BFD5E" w14:textId="77777777" w:rsidR="005318FE" w:rsidRPr="000B37F7" w:rsidRDefault="005318FE" w:rsidP="005318FE">
      <w:pPr>
        <w:spacing w:line="264" w:lineRule="auto"/>
        <w:ind w:left="720"/>
        <w:rPr>
          <w:rFonts w:ascii="Times New Roman" w:hAnsi="Times New Roman"/>
          <w:sz w:val="25"/>
          <w:szCs w:val="25"/>
        </w:rPr>
      </w:pPr>
    </w:p>
    <w:p w14:paraId="613BC13D" w14:textId="5A8984A1" w:rsidR="00C22D4F" w:rsidRDefault="00161023" w:rsidP="005318FE">
      <w:pPr>
        <w:numPr>
          <w:ilvl w:val="0"/>
          <w:numId w:val="1"/>
        </w:numPr>
        <w:spacing w:line="264" w:lineRule="auto"/>
        <w:ind w:left="720" w:hanging="1440"/>
        <w:rPr>
          <w:rFonts w:ascii="Times New Roman" w:hAnsi="Times New Roman"/>
          <w:sz w:val="25"/>
          <w:szCs w:val="25"/>
        </w:rPr>
      </w:pPr>
      <w:r w:rsidRPr="00C22D4F">
        <w:rPr>
          <w:rFonts w:ascii="Times New Roman" w:hAnsi="Times New Roman"/>
          <w:sz w:val="25"/>
          <w:szCs w:val="25"/>
        </w:rPr>
        <w:t>(2)</w:t>
      </w:r>
      <w:r w:rsidRPr="00C22D4F">
        <w:rPr>
          <w:rFonts w:ascii="Times New Roman" w:hAnsi="Times New Roman"/>
          <w:sz w:val="25"/>
          <w:szCs w:val="25"/>
        </w:rPr>
        <w:tab/>
      </w:r>
      <w:r w:rsidR="000216E6">
        <w:rPr>
          <w:rFonts w:ascii="Times New Roman" w:hAnsi="Times New Roman"/>
          <w:sz w:val="25"/>
          <w:szCs w:val="25"/>
        </w:rPr>
        <w:t>The household goods carrier permit granted to Best Moving and Delivery, LLC is revoked</w:t>
      </w:r>
      <w:r w:rsidR="00C22D4F" w:rsidRPr="00C22D4F">
        <w:rPr>
          <w:rFonts w:ascii="Times New Roman" w:hAnsi="Times New Roman"/>
          <w:sz w:val="25"/>
          <w:szCs w:val="25"/>
        </w:rPr>
        <w:t xml:space="preserve">. </w:t>
      </w:r>
    </w:p>
    <w:p w14:paraId="6C13B8D7" w14:textId="77777777" w:rsidR="005318FE" w:rsidRDefault="005318FE" w:rsidP="005318FE">
      <w:pPr>
        <w:spacing w:line="264" w:lineRule="auto"/>
        <w:rPr>
          <w:rFonts w:ascii="Times New Roman" w:hAnsi="Times New Roman"/>
          <w:sz w:val="25"/>
          <w:szCs w:val="25"/>
        </w:rPr>
      </w:pPr>
    </w:p>
    <w:p w14:paraId="2B509339" w14:textId="3765D0F9" w:rsidR="00244353" w:rsidRPr="00CB7F45" w:rsidRDefault="00244353" w:rsidP="005318FE">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0216E6">
        <w:rPr>
          <w:rFonts w:ascii="Times New Roman" w:hAnsi="Times New Roman"/>
          <w:sz w:val="25"/>
          <w:szCs w:val="25"/>
        </w:rPr>
        <w:t xml:space="preserve">April </w:t>
      </w:r>
      <w:r w:rsidR="00206639">
        <w:rPr>
          <w:rFonts w:ascii="Times New Roman" w:hAnsi="Times New Roman"/>
          <w:sz w:val="25"/>
          <w:szCs w:val="25"/>
        </w:rPr>
        <w:t>10</w:t>
      </w:r>
      <w:r w:rsidR="005C1EAB">
        <w:rPr>
          <w:rFonts w:ascii="Times New Roman" w:hAnsi="Times New Roman"/>
          <w:sz w:val="25"/>
          <w:szCs w:val="25"/>
        </w:rPr>
        <w:t>, 2015</w:t>
      </w:r>
      <w:r w:rsidRPr="00CB7F45">
        <w:rPr>
          <w:rFonts w:ascii="Times New Roman" w:hAnsi="Times New Roman"/>
          <w:sz w:val="25"/>
          <w:szCs w:val="25"/>
        </w:rPr>
        <w:t>.</w:t>
      </w:r>
    </w:p>
    <w:p w14:paraId="4D2CC481" w14:textId="77777777" w:rsidR="00244353" w:rsidRPr="00CB7F45" w:rsidRDefault="00244353" w:rsidP="005318FE">
      <w:pPr>
        <w:spacing w:line="264" w:lineRule="auto"/>
        <w:rPr>
          <w:rFonts w:ascii="Times New Roman" w:hAnsi="Times New Roman"/>
          <w:sz w:val="25"/>
          <w:szCs w:val="25"/>
        </w:rPr>
      </w:pPr>
    </w:p>
    <w:p w14:paraId="497B57B0" w14:textId="77777777" w:rsidR="00244353" w:rsidRPr="00CB7F45" w:rsidRDefault="00244353" w:rsidP="005318FE">
      <w:pPr>
        <w:spacing w:line="264" w:lineRule="auto"/>
        <w:jc w:val="center"/>
        <w:rPr>
          <w:rFonts w:ascii="Times New Roman" w:hAnsi="Times New Roman"/>
          <w:sz w:val="25"/>
          <w:szCs w:val="25"/>
        </w:rPr>
      </w:pPr>
      <w:r w:rsidRPr="00CB7F45">
        <w:rPr>
          <w:rFonts w:ascii="Times New Roman" w:hAnsi="Times New Roman"/>
          <w:sz w:val="25"/>
          <w:szCs w:val="25"/>
        </w:rPr>
        <w:t>WASHINGTON</w:t>
      </w:r>
      <w:r w:rsidR="00CB7F45">
        <w:rPr>
          <w:rFonts w:ascii="Times New Roman" w:hAnsi="Times New Roman"/>
          <w:sz w:val="25"/>
          <w:szCs w:val="25"/>
        </w:rPr>
        <w:t xml:space="preserve"> </w:t>
      </w:r>
      <w:r w:rsidRPr="00CB7F45">
        <w:rPr>
          <w:rFonts w:ascii="Times New Roman" w:hAnsi="Times New Roman"/>
          <w:sz w:val="25"/>
          <w:szCs w:val="25"/>
        </w:rPr>
        <w:t>UTILITIES AND TRANSPORTATION COMMISSION</w:t>
      </w:r>
    </w:p>
    <w:p w14:paraId="1BDFD813" w14:textId="77777777" w:rsidR="00244353" w:rsidRDefault="00244353" w:rsidP="005318FE">
      <w:pPr>
        <w:spacing w:line="264" w:lineRule="auto"/>
        <w:rPr>
          <w:rFonts w:ascii="Times New Roman" w:hAnsi="Times New Roman"/>
          <w:sz w:val="25"/>
          <w:szCs w:val="25"/>
        </w:rPr>
      </w:pPr>
    </w:p>
    <w:p w14:paraId="6260417F" w14:textId="77777777" w:rsidR="005318FE" w:rsidRDefault="005318FE" w:rsidP="005318FE">
      <w:pPr>
        <w:spacing w:line="264" w:lineRule="auto"/>
        <w:rPr>
          <w:rFonts w:ascii="Times New Roman" w:hAnsi="Times New Roman"/>
          <w:sz w:val="25"/>
          <w:szCs w:val="25"/>
        </w:rPr>
      </w:pPr>
    </w:p>
    <w:p w14:paraId="75712246" w14:textId="77777777" w:rsidR="00367033" w:rsidRDefault="00367033" w:rsidP="005318FE">
      <w:pPr>
        <w:spacing w:line="264" w:lineRule="auto"/>
        <w:rPr>
          <w:rFonts w:ascii="Times New Roman" w:hAnsi="Times New Roman"/>
          <w:sz w:val="25"/>
          <w:szCs w:val="25"/>
        </w:rPr>
      </w:pPr>
    </w:p>
    <w:p w14:paraId="103CBB50" w14:textId="1CBAF136" w:rsidR="00244353" w:rsidRPr="00CB7F45" w:rsidRDefault="00244353" w:rsidP="005318FE">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1044B8">
        <w:rPr>
          <w:rFonts w:ascii="Times New Roman" w:hAnsi="Times New Roman"/>
          <w:sz w:val="25"/>
          <w:szCs w:val="25"/>
        </w:rPr>
        <w:t>MARGUERITE E. FRIEDLANDER</w:t>
      </w:r>
    </w:p>
    <w:p w14:paraId="2CC233E0" w14:textId="17464CC7" w:rsidR="000216E6" w:rsidRDefault="00244353" w:rsidP="005318FE">
      <w:pPr>
        <w:spacing w:line="264" w:lineRule="auto"/>
        <w:rPr>
          <w:rFonts w:ascii="Times New Roman" w:hAnsi="Times New Roman"/>
          <w:b/>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DD79AF">
        <w:rPr>
          <w:rFonts w:ascii="Times New Roman" w:hAnsi="Times New Roman"/>
          <w:sz w:val="25"/>
          <w:szCs w:val="25"/>
        </w:rPr>
        <w:t xml:space="preserve">Administrative Law </w:t>
      </w:r>
      <w:r w:rsidR="00DD4FAB" w:rsidRPr="00F7487F">
        <w:rPr>
          <w:rFonts w:ascii="Times New Roman" w:hAnsi="Times New Roman"/>
          <w:sz w:val="25"/>
          <w:szCs w:val="25"/>
        </w:rPr>
        <w:t>Judge</w:t>
      </w:r>
    </w:p>
    <w:p w14:paraId="314CDE5C" w14:textId="77777777" w:rsidR="000216E6" w:rsidRDefault="000216E6" w:rsidP="00DD4FAB">
      <w:pPr>
        <w:spacing w:line="24" w:lineRule="atLeast"/>
        <w:jc w:val="center"/>
        <w:rPr>
          <w:rFonts w:ascii="Times New Roman" w:hAnsi="Times New Roman"/>
          <w:b/>
          <w:sz w:val="25"/>
          <w:szCs w:val="25"/>
        </w:rPr>
      </w:pPr>
    </w:p>
    <w:p w14:paraId="1A1B7EB8" w14:textId="77777777" w:rsidR="00601D76" w:rsidRDefault="00601D76" w:rsidP="00DD4FAB">
      <w:pPr>
        <w:spacing w:line="24" w:lineRule="atLeast"/>
        <w:jc w:val="center"/>
        <w:rPr>
          <w:rFonts w:ascii="Times New Roman" w:hAnsi="Times New Roman"/>
          <w:b/>
          <w:sz w:val="25"/>
          <w:szCs w:val="25"/>
        </w:rPr>
      </w:pPr>
      <w:r>
        <w:rPr>
          <w:rFonts w:ascii="Times New Roman" w:hAnsi="Times New Roman"/>
          <w:b/>
          <w:sz w:val="25"/>
          <w:szCs w:val="25"/>
        </w:rPr>
        <w:br w:type="page"/>
      </w:r>
    </w:p>
    <w:p w14:paraId="5E6846EA" w14:textId="77087272" w:rsidR="00DD4FAB" w:rsidRPr="00001A2C" w:rsidRDefault="00DD4FAB" w:rsidP="00DD4FAB">
      <w:pPr>
        <w:spacing w:line="24" w:lineRule="atLeast"/>
        <w:jc w:val="center"/>
        <w:rPr>
          <w:rFonts w:ascii="Times New Roman" w:hAnsi="Times New Roman"/>
          <w:b/>
          <w:sz w:val="25"/>
          <w:szCs w:val="25"/>
        </w:rPr>
      </w:pPr>
      <w:r w:rsidRPr="00001A2C">
        <w:rPr>
          <w:rFonts w:ascii="Times New Roman" w:hAnsi="Times New Roman"/>
          <w:b/>
          <w:sz w:val="25"/>
          <w:szCs w:val="25"/>
        </w:rPr>
        <w:t>NOTICE TO PARTIES</w:t>
      </w:r>
    </w:p>
    <w:p w14:paraId="61756EA6" w14:textId="77777777" w:rsidR="00DD4FAB" w:rsidRPr="00001A2C" w:rsidRDefault="00DD4FAB" w:rsidP="00DD4FAB">
      <w:pPr>
        <w:spacing w:line="24" w:lineRule="atLeast"/>
        <w:rPr>
          <w:rFonts w:ascii="Times New Roman" w:hAnsi="Times New Roman"/>
          <w:sz w:val="25"/>
          <w:szCs w:val="25"/>
        </w:rPr>
      </w:pPr>
    </w:p>
    <w:p w14:paraId="7122C8DE"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5E80E26F" w14:textId="77777777" w:rsidR="00DD4FAB" w:rsidRPr="00001A2C" w:rsidRDefault="00DD4FAB" w:rsidP="00DD4FAB">
      <w:pPr>
        <w:spacing w:line="24" w:lineRule="atLeast"/>
        <w:rPr>
          <w:rFonts w:ascii="Times New Roman" w:eastAsia="Calibri" w:hAnsi="Times New Roman"/>
          <w:sz w:val="25"/>
          <w:szCs w:val="25"/>
        </w:rPr>
      </w:pPr>
    </w:p>
    <w:p w14:paraId="117BAAD9"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 xml:space="preserve">WAC 480-07-825(2) provides that any party to this proceeding has twenty (20) days after the entry of this Initial Order to file a </w:t>
      </w:r>
      <w:r w:rsidRPr="00001A2C">
        <w:rPr>
          <w:rFonts w:ascii="Times New Roman" w:eastAsia="Calibri" w:hAnsi="Times New Roman"/>
          <w:i/>
          <w:sz w:val="25"/>
          <w:szCs w:val="25"/>
        </w:rPr>
        <w:t>Petition for Administrative Review</w:t>
      </w:r>
      <w:r w:rsidRPr="00001A2C">
        <w:rPr>
          <w:rFonts w:ascii="Times New Roman" w:eastAsia="Calibri" w:hAnsi="Times New Roman"/>
          <w:sz w:val="25"/>
          <w:szCs w:val="25"/>
        </w:rPr>
        <w:t xml:space="preserve">.  What must be included in any Petition and other requirements for a Petition are stated in WAC 480-07-825(3).  WAC 480-07-825(4) states that any party may file an </w:t>
      </w:r>
      <w:r w:rsidRPr="00001A2C">
        <w:rPr>
          <w:rFonts w:ascii="Times New Roman" w:eastAsia="Calibri" w:hAnsi="Times New Roman"/>
          <w:i/>
          <w:sz w:val="25"/>
          <w:szCs w:val="25"/>
        </w:rPr>
        <w:t xml:space="preserve">Answer </w:t>
      </w:r>
      <w:r w:rsidRPr="00001A2C">
        <w:rPr>
          <w:rFonts w:ascii="Times New Roman" w:eastAsia="Calibri" w:hAnsi="Times New Roman"/>
          <w:sz w:val="25"/>
          <w:szCs w:val="25"/>
        </w:rPr>
        <w:t xml:space="preserve">to a Petition for review within ten (10) days after service of the Petition.  </w:t>
      </w:r>
    </w:p>
    <w:p w14:paraId="5055F73C" w14:textId="77777777" w:rsidR="00DD4FAB" w:rsidRPr="00001A2C" w:rsidRDefault="00DD4FAB" w:rsidP="00DD4FAB">
      <w:pPr>
        <w:spacing w:line="24" w:lineRule="atLeast"/>
        <w:rPr>
          <w:rFonts w:ascii="Times New Roman" w:eastAsia="Calibri" w:hAnsi="Times New Roman"/>
          <w:sz w:val="25"/>
          <w:szCs w:val="25"/>
        </w:rPr>
      </w:pPr>
    </w:p>
    <w:p w14:paraId="0CFA9FAD"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05CC7263" w14:textId="77777777" w:rsidR="00DD4FAB" w:rsidRPr="00001A2C" w:rsidRDefault="00DD4FAB" w:rsidP="00DD4FAB">
      <w:pPr>
        <w:spacing w:line="24" w:lineRule="atLeast"/>
        <w:rPr>
          <w:rFonts w:ascii="Times New Roman" w:eastAsia="Calibri" w:hAnsi="Times New Roman"/>
          <w:sz w:val="25"/>
          <w:szCs w:val="25"/>
        </w:rPr>
      </w:pPr>
    </w:p>
    <w:p w14:paraId="0F4CFED5"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17D8F411" w14:textId="77777777" w:rsidR="00DD4FAB" w:rsidRPr="00001A2C" w:rsidRDefault="00DD4FAB" w:rsidP="00DD4FAB">
      <w:pPr>
        <w:spacing w:line="24" w:lineRule="atLeast"/>
        <w:rPr>
          <w:rFonts w:ascii="Times New Roman" w:eastAsia="Calibri" w:hAnsi="Times New Roman"/>
          <w:sz w:val="25"/>
          <w:szCs w:val="25"/>
        </w:rPr>
      </w:pPr>
    </w:p>
    <w:p w14:paraId="7917FCF9"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 xml:space="preserve">One copy of any Petition or Answer filed must be served on each party of record with proof of service as required by WAC 480-07-150(8) and (9).  An Original and </w:t>
      </w:r>
      <w:r w:rsidRPr="00001A2C">
        <w:rPr>
          <w:rFonts w:ascii="Times New Roman" w:eastAsia="Calibri" w:hAnsi="Times New Roman"/>
          <w:b/>
          <w:sz w:val="25"/>
          <w:szCs w:val="25"/>
        </w:rPr>
        <w:t>five (5)</w:t>
      </w:r>
      <w:r w:rsidRPr="00001A2C">
        <w:rPr>
          <w:rFonts w:ascii="Times New Roman" w:eastAsia="Calibri" w:hAnsi="Times New Roman"/>
          <w:sz w:val="25"/>
          <w:szCs w:val="25"/>
        </w:rPr>
        <w:t xml:space="preserve"> copies of any Petition or Answer must be filed by mail delivery to:</w:t>
      </w:r>
    </w:p>
    <w:p w14:paraId="2850E3A1" w14:textId="77777777" w:rsidR="00DD4FAB" w:rsidRPr="00001A2C" w:rsidRDefault="00DD4FAB" w:rsidP="00DD4FAB">
      <w:pPr>
        <w:spacing w:line="24" w:lineRule="atLeast"/>
        <w:rPr>
          <w:rFonts w:ascii="Times New Roman" w:eastAsia="Calibri" w:hAnsi="Times New Roman"/>
          <w:sz w:val="25"/>
          <w:szCs w:val="25"/>
        </w:rPr>
      </w:pPr>
    </w:p>
    <w:p w14:paraId="4239650A"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Attn:  Steven V. King, Executive Director and Secretary</w:t>
      </w:r>
    </w:p>
    <w:p w14:paraId="2EE60A66"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Washington Utilities and Transportation Commission</w:t>
      </w:r>
    </w:p>
    <w:p w14:paraId="4A29B5C2"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P.O. Box 47250</w:t>
      </w:r>
    </w:p>
    <w:p w14:paraId="3D2EB0FD" w14:textId="77777777" w:rsidR="00FD0989" w:rsidRDefault="00DD4FAB" w:rsidP="00DD4FAB">
      <w:pPr>
        <w:spacing w:line="264" w:lineRule="auto"/>
        <w:rPr>
          <w:rFonts w:ascii="Times New Roman" w:hAnsi="Times New Roman"/>
          <w:sz w:val="25"/>
          <w:szCs w:val="25"/>
        </w:rPr>
      </w:pPr>
      <w:r w:rsidRPr="00001A2C">
        <w:rPr>
          <w:rFonts w:ascii="Times New Roman" w:eastAsia="Calibri" w:hAnsi="Times New Roman"/>
          <w:sz w:val="25"/>
          <w:szCs w:val="25"/>
        </w:rPr>
        <w:t xml:space="preserve">Olympia, Washington  </w:t>
      </w:r>
      <w:r w:rsidRPr="007D7EB1">
        <w:rPr>
          <w:rFonts w:ascii="Times New Roman" w:hAnsi="Times New Roman"/>
          <w:sz w:val="25"/>
          <w:szCs w:val="25"/>
        </w:rPr>
        <w:t>98504-7250</w:t>
      </w:r>
    </w:p>
    <w:sectPr w:rsidR="00FD0989" w:rsidSect="005C3BC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4E5AC" w14:textId="77777777" w:rsidR="0015224D" w:rsidRDefault="0015224D">
      <w:r>
        <w:separator/>
      </w:r>
    </w:p>
  </w:endnote>
  <w:endnote w:type="continuationSeparator" w:id="0">
    <w:p w14:paraId="19352BC8" w14:textId="77777777" w:rsidR="0015224D" w:rsidRDefault="0015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61C03" w14:textId="77777777" w:rsidR="004F073A" w:rsidRDefault="004F0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44C3" w14:textId="77777777" w:rsidR="004F073A" w:rsidRDefault="004F07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EBC02" w14:textId="77777777" w:rsidR="004F073A" w:rsidRDefault="004F0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3A2F9" w14:textId="77777777" w:rsidR="0015224D" w:rsidRDefault="0015224D">
      <w:r>
        <w:separator/>
      </w:r>
    </w:p>
  </w:footnote>
  <w:footnote w:type="continuationSeparator" w:id="0">
    <w:p w14:paraId="29776F2D" w14:textId="77777777" w:rsidR="0015224D" w:rsidRDefault="0015224D">
      <w:r>
        <w:continuationSeparator/>
      </w:r>
    </w:p>
  </w:footnote>
  <w:footnote w:id="1">
    <w:p w14:paraId="53749845" w14:textId="77777777" w:rsidR="001828F3" w:rsidRPr="009A30A4" w:rsidRDefault="001828F3" w:rsidP="00601D76">
      <w:pPr>
        <w:spacing w:after="120"/>
        <w:rPr>
          <w:rFonts w:ascii="Times New Roman" w:hAnsi="Times New Roman"/>
          <w:i/>
          <w:iCs/>
          <w:sz w:val="22"/>
          <w:szCs w:val="22"/>
        </w:rPr>
      </w:pPr>
      <w:r w:rsidRPr="009A30A4">
        <w:rPr>
          <w:rStyle w:val="FootnoteReference"/>
          <w:sz w:val="22"/>
          <w:szCs w:val="22"/>
        </w:rPr>
        <w:footnoteRef/>
      </w:r>
      <w:r w:rsidRPr="009A30A4">
        <w:rPr>
          <w:sz w:val="22"/>
          <w:szCs w:val="22"/>
        </w:rPr>
        <w:t xml:space="preserve"> </w:t>
      </w:r>
      <w:r w:rsidRPr="009A30A4">
        <w:rPr>
          <w:rFonts w:ascii="Times New Roman" w:hAnsi="Times New Roman"/>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A30A4">
        <w:rPr>
          <w:rFonts w:ascii="Times New Roman" w:hAnsi="Times New Roman"/>
          <w:i/>
          <w:sz w:val="22"/>
          <w:szCs w:val="22"/>
        </w:rPr>
        <w:t xml:space="preserve">See </w:t>
      </w:r>
      <w:r w:rsidRPr="009A30A4">
        <w:rPr>
          <w:rFonts w:ascii="Times New Roman" w:hAnsi="Times New Roman"/>
          <w:sz w:val="22"/>
          <w:szCs w:val="22"/>
        </w:rPr>
        <w:t>RCW 34.05.455.</w:t>
      </w:r>
    </w:p>
  </w:footnote>
  <w:footnote w:id="2">
    <w:p w14:paraId="729C81B4" w14:textId="08D33989" w:rsidR="00524FAD" w:rsidRDefault="00524FAD" w:rsidP="00601D76">
      <w:pPr>
        <w:pStyle w:val="FootnoteText"/>
        <w:spacing w:before="0"/>
      </w:pPr>
      <w:r>
        <w:rPr>
          <w:rStyle w:val="FootnoteReference"/>
        </w:rPr>
        <w:footnoteRef/>
      </w:r>
      <w:r>
        <w:t xml:space="preserve"> </w:t>
      </w:r>
      <w:r w:rsidRPr="00524FAD">
        <w:rPr>
          <w:i/>
        </w:rPr>
        <w:t>WUTC v. Best Moving and Delivery, LLC</w:t>
      </w:r>
      <w:r>
        <w:t>, Docket TV-132030, Investigation Report at 5 (</w:t>
      </w:r>
      <w:r w:rsidR="00C20740">
        <w:t xml:space="preserve">2013 </w:t>
      </w:r>
      <w:r>
        <w:t>Investigation Report) (April 2014).</w:t>
      </w:r>
    </w:p>
  </w:footnote>
  <w:footnote w:id="3">
    <w:p w14:paraId="1E96CD53" w14:textId="2C0DAA85" w:rsidR="00216BAB" w:rsidRDefault="00216BAB" w:rsidP="00601D76">
      <w:pPr>
        <w:pStyle w:val="FootnoteText"/>
        <w:spacing w:before="0"/>
      </w:pPr>
      <w:r>
        <w:rPr>
          <w:rStyle w:val="FootnoteReference"/>
        </w:rPr>
        <w:footnoteRef/>
      </w:r>
      <w:r>
        <w:t xml:space="preserve"> Though there is some discrepancy as to the timing of the training (Ms. Pearson testified that it occurred in May of 2009, while the 2013 Investigation Report stated it was conducted in March of 2009) and its location (Staff contends it was held in Olympia, Washington, while Mr. Ratko asserts it was conducted in the Spokane area), no one denies that Mr. Ratko did indeed attend </w:t>
      </w:r>
      <w:r w:rsidR="00BF1686">
        <w:t>a</w:t>
      </w:r>
      <w:r>
        <w:t xml:space="preserve"> Commission-sponsored training in 2009.</w:t>
      </w:r>
    </w:p>
  </w:footnote>
  <w:footnote w:id="4">
    <w:p w14:paraId="270D0942" w14:textId="5E8799E8" w:rsidR="00524FAD" w:rsidRDefault="00524FAD" w:rsidP="00601D76">
      <w:pPr>
        <w:pStyle w:val="FootnoteText"/>
        <w:spacing w:before="0"/>
      </w:pPr>
      <w:r>
        <w:rPr>
          <w:rStyle w:val="FootnoteReference"/>
        </w:rPr>
        <w:footnoteRef/>
      </w:r>
      <w:r>
        <w:t xml:space="preserve"> </w:t>
      </w:r>
      <w:r w:rsidRPr="00601D76">
        <w:rPr>
          <w:i/>
        </w:rPr>
        <w:t>Id</w:t>
      </w:r>
      <w:r>
        <w:t>. at 6.</w:t>
      </w:r>
    </w:p>
  </w:footnote>
  <w:footnote w:id="5">
    <w:p w14:paraId="411A2D58" w14:textId="3FE4BB6A" w:rsidR="00171D5C" w:rsidRDefault="00171D5C" w:rsidP="00601D76">
      <w:pPr>
        <w:pStyle w:val="FootnoteText"/>
        <w:spacing w:before="0"/>
      </w:pPr>
      <w:r>
        <w:rPr>
          <w:rStyle w:val="FootnoteReference"/>
        </w:rPr>
        <w:footnoteRef/>
      </w:r>
      <w:r>
        <w:t xml:space="preserve"> </w:t>
      </w:r>
      <w:r w:rsidRPr="00601D76">
        <w:rPr>
          <w:i/>
        </w:rPr>
        <w:t>Id</w:t>
      </w:r>
      <w:r>
        <w:t>. at 6-7.</w:t>
      </w:r>
    </w:p>
  </w:footnote>
  <w:footnote w:id="6">
    <w:p w14:paraId="4E181EC8" w14:textId="1B6311F9" w:rsidR="00C20740" w:rsidRDefault="00C20740" w:rsidP="00601D76">
      <w:pPr>
        <w:pStyle w:val="FootnoteText"/>
        <w:spacing w:before="0"/>
      </w:pPr>
      <w:r>
        <w:rPr>
          <w:rStyle w:val="FootnoteReference"/>
        </w:rPr>
        <w:footnoteRef/>
      </w:r>
      <w:r>
        <w:t xml:space="preserve"> WUTC v. Ivan Ratko, d/b/a Best Moving &amp; Deliver, Docket TV-110977, Investigation Report at 3 (2011 Investigation Report) (December 2011).</w:t>
      </w:r>
    </w:p>
  </w:footnote>
  <w:footnote w:id="7">
    <w:p w14:paraId="6FB4807D" w14:textId="156A39E5" w:rsidR="00C20740" w:rsidRDefault="00C20740" w:rsidP="00601D76">
      <w:pPr>
        <w:pStyle w:val="FootnoteText"/>
        <w:spacing w:before="0"/>
      </w:pPr>
      <w:r>
        <w:rPr>
          <w:rStyle w:val="FootnoteReference"/>
        </w:rPr>
        <w:footnoteRef/>
      </w:r>
      <w:r>
        <w:t xml:space="preserve"> The record does not demonstrate that Mr. Ratko attended any further training sessions after 2009.  See, Pearson, TR 63:12-14.</w:t>
      </w:r>
    </w:p>
  </w:footnote>
  <w:footnote w:id="8">
    <w:p w14:paraId="447B770F" w14:textId="6182340A" w:rsidR="00B66818" w:rsidRDefault="00B66818" w:rsidP="00601D76">
      <w:pPr>
        <w:pStyle w:val="FootnoteText"/>
        <w:spacing w:before="0"/>
      </w:pPr>
      <w:r>
        <w:rPr>
          <w:rStyle w:val="FootnoteReference"/>
        </w:rPr>
        <w:footnoteRef/>
      </w:r>
      <w:r>
        <w:t xml:space="preserve"> 2013 Investigation Report at 9.  </w:t>
      </w:r>
      <w:r w:rsidR="00BF1686">
        <w:t xml:space="preserve">(Emphasis omitted).  </w:t>
      </w:r>
      <w:r>
        <w:t>Staff also requested a copy of Best Moving’s customer complaint and claims register from June 1, 2012, through September 30, 2012.  The Company received no complaints or claims during this period.  Id.</w:t>
      </w:r>
    </w:p>
  </w:footnote>
  <w:footnote w:id="9">
    <w:p w14:paraId="3B73F674" w14:textId="3CF9EBD3" w:rsidR="00B66818" w:rsidRDefault="00B66818" w:rsidP="00601D76">
      <w:pPr>
        <w:pStyle w:val="FootnoteText"/>
        <w:spacing w:before="0"/>
      </w:pPr>
      <w:r>
        <w:rPr>
          <w:rStyle w:val="FootnoteReference"/>
        </w:rPr>
        <w:footnoteRef/>
      </w:r>
      <w:r>
        <w:t xml:space="preserve"> </w:t>
      </w:r>
      <w:r w:rsidRPr="00601D76">
        <w:rPr>
          <w:i/>
        </w:rPr>
        <w:t>Id</w:t>
      </w:r>
      <w:r>
        <w:t>.</w:t>
      </w:r>
    </w:p>
  </w:footnote>
  <w:footnote w:id="10">
    <w:p w14:paraId="09A71417" w14:textId="39AC1129" w:rsidR="004560FC" w:rsidRDefault="004560FC" w:rsidP="00601D76">
      <w:pPr>
        <w:pStyle w:val="FootnoteText"/>
        <w:spacing w:before="0"/>
      </w:pPr>
      <w:r>
        <w:rPr>
          <w:rStyle w:val="FootnoteReference"/>
        </w:rPr>
        <w:footnoteRef/>
      </w:r>
      <w:r>
        <w:t xml:space="preserve"> </w:t>
      </w:r>
      <w:r w:rsidRPr="00601D76">
        <w:rPr>
          <w:i/>
        </w:rPr>
        <w:t>Id</w:t>
      </w:r>
      <w:r>
        <w:t>. at 3.</w:t>
      </w:r>
    </w:p>
  </w:footnote>
  <w:footnote w:id="11">
    <w:p w14:paraId="693D364D" w14:textId="78DAB73E" w:rsidR="00086105" w:rsidRDefault="00086105" w:rsidP="00601D76">
      <w:pPr>
        <w:pStyle w:val="FootnoteText"/>
        <w:spacing w:before="0"/>
      </w:pPr>
      <w:r>
        <w:rPr>
          <w:rStyle w:val="FootnoteReference"/>
        </w:rPr>
        <w:footnoteRef/>
      </w:r>
      <w:r>
        <w:t xml:space="preserve"> Pearson, TR 29:13-18.</w:t>
      </w:r>
    </w:p>
  </w:footnote>
  <w:footnote w:id="12">
    <w:p w14:paraId="7F484847" w14:textId="719D3D92" w:rsidR="009D7FB3" w:rsidRDefault="009D7FB3" w:rsidP="00601D76">
      <w:pPr>
        <w:pStyle w:val="FootnoteText"/>
        <w:spacing w:before="0"/>
      </w:pPr>
      <w:r>
        <w:rPr>
          <w:rStyle w:val="FootnoteReference"/>
        </w:rPr>
        <w:footnoteRef/>
      </w:r>
      <w:r>
        <w:t xml:space="preserve"> </w:t>
      </w:r>
      <w:r w:rsidRPr="00601D76">
        <w:rPr>
          <w:i/>
        </w:rPr>
        <w:t>Id</w:t>
      </w:r>
      <w:r>
        <w:t xml:space="preserve">. at </w:t>
      </w:r>
      <w:r w:rsidR="00D30B8B">
        <w:t>39:22-30:6.</w:t>
      </w:r>
    </w:p>
  </w:footnote>
  <w:footnote w:id="13">
    <w:p w14:paraId="0B2453E1" w14:textId="0EE19313" w:rsidR="009D7FB3" w:rsidRDefault="009D7FB3" w:rsidP="00601D76">
      <w:pPr>
        <w:pStyle w:val="FootnoteText"/>
        <w:spacing w:before="0"/>
      </w:pPr>
      <w:r>
        <w:rPr>
          <w:rStyle w:val="FootnoteReference"/>
        </w:rPr>
        <w:footnoteRef/>
      </w:r>
      <w:r>
        <w:t xml:space="preserve"> </w:t>
      </w:r>
      <w:r w:rsidRPr="00601D76">
        <w:rPr>
          <w:i/>
        </w:rPr>
        <w:t>Id.</w:t>
      </w:r>
      <w:r>
        <w:t xml:space="preserve">  The two remaining customers Staff contacted could not recall if they had received the estimates.  Id.  </w:t>
      </w:r>
    </w:p>
  </w:footnote>
  <w:footnote w:id="14">
    <w:p w14:paraId="6E7A7AF8" w14:textId="201C71F6" w:rsidR="00944355" w:rsidRDefault="00944355" w:rsidP="00601D76">
      <w:pPr>
        <w:pStyle w:val="FootnoteText"/>
        <w:spacing w:before="0"/>
      </w:pPr>
      <w:r>
        <w:rPr>
          <w:rStyle w:val="FootnoteReference"/>
        </w:rPr>
        <w:footnoteRef/>
      </w:r>
      <w:r>
        <w:t xml:space="preserve"> 2013 Investigation Report at 21.</w:t>
      </w:r>
    </w:p>
  </w:footnote>
  <w:footnote w:id="15">
    <w:p w14:paraId="08ED9000" w14:textId="5AD5E826" w:rsidR="0088209F" w:rsidRPr="00082E92" w:rsidRDefault="0088209F" w:rsidP="00601D76">
      <w:pPr>
        <w:pStyle w:val="FootnoteText"/>
        <w:spacing w:before="0"/>
      </w:pPr>
      <w:r>
        <w:rPr>
          <w:rStyle w:val="FootnoteReference"/>
        </w:rPr>
        <w:footnoteRef/>
      </w:r>
      <w:r>
        <w:t xml:space="preserve"> Ratko, TR 96:3-15.</w:t>
      </w:r>
      <w:r w:rsidR="001D499F">
        <w:t xml:space="preserve">  </w:t>
      </w:r>
      <w:r w:rsidR="00082E92">
        <w:t xml:space="preserve">  </w:t>
      </w:r>
    </w:p>
  </w:footnote>
  <w:footnote w:id="16">
    <w:p w14:paraId="722D1C3F" w14:textId="34657486" w:rsidR="00631B9D" w:rsidRDefault="00631B9D" w:rsidP="00601D76">
      <w:pPr>
        <w:pStyle w:val="FootnoteText"/>
        <w:spacing w:before="0"/>
      </w:pPr>
      <w:r>
        <w:rPr>
          <w:rStyle w:val="FootnoteReference"/>
        </w:rPr>
        <w:footnoteRef/>
      </w:r>
      <w:r>
        <w:t xml:space="preserve"> </w:t>
      </w:r>
      <w:r w:rsidRPr="00601D76">
        <w:rPr>
          <w:i/>
        </w:rPr>
        <w:t>Id.</w:t>
      </w:r>
      <w:r>
        <w:t>, TR 96:19-20.</w:t>
      </w:r>
    </w:p>
  </w:footnote>
  <w:footnote w:id="17">
    <w:p w14:paraId="0BB9823D" w14:textId="7874D03C" w:rsidR="008C4CFB" w:rsidRDefault="008C4CFB" w:rsidP="00601D76">
      <w:pPr>
        <w:pStyle w:val="FootnoteText"/>
        <w:spacing w:before="0"/>
      </w:pPr>
      <w:r>
        <w:rPr>
          <w:rStyle w:val="FootnoteReference"/>
        </w:rPr>
        <w:footnoteRef/>
      </w:r>
      <w:r>
        <w:t xml:space="preserve"> </w:t>
      </w:r>
      <w:r w:rsidRPr="00601D76">
        <w:rPr>
          <w:i/>
        </w:rPr>
        <w:t>Id</w:t>
      </w:r>
      <w:r>
        <w:t>.</w:t>
      </w:r>
    </w:p>
  </w:footnote>
  <w:footnote w:id="18">
    <w:p w14:paraId="507EA7C3" w14:textId="3B3FB524" w:rsidR="005816D1" w:rsidRDefault="005816D1" w:rsidP="00601D76">
      <w:pPr>
        <w:pStyle w:val="FootnoteText"/>
        <w:spacing w:before="0"/>
      </w:pPr>
      <w:r>
        <w:rPr>
          <w:rStyle w:val="FootnoteReference"/>
        </w:rPr>
        <w:footnoteRef/>
      </w:r>
      <w:r>
        <w:t xml:space="preserve"> Pearson, TR 29:22-30:5.</w:t>
      </w:r>
    </w:p>
  </w:footnote>
  <w:footnote w:id="19">
    <w:p w14:paraId="23603234" w14:textId="421C49D2" w:rsidR="000A6748" w:rsidRDefault="000A6748" w:rsidP="00601D76">
      <w:pPr>
        <w:pStyle w:val="FootnoteText"/>
        <w:spacing w:before="0"/>
      </w:pPr>
      <w:r>
        <w:rPr>
          <w:rStyle w:val="FootnoteReference"/>
        </w:rPr>
        <w:footnoteRef/>
      </w:r>
      <w:r>
        <w:t xml:space="preserve"> 2011 Investigation Report at 4.</w:t>
      </w:r>
    </w:p>
  </w:footnote>
  <w:footnote w:id="20">
    <w:p w14:paraId="3D001BC6" w14:textId="1A885112" w:rsidR="006F12C9" w:rsidRDefault="006F12C9" w:rsidP="00601D76">
      <w:pPr>
        <w:pStyle w:val="FootnoteText"/>
        <w:spacing w:before="0"/>
      </w:pPr>
      <w:r>
        <w:rPr>
          <w:rStyle w:val="FootnoteReference"/>
        </w:rPr>
        <w:footnoteRef/>
      </w:r>
      <w:r>
        <w:t xml:space="preserve"> Ratko, TR 96:15-18.</w:t>
      </w:r>
    </w:p>
  </w:footnote>
  <w:footnote w:id="21">
    <w:p w14:paraId="1A689568" w14:textId="2761D744" w:rsidR="002A7E36" w:rsidRDefault="002A7E36" w:rsidP="00601D76">
      <w:pPr>
        <w:pStyle w:val="FootnoteText"/>
        <w:spacing w:before="0"/>
      </w:pPr>
      <w:r>
        <w:rPr>
          <w:rStyle w:val="FootnoteReference"/>
        </w:rPr>
        <w:footnoteRef/>
      </w:r>
      <w:r>
        <w:t xml:space="preserve"> </w:t>
      </w:r>
      <w:r w:rsidRPr="00601D76">
        <w:rPr>
          <w:i/>
        </w:rPr>
        <w:t>Id</w:t>
      </w:r>
      <w:r>
        <w:t>., TR 96:7-11.</w:t>
      </w:r>
    </w:p>
  </w:footnote>
  <w:footnote w:id="22">
    <w:p w14:paraId="54E248D9" w14:textId="2861113B" w:rsidR="006F12C9" w:rsidRDefault="006F12C9" w:rsidP="00601D76">
      <w:pPr>
        <w:pStyle w:val="FootnoteText"/>
        <w:spacing w:before="0"/>
      </w:pPr>
      <w:r>
        <w:rPr>
          <w:rStyle w:val="FootnoteReference"/>
        </w:rPr>
        <w:footnoteRef/>
      </w:r>
      <w:r>
        <w:t xml:space="preserve"> </w:t>
      </w:r>
      <w:r w:rsidRPr="00601D76">
        <w:rPr>
          <w:i/>
        </w:rPr>
        <w:t>Id</w:t>
      </w:r>
      <w:r>
        <w:t>., TR 98:8-12</w:t>
      </w:r>
      <w:r w:rsidR="00D6131B">
        <w:t xml:space="preserve">.  </w:t>
      </w:r>
    </w:p>
  </w:footnote>
  <w:footnote w:id="23">
    <w:p w14:paraId="02E8FCFC" w14:textId="3524AFC3" w:rsidR="008C1A22" w:rsidRDefault="008C1A22" w:rsidP="00601D76">
      <w:pPr>
        <w:pStyle w:val="FootnoteText"/>
        <w:spacing w:before="0"/>
      </w:pPr>
      <w:r>
        <w:rPr>
          <w:rStyle w:val="FootnoteReference"/>
        </w:rPr>
        <w:footnoteRef/>
      </w:r>
      <w:r>
        <w:t xml:space="preserve"> 2013 Investigation Report at 1</w:t>
      </w:r>
      <w:r w:rsidR="003F79F7">
        <w:t>0</w:t>
      </w:r>
      <w:r>
        <w:t>.</w:t>
      </w:r>
    </w:p>
  </w:footnote>
  <w:footnote w:id="24">
    <w:p w14:paraId="09AFCF10" w14:textId="3B48C033" w:rsidR="008C1A22" w:rsidRDefault="008C1A22" w:rsidP="00601D76">
      <w:pPr>
        <w:pStyle w:val="FootnoteText"/>
        <w:spacing w:before="0"/>
      </w:pPr>
      <w:r>
        <w:rPr>
          <w:rStyle w:val="FootnoteReference"/>
        </w:rPr>
        <w:footnoteRef/>
      </w:r>
      <w:r>
        <w:t xml:space="preserve"> Mr. Ratko testified at hearing that </w:t>
      </w:r>
      <w:r w:rsidR="003F79F7">
        <w:t xml:space="preserve">the omitted information was “just an honest mistake.”  Ratko, TR99:2-4.  </w:t>
      </w:r>
    </w:p>
  </w:footnote>
  <w:footnote w:id="25">
    <w:p w14:paraId="74B5E64A" w14:textId="31C5417F" w:rsidR="00BB7ACB" w:rsidRPr="00BB7ACB" w:rsidRDefault="00BB7ACB" w:rsidP="00601D76">
      <w:pPr>
        <w:pStyle w:val="FootnoteText"/>
        <w:spacing w:before="0"/>
        <w:rPr>
          <w:szCs w:val="22"/>
        </w:rPr>
      </w:pPr>
      <w:r>
        <w:rPr>
          <w:rStyle w:val="FootnoteReference"/>
        </w:rPr>
        <w:footnoteRef/>
      </w:r>
      <w:r>
        <w:t xml:space="preserve"> </w:t>
      </w:r>
      <w:r w:rsidRPr="00BB7ACB">
        <w:rPr>
          <w:szCs w:val="25"/>
        </w:rPr>
        <w:t>WAC 480-15-630(7) requires estimates to include each of the elements listed in Tariff 15-C, Item 85.</w:t>
      </w:r>
      <w:r>
        <w:rPr>
          <w:szCs w:val="25"/>
        </w:rPr>
        <w:t xml:space="preserve">  </w:t>
      </w:r>
      <w:r w:rsidRPr="009A30A4">
        <w:rPr>
          <w:szCs w:val="22"/>
        </w:rPr>
        <w:t xml:space="preserve">Staff’s investigation found that the estimate form used by </w:t>
      </w:r>
      <w:r>
        <w:rPr>
          <w:szCs w:val="22"/>
        </w:rPr>
        <w:t>Best</w:t>
      </w:r>
      <w:r w:rsidRPr="009A30A4">
        <w:rPr>
          <w:szCs w:val="22"/>
        </w:rPr>
        <w:t xml:space="preserve"> Moving failed to include the following: a space for the customer to sign acknowledging receipt of the Moving Guide</w:t>
      </w:r>
      <w:r>
        <w:rPr>
          <w:szCs w:val="22"/>
        </w:rPr>
        <w:t>;</w:t>
      </w:r>
      <w:r w:rsidRPr="009A30A4">
        <w:rPr>
          <w:szCs w:val="22"/>
        </w:rPr>
        <w:t xml:space="preserve"> </w:t>
      </w:r>
      <w:r>
        <w:rPr>
          <w:szCs w:val="22"/>
        </w:rPr>
        <w:t>for long distance shipments, an estimate of the total weight of the shipment and an explanation of the formula used, as well as the mileage between the origin, destination, and intermediate stops with associated rates and charges; the charges for loss or damage protection coverage;</w:t>
      </w:r>
      <w:r w:rsidRPr="009A30A4">
        <w:rPr>
          <w:szCs w:val="22"/>
        </w:rPr>
        <w:t xml:space="preserve"> </w:t>
      </w:r>
      <w:r>
        <w:rPr>
          <w:szCs w:val="22"/>
        </w:rPr>
        <w:t xml:space="preserve">for binding estimates, </w:t>
      </w:r>
      <w:r w:rsidRPr="009A30A4">
        <w:rPr>
          <w:szCs w:val="22"/>
        </w:rPr>
        <w:t xml:space="preserve">a statement </w:t>
      </w:r>
      <w:r>
        <w:rPr>
          <w:szCs w:val="22"/>
        </w:rPr>
        <w:t>that the estimate is a guarantee of the cost of the move and that the carrier will not charge above the estimated charges without preparing a supplemental estimate;</w:t>
      </w:r>
      <w:r w:rsidRPr="009A30A4">
        <w:rPr>
          <w:szCs w:val="22"/>
        </w:rPr>
        <w:t xml:space="preserve"> and </w:t>
      </w:r>
      <w:r>
        <w:rPr>
          <w:szCs w:val="22"/>
        </w:rPr>
        <w:t xml:space="preserve">for nonbinding estimates, statements alerting the customer that the estimate is nonbinding, the cost of the move may exceed the estimate, the carrier must release the shipment to the customer upon payment of 110 percent of the estimate and all customers at least 30 days from the date of delivery to pay amounts in excess of 110 percent, and the customer is not required to pay more than 125 percent of the estimate regardless of the total costs unless the carrier issues and the customer accepts a supplemental estimate.  2013 Investigation Report at 10.  </w:t>
      </w:r>
      <w:r w:rsidRPr="00BB7ACB">
        <w:rPr>
          <w:szCs w:val="25"/>
        </w:rPr>
        <w:t>Critical information, including the terms and conditions for both binding and nonbinding estimates, was missing from the version of the Company’s form that Staff reviewed.</w:t>
      </w:r>
      <w:r>
        <w:rPr>
          <w:szCs w:val="25"/>
        </w:rPr>
        <w:t xml:space="preserve">  Id.</w:t>
      </w:r>
    </w:p>
  </w:footnote>
  <w:footnote w:id="26">
    <w:p w14:paraId="78175662" w14:textId="49173266" w:rsidR="00BB7ACB" w:rsidRDefault="00BB7ACB" w:rsidP="00601D76">
      <w:pPr>
        <w:pStyle w:val="FootnoteText"/>
        <w:spacing w:before="0"/>
      </w:pPr>
      <w:r>
        <w:rPr>
          <w:rStyle w:val="FootnoteReference"/>
        </w:rPr>
        <w:footnoteRef/>
      </w:r>
      <w:r>
        <w:t xml:space="preserve"> Staff alleges that there are 31 violations for each of the four elements of the third cause for a total of 124 violations. </w:t>
      </w:r>
    </w:p>
  </w:footnote>
  <w:footnote w:id="27">
    <w:p w14:paraId="32BCC859" w14:textId="16F522D9" w:rsidR="00254D60" w:rsidRDefault="00254D60" w:rsidP="00601D76">
      <w:pPr>
        <w:pStyle w:val="FootnoteText"/>
        <w:spacing w:before="0"/>
      </w:pPr>
      <w:r>
        <w:rPr>
          <w:rStyle w:val="FootnoteReference"/>
        </w:rPr>
        <w:footnoteRef/>
      </w:r>
      <w:r>
        <w:t xml:space="preserve"> The deficiencies that appear to have been corrected include: the charges for loss or damage protection coverage</w:t>
      </w:r>
      <w:r w:rsidR="00487BDA">
        <w:t>;</w:t>
      </w:r>
      <w:r>
        <w:t xml:space="preserve"> and </w:t>
      </w:r>
      <w:r>
        <w:rPr>
          <w:szCs w:val="22"/>
        </w:rPr>
        <w:t xml:space="preserve">for nonbinding estimates, statements alerting the customer that the estimate is nonbinding, the cost of the move may exceed the estimate, the carrier must release the shipment to the customer upon payment of </w:t>
      </w:r>
      <w:r w:rsidR="00487BDA">
        <w:rPr>
          <w:szCs w:val="22"/>
        </w:rPr>
        <w:t xml:space="preserve">no more than </w:t>
      </w:r>
      <w:r>
        <w:rPr>
          <w:szCs w:val="22"/>
        </w:rPr>
        <w:t>110 percent of the estimate</w:t>
      </w:r>
      <w:r w:rsidR="00487BDA">
        <w:rPr>
          <w:szCs w:val="22"/>
        </w:rPr>
        <w:t>,</w:t>
      </w:r>
      <w:r>
        <w:rPr>
          <w:szCs w:val="22"/>
        </w:rPr>
        <w:t xml:space="preserve"> </w:t>
      </w:r>
      <w:r w:rsidR="00487BDA">
        <w:rPr>
          <w:szCs w:val="22"/>
        </w:rPr>
        <w:t>carriers must allow</w:t>
      </w:r>
      <w:r>
        <w:rPr>
          <w:szCs w:val="22"/>
        </w:rPr>
        <w:t xml:space="preserve"> customers at least 30 days from the date of delivery to pay amounts in excess of 110 percent, and the customer is not required to pay more than 125 percent of the estimate regardless of the total costs unless the carrier issues and the customer accepts a supplemental estimate.</w:t>
      </w:r>
    </w:p>
  </w:footnote>
  <w:footnote w:id="28">
    <w:p w14:paraId="3AB928C7" w14:textId="3AAE39B2" w:rsidR="003F79F7" w:rsidRDefault="003F79F7" w:rsidP="00601D76">
      <w:pPr>
        <w:pStyle w:val="FootnoteText"/>
        <w:spacing w:before="0"/>
      </w:pPr>
      <w:r>
        <w:rPr>
          <w:rStyle w:val="FootnoteReference"/>
        </w:rPr>
        <w:footnoteRef/>
      </w:r>
      <w:r>
        <w:t xml:space="preserve"> 2013 Investigation Report at 13.</w:t>
      </w:r>
    </w:p>
  </w:footnote>
  <w:footnote w:id="29">
    <w:p w14:paraId="00025819" w14:textId="45E693CD" w:rsidR="003F79F7" w:rsidRDefault="003F79F7" w:rsidP="00601D76">
      <w:pPr>
        <w:pStyle w:val="FootnoteText"/>
        <w:spacing w:before="0"/>
      </w:pPr>
      <w:r>
        <w:rPr>
          <w:rStyle w:val="FootnoteReference"/>
        </w:rPr>
        <w:footnoteRef/>
      </w:r>
      <w:r>
        <w:t xml:space="preserve"> Mr. Ratko believed a cube sheet was only necessary if the move was over 50 miles.  Ratko, TR 99:10-100:5.</w:t>
      </w:r>
    </w:p>
  </w:footnote>
  <w:footnote w:id="30">
    <w:p w14:paraId="791F5114" w14:textId="5C0BE02F" w:rsidR="008305B2" w:rsidRDefault="008305B2" w:rsidP="00601D76">
      <w:pPr>
        <w:pStyle w:val="FootnoteText"/>
        <w:spacing w:before="0"/>
      </w:pPr>
      <w:r>
        <w:rPr>
          <w:rStyle w:val="FootnoteReference"/>
        </w:rPr>
        <w:footnoteRef/>
      </w:r>
      <w:r>
        <w:t xml:space="preserve"> 2013 Investigation Report at 8.</w:t>
      </w:r>
    </w:p>
  </w:footnote>
  <w:footnote w:id="31">
    <w:p w14:paraId="32C83CF2" w14:textId="75D1DF5D" w:rsidR="00FA31BE" w:rsidRDefault="00FA31BE" w:rsidP="00601D76">
      <w:pPr>
        <w:pStyle w:val="FootnoteText"/>
        <w:spacing w:before="0"/>
      </w:pPr>
      <w:r>
        <w:rPr>
          <w:rStyle w:val="FootnoteReference"/>
        </w:rPr>
        <w:footnoteRef/>
      </w:r>
      <w:r>
        <w:t xml:space="preserve"> 2011 Investigation Report at 4.</w:t>
      </w:r>
    </w:p>
  </w:footnote>
  <w:footnote w:id="32">
    <w:p w14:paraId="3E764D0F" w14:textId="5CFD1442" w:rsidR="00BC7B73" w:rsidRDefault="00BC7B73" w:rsidP="00601D76">
      <w:pPr>
        <w:pStyle w:val="FootnoteText"/>
        <w:spacing w:before="0"/>
      </w:pPr>
      <w:r>
        <w:rPr>
          <w:rStyle w:val="FootnoteReference"/>
        </w:rPr>
        <w:footnoteRef/>
      </w:r>
      <w:r>
        <w:t xml:space="preserve"> Pearson, TR 61:2-3.</w:t>
      </w:r>
    </w:p>
  </w:footnote>
  <w:footnote w:id="33">
    <w:p w14:paraId="13B85B00" w14:textId="0F686AA8" w:rsidR="004B66E3" w:rsidRDefault="004B66E3" w:rsidP="00601D76">
      <w:pPr>
        <w:pStyle w:val="FootnoteText"/>
        <w:spacing w:before="0"/>
      </w:pPr>
      <w:r>
        <w:rPr>
          <w:rStyle w:val="FootnoteReference"/>
        </w:rPr>
        <w:footnoteRef/>
      </w:r>
      <w:r>
        <w:t xml:space="preserve"> Mr. Ratko testified at hearing that he had corrected the deficient bill of lading forms</w:t>
      </w:r>
      <w:r w:rsidR="00487BDA">
        <w:t xml:space="preserve"> he had previously supplied to Staff</w:t>
      </w:r>
      <w:r>
        <w:t>.  Ratko, TR 10</w:t>
      </w:r>
      <w:r w:rsidR="00247ECF">
        <w:t>1</w:t>
      </w:r>
      <w:r>
        <w:t>:2-5.</w:t>
      </w:r>
    </w:p>
  </w:footnote>
  <w:footnote w:id="34">
    <w:p w14:paraId="69BB38B4" w14:textId="600771E2" w:rsidR="00273186" w:rsidRPr="004D2258" w:rsidRDefault="00273186" w:rsidP="00601D76">
      <w:pPr>
        <w:pStyle w:val="FootnoteText"/>
        <w:spacing w:before="0"/>
        <w:rPr>
          <w:sz w:val="20"/>
        </w:rPr>
      </w:pPr>
      <w:r w:rsidRPr="009A30A4">
        <w:rPr>
          <w:rStyle w:val="FootnoteReference"/>
          <w:szCs w:val="22"/>
        </w:rPr>
        <w:footnoteRef/>
      </w:r>
      <w:r w:rsidRPr="009A30A4">
        <w:rPr>
          <w:szCs w:val="22"/>
        </w:rPr>
        <w:t xml:space="preserve"> Staff found the following violations</w:t>
      </w:r>
      <w:r w:rsidR="004D2258" w:rsidRPr="009A30A4">
        <w:rPr>
          <w:szCs w:val="22"/>
        </w:rPr>
        <w:t xml:space="preserve"> of WAC 480-15-710 and Tariff 15-C, Item 95</w:t>
      </w:r>
      <w:r w:rsidRPr="009A30A4">
        <w:rPr>
          <w:szCs w:val="22"/>
        </w:rPr>
        <w:t xml:space="preserve">: </w:t>
      </w:r>
    </w:p>
  </w:footnote>
  <w:footnote w:id="35">
    <w:p w14:paraId="38E5C602" w14:textId="682380E0" w:rsidR="0004510B" w:rsidRDefault="0004510B" w:rsidP="00601D76">
      <w:pPr>
        <w:pStyle w:val="FootnoteText"/>
        <w:spacing w:before="0"/>
      </w:pPr>
      <w:r>
        <w:rPr>
          <w:rStyle w:val="FootnoteReference"/>
        </w:rPr>
        <w:footnoteRef/>
      </w:r>
      <w:r>
        <w:t xml:space="preserve"> 2013 Investigation Report at 19.</w:t>
      </w:r>
    </w:p>
  </w:footnote>
  <w:footnote w:id="36">
    <w:p w14:paraId="7408CED0" w14:textId="733D32E7" w:rsidR="00CE1AB1" w:rsidRDefault="00CE1AB1" w:rsidP="00601D76">
      <w:pPr>
        <w:pStyle w:val="FootnoteText"/>
        <w:spacing w:before="0"/>
      </w:pPr>
      <w:r>
        <w:rPr>
          <w:rStyle w:val="FootnoteReference"/>
        </w:rPr>
        <w:footnoteRef/>
      </w:r>
      <w:r>
        <w:t xml:space="preserve"> </w:t>
      </w:r>
      <w:r w:rsidRPr="00601D76">
        <w:rPr>
          <w:i/>
        </w:rPr>
        <w:t>Id</w:t>
      </w:r>
      <w:r>
        <w:t>.</w:t>
      </w:r>
    </w:p>
  </w:footnote>
  <w:footnote w:id="37">
    <w:p w14:paraId="0CAF6674" w14:textId="01C35178" w:rsidR="00F01D90" w:rsidRDefault="00F01D90" w:rsidP="00601D76">
      <w:pPr>
        <w:pStyle w:val="FootnoteText"/>
        <w:spacing w:before="0"/>
      </w:pPr>
      <w:r>
        <w:rPr>
          <w:rStyle w:val="FootnoteReference"/>
        </w:rPr>
        <w:footnoteRef/>
      </w:r>
      <w:r>
        <w:t xml:space="preserve"> Ratko, TR 110:2-4.</w:t>
      </w:r>
    </w:p>
  </w:footnote>
  <w:footnote w:id="38">
    <w:p w14:paraId="4D308DDE" w14:textId="23B2BF5F" w:rsidR="00F01D90" w:rsidRDefault="00F01D90" w:rsidP="00601D76">
      <w:pPr>
        <w:pStyle w:val="FootnoteText"/>
        <w:spacing w:before="0"/>
      </w:pPr>
      <w:r>
        <w:rPr>
          <w:rStyle w:val="FootnoteReference"/>
        </w:rPr>
        <w:footnoteRef/>
      </w:r>
      <w:r>
        <w:t xml:space="preserve"> Supplemental Bill of Lading, §9 (March 12, 2015).</w:t>
      </w:r>
    </w:p>
  </w:footnote>
  <w:footnote w:id="39">
    <w:p w14:paraId="0B181278" w14:textId="7EF51815" w:rsidR="00E74EB4" w:rsidRDefault="00E74EB4" w:rsidP="00601D76">
      <w:pPr>
        <w:pStyle w:val="FootnoteText"/>
        <w:spacing w:before="0"/>
      </w:pPr>
      <w:r>
        <w:rPr>
          <w:rStyle w:val="FootnoteReference"/>
        </w:rPr>
        <w:footnoteRef/>
      </w:r>
      <w:r>
        <w:t xml:space="preserve"> </w:t>
      </w:r>
      <w:r w:rsidR="00B328DC">
        <w:t>2013 Investigation Report at 6.</w:t>
      </w:r>
    </w:p>
  </w:footnote>
  <w:footnote w:id="40">
    <w:p w14:paraId="5EBE6567" w14:textId="36FFEA52" w:rsidR="00B328DC" w:rsidRDefault="00B328DC" w:rsidP="00601D76">
      <w:pPr>
        <w:pStyle w:val="FootnoteText"/>
        <w:spacing w:before="0"/>
      </w:pPr>
      <w:r>
        <w:rPr>
          <w:rStyle w:val="FootnoteReference"/>
        </w:rPr>
        <w:footnoteRef/>
      </w:r>
      <w:r>
        <w:t xml:space="preserve"> </w:t>
      </w:r>
      <w:r w:rsidRPr="00601D76">
        <w:rPr>
          <w:i/>
        </w:rPr>
        <w:t>Id</w:t>
      </w:r>
      <w:r>
        <w:t xml:space="preserve">. at 7.  Mr. Ratko’s email </w:t>
      </w:r>
      <w:r w:rsidR="00C56B5D">
        <w:t>to Staff stated, “Hello Sheri, Thanks for taking time to pointing out this issue.  I have made all corrections.  Ones [sic] again I would to apologize and thank you for pointing out the issue to me.  Thank you.  Ivan A. Ratko</w:t>
      </w:r>
      <w:r w:rsidR="00B95BCE">
        <w:t>.</w:t>
      </w:r>
      <w:r w:rsidR="00C56B5D">
        <w:t xml:space="preserve">”  Id. </w:t>
      </w:r>
    </w:p>
  </w:footnote>
  <w:footnote w:id="41">
    <w:p w14:paraId="6211B8A3" w14:textId="33C3FAC8" w:rsidR="003B33A4" w:rsidRDefault="003B33A4" w:rsidP="00601D76">
      <w:pPr>
        <w:pStyle w:val="FootnoteText"/>
        <w:spacing w:before="0"/>
      </w:pPr>
      <w:r>
        <w:rPr>
          <w:rStyle w:val="FootnoteReference"/>
        </w:rPr>
        <w:footnoteRef/>
      </w:r>
      <w:r>
        <w:t xml:space="preserve"> Pearson, Exh. No. RP-63 at 3.</w:t>
      </w:r>
    </w:p>
  </w:footnote>
  <w:footnote w:id="42">
    <w:p w14:paraId="15DFC5DA" w14:textId="4797E497" w:rsidR="00305F96" w:rsidRDefault="00305F96" w:rsidP="00601D76">
      <w:pPr>
        <w:pStyle w:val="FootnoteText"/>
        <w:spacing w:before="0"/>
      </w:pPr>
      <w:r>
        <w:rPr>
          <w:rStyle w:val="FootnoteReference"/>
        </w:rPr>
        <w:footnoteRef/>
      </w:r>
      <w:r>
        <w:t xml:space="preserve"> Ratko, TR 111:8-10.</w:t>
      </w:r>
    </w:p>
  </w:footnote>
  <w:footnote w:id="43">
    <w:p w14:paraId="390F719A" w14:textId="2E91905E" w:rsidR="00852649" w:rsidRDefault="00852649" w:rsidP="00601D76">
      <w:pPr>
        <w:pStyle w:val="FootnoteText"/>
        <w:spacing w:before="0"/>
      </w:pPr>
      <w:r>
        <w:rPr>
          <w:rStyle w:val="FootnoteReference"/>
        </w:rPr>
        <w:footnoteRef/>
      </w:r>
      <w:r>
        <w:t xml:space="preserve"> </w:t>
      </w:r>
      <w:r w:rsidRPr="00601D76">
        <w:rPr>
          <w:i/>
        </w:rPr>
        <w:t>Id</w:t>
      </w:r>
      <w:r>
        <w:t>, TR 111:11-14.</w:t>
      </w:r>
    </w:p>
  </w:footnote>
  <w:footnote w:id="44">
    <w:p w14:paraId="14F6CE54" w14:textId="2B639C50" w:rsidR="000F3F3F" w:rsidRDefault="000F3F3F" w:rsidP="00601D76">
      <w:pPr>
        <w:pStyle w:val="FootnoteText"/>
        <w:spacing w:before="0"/>
      </w:pPr>
      <w:r>
        <w:rPr>
          <w:rStyle w:val="FootnoteReference"/>
        </w:rPr>
        <w:footnoteRef/>
      </w:r>
      <w:r>
        <w:t xml:space="preserve"> Tariff 15-C, Item 230.</w:t>
      </w:r>
    </w:p>
  </w:footnote>
  <w:footnote w:id="45">
    <w:p w14:paraId="312D8C5A" w14:textId="4E1669FA" w:rsidR="000F3F3F" w:rsidRDefault="000F3F3F" w:rsidP="00601D76">
      <w:pPr>
        <w:pStyle w:val="FootnoteText"/>
        <w:spacing w:before="0"/>
      </w:pPr>
      <w:r>
        <w:rPr>
          <w:rStyle w:val="FootnoteReference"/>
        </w:rPr>
        <w:footnoteRef/>
      </w:r>
      <w:r>
        <w:t xml:space="preserve"> 2013 Investigation Report at 17-18.</w:t>
      </w:r>
    </w:p>
  </w:footnote>
  <w:footnote w:id="46">
    <w:p w14:paraId="042E9C39" w14:textId="465A00C3" w:rsidR="002512B6" w:rsidRDefault="002512B6" w:rsidP="00601D76">
      <w:pPr>
        <w:pStyle w:val="FootnoteText"/>
        <w:spacing w:before="0"/>
      </w:pPr>
      <w:r>
        <w:rPr>
          <w:rStyle w:val="FootnoteReference"/>
        </w:rPr>
        <w:footnoteRef/>
      </w:r>
      <w:r>
        <w:t xml:space="preserve"> Pearson, Exh. Nos. RP-45, RP-61, and RP-62.</w:t>
      </w:r>
    </w:p>
  </w:footnote>
  <w:footnote w:id="47">
    <w:p w14:paraId="75AF1B1F" w14:textId="6F22FF41" w:rsidR="002512B6" w:rsidRDefault="002512B6" w:rsidP="00601D76">
      <w:pPr>
        <w:pStyle w:val="FootnoteText"/>
        <w:spacing w:before="0"/>
      </w:pPr>
      <w:r>
        <w:rPr>
          <w:rStyle w:val="FootnoteReference"/>
        </w:rPr>
        <w:footnoteRef/>
      </w:r>
      <w:r>
        <w:t xml:space="preserve"> </w:t>
      </w:r>
      <w:r w:rsidR="003B6764" w:rsidRPr="00601D76">
        <w:rPr>
          <w:i/>
        </w:rPr>
        <w:t>Id</w:t>
      </w:r>
      <w:r w:rsidR="003B6764">
        <w:t>.</w:t>
      </w:r>
      <w:r>
        <w:t>, Exh. No. RP-45.</w:t>
      </w:r>
    </w:p>
  </w:footnote>
  <w:footnote w:id="48">
    <w:p w14:paraId="19089CF8" w14:textId="28DE8A45" w:rsidR="002512B6" w:rsidRDefault="002512B6" w:rsidP="00601D76">
      <w:pPr>
        <w:pStyle w:val="FootnoteText"/>
        <w:spacing w:before="0"/>
      </w:pPr>
      <w:r>
        <w:rPr>
          <w:rStyle w:val="FootnoteReference"/>
        </w:rPr>
        <w:footnoteRef/>
      </w:r>
      <w:r>
        <w:t xml:space="preserve"> </w:t>
      </w:r>
      <w:r w:rsidR="003B6764" w:rsidRPr="00601D76">
        <w:rPr>
          <w:i/>
        </w:rPr>
        <w:t>Id</w:t>
      </w:r>
      <w:r w:rsidR="003B6764">
        <w:t>.</w:t>
      </w:r>
      <w:r>
        <w:t>, Exh. Nos. RP-38, RP-40, RP-41, RP-42, RP-43, and RP-44.</w:t>
      </w:r>
    </w:p>
  </w:footnote>
  <w:footnote w:id="49">
    <w:p w14:paraId="54566358" w14:textId="5C62B509" w:rsidR="00221AAB" w:rsidRDefault="00221AAB" w:rsidP="00601D76">
      <w:pPr>
        <w:pStyle w:val="FootnoteText"/>
        <w:spacing w:before="0"/>
      </w:pPr>
      <w:r>
        <w:rPr>
          <w:rStyle w:val="FootnoteReference"/>
        </w:rPr>
        <w:footnoteRef/>
      </w:r>
      <w:r>
        <w:t xml:space="preserve"> Ratko, TR 112:7-13.</w:t>
      </w:r>
    </w:p>
  </w:footnote>
  <w:footnote w:id="50">
    <w:p w14:paraId="74E00D79" w14:textId="5B7AD5CF" w:rsidR="003B6764" w:rsidRDefault="003B6764" w:rsidP="00601D76">
      <w:pPr>
        <w:pStyle w:val="FootnoteText"/>
        <w:spacing w:before="0"/>
      </w:pPr>
      <w:r>
        <w:rPr>
          <w:rStyle w:val="FootnoteReference"/>
        </w:rPr>
        <w:footnoteRef/>
      </w:r>
      <w:r>
        <w:t xml:space="preserve"> </w:t>
      </w:r>
      <w:r w:rsidRPr="00601D76">
        <w:rPr>
          <w:i/>
        </w:rPr>
        <w:t>Id</w:t>
      </w:r>
      <w:r>
        <w:t>., TR 112:14-113:17.</w:t>
      </w:r>
    </w:p>
  </w:footnote>
  <w:footnote w:id="51">
    <w:p w14:paraId="415E4BE9" w14:textId="5EB09188" w:rsidR="00B35DA8" w:rsidRDefault="00B35DA8" w:rsidP="00601D76">
      <w:pPr>
        <w:pStyle w:val="FootnoteText"/>
        <w:spacing w:before="0"/>
      </w:pPr>
      <w:r>
        <w:rPr>
          <w:rStyle w:val="FootnoteReference"/>
        </w:rPr>
        <w:footnoteRef/>
      </w:r>
      <w:r>
        <w:t xml:space="preserve"> Supplemental bill of lading, §2 (March 12, 2015).</w:t>
      </w:r>
      <w:r w:rsidR="004E1293">
        <w:t xml:space="preserve">  (Emphasis added).</w:t>
      </w:r>
    </w:p>
  </w:footnote>
  <w:footnote w:id="52">
    <w:p w14:paraId="56987C95" w14:textId="2731610A" w:rsidR="00B35DA8" w:rsidRDefault="00B35DA8" w:rsidP="00601D76">
      <w:pPr>
        <w:pStyle w:val="FootnoteText"/>
        <w:spacing w:before="0"/>
      </w:pPr>
      <w:r>
        <w:rPr>
          <w:rStyle w:val="FootnoteReference"/>
        </w:rPr>
        <w:footnoteRef/>
      </w:r>
      <w:r>
        <w:t xml:space="preserve"> </w:t>
      </w:r>
      <w:r w:rsidRPr="00601D76">
        <w:rPr>
          <w:i/>
        </w:rPr>
        <w:t>Id</w:t>
      </w:r>
      <w:r>
        <w:t>.</w:t>
      </w:r>
    </w:p>
  </w:footnote>
  <w:footnote w:id="53">
    <w:p w14:paraId="68DBFF16" w14:textId="77777777" w:rsidR="009562BE" w:rsidRPr="00082E92" w:rsidRDefault="009562BE" w:rsidP="00601D76">
      <w:pPr>
        <w:pStyle w:val="FootnoteText"/>
        <w:spacing w:before="0"/>
      </w:pPr>
      <w:r>
        <w:rPr>
          <w:rStyle w:val="FootnoteReference"/>
        </w:rPr>
        <w:footnoteRef/>
      </w:r>
      <w:r>
        <w:t xml:space="preserve"> At several times during the hearing, Mr. Ratko blamed Staff for any continuing violations he may have committed between the 2011 Investigation Report and the filing of the complaint in this docket.  He indicated that he had not received the “extensive technical assistance” from Staff that was referenced in the complaint.  Staff pointed out that Mr. Ratko attended the Commission-sponsored training in 2009 and that the training is offered at least twice a year if he needed a refresher.  Pearson, TR 62:18-20.  Further, Staff also spoke with Mr. Ratko personally on numerous occasions and either met with Staff or exchanged emails with them throughout this time period.  Id., TR 62:2-8, 20-23.  Given the documented communications Staff had with Mr. Ratko and the trainings offered but not attended, it is clear Staff went out of its way to assist Mr. Ratko </w:t>
      </w:r>
      <w:r>
        <w:rPr>
          <w:i/>
        </w:rPr>
        <w:t>when he took the initiative.</w:t>
      </w:r>
      <w:r>
        <w:t xml:space="preserve">  What Mr. Ratko fails to acknowledge is that the onus or duty was his to seek out Staff’s support and aid if he needed it in order to correct Best Moving’s previous violations.  </w:t>
      </w:r>
    </w:p>
    <w:p w14:paraId="6CA1614B" w14:textId="571C0440" w:rsidR="009562BE" w:rsidRDefault="009562B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CC79" w14:textId="77777777" w:rsidR="004F073A" w:rsidRDefault="004F0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DD793" w14:textId="183E304F" w:rsidR="008A7817" w:rsidRPr="00DE41B1" w:rsidRDefault="008A7817">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sidR="009A30A4">
      <w:rPr>
        <w:rFonts w:ascii="Times New Roman" w:hAnsi="Times New Roman"/>
        <w:b/>
        <w:bCs/>
        <w:sz w:val="20"/>
      </w:rPr>
      <w:t>TV-1</w:t>
    </w:r>
    <w:r w:rsidR="009F66C9">
      <w:rPr>
        <w:rFonts w:ascii="Times New Roman" w:hAnsi="Times New Roman"/>
        <w:b/>
        <w:bCs/>
        <w:sz w:val="20"/>
      </w:rPr>
      <w:t>32030</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6A382D">
      <w:rPr>
        <w:rStyle w:val="PageNumber"/>
        <w:rFonts w:ascii="Times New Roman" w:hAnsi="Times New Roman"/>
        <w:b/>
        <w:bCs/>
        <w:noProof/>
        <w:sz w:val="20"/>
      </w:rPr>
      <w:t>16</w:t>
    </w:r>
    <w:r w:rsidRPr="00DE41B1">
      <w:rPr>
        <w:rStyle w:val="PageNumber"/>
        <w:rFonts w:ascii="Times New Roman" w:hAnsi="Times New Roman"/>
        <w:b/>
        <w:bCs/>
        <w:sz w:val="20"/>
      </w:rPr>
      <w:fldChar w:fldCharType="end"/>
    </w:r>
  </w:p>
  <w:p w14:paraId="44642048" w14:textId="24CFFAED" w:rsidR="008A7817" w:rsidRDefault="00601D76">
    <w:pPr>
      <w:pStyle w:val="Header"/>
      <w:tabs>
        <w:tab w:val="clear" w:pos="8640"/>
        <w:tab w:val="right" w:pos="8460"/>
      </w:tabs>
      <w:rPr>
        <w:rFonts w:ascii="Times New Roman" w:hAnsi="Times New Roman"/>
        <w:b/>
        <w:bCs/>
        <w:sz w:val="20"/>
      </w:rPr>
    </w:pPr>
    <w:r>
      <w:rPr>
        <w:rFonts w:ascii="Times New Roman" w:hAnsi="Times New Roman"/>
        <w:b/>
        <w:bCs/>
        <w:sz w:val="20"/>
      </w:rPr>
      <w:t>ORDER 02</w:t>
    </w:r>
  </w:p>
  <w:p w14:paraId="59DA20BA" w14:textId="77777777" w:rsidR="00601D76" w:rsidRPr="00DE41B1" w:rsidRDefault="00601D76" w:rsidP="00601D76">
    <w:pPr>
      <w:pStyle w:val="Header"/>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54F6" w14:textId="575C873D" w:rsidR="008A7817" w:rsidRPr="002E21F8" w:rsidRDefault="004F073A" w:rsidP="004F073A">
    <w:pPr>
      <w:pStyle w:val="Header"/>
      <w:jc w:val="right"/>
      <w:rPr>
        <w:rFonts w:ascii="Times New Roman" w:hAnsi="Times New Roman"/>
        <w:b/>
        <w:bCs/>
        <w:sz w:val="20"/>
      </w:rPr>
    </w:pPr>
    <w:r>
      <w:rPr>
        <w:rFonts w:ascii="Times New Roman" w:hAnsi="Times New Roman"/>
        <w:b/>
        <w:bCs/>
        <w:sz w:val="20"/>
      </w:rPr>
      <w:t xml:space="preserve">[Service date April 10, </w:t>
    </w:r>
    <w:r>
      <w:rPr>
        <w:rFonts w:ascii="Times New Roman" w:hAnsi="Times New Roman"/>
        <w:b/>
        <w:bCs/>
        <w:sz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163616"/>
    <w:multiLevelType w:val="hybridMultilevel"/>
    <w:tmpl w:val="3A8691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AC42950"/>
    <w:multiLevelType w:val="hybridMultilevel"/>
    <w:tmpl w:val="4D6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F529BA"/>
    <w:multiLevelType w:val="hybridMultilevel"/>
    <w:tmpl w:val="2206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03213"/>
    <w:multiLevelType w:val="hybridMultilevel"/>
    <w:tmpl w:val="6354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4805"/>
    <w:rsid w:val="00014893"/>
    <w:rsid w:val="0001495D"/>
    <w:rsid w:val="000216E6"/>
    <w:rsid w:val="000247ED"/>
    <w:rsid w:val="00026C43"/>
    <w:rsid w:val="000302F9"/>
    <w:rsid w:val="0003687A"/>
    <w:rsid w:val="00037C5F"/>
    <w:rsid w:val="00040E37"/>
    <w:rsid w:val="00042379"/>
    <w:rsid w:val="0004510B"/>
    <w:rsid w:val="00054D19"/>
    <w:rsid w:val="00055848"/>
    <w:rsid w:val="00070E67"/>
    <w:rsid w:val="00082A7A"/>
    <w:rsid w:val="00082E92"/>
    <w:rsid w:val="00086105"/>
    <w:rsid w:val="00087067"/>
    <w:rsid w:val="00090EED"/>
    <w:rsid w:val="000940D6"/>
    <w:rsid w:val="00094803"/>
    <w:rsid w:val="00096D70"/>
    <w:rsid w:val="000A3443"/>
    <w:rsid w:val="000A44F1"/>
    <w:rsid w:val="000A6748"/>
    <w:rsid w:val="000B15C2"/>
    <w:rsid w:val="000B2D05"/>
    <w:rsid w:val="000B37F7"/>
    <w:rsid w:val="000B729B"/>
    <w:rsid w:val="000C296A"/>
    <w:rsid w:val="000C3247"/>
    <w:rsid w:val="000D2896"/>
    <w:rsid w:val="000D760E"/>
    <w:rsid w:val="000E2D04"/>
    <w:rsid w:val="000E32D5"/>
    <w:rsid w:val="000E5587"/>
    <w:rsid w:val="000F3F3F"/>
    <w:rsid w:val="000F6918"/>
    <w:rsid w:val="00102FF7"/>
    <w:rsid w:val="001044B8"/>
    <w:rsid w:val="00104A14"/>
    <w:rsid w:val="00113B62"/>
    <w:rsid w:val="00113DA8"/>
    <w:rsid w:val="001212B6"/>
    <w:rsid w:val="00124915"/>
    <w:rsid w:val="001303B7"/>
    <w:rsid w:val="001315ED"/>
    <w:rsid w:val="00136004"/>
    <w:rsid w:val="00145584"/>
    <w:rsid w:val="001470B9"/>
    <w:rsid w:val="00150CA1"/>
    <w:rsid w:val="00151F8B"/>
    <w:rsid w:val="0015224D"/>
    <w:rsid w:val="00152694"/>
    <w:rsid w:val="00153044"/>
    <w:rsid w:val="00154107"/>
    <w:rsid w:val="00157E12"/>
    <w:rsid w:val="00161023"/>
    <w:rsid w:val="001654F1"/>
    <w:rsid w:val="00170C40"/>
    <w:rsid w:val="00171D5C"/>
    <w:rsid w:val="00172D1B"/>
    <w:rsid w:val="00181BC5"/>
    <w:rsid w:val="001828F3"/>
    <w:rsid w:val="00191021"/>
    <w:rsid w:val="001922D2"/>
    <w:rsid w:val="0019347B"/>
    <w:rsid w:val="001A054A"/>
    <w:rsid w:val="001B3159"/>
    <w:rsid w:val="001B701C"/>
    <w:rsid w:val="001C00E4"/>
    <w:rsid w:val="001C0BE6"/>
    <w:rsid w:val="001C4093"/>
    <w:rsid w:val="001C7C16"/>
    <w:rsid w:val="001C7D58"/>
    <w:rsid w:val="001D0AB7"/>
    <w:rsid w:val="001D0C17"/>
    <w:rsid w:val="001D0F7B"/>
    <w:rsid w:val="001D42BE"/>
    <w:rsid w:val="001D499F"/>
    <w:rsid w:val="001D6741"/>
    <w:rsid w:val="001F200F"/>
    <w:rsid w:val="001F4A8F"/>
    <w:rsid w:val="001F4F38"/>
    <w:rsid w:val="001F69DE"/>
    <w:rsid w:val="00201803"/>
    <w:rsid w:val="0020479F"/>
    <w:rsid w:val="002052B5"/>
    <w:rsid w:val="002064AA"/>
    <w:rsid w:val="00206639"/>
    <w:rsid w:val="0021016E"/>
    <w:rsid w:val="002103CA"/>
    <w:rsid w:val="00213612"/>
    <w:rsid w:val="00213AA3"/>
    <w:rsid w:val="002140DE"/>
    <w:rsid w:val="002164E5"/>
    <w:rsid w:val="00216BAB"/>
    <w:rsid w:val="00217A53"/>
    <w:rsid w:val="00220956"/>
    <w:rsid w:val="0022124C"/>
    <w:rsid w:val="00221AAB"/>
    <w:rsid w:val="00223CD9"/>
    <w:rsid w:val="00232986"/>
    <w:rsid w:val="002437EE"/>
    <w:rsid w:val="00244353"/>
    <w:rsid w:val="00247ECF"/>
    <w:rsid w:val="002512B6"/>
    <w:rsid w:val="00254D60"/>
    <w:rsid w:val="00256D72"/>
    <w:rsid w:val="00257B38"/>
    <w:rsid w:val="00262B08"/>
    <w:rsid w:val="00262CB6"/>
    <w:rsid w:val="00263144"/>
    <w:rsid w:val="00264102"/>
    <w:rsid w:val="002668EE"/>
    <w:rsid w:val="0027228D"/>
    <w:rsid w:val="00272754"/>
    <w:rsid w:val="00273186"/>
    <w:rsid w:val="00280F08"/>
    <w:rsid w:val="00283969"/>
    <w:rsid w:val="00284672"/>
    <w:rsid w:val="00286608"/>
    <w:rsid w:val="00295C89"/>
    <w:rsid w:val="00296E4C"/>
    <w:rsid w:val="002A2105"/>
    <w:rsid w:val="002A3535"/>
    <w:rsid w:val="002A7E36"/>
    <w:rsid w:val="002B46D9"/>
    <w:rsid w:val="002C671A"/>
    <w:rsid w:val="002D0467"/>
    <w:rsid w:val="002D18D2"/>
    <w:rsid w:val="002D613D"/>
    <w:rsid w:val="002E1EF7"/>
    <w:rsid w:val="002E21F8"/>
    <w:rsid w:val="002E2AFB"/>
    <w:rsid w:val="002E3620"/>
    <w:rsid w:val="002E3AC7"/>
    <w:rsid w:val="002E5EC8"/>
    <w:rsid w:val="002F1522"/>
    <w:rsid w:val="002F2FB3"/>
    <w:rsid w:val="002F5BFF"/>
    <w:rsid w:val="002F5EDA"/>
    <w:rsid w:val="00303449"/>
    <w:rsid w:val="00305C84"/>
    <w:rsid w:val="00305F96"/>
    <w:rsid w:val="00307DFB"/>
    <w:rsid w:val="0031172F"/>
    <w:rsid w:val="003167CF"/>
    <w:rsid w:val="00321D34"/>
    <w:rsid w:val="0032466E"/>
    <w:rsid w:val="00325F87"/>
    <w:rsid w:val="00327952"/>
    <w:rsid w:val="003306C3"/>
    <w:rsid w:val="00330D73"/>
    <w:rsid w:val="00332575"/>
    <w:rsid w:val="00332DF7"/>
    <w:rsid w:val="00337A69"/>
    <w:rsid w:val="003435BA"/>
    <w:rsid w:val="00356255"/>
    <w:rsid w:val="0036332A"/>
    <w:rsid w:val="00367033"/>
    <w:rsid w:val="003773A0"/>
    <w:rsid w:val="00383176"/>
    <w:rsid w:val="00384C0C"/>
    <w:rsid w:val="00384EAF"/>
    <w:rsid w:val="003915AD"/>
    <w:rsid w:val="00391CF3"/>
    <w:rsid w:val="00392C11"/>
    <w:rsid w:val="00394AC8"/>
    <w:rsid w:val="003A331B"/>
    <w:rsid w:val="003B33A4"/>
    <w:rsid w:val="003B6764"/>
    <w:rsid w:val="003B7D89"/>
    <w:rsid w:val="003C6F81"/>
    <w:rsid w:val="003C7986"/>
    <w:rsid w:val="003C7BBB"/>
    <w:rsid w:val="003D264A"/>
    <w:rsid w:val="003D3625"/>
    <w:rsid w:val="003D4BF3"/>
    <w:rsid w:val="003D67EE"/>
    <w:rsid w:val="003D6E0E"/>
    <w:rsid w:val="003E037B"/>
    <w:rsid w:val="003E12A3"/>
    <w:rsid w:val="003E3593"/>
    <w:rsid w:val="003E3864"/>
    <w:rsid w:val="003E74A9"/>
    <w:rsid w:val="003F025E"/>
    <w:rsid w:val="003F028B"/>
    <w:rsid w:val="003F0BD9"/>
    <w:rsid w:val="003F49F3"/>
    <w:rsid w:val="003F6A5A"/>
    <w:rsid w:val="003F79F7"/>
    <w:rsid w:val="00403AB7"/>
    <w:rsid w:val="00404793"/>
    <w:rsid w:val="00405FBF"/>
    <w:rsid w:val="00416F9A"/>
    <w:rsid w:val="00417E4B"/>
    <w:rsid w:val="00422275"/>
    <w:rsid w:val="00422651"/>
    <w:rsid w:val="004239F3"/>
    <w:rsid w:val="00425BAD"/>
    <w:rsid w:val="00426401"/>
    <w:rsid w:val="00430714"/>
    <w:rsid w:val="00442B5B"/>
    <w:rsid w:val="0044446B"/>
    <w:rsid w:val="00451427"/>
    <w:rsid w:val="004532B7"/>
    <w:rsid w:val="00453B84"/>
    <w:rsid w:val="00453DC9"/>
    <w:rsid w:val="004560FC"/>
    <w:rsid w:val="00461EDE"/>
    <w:rsid w:val="004622AA"/>
    <w:rsid w:val="00463184"/>
    <w:rsid w:val="00465071"/>
    <w:rsid w:val="0046617A"/>
    <w:rsid w:val="00470B3A"/>
    <w:rsid w:val="004732AD"/>
    <w:rsid w:val="0047470E"/>
    <w:rsid w:val="00476E4E"/>
    <w:rsid w:val="00484CAD"/>
    <w:rsid w:val="00486A23"/>
    <w:rsid w:val="00487BDA"/>
    <w:rsid w:val="004A05BA"/>
    <w:rsid w:val="004A11E2"/>
    <w:rsid w:val="004A1B68"/>
    <w:rsid w:val="004A2099"/>
    <w:rsid w:val="004B1546"/>
    <w:rsid w:val="004B66E3"/>
    <w:rsid w:val="004D2258"/>
    <w:rsid w:val="004D75C9"/>
    <w:rsid w:val="004E1293"/>
    <w:rsid w:val="004E2153"/>
    <w:rsid w:val="004E67EC"/>
    <w:rsid w:val="004F073A"/>
    <w:rsid w:val="004F3606"/>
    <w:rsid w:val="004F4265"/>
    <w:rsid w:val="004F7867"/>
    <w:rsid w:val="005043D8"/>
    <w:rsid w:val="0050698F"/>
    <w:rsid w:val="005069FF"/>
    <w:rsid w:val="00512AAF"/>
    <w:rsid w:val="00515690"/>
    <w:rsid w:val="00524026"/>
    <w:rsid w:val="00524195"/>
    <w:rsid w:val="00524FAD"/>
    <w:rsid w:val="00525963"/>
    <w:rsid w:val="00526FEE"/>
    <w:rsid w:val="005277C7"/>
    <w:rsid w:val="005318FE"/>
    <w:rsid w:val="00535388"/>
    <w:rsid w:val="005361DE"/>
    <w:rsid w:val="00544A9C"/>
    <w:rsid w:val="00551DE3"/>
    <w:rsid w:val="00551EEE"/>
    <w:rsid w:val="005544D5"/>
    <w:rsid w:val="00554F1A"/>
    <w:rsid w:val="00556E62"/>
    <w:rsid w:val="00564BC0"/>
    <w:rsid w:val="00567BDE"/>
    <w:rsid w:val="0057415E"/>
    <w:rsid w:val="005816D1"/>
    <w:rsid w:val="00584F60"/>
    <w:rsid w:val="0058764F"/>
    <w:rsid w:val="0059239D"/>
    <w:rsid w:val="00594E57"/>
    <w:rsid w:val="00596F5E"/>
    <w:rsid w:val="00597106"/>
    <w:rsid w:val="005977CD"/>
    <w:rsid w:val="005A1C25"/>
    <w:rsid w:val="005A4A72"/>
    <w:rsid w:val="005A4C78"/>
    <w:rsid w:val="005A693F"/>
    <w:rsid w:val="005A6EF9"/>
    <w:rsid w:val="005B3F9C"/>
    <w:rsid w:val="005C1EAB"/>
    <w:rsid w:val="005C3BC5"/>
    <w:rsid w:val="005C4DC9"/>
    <w:rsid w:val="005D0964"/>
    <w:rsid w:val="005D2581"/>
    <w:rsid w:val="005D28E0"/>
    <w:rsid w:val="005D522E"/>
    <w:rsid w:val="005D606A"/>
    <w:rsid w:val="005E7E5F"/>
    <w:rsid w:val="005F00FD"/>
    <w:rsid w:val="00601D76"/>
    <w:rsid w:val="00602954"/>
    <w:rsid w:val="00604282"/>
    <w:rsid w:val="006129A7"/>
    <w:rsid w:val="006225B7"/>
    <w:rsid w:val="00623777"/>
    <w:rsid w:val="00631B9D"/>
    <w:rsid w:val="00632F17"/>
    <w:rsid w:val="006369A1"/>
    <w:rsid w:val="00643308"/>
    <w:rsid w:val="0064715A"/>
    <w:rsid w:val="00650D92"/>
    <w:rsid w:val="006512D4"/>
    <w:rsid w:val="00652263"/>
    <w:rsid w:val="00657251"/>
    <w:rsid w:val="00660446"/>
    <w:rsid w:val="00660F3C"/>
    <w:rsid w:val="006632C0"/>
    <w:rsid w:val="0067026D"/>
    <w:rsid w:val="00670B75"/>
    <w:rsid w:val="00674DA7"/>
    <w:rsid w:val="00676E5B"/>
    <w:rsid w:val="006775AC"/>
    <w:rsid w:val="00686121"/>
    <w:rsid w:val="00696214"/>
    <w:rsid w:val="006A05F3"/>
    <w:rsid w:val="006A382D"/>
    <w:rsid w:val="006A3B1F"/>
    <w:rsid w:val="006A48E8"/>
    <w:rsid w:val="006A690B"/>
    <w:rsid w:val="006B09B4"/>
    <w:rsid w:val="006B0BF0"/>
    <w:rsid w:val="006B4199"/>
    <w:rsid w:val="006C0762"/>
    <w:rsid w:val="006C37B6"/>
    <w:rsid w:val="006C48ED"/>
    <w:rsid w:val="006C58B4"/>
    <w:rsid w:val="006C7B34"/>
    <w:rsid w:val="006D2879"/>
    <w:rsid w:val="006D6528"/>
    <w:rsid w:val="006E230B"/>
    <w:rsid w:val="006E68BC"/>
    <w:rsid w:val="006E7862"/>
    <w:rsid w:val="006F12C9"/>
    <w:rsid w:val="007043A6"/>
    <w:rsid w:val="00704E03"/>
    <w:rsid w:val="0070731E"/>
    <w:rsid w:val="00707AA6"/>
    <w:rsid w:val="00707C61"/>
    <w:rsid w:val="00711CCE"/>
    <w:rsid w:val="0071419F"/>
    <w:rsid w:val="0071435C"/>
    <w:rsid w:val="00714EA5"/>
    <w:rsid w:val="00717B99"/>
    <w:rsid w:val="007201BC"/>
    <w:rsid w:val="00720C80"/>
    <w:rsid w:val="00721A70"/>
    <w:rsid w:val="007266AC"/>
    <w:rsid w:val="00726A82"/>
    <w:rsid w:val="00730387"/>
    <w:rsid w:val="00732F96"/>
    <w:rsid w:val="00746E79"/>
    <w:rsid w:val="00755C90"/>
    <w:rsid w:val="00763565"/>
    <w:rsid w:val="0076392D"/>
    <w:rsid w:val="0077548E"/>
    <w:rsid w:val="0077618D"/>
    <w:rsid w:val="00777E14"/>
    <w:rsid w:val="00781164"/>
    <w:rsid w:val="00786BD9"/>
    <w:rsid w:val="00791CA0"/>
    <w:rsid w:val="00792851"/>
    <w:rsid w:val="00794EA9"/>
    <w:rsid w:val="007A1E25"/>
    <w:rsid w:val="007A2110"/>
    <w:rsid w:val="007A5A47"/>
    <w:rsid w:val="007B0BE7"/>
    <w:rsid w:val="007B576D"/>
    <w:rsid w:val="007B7608"/>
    <w:rsid w:val="007C264E"/>
    <w:rsid w:val="007C6309"/>
    <w:rsid w:val="007C7DD1"/>
    <w:rsid w:val="007D36F2"/>
    <w:rsid w:val="007D42EA"/>
    <w:rsid w:val="007D4DB1"/>
    <w:rsid w:val="007D5C8D"/>
    <w:rsid w:val="007D5E00"/>
    <w:rsid w:val="007D736E"/>
    <w:rsid w:val="007E7C6F"/>
    <w:rsid w:val="007E7F2D"/>
    <w:rsid w:val="007F29D4"/>
    <w:rsid w:val="007F3F7F"/>
    <w:rsid w:val="00815655"/>
    <w:rsid w:val="008156DC"/>
    <w:rsid w:val="00816B17"/>
    <w:rsid w:val="0082486D"/>
    <w:rsid w:val="00827233"/>
    <w:rsid w:val="008305B2"/>
    <w:rsid w:val="00832894"/>
    <w:rsid w:val="00842F68"/>
    <w:rsid w:val="00844004"/>
    <w:rsid w:val="00852649"/>
    <w:rsid w:val="008545FC"/>
    <w:rsid w:val="00862108"/>
    <w:rsid w:val="008664CC"/>
    <w:rsid w:val="00871299"/>
    <w:rsid w:val="008720C7"/>
    <w:rsid w:val="00874182"/>
    <w:rsid w:val="0088040C"/>
    <w:rsid w:val="008806CA"/>
    <w:rsid w:val="0088209F"/>
    <w:rsid w:val="0088341C"/>
    <w:rsid w:val="00883A7B"/>
    <w:rsid w:val="008A0C58"/>
    <w:rsid w:val="008A138B"/>
    <w:rsid w:val="008A1755"/>
    <w:rsid w:val="008A1D8B"/>
    <w:rsid w:val="008A1F86"/>
    <w:rsid w:val="008A4C6C"/>
    <w:rsid w:val="008A687E"/>
    <w:rsid w:val="008A6F8C"/>
    <w:rsid w:val="008A7817"/>
    <w:rsid w:val="008B0D38"/>
    <w:rsid w:val="008B7A05"/>
    <w:rsid w:val="008B7C83"/>
    <w:rsid w:val="008C1A22"/>
    <w:rsid w:val="008C25A2"/>
    <w:rsid w:val="008C412C"/>
    <w:rsid w:val="008C4CFB"/>
    <w:rsid w:val="008D2E7A"/>
    <w:rsid w:val="008D3581"/>
    <w:rsid w:val="008D38A5"/>
    <w:rsid w:val="008E74AB"/>
    <w:rsid w:val="008F1E39"/>
    <w:rsid w:val="008F3671"/>
    <w:rsid w:val="008F36D9"/>
    <w:rsid w:val="0090249B"/>
    <w:rsid w:val="00916710"/>
    <w:rsid w:val="0093176C"/>
    <w:rsid w:val="00933297"/>
    <w:rsid w:val="0093451E"/>
    <w:rsid w:val="00944271"/>
    <w:rsid w:val="00944355"/>
    <w:rsid w:val="00946651"/>
    <w:rsid w:val="009507D2"/>
    <w:rsid w:val="00953593"/>
    <w:rsid w:val="009539D9"/>
    <w:rsid w:val="00954AC6"/>
    <w:rsid w:val="009562BE"/>
    <w:rsid w:val="0096187A"/>
    <w:rsid w:val="00962C35"/>
    <w:rsid w:val="00962DDA"/>
    <w:rsid w:val="00970CBD"/>
    <w:rsid w:val="00972D7E"/>
    <w:rsid w:val="00992191"/>
    <w:rsid w:val="00992486"/>
    <w:rsid w:val="00992DDF"/>
    <w:rsid w:val="00994AD9"/>
    <w:rsid w:val="0099688B"/>
    <w:rsid w:val="0099732C"/>
    <w:rsid w:val="00997894"/>
    <w:rsid w:val="009A0ACD"/>
    <w:rsid w:val="009A10F0"/>
    <w:rsid w:val="009A30A4"/>
    <w:rsid w:val="009A3CCC"/>
    <w:rsid w:val="009B0CD8"/>
    <w:rsid w:val="009B0FAF"/>
    <w:rsid w:val="009B5F28"/>
    <w:rsid w:val="009B674A"/>
    <w:rsid w:val="009B733F"/>
    <w:rsid w:val="009B7E4B"/>
    <w:rsid w:val="009C034D"/>
    <w:rsid w:val="009C2B8D"/>
    <w:rsid w:val="009C3F88"/>
    <w:rsid w:val="009C7490"/>
    <w:rsid w:val="009D05D6"/>
    <w:rsid w:val="009D1691"/>
    <w:rsid w:val="009D4EF2"/>
    <w:rsid w:val="009D6F5C"/>
    <w:rsid w:val="009D7FB3"/>
    <w:rsid w:val="009E01A5"/>
    <w:rsid w:val="009E04D5"/>
    <w:rsid w:val="009E3647"/>
    <w:rsid w:val="009E6ADE"/>
    <w:rsid w:val="009E7EEF"/>
    <w:rsid w:val="009E7F90"/>
    <w:rsid w:val="009F0A4E"/>
    <w:rsid w:val="009F0CEB"/>
    <w:rsid w:val="009F66C9"/>
    <w:rsid w:val="00A00F53"/>
    <w:rsid w:val="00A10227"/>
    <w:rsid w:val="00A17290"/>
    <w:rsid w:val="00A2274E"/>
    <w:rsid w:val="00A37E38"/>
    <w:rsid w:val="00A460F4"/>
    <w:rsid w:val="00A51030"/>
    <w:rsid w:val="00A51535"/>
    <w:rsid w:val="00A57CEE"/>
    <w:rsid w:val="00A6599D"/>
    <w:rsid w:val="00A666C7"/>
    <w:rsid w:val="00A6690E"/>
    <w:rsid w:val="00A71B99"/>
    <w:rsid w:val="00A73D1F"/>
    <w:rsid w:val="00A75804"/>
    <w:rsid w:val="00A75A2B"/>
    <w:rsid w:val="00A81198"/>
    <w:rsid w:val="00A86525"/>
    <w:rsid w:val="00A93573"/>
    <w:rsid w:val="00A94F1F"/>
    <w:rsid w:val="00A94FB5"/>
    <w:rsid w:val="00A95875"/>
    <w:rsid w:val="00A95F4B"/>
    <w:rsid w:val="00AA2342"/>
    <w:rsid w:val="00AA6469"/>
    <w:rsid w:val="00AA7157"/>
    <w:rsid w:val="00AA76F6"/>
    <w:rsid w:val="00AB2862"/>
    <w:rsid w:val="00AB2DE7"/>
    <w:rsid w:val="00AB6EC3"/>
    <w:rsid w:val="00AB76CF"/>
    <w:rsid w:val="00AC0902"/>
    <w:rsid w:val="00AC6396"/>
    <w:rsid w:val="00AD3A65"/>
    <w:rsid w:val="00AD4477"/>
    <w:rsid w:val="00AD4EC8"/>
    <w:rsid w:val="00AE0644"/>
    <w:rsid w:val="00AE5F9A"/>
    <w:rsid w:val="00AF0348"/>
    <w:rsid w:val="00AF2559"/>
    <w:rsid w:val="00AF5B3C"/>
    <w:rsid w:val="00B03D95"/>
    <w:rsid w:val="00B1243F"/>
    <w:rsid w:val="00B178E8"/>
    <w:rsid w:val="00B21577"/>
    <w:rsid w:val="00B238C3"/>
    <w:rsid w:val="00B26506"/>
    <w:rsid w:val="00B3174B"/>
    <w:rsid w:val="00B31A46"/>
    <w:rsid w:val="00B328DC"/>
    <w:rsid w:val="00B35DA8"/>
    <w:rsid w:val="00B369F3"/>
    <w:rsid w:val="00B42B5C"/>
    <w:rsid w:val="00B431A4"/>
    <w:rsid w:val="00B46228"/>
    <w:rsid w:val="00B52A89"/>
    <w:rsid w:val="00B52D93"/>
    <w:rsid w:val="00B60CBE"/>
    <w:rsid w:val="00B647DC"/>
    <w:rsid w:val="00B64D29"/>
    <w:rsid w:val="00B666E6"/>
    <w:rsid w:val="00B66818"/>
    <w:rsid w:val="00B725B3"/>
    <w:rsid w:val="00B73B02"/>
    <w:rsid w:val="00B762C7"/>
    <w:rsid w:val="00B80150"/>
    <w:rsid w:val="00B821F6"/>
    <w:rsid w:val="00B8257A"/>
    <w:rsid w:val="00B947A0"/>
    <w:rsid w:val="00B95BCE"/>
    <w:rsid w:val="00BA0DA4"/>
    <w:rsid w:val="00BA6C87"/>
    <w:rsid w:val="00BB6743"/>
    <w:rsid w:val="00BB7ACB"/>
    <w:rsid w:val="00BC03F0"/>
    <w:rsid w:val="00BC7A61"/>
    <w:rsid w:val="00BC7B73"/>
    <w:rsid w:val="00BD0F02"/>
    <w:rsid w:val="00BD311E"/>
    <w:rsid w:val="00BD33A1"/>
    <w:rsid w:val="00BD3995"/>
    <w:rsid w:val="00BD56D5"/>
    <w:rsid w:val="00BF1686"/>
    <w:rsid w:val="00BF445C"/>
    <w:rsid w:val="00BF586E"/>
    <w:rsid w:val="00C01235"/>
    <w:rsid w:val="00C01CC8"/>
    <w:rsid w:val="00C07866"/>
    <w:rsid w:val="00C10997"/>
    <w:rsid w:val="00C15979"/>
    <w:rsid w:val="00C20740"/>
    <w:rsid w:val="00C22D4F"/>
    <w:rsid w:val="00C3134E"/>
    <w:rsid w:val="00C3240E"/>
    <w:rsid w:val="00C32BF4"/>
    <w:rsid w:val="00C35033"/>
    <w:rsid w:val="00C40FB3"/>
    <w:rsid w:val="00C42688"/>
    <w:rsid w:val="00C43F0D"/>
    <w:rsid w:val="00C44555"/>
    <w:rsid w:val="00C4712D"/>
    <w:rsid w:val="00C56B5D"/>
    <w:rsid w:val="00C655EA"/>
    <w:rsid w:val="00C66769"/>
    <w:rsid w:val="00C7061C"/>
    <w:rsid w:val="00C7500B"/>
    <w:rsid w:val="00C7502B"/>
    <w:rsid w:val="00C84FA4"/>
    <w:rsid w:val="00C951EF"/>
    <w:rsid w:val="00C9630C"/>
    <w:rsid w:val="00C96C63"/>
    <w:rsid w:val="00CA5058"/>
    <w:rsid w:val="00CB3A7A"/>
    <w:rsid w:val="00CB7F45"/>
    <w:rsid w:val="00CC1C3A"/>
    <w:rsid w:val="00CC6999"/>
    <w:rsid w:val="00CD37B3"/>
    <w:rsid w:val="00CE1AB1"/>
    <w:rsid w:val="00CE2DAB"/>
    <w:rsid w:val="00CE57C0"/>
    <w:rsid w:val="00CF4531"/>
    <w:rsid w:val="00CF68D0"/>
    <w:rsid w:val="00D1211B"/>
    <w:rsid w:val="00D16389"/>
    <w:rsid w:val="00D200E8"/>
    <w:rsid w:val="00D30B8B"/>
    <w:rsid w:val="00D31EDB"/>
    <w:rsid w:val="00D32609"/>
    <w:rsid w:val="00D346F0"/>
    <w:rsid w:val="00D35A83"/>
    <w:rsid w:val="00D36082"/>
    <w:rsid w:val="00D37051"/>
    <w:rsid w:val="00D37751"/>
    <w:rsid w:val="00D46609"/>
    <w:rsid w:val="00D46DF0"/>
    <w:rsid w:val="00D55B32"/>
    <w:rsid w:val="00D6131B"/>
    <w:rsid w:val="00D617B2"/>
    <w:rsid w:val="00D64C64"/>
    <w:rsid w:val="00D65038"/>
    <w:rsid w:val="00D66C5B"/>
    <w:rsid w:val="00D7154E"/>
    <w:rsid w:val="00D82035"/>
    <w:rsid w:val="00D91981"/>
    <w:rsid w:val="00D91C61"/>
    <w:rsid w:val="00D97484"/>
    <w:rsid w:val="00DA07D4"/>
    <w:rsid w:val="00DA3C37"/>
    <w:rsid w:val="00DA7AEC"/>
    <w:rsid w:val="00DB1A79"/>
    <w:rsid w:val="00DB2499"/>
    <w:rsid w:val="00DB45BC"/>
    <w:rsid w:val="00DB46A8"/>
    <w:rsid w:val="00DC30B8"/>
    <w:rsid w:val="00DC4763"/>
    <w:rsid w:val="00DD4FAB"/>
    <w:rsid w:val="00DD55E4"/>
    <w:rsid w:val="00DD79AF"/>
    <w:rsid w:val="00DE025F"/>
    <w:rsid w:val="00DE41B1"/>
    <w:rsid w:val="00DE593C"/>
    <w:rsid w:val="00DE69E6"/>
    <w:rsid w:val="00DF07A3"/>
    <w:rsid w:val="00DF0F25"/>
    <w:rsid w:val="00DF4F46"/>
    <w:rsid w:val="00DF75E1"/>
    <w:rsid w:val="00DF76AB"/>
    <w:rsid w:val="00E012FC"/>
    <w:rsid w:val="00E06E49"/>
    <w:rsid w:val="00E12ADB"/>
    <w:rsid w:val="00E13A07"/>
    <w:rsid w:val="00E15E79"/>
    <w:rsid w:val="00E1623B"/>
    <w:rsid w:val="00E16ED7"/>
    <w:rsid w:val="00E17031"/>
    <w:rsid w:val="00E173DC"/>
    <w:rsid w:val="00E17587"/>
    <w:rsid w:val="00E179B9"/>
    <w:rsid w:val="00E2159F"/>
    <w:rsid w:val="00E32F96"/>
    <w:rsid w:val="00E4339E"/>
    <w:rsid w:val="00E44114"/>
    <w:rsid w:val="00E46F39"/>
    <w:rsid w:val="00E55181"/>
    <w:rsid w:val="00E55EDE"/>
    <w:rsid w:val="00E56887"/>
    <w:rsid w:val="00E618F0"/>
    <w:rsid w:val="00E64AEC"/>
    <w:rsid w:val="00E74EB4"/>
    <w:rsid w:val="00E83C2C"/>
    <w:rsid w:val="00E87C19"/>
    <w:rsid w:val="00EA5F9E"/>
    <w:rsid w:val="00EB0632"/>
    <w:rsid w:val="00EB2208"/>
    <w:rsid w:val="00EB3293"/>
    <w:rsid w:val="00EC175B"/>
    <w:rsid w:val="00EC2279"/>
    <w:rsid w:val="00ED054B"/>
    <w:rsid w:val="00ED2F67"/>
    <w:rsid w:val="00ED5998"/>
    <w:rsid w:val="00EE02B1"/>
    <w:rsid w:val="00EE23C3"/>
    <w:rsid w:val="00EE6812"/>
    <w:rsid w:val="00EF2340"/>
    <w:rsid w:val="00EF42FC"/>
    <w:rsid w:val="00F00BFA"/>
    <w:rsid w:val="00F01D90"/>
    <w:rsid w:val="00F024C9"/>
    <w:rsid w:val="00F0719E"/>
    <w:rsid w:val="00F125E9"/>
    <w:rsid w:val="00F1400F"/>
    <w:rsid w:val="00F2755E"/>
    <w:rsid w:val="00F311D4"/>
    <w:rsid w:val="00F316BE"/>
    <w:rsid w:val="00F35DB9"/>
    <w:rsid w:val="00F3651D"/>
    <w:rsid w:val="00F42B08"/>
    <w:rsid w:val="00F43C0E"/>
    <w:rsid w:val="00F45DD3"/>
    <w:rsid w:val="00F51AEF"/>
    <w:rsid w:val="00F5324A"/>
    <w:rsid w:val="00F55771"/>
    <w:rsid w:val="00F61908"/>
    <w:rsid w:val="00F654DB"/>
    <w:rsid w:val="00F70E34"/>
    <w:rsid w:val="00F71AED"/>
    <w:rsid w:val="00F774EF"/>
    <w:rsid w:val="00F8372B"/>
    <w:rsid w:val="00F85DAA"/>
    <w:rsid w:val="00F8638F"/>
    <w:rsid w:val="00F91A5E"/>
    <w:rsid w:val="00FA31BE"/>
    <w:rsid w:val="00FA3547"/>
    <w:rsid w:val="00FA38CC"/>
    <w:rsid w:val="00FB3401"/>
    <w:rsid w:val="00FC4DF5"/>
    <w:rsid w:val="00FC5CB2"/>
    <w:rsid w:val="00FD0989"/>
    <w:rsid w:val="00FD1021"/>
    <w:rsid w:val="00FD49C1"/>
    <w:rsid w:val="00FE3114"/>
    <w:rsid w:val="00FE4B11"/>
    <w:rsid w:val="00FE5A83"/>
    <w:rsid w:val="00FF30FD"/>
    <w:rsid w:val="00FF6A13"/>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B6B5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sid w:val="00B947A0"/>
    <w:pPr>
      <w:spacing w:before="120" w:after="120"/>
    </w:pPr>
    <w:rPr>
      <w:rFonts w:ascii="Times New Roman" w:hAnsi="Times New Roman"/>
      <w:sz w:val="22"/>
      <w:szCs w:val="20"/>
    </w:rPr>
  </w:style>
  <w:style w:type="character" w:styleId="Hyperlink">
    <w:name w:val="Hyperlink"/>
    <w:rsid w:val="000B2D05"/>
    <w:rPr>
      <w:color w:val="0000FF"/>
      <w:u w:val="single"/>
    </w:rPr>
  </w:style>
  <w:style w:type="paragraph" w:styleId="ListParagraph">
    <w:name w:val="List Paragraph"/>
    <w:basedOn w:val="Normal"/>
    <w:uiPriority w:val="34"/>
    <w:qFormat/>
    <w:rsid w:val="001C7D58"/>
    <w:pPr>
      <w:ind w:left="720"/>
    </w:pPr>
  </w:style>
  <w:style w:type="paragraph" w:styleId="BalloonText">
    <w:name w:val="Balloon Text"/>
    <w:basedOn w:val="Normal"/>
    <w:link w:val="BalloonTextChar"/>
    <w:rsid w:val="00094803"/>
    <w:rPr>
      <w:rFonts w:ascii="Tahoma" w:hAnsi="Tahoma" w:cs="Tahoma"/>
      <w:sz w:val="16"/>
      <w:szCs w:val="16"/>
    </w:rPr>
  </w:style>
  <w:style w:type="character" w:customStyle="1" w:styleId="BalloonTextChar">
    <w:name w:val="Balloon Text Char"/>
    <w:link w:val="BalloonText"/>
    <w:rsid w:val="00094803"/>
    <w:rPr>
      <w:rFonts w:ascii="Tahoma" w:hAnsi="Tahoma" w:cs="Tahoma"/>
      <w:sz w:val="16"/>
      <w:szCs w:val="16"/>
    </w:rPr>
  </w:style>
  <w:style w:type="character" w:styleId="CommentReference">
    <w:name w:val="annotation reference"/>
    <w:rsid w:val="00404793"/>
    <w:rPr>
      <w:sz w:val="16"/>
      <w:szCs w:val="16"/>
    </w:rPr>
  </w:style>
  <w:style w:type="paragraph" w:styleId="CommentText">
    <w:name w:val="annotation text"/>
    <w:basedOn w:val="Normal"/>
    <w:link w:val="CommentTextChar"/>
    <w:rsid w:val="00404793"/>
    <w:rPr>
      <w:sz w:val="20"/>
      <w:szCs w:val="20"/>
    </w:rPr>
  </w:style>
  <w:style w:type="character" w:customStyle="1" w:styleId="CommentTextChar">
    <w:name w:val="Comment Text Char"/>
    <w:link w:val="CommentText"/>
    <w:rsid w:val="00404793"/>
    <w:rPr>
      <w:rFonts w:ascii="Palatino Linotype" w:hAnsi="Palatino Linotype"/>
    </w:rPr>
  </w:style>
  <w:style w:type="paragraph" w:styleId="CommentSubject">
    <w:name w:val="annotation subject"/>
    <w:basedOn w:val="CommentText"/>
    <w:next w:val="CommentText"/>
    <w:link w:val="CommentSubjectChar"/>
    <w:rsid w:val="00404793"/>
    <w:rPr>
      <w:b/>
      <w:bCs/>
    </w:rPr>
  </w:style>
  <w:style w:type="character" w:customStyle="1" w:styleId="CommentSubjectChar">
    <w:name w:val="Comment Subject Char"/>
    <w:link w:val="CommentSubject"/>
    <w:rsid w:val="00404793"/>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Formal Complaint</CaseType>
    <IndustryCode xmlns="dc463f71-b30c-4ab2-9473-d307f9d35888">207</IndustryCode>
    <CaseStatus xmlns="dc463f71-b30c-4ab2-9473-d307f9d35888">Closed</CaseStatus>
    <OpenedDate xmlns="dc463f71-b30c-4ab2-9473-d307f9d35888">2013-11-01T07:00:00+00:00</OpenedDate>
    <Date1 xmlns="dc463f71-b30c-4ab2-9473-d307f9d35888">2015-04-10T07:00:00+00:00</Date1>
    <IsDocumentOrder xmlns="dc463f71-b30c-4ab2-9473-d307f9d35888">true</IsDocumentOrder>
    <IsHighlyConfidential xmlns="dc463f71-b30c-4ab2-9473-d307f9d35888">false</IsHighlyConfidential>
    <CaseCompanyNames xmlns="dc463f71-b30c-4ab2-9473-d307f9d35888">Best Moving and Delivery LLC</CaseCompanyNames>
    <DocketNumber xmlns="dc463f71-b30c-4ab2-9473-d307f9d35888">132030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C1A240F6A0A4DAD81E43F92F9841D" ma:contentTypeVersion="135" ma:contentTypeDescription="" ma:contentTypeScope="" ma:versionID="09ddbaf11dd5ea2e1081c72aba6c39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CBFDE-B501-4EBC-B365-4DADCFABFBAF}"/>
</file>

<file path=customXml/itemProps2.xml><?xml version="1.0" encoding="utf-8"?>
<ds:datastoreItem xmlns:ds="http://schemas.openxmlformats.org/officeDocument/2006/customXml" ds:itemID="{3CA8DC90-424D-43AE-92BA-54B2F7B76D9D}"/>
</file>

<file path=customXml/itemProps3.xml><?xml version="1.0" encoding="utf-8"?>
<ds:datastoreItem xmlns:ds="http://schemas.openxmlformats.org/officeDocument/2006/customXml" ds:itemID="{6E3CE00C-F0B9-4F5F-B19C-819D38324D02}"/>
</file>

<file path=customXml/itemProps4.xml><?xml version="1.0" encoding="utf-8"?>
<ds:datastoreItem xmlns:ds="http://schemas.openxmlformats.org/officeDocument/2006/customXml" ds:itemID="{F4354625-D4B0-46B7-8EEC-D7F356D39FBB}"/>
</file>

<file path=customXml/itemProps5.xml><?xml version="1.0" encoding="utf-8"?>
<ds:datastoreItem xmlns:ds="http://schemas.openxmlformats.org/officeDocument/2006/customXml" ds:itemID="{4D88BDBF-AD41-45EE-92B2-018A887F9562}"/>
</file>

<file path=docProps/app.xml><?xml version="1.0" encoding="utf-8"?>
<Properties xmlns="http://schemas.openxmlformats.org/officeDocument/2006/extended-properties" xmlns:vt="http://schemas.openxmlformats.org/officeDocument/2006/docPropsVTypes">
  <Template>Normal</Template>
  <TotalTime>0</TotalTime>
  <Pages>16</Pages>
  <Words>4241</Words>
  <Characters>22375</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2015-04-10T17:13:00Z</dcterms:created>
  <dcterms:modified xsi:type="dcterms:W3CDTF">2015-04-10T17:14:00Z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0x0101006E56B4D1795A2E4DB2F0B01679ED314A00947C1A240F6A0A4DAD81E43F92F9841D</vt:lpwstr>
  </property>
  <property fmtid="{D5CDD505-2E9C-101B-9397-08002B2CF9AE}" pid="3" name="_docset_NoMedatataSyncRequired">
    <vt:lpwstr>False</vt:lpwstr>
  </property>
</Properties>
</file>