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5" w:rsidRDefault="00537935">
      <w:pPr>
        <w:jc w:val="center"/>
        <w:rPr>
          <w:rFonts w:ascii="Helvetica" w:hAnsi="Helvetica" w:cs="Helvetica"/>
          <w:sz w:val="12"/>
          <w:szCs w:val="12"/>
        </w:rPr>
      </w:pPr>
    </w:p>
    <w:p w:rsidR="00537935" w:rsidRDefault="00537935">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rPr>
          <w:rFonts w:ascii="Helvetica" w:hAnsi="Helvetica" w:cs="Helvetica"/>
          <w:sz w:val="24"/>
          <w:szCs w:val="24"/>
        </w:rPr>
      </w:pP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To pass through increases or decreases in natural gas costs to become effective as noted below.  Additional gas cost changes are also shown on Schedule 156.  The rate adjustments shown on this Schedule and Schedule 156 must be added together to determine the net gas cost change.</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Pr="00D67839"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is to be </w:t>
      </w:r>
      <w:r w:rsidR="00E378A7">
        <w:rPr>
          <w:rFonts w:ascii="Helvetica" w:hAnsi="Helvetica" w:cs="Helvetica"/>
          <w:sz w:val="22"/>
          <w:szCs w:val="22"/>
        </w:rPr>
        <w:t>de</w:t>
      </w:r>
      <w:r>
        <w:rPr>
          <w:rFonts w:ascii="Helvetica" w:hAnsi="Helvetica" w:cs="Helvetica"/>
          <w:sz w:val="22"/>
          <w:szCs w:val="22"/>
        </w:rPr>
        <w:t xml:space="preserve">creased by </w:t>
      </w:r>
      <w:r w:rsidR="007A79CE" w:rsidRPr="00D67839">
        <w:rPr>
          <w:rFonts w:ascii="Helvetica" w:hAnsi="Helvetica" w:cs="Helvetica"/>
          <w:sz w:val="22"/>
          <w:szCs w:val="22"/>
        </w:rPr>
        <w:t>00.000</w:t>
      </w:r>
      <w:r w:rsidRPr="00D67839">
        <w:rPr>
          <w:rFonts w:ascii="Helvetica" w:hAnsi="Helvetica" w:cs="Helvetica"/>
          <w:sz w:val="22"/>
          <w:szCs w:val="22"/>
        </w:rPr>
        <w:t xml:space="preserve">¢ per </w:t>
      </w:r>
      <w:proofErr w:type="spellStart"/>
      <w:r w:rsidRPr="00D67839">
        <w:rPr>
          <w:rFonts w:ascii="Helvetica" w:hAnsi="Helvetica" w:cs="Helvetica"/>
          <w:sz w:val="22"/>
          <w:szCs w:val="22"/>
        </w:rPr>
        <w:t>therm</w:t>
      </w:r>
      <w:proofErr w:type="spellEnd"/>
      <w:r w:rsidRPr="00D67839">
        <w:rPr>
          <w:rFonts w:ascii="Helvetica" w:hAnsi="Helvetica" w:cs="Helvetica"/>
          <w:sz w:val="22"/>
          <w:szCs w:val="22"/>
        </w:rPr>
        <w:t xml:space="preserve"> in all            (</w:t>
      </w:r>
      <w:r w:rsidR="007A79CE" w:rsidRPr="00D67839">
        <w:rPr>
          <w:rFonts w:ascii="Helvetica" w:hAnsi="Helvetica" w:cs="Helvetica"/>
          <w:sz w:val="22"/>
          <w:szCs w:val="22"/>
        </w:rPr>
        <w:t>I</w:t>
      </w:r>
      <w:r w:rsidRPr="00D67839">
        <w:rPr>
          <w:rFonts w:ascii="Helvetica" w:hAnsi="Helvetica" w:cs="Helvetica"/>
          <w:sz w:val="22"/>
          <w:szCs w:val="22"/>
        </w:rPr>
        <w:t>)</w:t>
      </w:r>
    </w:p>
    <w:p w:rsidR="00537935" w:rsidRPr="00D67839" w:rsidRDefault="00537935">
      <w:pPr>
        <w:ind w:left="720" w:right="-1080" w:firstLine="360"/>
        <w:rPr>
          <w:rFonts w:ascii="Helvetica" w:hAnsi="Helvetica" w:cs="Helvetica"/>
          <w:sz w:val="22"/>
          <w:szCs w:val="22"/>
        </w:rPr>
      </w:pPr>
      <w:proofErr w:type="gramStart"/>
      <w:r w:rsidRPr="00D67839">
        <w:rPr>
          <w:rFonts w:ascii="Helvetica" w:hAnsi="Helvetica" w:cs="Helvetica"/>
          <w:sz w:val="22"/>
          <w:szCs w:val="22"/>
        </w:rPr>
        <w:t>blocks</w:t>
      </w:r>
      <w:proofErr w:type="gramEnd"/>
      <w:r w:rsidRPr="00D67839">
        <w:rPr>
          <w:rFonts w:ascii="Helvetica" w:hAnsi="Helvetica" w:cs="Helvetica"/>
          <w:sz w:val="22"/>
          <w:szCs w:val="22"/>
        </w:rPr>
        <w:t xml:space="preserve"> of these rate schedules.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111 and 112 are to be </w:t>
      </w:r>
      <w:r w:rsidR="00E378A7" w:rsidRPr="00D67839">
        <w:rPr>
          <w:rFonts w:ascii="Helvetica" w:hAnsi="Helvetica" w:cs="Helvetica"/>
          <w:sz w:val="22"/>
          <w:szCs w:val="22"/>
        </w:rPr>
        <w:t>de</w:t>
      </w:r>
      <w:r w:rsidRPr="00D67839">
        <w:rPr>
          <w:rFonts w:ascii="Helvetica" w:hAnsi="Helvetica" w:cs="Helvetica"/>
          <w:sz w:val="22"/>
          <w:szCs w:val="22"/>
        </w:rPr>
        <w:t xml:space="preserve">creased by </w:t>
      </w:r>
      <w:r w:rsidR="007A79CE" w:rsidRPr="00D67839">
        <w:rPr>
          <w:rFonts w:ascii="Helvetica" w:hAnsi="Helvetica" w:cs="Helvetica"/>
          <w:sz w:val="22"/>
          <w:szCs w:val="22"/>
        </w:rPr>
        <w:t>00.000</w:t>
      </w:r>
      <w:r w:rsidRPr="00D67839">
        <w:rPr>
          <w:rFonts w:ascii="Helvetica" w:hAnsi="Helvetica" w:cs="Helvetica"/>
          <w:sz w:val="22"/>
          <w:szCs w:val="22"/>
        </w:rPr>
        <w:t>¢ per            (</w:t>
      </w:r>
      <w:r w:rsidR="007A79CE" w:rsidRPr="00D67839">
        <w:rPr>
          <w:rFonts w:ascii="Helvetica" w:hAnsi="Helvetica" w:cs="Helvetica"/>
          <w:sz w:val="22"/>
          <w:szCs w:val="22"/>
        </w:rPr>
        <w:t>I</w:t>
      </w:r>
      <w:r w:rsidRPr="00D67839">
        <w:rPr>
          <w:rFonts w:ascii="Helvetica" w:hAnsi="Helvetica" w:cs="Helvetica"/>
          <w:sz w:val="22"/>
          <w:szCs w:val="22"/>
        </w:rPr>
        <w:t xml:space="preserve">) </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121 and 122 are to be </w:t>
      </w:r>
      <w:r w:rsidR="00E378A7" w:rsidRPr="00D67839">
        <w:rPr>
          <w:rFonts w:ascii="Helvetica" w:hAnsi="Helvetica" w:cs="Helvetica"/>
          <w:sz w:val="22"/>
          <w:szCs w:val="22"/>
        </w:rPr>
        <w:t>decre</w:t>
      </w:r>
      <w:r w:rsidRPr="00D67839">
        <w:rPr>
          <w:rFonts w:ascii="Helvetica" w:hAnsi="Helvetica" w:cs="Helvetica"/>
          <w:sz w:val="22"/>
          <w:szCs w:val="22"/>
        </w:rPr>
        <w:t xml:space="preserve">ased by </w:t>
      </w:r>
      <w:r w:rsidR="007A79CE" w:rsidRPr="00D67839">
        <w:rPr>
          <w:rFonts w:ascii="Helvetica" w:hAnsi="Helvetica" w:cs="Helvetica"/>
          <w:sz w:val="22"/>
          <w:szCs w:val="22"/>
        </w:rPr>
        <w:t>00.000</w:t>
      </w:r>
      <w:r w:rsidRPr="00D67839">
        <w:rPr>
          <w:rFonts w:ascii="Helvetica" w:hAnsi="Helvetica" w:cs="Helvetica"/>
          <w:sz w:val="22"/>
          <w:szCs w:val="22"/>
        </w:rPr>
        <w:t>¢ per            (</w:t>
      </w:r>
      <w:r w:rsidR="007A79CE" w:rsidRPr="00D67839">
        <w:rPr>
          <w:rFonts w:ascii="Helvetica" w:hAnsi="Helvetica" w:cs="Helvetica"/>
          <w:sz w:val="22"/>
          <w:szCs w:val="22"/>
        </w:rPr>
        <w:t>I</w:t>
      </w:r>
      <w:r w:rsidRPr="00D67839">
        <w:rPr>
          <w:rFonts w:ascii="Helvetica" w:hAnsi="Helvetica" w:cs="Helvetica"/>
          <w:sz w:val="22"/>
          <w:szCs w:val="22"/>
        </w:rPr>
        <w:t>)</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interruptible Schedules 131 and 132 are to be </w:t>
      </w:r>
      <w:r w:rsidR="00E378A7" w:rsidRPr="00D67839">
        <w:rPr>
          <w:rFonts w:ascii="Helvetica" w:hAnsi="Helvetica" w:cs="Helvetica"/>
          <w:sz w:val="22"/>
          <w:szCs w:val="22"/>
        </w:rPr>
        <w:t>de</w:t>
      </w:r>
      <w:r w:rsidRPr="00D67839">
        <w:rPr>
          <w:rFonts w:ascii="Helvetica" w:hAnsi="Helvetica" w:cs="Helvetica"/>
          <w:sz w:val="22"/>
          <w:szCs w:val="22"/>
        </w:rPr>
        <w:t xml:space="preserve">creased by </w:t>
      </w:r>
    </w:p>
    <w:p w:rsidR="00537935" w:rsidRDefault="007A79CE">
      <w:pPr>
        <w:ind w:left="720" w:right="-1080" w:firstLine="360"/>
        <w:rPr>
          <w:rFonts w:ascii="Helvetica" w:hAnsi="Helvetica" w:cs="Helvetica"/>
          <w:sz w:val="22"/>
          <w:szCs w:val="22"/>
        </w:rPr>
      </w:pPr>
      <w:proofErr w:type="gramStart"/>
      <w:r w:rsidRPr="00D67839">
        <w:rPr>
          <w:rFonts w:ascii="Helvetica" w:hAnsi="Helvetica" w:cs="Helvetica"/>
          <w:sz w:val="22"/>
          <w:szCs w:val="22"/>
        </w:rPr>
        <w:t>00.000</w:t>
      </w:r>
      <w:r w:rsidR="00537935" w:rsidRPr="00D67839">
        <w:rPr>
          <w:rFonts w:ascii="Helvetica" w:hAnsi="Helvetica" w:cs="Helvetica"/>
          <w:sz w:val="22"/>
          <w:szCs w:val="22"/>
        </w:rPr>
        <w:t xml:space="preserve">¢ per </w:t>
      </w:r>
      <w:proofErr w:type="spellStart"/>
      <w:r w:rsidR="00537935" w:rsidRPr="00D67839">
        <w:rPr>
          <w:rFonts w:ascii="Helvetica" w:hAnsi="Helvetica" w:cs="Helvetica"/>
          <w:sz w:val="22"/>
          <w:szCs w:val="22"/>
        </w:rPr>
        <w:t>therm</w:t>
      </w:r>
      <w:proofErr w:type="spellEnd"/>
      <w:r w:rsidR="00537935" w:rsidRPr="00D67839">
        <w:rPr>
          <w:rFonts w:ascii="Helvetica" w:hAnsi="Helvetica" w:cs="Helvetica"/>
          <w:sz w:val="22"/>
          <w:szCs w:val="22"/>
        </w:rPr>
        <w:t xml:space="preserve"> in all blocks.</w:t>
      </w:r>
      <w:proofErr w:type="gramEnd"/>
      <w:r w:rsidR="00537935" w:rsidRPr="00D67839">
        <w:rPr>
          <w:rFonts w:ascii="Helvetica" w:hAnsi="Helvetica" w:cs="Helvetica"/>
          <w:sz w:val="22"/>
          <w:szCs w:val="22"/>
        </w:rPr>
        <w:t xml:space="preserve">                                                    </w:t>
      </w:r>
      <w:r w:rsidR="00537935">
        <w:rPr>
          <w:rFonts w:ascii="Helvetica" w:hAnsi="Helvetica" w:cs="Helvetica"/>
          <w:sz w:val="22"/>
          <w:szCs w:val="22"/>
        </w:rPr>
        <w:t xml:space="preserve">                                 (</w:t>
      </w:r>
      <w:r>
        <w:rPr>
          <w:rFonts w:ascii="Helvetica" w:hAnsi="Helvetica" w:cs="Helvetica"/>
          <w:sz w:val="22"/>
          <w:szCs w:val="22"/>
        </w:rPr>
        <w:t>I</w:t>
      </w:r>
      <w:r w:rsidR="00537935">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decreased by 0.000¢ per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6A2763" w:rsidRDefault="006A2763" w:rsidP="006A2763">
      <w:pPr>
        <w:pStyle w:val="BodyText2"/>
        <w:ind w:right="-1170"/>
      </w:pPr>
      <w:proofErr w:type="gramStart"/>
      <w:r>
        <w:t>as</w:t>
      </w:r>
      <w:proofErr w:type="gramEnd"/>
      <w:r>
        <w:t xml:space="preserve"> of the effective date shown below and </w:t>
      </w:r>
      <w:r w:rsidR="00E978CB">
        <w:t>supersede</w:t>
      </w:r>
      <w:r>
        <w:t xml:space="preserve"> the rates shown on Schedule 156:              </w:t>
      </w:r>
    </w:p>
    <w:p w:rsidR="006A2763" w:rsidRDefault="006A2763" w:rsidP="006A2763">
      <w:pPr>
        <w:ind w:right="-36"/>
        <w:rPr>
          <w:rFonts w:ascii="Helvetica" w:hAnsi="Helvetica" w:cs="Helvetica"/>
          <w:sz w:val="22"/>
          <w:szCs w:val="22"/>
        </w:rPr>
      </w:pPr>
    </w:p>
    <w:p w:rsidR="006A2763" w:rsidRDefault="008016D5" w:rsidP="006A2763">
      <w:pPr>
        <w:tabs>
          <w:tab w:val="left" w:pos="4050"/>
          <w:tab w:val="left" w:pos="5400"/>
          <w:tab w:val="left" w:pos="7110"/>
        </w:tabs>
        <w:ind w:right="-36"/>
        <w:rPr>
          <w:rFonts w:ascii="Helvetica" w:hAnsi="Helvetica" w:cs="Helvetica"/>
          <w:sz w:val="22"/>
          <w:szCs w:val="22"/>
        </w:rPr>
      </w:pPr>
      <w:r w:rsidRPr="008016D5">
        <w:rPr>
          <w:noProof/>
        </w:rPr>
        <w:pict>
          <v:shapetype id="_x0000_t202" coordsize="21600,21600" o:spt="202" path="m,l,21600r21600,l21600,xe">
            <v:stroke joinstyle="miter"/>
            <v:path gradientshapeok="t" o:connecttype="rect"/>
          </v:shapetype>
          <v:shape id="_x0000_s1026" type="#_x0000_t202" style="position:absolute;margin-left:469.05pt;margin-top:11.7pt;width:36pt;height:1in;z-index:251658240" filled="f" stroked="f">
            <v:textbox>
              <w:txbxContent>
                <w:p w:rsidR="00DB6D14" w:rsidRDefault="00DB6D14" w:rsidP="006A2763">
                  <w:pPr>
                    <w:rPr>
                      <w:sz w:val="22"/>
                      <w:szCs w:val="22"/>
                    </w:rPr>
                  </w:pPr>
                </w:p>
              </w:txbxContent>
            </v:textbox>
          </v:shape>
        </w:pict>
      </w:r>
      <w:r w:rsidR="006A2763">
        <w:rPr>
          <w:rFonts w:ascii="Helvetica" w:hAnsi="Helvetica" w:cs="Helvetica"/>
          <w:sz w:val="22"/>
          <w:szCs w:val="22"/>
        </w:rPr>
        <w:tab/>
      </w:r>
      <w:r w:rsidR="006A2763">
        <w:rPr>
          <w:rFonts w:ascii="Helvetica" w:hAnsi="Helvetica" w:cs="Helvetica"/>
          <w:sz w:val="22"/>
          <w:szCs w:val="22"/>
          <w:u w:val="single"/>
        </w:rPr>
        <w:t>Demand</w:t>
      </w:r>
      <w:r w:rsidR="006A2763">
        <w:rPr>
          <w:rFonts w:ascii="Helvetica" w:hAnsi="Helvetica" w:cs="Helvetica"/>
          <w:sz w:val="22"/>
          <w:szCs w:val="22"/>
        </w:rPr>
        <w:tab/>
      </w:r>
      <w:r w:rsidR="006A2763">
        <w:rPr>
          <w:rFonts w:ascii="Helvetica" w:hAnsi="Helvetica" w:cs="Helvetica"/>
          <w:sz w:val="22"/>
          <w:szCs w:val="22"/>
          <w:u w:val="single"/>
        </w:rPr>
        <w:t>Commodity</w:t>
      </w:r>
      <w:r w:rsidR="006A2763">
        <w:rPr>
          <w:rFonts w:ascii="Helvetica" w:hAnsi="Helvetica" w:cs="Helvetica"/>
          <w:sz w:val="22"/>
          <w:szCs w:val="22"/>
        </w:rPr>
        <w:tab/>
      </w:r>
      <w:r w:rsidR="006A2763">
        <w:rPr>
          <w:rFonts w:ascii="Helvetica" w:hAnsi="Helvetica" w:cs="Helvetica"/>
          <w:sz w:val="22"/>
          <w:szCs w:val="22"/>
          <w:u w:val="single"/>
        </w:rPr>
        <w:t>Total</w:t>
      </w:r>
    </w:p>
    <w:p w:rsidR="006A2763" w:rsidRDefault="006A2763" w:rsidP="006A2763">
      <w:pPr>
        <w:tabs>
          <w:tab w:val="left" w:pos="720"/>
          <w:tab w:val="decimal" w:pos="4320"/>
          <w:tab w:val="decimal" w:pos="5760"/>
          <w:tab w:val="decimal" w:pos="7200"/>
        </w:tabs>
        <w:ind w:right="-1080"/>
        <w:rPr>
          <w:rFonts w:ascii="Helvetica" w:hAnsi="Helvetica" w:cs="Helvetica"/>
          <w:sz w:val="22"/>
          <w:szCs w:val="22"/>
        </w:rPr>
      </w:pPr>
      <w:r>
        <w:rPr>
          <w:rFonts w:ascii="Helvetica" w:hAnsi="Helvetica" w:cs="Helvetica"/>
          <w:sz w:val="22"/>
          <w:szCs w:val="22"/>
        </w:rPr>
        <w:tab/>
        <w:t>Schedule 101</w:t>
      </w:r>
      <w:r>
        <w:rPr>
          <w:rFonts w:ascii="Helvetica" w:hAnsi="Helvetica" w:cs="Helvetica"/>
          <w:sz w:val="22"/>
          <w:szCs w:val="22"/>
        </w:rPr>
        <w:tab/>
      </w:r>
      <w:r w:rsidR="002E2F56">
        <w:rPr>
          <w:rFonts w:ascii="Helvetica" w:hAnsi="Helvetica" w:cs="Helvetica"/>
          <w:sz w:val="22"/>
          <w:szCs w:val="22"/>
        </w:rPr>
        <w:t>10.</w:t>
      </w:r>
      <w:r w:rsidR="0031200A">
        <w:rPr>
          <w:rFonts w:ascii="Helvetica" w:hAnsi="Helvetica" w:cs="Helvetica"/>
          <w:sz w:val="22"/>
          <w:szCs w:val="22"/>
        </w:rPr>
        <w:t>868</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46.817</w:t>
      </w:r>
      <w:r>
        <w:rPr>
          <w:rFonts w:ascii="Helvetica" w:hAnsi="Helvetica" w:cs="Helvetica"/>
          <w:sz w:val="22"/>
          <w:szCs w:val="22"/>
        </w:rPr>
        <w:t xml:space="preserve">¢                          </w:t>
      </w:r>
    </w:p>
    <w:p w:rsidR="006A2763" w:rsidRDefault="006A2763" w:rsidP="006A2763">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111 &amp; 112</w:t>
      </w:r>
      <w:r>
        <w:rPr>
          <w:rFonts w:ascii="Helvetica" w:hAnsi="Helvetica" w:cs="Helvetica"/>
          <w:sz w:val="22"/>
          <w:szCs w:val="22"/>
        </w:rPr>
        <w:tab/>
      </w:r>
      <w:r w:rsidR="0031200A">
        <w:rPr>
          <w:rFonts w:ascii="Helvetica" w:hAnsi="Helvetica" w:cs="Helvetica"/>
          <w:sz w:val="22"/>
          <w:szCs w:val="22"/>
        </w:rPr>
        <w:t>10.539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46.488</w:t>
      </w:r>
      <w:r>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121/122</w:t>
      </w:r>
      <w:r>
        <w:rPr>
          <w:rFonts w:ascii="Helvetica" w:hAnsi="Helvetica" w:cs="Helvetica"/>
          <w:sz w:val="22"/>
          <w:szCs w:val="22"/>
        </w:rPr>
        <w:tab/>
      </w:r>
      <w:r w:rsidR="002E2F56">
        <w:rPr>
          <w:rFonts w:ascii="Helvetica" w:hAnsi="Helvetica" w:cs="Helvetica"/>
          <w:sz w:val="22"/>
          <w:szCs w:val="22"/>
        </w:rPr>
        <w:t>8.</w:t>
      </w:r>
      <w:r w:rsidR="0031200A">
        <w:rPr>
          <w:rFonts w:ascii="Helvetica" w:hAnsi="Helvetica" w:cs="Helvetica"/>
          <w:sz w:val="22"/>
          <w:szCs w:val="22"/>
        </w:rPr>
        <w:t>875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44.824</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131/132</w:t>
      </w:r>
      <w:r>
        <w:rPr>
          <w:rFonts w:ascii="Helvetica" w:hAnsi="Helvetica" w:cs="Helvetica"/>
          <w:sz w:val="22"/>
          <w:szCs w:val="22"/>
        </w:rPr>
        <w:tab/>
      </w:r>
      <w:r w:rsidR="002E2F56">
        <w:rPr>
          <w:rFonts w:ascii="Helvetica" w:hAnsi="Helvetica" w:cs="Helvetica"/>
          <w:sz w:val="22"/>
          <w:szCs w:val="22"/>
        </w:rPr>
        <w:t>6.</w:t>
      </w:r>
      <w:r w:rsidR="0031200A">
        <w:rPr>
          <w:rFonts w:ascii="Helvetica" w:hAnsi="Helvetica" w:cs="Helvetica"/>
          <w:sz w:val="22"/>
          <w:szCs w:val="22"/>
        </w:rPr>
        <w:t>795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42.744</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146</w:t>
      </w:r>
      <w:r>
        <w:rPr>
          <w:rFonts w:ascii="Helvetica" w:hAnsi="Helvetica" w:cs="Helvetica"/>
          <w:sz w:val="22"/>
          <w:szCs w:val="22"/>
        </w:rPr>
        <w:tab/>
        <w:t>0.054¢</w:t>
      </w:r>
      <w:r>
        <w:rPr>
          <w:rFonts w:ascii="Helvetica" w:hAnsi="Helvetica" w:cs="Helvetica"/>
          <w:sz w:val="22"/>
          <w:szCs w:val="22"/>
        </w:rPr>
        <w:tab/>
        <w:t>0.000¢</w:t>
      </w:r>
      <w:r>
        <w:rPr>
          <w:rFonts w:ascii="Helvetica" w:hAnsi="Helvetica" w:cs="Helvetica"/>
          <w:sz w:val="22"/>
          <w:szCs w:val="22"/>
        </w:rPr>
        <w:tab/>
        <w:t>0.054¢</w:t>
      </w:r>
      <w:r w:rsidR="00E978CB">
        <w:rPr>
          <w:rFonts w:ascii="Helvetica" w:hAnsi="Helvetica" w:cs="Helvetica"/>
          <w:sz w:val="22"/>
          <w:szCs w:val="22"/>
        </w:rPr>
        <w:t xml:space="preserve">                          </w:t>
      </w:r>
    </w:p>
    <w:p w:rsidR="006A2763" w:rsidRDefault="006A2763" w:rsidP="006A2763">
      <w:pPr>
        <w:ind w:right="-36"/>
        <w:rPr>
          <w:rFonts w:ascii="Helvetica" w:hAnsi="Helvetica" w:cs="Helvetica"/>
          <w:sz w:val="22"/>
          <w:szCs w:val="22"/>
        </w:rPr>
      </w:pPr>
    </w:p>
    <w:p w:rsidR="006A2763" w:rsidRDefault="006A2763" w:rsidP="00E978CB">
      <w:pPr>
        <w:ind w:right="-1170"/>
        <w:rPr>
          <w:rFonts w:ascii="Helvetica" w:hAnsi="Helvetica" w:cs="Helvetica"/>
          <w:sz w:val="22"/>
          <w:szCs w:val="22"/>
        </w:rPr>
      </w:pPr>
      <w:r>
        <w:rPr>
          <w:rFonts w:ascii="Helvetica" w:hAnsi="Helvetica" w:cs="Helvetica"/>
          <w:sz w:val="22"/>
          <w:szCs w:val="22"/>
        </w:rPr>
        <w:tab/>
        <w:t xml:space="preserve">The above amounts do not include revenue sensitive items.                                     </w:t>
      </w:r>
      <w:r w:rsidR="00E978CB">
        <w:rPr>
          <w:rFonts w:ascii="Helvetica" w:hAnsi="Helvetica" w:cs="Helvetica"/>
          <w:sz w:val="22"/>
          <w:szCs w:val="22"/>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537935" w:rsidRDefault="00537935">
      <w:pPr>
        <w:pStyle w:val="BodyText2"/>
        <w:ind w:right="-36"/>
        <w:rPr>
          <w:sz w:val="24"/>
          <w:szCs w:val="24"/>
        </w:rPr>
      </w:pPr>
    </w:p>
    <w:p w:rsidR="00537935" w:rsidRDefault="00537935">
      <w:pPr>
        <w:pStyle w:val="BodyText2"/>
        <w:ind w:right="-36"/>
        <w:jc w:val="left"/>
        <w:rPr>
          <w:sz w:val="24"/>
          <w:szCs w:val="24"/>
        </w:rPr>
        <w:sectPr w:rsidR="00537935">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proofErr w:type="gramStart"/>
      <w:r>
        <w:t>actual</w:t>
      </w:r>
      <w:proofErr w:type="gramEnd"/>
      <w:r>
        <w:t xml:space="preserve">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proofErr w:type="gramStart"/>
      <w:r>
        <w:rPr>
          <w:rFonts w:ascii="Helvetica" w:hAnsi="Helvetica" w:cs="Helvetica"/>
        </w:rPr>
        <w:t>published</w:t>
      </w:r>
      <w:proofErr w:type="gramEnd"/>
      <w:r>
        <w:rPr>
          <w:rFonts w:ascii="Helvetica" w:hAnsi="Helvetica" w:cs="Helvetica"/>
        </w:rPr>
        <w:t xml:space="preserve">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52" w:rsidRDefault="002D0952">
      <w:r>
        <w:separator/>
      </w:r>
    </w:p>
  </w:endnote>
  <w:endnote w:type="continuationSeparator" w:id="0">
    <w:p w:rsidR="002D0952" w:rsidRDefault="002D0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contacts" w:element="GivenName">
                  <w:smartTag w:uri="urn:schemas-microsoft-com:office:smarttags" w:element="PersonName">
                    <w:smartTag w:uri="urn:schemas:contacts" w:element="GivenName">
                      <w:r>
                        <w:rPr>
                          <w:rFonts w:ascii="Arial" w:hAnsi="Arial" w:cs="Arial"/>
                        </w:rPr>
                        <w:t>Kelly</w:t>
                      </w:r>
                    </w:smartTag>
                    <w:r>
                      <w:rPr>
                        <w:rFonts w:ascii="Arial" w:hAnsi="Arial" w:cs="Arial"/>
                      </w:rPr>
                      <w:t xml:space="preserve"> </w:t>
                    </w:r>
                    <w:smartTag w:uri="urn:schemas:contacts" w:element="middlename">
                      <w:r>
                        <w:rPr>
                          <w:rFonts w:ascii="Arial" w:hAnsi="Arial" w:cs="Arial"/>
                        </w:rPr>
                        <w:t>O.</w:t>
                      </w:r>
                    </w:smartTag>
                    <w:r>
                      <w:rPr>
                        <w:rFonts w:ascii="Arial" w:hAnsi="Arial" w:cs="Arial"/>
                      </w:rPr>
                      <w:t xml:space="preserve"> </w:t>
                    </w:r>
                    <w:smartTag w:uri="urn:schemas:contacts" w:element="Sn">
                      <w:r>
                        <w:rPr>
                          <w:rFonts w:ascii="Arial" w:hAnsi="Arial" w:cs="Arial"/>
                        </w:rPr>
                        <w:t>Norwood</w:t>
                      </w:r>
                    </w:smartTag>
                  </w:smartTag>
                </w:smartTag>
                <w:r>
                  <w:rPr>
                    <w:rFonts w:ascii="Arial" w:hAnsi="Arial" w:cs="Arial"/>
                  </w:rPr>
                  <w:t>, Vice President, State and Federal Regulation</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A79CE">
                  <w:rPr>
                    <w:rFonts w:ascii="Arial" w:hAnsi="Arial" w:cs="Arial"/>
                  </w:rPr>
                  <w:t>April 2</w:t>
                </w:r>
                <w:r>
                  <w:rPr>
                    <w:rFonts w:ascii="Arial" w:hAnsi="Arial" w:cs="Arial"/>
                  </w:rPr>
                  <w:t>, 2012</w:t>
                </w:r>
                <w:r>
                  <w:rPr>
                    <w:rFonts w:ascii="Arial" w:hAnsi="Arial" w:cs="Arial"/>
                  </w:rPr>
                  <w:tab/>
                  <w:t>Effective</w:t>
                </w:r>
                <w:r>
                  <w:rPr>
                    <w:rFonts w:ascii="Arial" w:hAnsi="Arial" w:cs="Arial"/>
                  </w:rPr>
                  <w:tab/>
                </w:r>
                <w:r w:rsidR="007A79CE">
                  <w:rPr>
                    <w:rFonts w:ascii="Arial" w:hAnsi="Arial" w:cs="Arial"/>
                  </w:rPr>
                  <w:t>May 3</w:t>
                </w:r>
                <w:r>
                  <w:rPr>
                    <w:rFonts w:ascii="Arial" w:hAnsi="Arial" w:cs="Arial"/>
                  </w:rPr>
                  <w:t>, 2012</w:t>
                </w:r>
              </w:p>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ab/>
                </w:r>
              </w:p>
              <w:p w:rsidR="00DB6D14" w:rsidRDefault="00DB6D14">
                <w:pPr>
                  <w:tabs>
                    <w:tab w:val="left" w:pos="630"/>
                    <w:tab w:val="left" w:pos="1620"/>
                    <w:tab w:val="left" w:pos="5220"/>
                    <w:tab w:val="left" w:pos="6300"/>
                  </w:tabs>
                  <w:ind w:firstLine="720"/>
                </w:pPr>
              </w:p>
              <w:p w:rsidR="00DB6D14" w:rsidRDefault="00DB6D14">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Year" w:val="2007"/>
                    <w:attr w:name="Day" w:val="1"/>
                    <w:attr w:name="Month" w:val="11"/>
                    <w:attr w:name="ls" w:val="trans"/>
                  </w:smartTagPr>
                  <w:smartTag w:uri="urn:schemas-microsoft-com:office:smarttags" w:element="date">
                    <w:smartTagPr>
                      <w:attr w:name="Year" w:val="2007"/>
                      <w:attr w:name="Day" w:val="1"/>
                      <w:attr w:name="Month" w:val="11"/>
                      <w:attr w:name="ls" w:val="trans"/>
                    </w:smartTagPr>
                    <w:r>
                      <w:rPr>
                        <w:rFonts w:ascii="Arial" w:hAnsi="Arial" w:cs="Arial"/>
                      </w:rPr>
                      <w:t>Kelly</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O.</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14, 2007</w:t>
                </w:r>
                <w:r>
                  <w:rPr>
                    <w:rFonts w:ascii="Arial" w:hAnsi="Arial" w:cs="Arial"/>
                  </w:rPr>
                  <w:tab/>
                  <w:t>Effective</w:t>
                </w:r>
                <w:r>
                  <w:rPr>
                    <w:rFonts w:ascii="Arial" w:hAnsi="Arial" w:cs="Arial"/>
                  </w:rPr>
                  <w:tab/>
                  <w:t>November 1, 2007</w:t>
                </w:r>
              </w:p>
              <w:p w:rsidR="00DB6D14" w:rsidRDefault="00DB6D14">
                <w:pPr>
                  <w:tabs>
                    <w:tab w:val="left" w:pos="630"/>
                    <w:tab w:val="left" w:pos="1620"/>
                    <w:tab w:val="left" w:pos="5220"/>
                    <w:tab w:val="left" w:pos="6300"/>
                  </w:tabs>
                  <w:ind w:firstLine="720"/>
                  <w:rPr>
                    <w:rFonts w:ascii="Arial" w:hAnsi="Arial" w:cs="Arial"/>
                  </w:rPr>
                </w:pPr>
              </w:p>
              <w:p w:rsidR="00DB6D14" w:rsidRDefault="00DB6D14">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52" w:rsidRDefault="002D0952">
      <w:r>
        <w:separator/>
      </w:r>
    </w:p>
  </w:footnote>
  <w:footnote w:type="continuationSeparator" w:id="0">
    <w:p w:rsidR="002D0952" w:rsidRDefault="002D0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DB6D14" w:rsidRDefault="00DB6D14">
                <w:pPr>
                  <w:pStyle w:val="Header"/>
                  <w:tabs>
                    <w:tab w:val="clear" w:pos="4320"/>
                    <w:tab w:val="right" w:pos="6300"/>
                  </w:tabs>
                  <w:rPr>
                    <w:rFonts w:ascii="Arial" w:hAnsi="Arial" w:cs="Arial"/>
                  </w:rPr>
                </w:pPr>
                <w:r>
                  <w:rPr>
                    <w:rFonts w:ascii="Arial" w:hAnsi="Arial" w:cs="Arial"/>
                  </w:rPr>
                  <w:tab/>
                </w:r>
                <w:r w:rsidR="007A79CE">
                  <w:rPr>
                    <w:rFonts w:ascii="Arial" w:hAnsi="Arial" w:cs="Arial"/>
                  </w:rPr>
                  <w:t>Twelfth</w:t>
                </w:r>
                <w:r>
                  <w:rPr>
                    <w:rFonts w:ascii="Arial" w:hAnsi="Arial" w:cs="Arial"/>
                  </w:rPr>
                  <w:t xml:space="preserve"> Revision Sheet 150</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r>
                <w:r w:rsidR="007A79CE">
                  <w:rPr>
                    <w:rFonts w:ascii="Arial" w:hAnsi="Arial" w:cs="Arial"/>
                  </w:rPr>
                  <w:t>Eleventh</w:t>
                </w:r>
                <w:r w:rsidR="008A599F">
                  <w:rPr>
                    <w:rFonts w:ascii="Arial" w:hAnsi="Arial" w:cs="Arial"/>
                  </w:rPr>
                  <w:t xml:space="preserve"> Revision</w:t>
                </w:r>
                <w:r>
                  <w:rPr>
                    <w:rFonts w:ascii="Arial" w:hAnsi="Arial" w:cs="Arial"/>
                  </w:rPr>
                  <w:t xml:space="preserve"> Sheet 150</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DB6D14" w:rsidRDefault="00DB6D14">
                <w:pPr>
                  <w:pStyle w:val="Header"/>
                  <w:tabs>
                    <w:tab w:val="clear" w:pos="4320"/>
                    <w:tab w:val="right" w:pos="6300"/>
                  </w:tabs>
                  <w:rPr>
                    <w:rFonts w:ascii="Arial" w:hAnsi="Arial" w:cs="Arial"/>
                  </w:rPr>
                </w:pPr>
                <w:r>
                  <w:rPr>
                    <w:rFonts w:ascii="Arial" w:hAnsi="Arial" w:cs="Arial"/>
                  </w:rPr>
                  <w:tab/>
                  <w:t>Sixth Revision Sheet 150A</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Fifth Revision Sheet 150A</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DB6D14" w:rsidRDefault="00DB6D14">
                <w:pPr>
                  <w:pStyle w:val="Header"/>
                  <w:tabs>
                    <w:tab w:val="clear" w:pos="4320"/>
                    <w:tab w:val="right" w:pos="6300"/>
                  </w:tabs>
                  <w:rPr>
                    <w:rFonts w:ascii="Arial" w:hAnsi="Arial" w:cs="Arial"/>
                  </w:rPr>
                </w:pPr>
                <w:r>
                  <w:rPr>
                    <w:rFonts w:ascii="Arial" w:hAnsi="Arial" w:cs="Arial"/>
                  </w:rPr>
                  <w:tab/>
                </w:r>
              </w:p>
              <w:p w:rsidR="00DB6D14" w:rsidRDefault="00DB6D14">
                <w:pPr>
                  <w:pStyle w:val="Header"/>
                  <w:tabs>
                    <w:tab w:val="clear" w:pos="4320"/>
                    <w:tab w:val="right" w:pos="6300"/>
                  </w:tabs>
                  <w:rPr>
                    <w:rFonts w:ascii="Arial" w:hAnsi="Arial" w:cs="Arial"/>
                  </w:rPr>
                </w:pPr>
                <w:r>
                  <w:rPr>
                    <w:rFonts w:ascii="Arial" w:hAnsi="Arial" w:cs="Arial"/>
                  </w:rPr>
                  <w:tab/>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Original Sheet 146C</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rsids>
    <w:rsidRoot w:val="00537935"/>
    <w:rsid w:val="0002208C"/>
    <w:rsid w:val="00077346"/>
    <w:rsid w:val="000C12C2"/>
    <w:rsid w:val="00197947"/>
    <w:rsid w:val="001B5385"/>
    <w:rsid w:val="00224DC0"/>
    <w:rsid w:val="00282CF7"/>
    <w:rsid w:val="002D0952"/>
    <w:rsid w:val="002D5F0C"/>
    <w:rsid w:val="002E2F56"/>
    <w:rsid w:val="00300C82"/>
    <w:rsid w:val="0031200A"/>
    <w:rsid w:val="00416C6E"/>
    <w:rsid w:val="00442BF3"/>
    <w:rsid w:val="00457527"/>
    <w:rsid w:val="00522E83"/>
    <w:rsid w:val="005269FF"/>
    <w:rsid w:val="00537935"/>
    <w:rsid w:val="00587126"/>
    <w:rsid w:val="0059789A"/>
    <w:rsid w:val="00613754"/>
    <w:rsid w:val="00647699"/>
    <w:rsid w:val="0066119E"/>
    <w:rsid w:val="00672639"/>
    <w:rsid w:val="006A2763"/>
    <w:rsid w:val="006C04E4"/>
    <w:rsid w:val="006E7223"/>
    <w:rsid w:val="007435B8"/>
    <w:rsid w:val="007463E5"/>
    <w:rsid w:val="007A79CE"/>
    <w:rsid w:val="007C08C1"/>
    <w:rsid w:val="008016D5"/>
    <w:rsid w:val="00815AC0"/>
    <w:rsid w:val="0082136E"/>
    <w:rsid w:val="00831504"/>
    <w:rsid w:val="008A599F"/>
    <w:rsid w:val="008B7621"/>
    <w:rsid w:val="008C20D3"/>
    <w:rsid w:val="008C4DA9"/>
    <w:rsid w:val="0093164C"/>
    <w:rsid w:val="00944195"/>
    <w:rsid w:val="00A10272"/>
    <w:rsid w:val="00C2258F"/>
    <w:rsid w:val="00CD55B9"/>
    <w:rsid w:val="00D63F50"/>
    <w:rsid w:val="00D67839"/>
    <w:rsid w:val="00DB6D14"/>
    <w:rsid w:val="00E12A7C"/>
    <w:rsid w:val="00E34C9C"/>
    <w:rsid w:val="00E378A7"/>
    <w:rsid w:val="00E978CB"/>
    <w:rsid w:val="00EB1FA7"/>
    <w:rsid w:val="00F475C3"/>
    <w:rsid w:val="00F6147B"/>
    <w:rsid w:val="00FC4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FEF9ED-6637-43C1-A560-99FD201F4DD4}"/>
</file>

<file path=customXml/itemProps2.xml><?xml version="1.0" encoding="utf-8"?>
<ds:datastoreItem xmlns:ds="http://schemas.openxmlformats.org/officeDocument/2006/customXml" ds:itemID="{806612A7-E40D-42B7-95DD-D74713B13BEB}"/>
</file>

<file path=customXml/itemProps3.xml><?xml version="1.0" encoding="utf-8"?>
<ds:datastoreItem xmlns:ds="http://schemas.openxmlformats.org/officeDocument/2006/customXml" ds:itemID="{E1A2D45F-466E-4665-AA55-97316D1488EF}"/>
</file>

<file path=customXml/itemProps4.xml><?xml version="1.0" encoding="utf-8"?>
<ds:datastoreItem xmlns:ds="http://schemas.openxmlformats.org/officeDocument/2006/customXml" ds:itemID="{7AAAFF7A-D626-4AF7-8BCE-482625E9A410}"/>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6</cp:revision>
  <cp:lastPrinted>2012-02-10T22:26:00Z</cp:lastPrinted>
  <dcterms:created xsi:type="dcterms:W3CDTF">2012-02-13T21:35:00Z</dcterms:created>
  <dcterms:modified xsi:type="dcterms:W3CDTF">2012-03-20T16:15:00Z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