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A4" w:rsidRPr="00702FA4" w:rsidRDefault="00702FA4" w:rsidP="00702FA4">
      <w:pPr>
        <w:rPr>
          <w:rFonts w:eastAsia="Calibri"/>
          <w:lang w:bidi="en-US"/>
        </w:rPr>
      </w:pPr>
      <w:r w:rsidRPr="00702FA4">
        <w:rPr>
          <w:rFonts w:eastAsia="Calibri"/>
          <w:lang w:bidi="en-US"/>
        </w:rPr>
        <w:t xml:space="preserve">Agenda Date: </w:t>
      </w:r>
      <w:r w:rsidRPr="00702FA4">
        <w:rPr>
          <w:rFonts w:eastAsia="Calibri"/>
          <w:lang w:bidi="en-US"/>
        </w:rPr>
        <w:tab/>
      </w:r>
      <w:r w:rsidRPr="00702FA4">
        <w:rPr>
          <w:rFonts w:eastAsia="Calibri"/>
          <w:lang w:bidi="en-US"/>
        </w:rPr>
        <w:tab/>
        <w:t>May 27, 2010</w:t>
      </w:r>
      <w:r w:rsidRPr="00702FA4">
        <w:rPr>
          <w:rFonts w:eastAsia="Calibri"/>
          <w:lang w:bidi="en-US"/>
        </w:rPr>
        <w:tab/>
      </w:r>
      <w:r w:rsidRPr="00702FA4">
        <w:rPr>
          <w:rFonts w:eastAsia="Calibri"/>
          <w:lang w:bidi="en-US"/>
        </w:rPr>
        <w:tab/>
      </w:r>
    </w:p>
    <w:p w:rsidR="00702FA4" w:rsidRPr="00702FA4" w:rsidRDefault="00702FA4" w:rsidP="00702FA4">
      <w:pPr>
        <w:rPr>
          <w:rFonts w:eastAsia="Calibri"/>
          <w:lang w:bidi="en-US"/>
        </w:rPr>
      </w:pPr>
      <w:r w:rsidRPr="00702FA4">
        <w:rPr>
          <w:rFonts w:eastAsia="Calibri"/>
          <w:lang w:bidi="en-US"/>
        </w:rPr>
        <w:t>Item Number:</w:t>
      </w:r>
      <w:r w:rsidRPr="00702FA4">
        <w:rPr>
          <w:rFonts w:eastAsia="Calibri"/>
          <w:lang w:bidi="en-US"/>
        </w:rPr>
        <w:tab/>
      </w:r>
      <w:r w:rsidRPr="00702FA4">
        <w:rPr>
          <w:rFonts w:eastAsia="Calibri"/>
          <w:lang w:bidi="en-US"/>
        </w:rPr>
        <w:tab/>
        <w:t>A</w:t>
      </w:r>
      <w:r w:rsidR="00396AF9">
        <w:rPr>
          <w:rFonts w:eastAsia="Calibri"/>
          <w:lang w:bidi="en-US"/>
        </w:rPr>
        <w:t>2</w:t>
      </w:r>
    </w:p>
    <w:p w:rsidR="00702FA4" w:rsidRPr="00702FA4" w:rsidRDefault="00702FA4" w:rsidP="00702FA4">
      <w:pPr>
        <w:rPr>
          <w:rFonts w:eastAsia="Calibri"/>
          <w:lang w:bidi="en-US"/>
        </w:rPr>
      </w:pPr>
    </w:p>
    <w:p w:rsidR="00702FA4" w:rsidRPr="00702FA4" w:rsidRDefault="00702FA4" w:rsidP="00702FA4">
      <w:pPr>
        <w:rPr>
          <w:rFonts w:eastAsia="Calibri"/>
          <w:lang w:bidi="en-US"/>
        </w:rPr>
      </w:pPr>
      <w:r w:rsidRPr="00702FA4">
        <w:rPr>
          <w:rFonts w:eastAsia="Calibri"/>
          <w:lang w:bidi="en-US"/>
        </w:rPr>
        <w:t xml:space="preserve">Docket: </w:t>
      </w:r>
      <w:r w:rsidRPr="00702FA4">
        <w:rPr>
          <w:rFonts w:eastAsia="Calibri"/>
          <w:lang w:bidi="en-US"/>
        </w:rPr>
        <w:tab/>
      </w:r>
      <w:r w:rsidRPr="00702FA4">
        <w:rPr>
          <w:rFonts w:eastAsia="Calibri"/>
          <w:lang w:bidi="en-US"/>
        </w:rPr>
        <w:tab/>
        <w:t>UW-091466</w:t>
      </w:r>
    </w:p>
    <w:p w:rsidR="00702FA4" w:rsidRPr="00702FA4" w:rsidRDefault="00702FA4" w:rsidP="00702FA4">
      <w:pPr>
        <w:rPr>
          <w:rFonts w:eastAsia="Calibri"/>
          <w:lang w:bidi="en-US"/>
        </w:rPr>
      </w:pPr>
      <w:r w:rsidRPr="00702FA4">
        <w:rPr>
          <w:rFonts w:eastAsia="Calibri"/>
          <w:lang w:bidi="en-US"/>
        </w:rPr>
        <w:t>Company Name:</w:t>
      </w:r>
      <w:r w:rsidRPr="00702FA4">
        <w:rPr>
          <w:rFonts w:eastAsia="Calibri"/>
          <w:lang w:bidi="en-US"/>
        </w:rPr>
        <w:tab/>
        <w:t>Rainier View Water Company, Inc.</w:t>
      </w:r>
    </w:p>
    <w:p w:rsidR="00702FA4" w:rsidRPr="00702FA4" w:rsidRDefault="00702FA4" w:rsidP="00702FA4">
      <w:pPr>
        <w:rPr>
          <w:rFonts w:eastAsia="Calibri"/>
          <w:lang w:bidi="en-US"/>
        </w:rPr>
      </w:pPr>
    </w:p>
    <w:p w:rsidR="00702FA4" w:rsidRPr="00702FA4" w:rsidRDefault="00702FA4" w:rsidP="00702FA4">
      <w:pPr>
        <w:rPr>
          <w:rFonts w:eastAsia="Calibri"/>
          <w:lang w:bidi="en-US"/>
        </w:rPr>
      </w:pPr>
      <w:r w:rsidRPr="00702FA4">
        <w:rPr>
          <w:rFonts w:eastAsia="Calibri"/>
          <w:lang w:bidi="en-US"/>
        </w:rPr>
        <w:t xml:space="preserve">Staff: </w:t>
      </w:r>
      <w:r w:rsidRPr="00702FA4">
        <w:rPr>
          <w:rFonts w:eastAsia="Calibri"/>
          <w:lang w:bidi="en-US"/>
        </w:rPr>
        <w:tab/>
      </w:r>
      <w:r w:rsidRPr="00702FA4">
        <w:rPr>
          <w:rFonts w:eastAsia="Calibri"/>
          <w:lang w:bidi="en-US"/>
        </w:rPr>
        <w:tab/>
      </w:r>
      <w:r w:rsidRPr="00702FA4">
        <w:rPr>
          <w:rFonts w:eastAsia="Calibri"/>
          <w:lang w:bidi="en-US"/>
        </w:rPr>
        <w:tab/>
        <w:t>Jim Ward, Regulatory Analyst</w:t>
      </w:r>
    </w:p>
    <w:p w:rsidR="00702FA4" w:rsidRPr="00702FA4" w:rsidRDefault="00702FA4" w:rsidP="00702FA4">
      <w:pPr>
        <w:ind w:left="1440" w:firstLine="720"/>
        <w:rPr>
          <w:rFonts w:eastAsia="Calibri"/>
          <w:lang w:bidi="en-US"/>
        </w:rPr>
      </w:pPr>
      <w:r w:rsidRPr="00702FA4">
        <w:rPr>
          <w:rFonts w:eastAsia="Calibri"/>
          <w:lang w:bidi="en-US"/>
        </w:rPr>
        <w:t>Amy White, Regulatory Analyst</w:t>
      </w:r>
    </w:p>
    <w:p w:rsidR="00702FA4" w:rsidRPr="00702FA4" w:rsidRDefault="00702FA4" w:rsidP="00702FA4">
      <w:pPr>
        <w:ind w:left="1440" w:firstLine="720"/>
        <w:rPr>
          <w:rFonts w:eastAsia="Calibri"/>
          <w:lang w:bidi="en-US"/>
        </w:rPr>
      </w:pPr>
      <w:r w:rsidRPr="00702FA4">
        <w:rPr>
          <w:rFonts w:eastAsia="Calibri"/>
          <w:lang w:bidi="en-US"/>
        </w:rPr>
        <w:t>Chris Mickelson, Regulatory Analyst</w:t>
      </w:r>
    </w:p>
    <w:p w:rsidR="00702FA4" w:rsidRPr="00702FA4" w:rsidRDefault="00702FA4" w:rsidP="00702FA4">
      <w:pPr>
        <w:rPr>
          <w:rFonts w:eastAsia="Calibri"/>
          <w:lang w:bidi="en-US"/>
        </w:rPr>
      </w:pPr>
      <w:r w:rsidRPr="00702FA4">
        <w:rPr>
          <w:rFonts w:eastAsia="Calibri"/>
          <w:lang w:bidi="en-US"/>
        </w:rPr>
        <w:tab/>
      </w:r>
      <w:r w:rsidRPr="00702FA4">
        <w:rPr>
          <w:rFonts w:eastAsia="Calibri"/>
          <w:lang w:bidi="en-US"/>
        </w:rPr>
        <w:tab/>
      </w:r>
      <w:r w:rsidRPr="00702FA4">
        <w:rPr>
          <w:rFonts w:eastAsia="Calibri"/>
          <w:lang w:bidi="en-US"/>
        </w:rPr>
        <w:tab/>
        <w:t>Dennis Shutler, Consumer Protection Staff</w:t>
      </w:r>
    </w:p>
    <w:p w:rsidR="00702FA4" w:rsidRPr="00702FA4" w:rsidRDefault="00702FA4" w:rsidP="00702FA4">
      <w:pPr>
        <w:rPr>
          <w:rFonts w:eastAsia="Calibri"/>
          <w:lang w:bidi="en-US"/>
        </w:rPr>
      </w:pPr>
    </w:p>
    <w:p w:rsidR="00702FA4" w:rsidRPr="00702FA4" w:rsidRDefault="00702FA4" w:rsidP="00702FA4">
      <w:pPr>
        <w:rPr>
          <w:rFonts w:eastAsia="Calibri"/>
          <w:b/>
          <w:u w:val="single"/>
          <w:lang w:bidi="en-US"/>
        </w:rPr>
      </w:pPr>
      <w:r w:rsidRPr="00702FA4">
        <w:rPr>
          <w:rFonts w:eastAsia="Calibri"/>
          <w:b/>
          <w:u w:val="single"/>
          <w:lang w:bidi="en-US"/>
        </w:rPr>
        <w:t>Recommendation</w:t>
      </w:r>
    </w:p>
    <w:p w:rsidR="00702FA4" w:rsidRPr="00702FA4" w:rsidRDefault="00702FA4" w:rsidP="00702F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rPr>
      </w:pPr>
    </w:p>
    <w:p w:rsidR="00702FA4" w:rsidRPr="00702FA4" w:rsidRDefault="00702FA4" w:rsidP="00702F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Calibri"/>
          <w:lang w:bidi="en-US"/>
        </w:rPr>
      </w:pPr>
      <w:r w:rsidRPr="00702FA4">
        <w:rPr>
          <w:rFonts w:eastAsia="Calibri"/>
          <w:lang w:bidi="en-US"/>
        </w:rPr>
        <w:t>Issue an Order to:</w:t>
      </w:r>
    </w:p>
    <w:p w:rsidR="00B545DE" w:rsidRPr="006A20F0" w:rsidRDefault="00B545DE" w:rsidP="00B545DE">
      <w:pPr>
        <w:widowControl w:val="0"/>
        <w:autoSpaceDE w:val="0"/>
        <w:autoSpaceDN w:val="0"/>
        <w:adjustRightInd w:val="0"/>
        <w:ind w:left="360"/>
        <w:rPr>
          <w:rFonts w:eastAsia="Calibri"/>
          <w:color w:val="000000"/>
        </w:rPr>
      </w:pPr>
    </w:p>
    <w:p w:rsidR="00B545DE" w:rsidRPr="006A20F0" w:rsidRDefault="00B545DE" w:rsidP="00B545DE">
      <w:pPr>
        <w:widowControl w:val="0"/>
        <w:numPr>
          <w:ilvl w:val="0"/>
          <w:numId w:val="7"/>
        </w:numPr>
        <w:autoSpaceDE w:val="0"/>
        <w:autoSpaceDN w:val="0"/>
        <w:adjustRightInd w:val="0"/>
        <w:rPr>
          <w:rFonts w:eastAsia="Calibri"/>
          <w:color w:val="000000"/>
          <w:lang w:bidi="en-US"/>
        </w:rPr>
      </w:pPr>
      <w:r w:rsidRPr="006A20F0">
        <w:rPr>
          <w:rFonts w:eastAsia="Calibri"/>
          <w:color w:val="000000"/>
          <w:lang w:bidi="en-US"/>
        </w:rPr>
        <w:t xml:space="preserve">Allow the revised rates </w:t>
      </w:r>
      <w:r w:rsidR="00E43815">
        <w:rPr>
          <w:rFonts w:eastAsia="Calibri"/>
          <w:color w:val="000000"/>
          <w:lang w:bidi="en-US"/>
        </w:rPr>
        <w:t xml:space="preserve">and tariff revisions </w:t>
      </w:r>
      <w:r w:rsidRPr="006A20F0">
        <w:rPr>
          <w:rFonts w:eastAsia="Calibri"/>
          <w:color w:val="000000"/>
          <w:lang w:bidi="en-US"/>
        </w:rPr>
        <w:t>filed by Rainier View Water Company, Inc.</w:t>
      </w:r>
      <w:r w:rsidRPr="006A20F0">
        <w:rPr>
          <w:rFonts w:eastAsia="Calibri"/>
          <w:color w:val="000000"/>
        </w:rPr>
        <w:t xml:space="preserve"> on </w:t>
      </w:r>
      <w:r w:rsidRPr="006A20F0">
        <w:rPr>
          <w:rFonts w:eastAsia="Calibri"/>
          <w:color w:val="000000"/>
          <w:lang w:bidi="en-US"/>
        </w:rPr>
        <w:t xml:space="preserve">May </w:t>
      </w:r>
      <w:r w:rsidR="00FB5793">
        <w:rPr>
          <w:rFonts w:eastAsia="Calibri"/>
          <w:color w:val="000000"/>
          <w:lang w:bidi="en-US"/>
        </w:rPr>
        <w:t>24</w:t>
      </w:r>
      <w:r w:rsidRPr="006A20F0">
        <w:rPr>
          <w:rFonts w:eastAsia="Calibri"/>
          <w:color w:val="000000"/>
          <w:lang w:bidi="en-US"/>
        </w:rPr>
        <w:t>, 2010, to become effective June 1, 2010, on a temporary basis, subject to refund.</w:t>
      </w:r>
    </w:p>
    <w:p w:rsidR="00B545DE" w:rsidRPr="006A20F0" w:rsidRDefault="00B545DE" w:rsidP="00B545DE">
      <w:pPr>
        <w:widowControl w:val="0"/>
        <w:autoSpaceDE w:val="0"/>
        <w:autoSpaceDN w:val="0"/>
        <w:adjustRightInd w:val="0"/>
        <w:ind w:left="360"/>
        <w:rPr>
          <w:rFonts w:eastAsia="Calibri"/>
          <w:color w:val="000000"/>
          <w:lang w:bidi="en-US"/>
        </w:rPr>
      </w:pPr>
      <w:r w:rsidRPr="006A20F0">
        <w:rPr>
          <w:rFonts w:eastAsia="Calibri"/>
          <w:color w:val="000000"/>
          <w:lang w:bidi="en-US"/>
        </w:rPr>
        <w:t xml:space="preserve"> </w:t>
      </w:r>
    </w:p>
    <w:p w:rsidR="00B545DE" w:rsidRPr="007D1024" w:rsidRDefault="006A2BC6" w:rsidP="00B545DE">
      <w:pPr>
        <w:widowControl w:val="0"/>
        <w:numPr>
          <w:ilvl w:val="0"/>
          <w:numId w:val="7"/>
        </w:numPr>
        <w:autoSpaceDE w:val="0"/>
        <w:autoSpaceDN w:val="0"/>
        <w:adjustRightInd w:val="0"/>
        <w:rPr>
          <w:rFonts w:eastAsia="Calibri"/>
          <w:color w:val="000000"/>
        </w:rPr>
      </w:pPr>
      <w:r w:rsidRPr="006A2BC6">
        <w:rPr>
          <w:rFonts w:eastAsia="Calibri"/>
          <w:color w:val="000000"/>
        </w:rPr>
        <w:t>Grant the company’s request, as permitted by WAC 480-80-122, to allow the revised rates and tariff revisions to become effective on June 1, 2010, on less than statutory notice.</w:t>
      </w:r>
    </w:p>
    <w:p w:rsidR="00B545DE" w:rsidRPr="006A20F0" w:rsidRDefault="00B545DE" w:rsidP="00B545DE">
      <w:pPr>
        <w:widowControl w:val="0"/>
        <w:autoSpaceDE w:val="0"/>
        <w:autoSpaceDN w:val="0"/>
        <w:adjustRightInd w:val="0"/>
        <w:ind w:left="360"/>
        <w:rPr>
          <w:rFonts w:eastAsia="Calibri"/>
          <w:color w:val="000000"/>
        </w:rPr>
      </w:pPr>
      <w:r w:rsidRPr="006A20F0">
        <w:rPr>
          <w:rFonts w:eastAsia="Calibri"/>
          <w:color w:val="000000"/>
        </w:rPr>
        <w:t xml:space="preserve"> </w:t>
      </w:r>
    </w:p>
    <w:p w:rsidR="00B545DE" w:rsidRPr="006A20F0" w:rsidRDefault="00B545DE" w:rsidP="00B545DE">
      <w:pPr>
        <w:widowControl w:val="0"/>
        <w:numPr>
          <w:ilvl w:val="0"/>
          <w:numId w:val="7"/>
        </w:numPr>
        <w:autoSpaceDE w:val="0"/>
        <w:autoSpaceDN w:val="0"/>
        <w:adjustRightInd w:val="0"/>
        <w:rPr>
          <w:rFonts w:eastAsia="Calibri"/>
          <w:color w:val="000000"/>
        </w:rPr>
      </w:pPr>
      <w:r w:rsidRPr="006A20F0">
        <w:rPr>
          <w:rFonts w:eastAsia="Calibri"/>
          <w:color w:val="000000"/>
        </w:rPr>
        <w:t>Grant the company’s request for an exemption from WAC 480-110-425, Customer Notice, to allow the company to notify customers of increases in the next billing cycle.</w:t>
      </w:r>
    </w:p>
    <w:p w:rsidR="00702FA4" w:rsidRPr="00702FA4" w:rsidRDefault="00702FA4" w:rsidP="00702FA4">
      <w:pPr>
        <w:widowControl w:val="0"/>
        <w:autoSpaceDE w:val="0"/>
        <w:autoSpaceDN w:val="0"/>
        <w:adjustRightInd w:val="0"/>
        <w:ind w:left="360"/>
        <w:rPr>
          <w:rFonts w:eastAsia="Calibri"/>
          <w:color w:val="000000"/>
          <w:sz w:val="22"/>
          <w:szCs w:val="22"/>
        </w:rPr>
      </w:pPr>
    </w:p>
    <w:p w:rsidR="00702FA4" w:rsidRPr="00702FA4" w:rsidRDefault="00702FA4" w:rsidP="00702FA4">
      <w:pPr>
        <w:rPr>
          <w:rFonts w:eastAsia="Calibri"/>
          <w:b/>
          <w:u w:val="single"/>
          <w:lang w:bidi="en-US"/>
        </w:rPr>
      </w:pPr>
      <w:r w:rsidRPr="00702FA4">
        <w:rPr>
          <w:rFonts w:eastAsia="Calibri"/>
          <w:b/>
          <w:u w:val="single"/>
          <w:lang w:bidi="en-US"/>
        </w:rPr>
        <w:t>Discussion</w:t>
      </w:r>
    </w:p>
    <w:p w:rsidR="00702FA4" w:rsidRPr="00702FA4" w:rsidRDefault="00702FA4" w:rsidP="00702FA4">
      <w:pPr>
        <w:rPr>
          <w:rFonts w:eastAsia="Calibri"/>
          <w:b/>
          <w:u w:val="single"/>
          <w:lang w:bidi="en-US"/>
        </w:rPr>
      </w:pPr>
    </w:p>
    <w:p w:rsidR="00A05A98" w:rsidRDefault="00A05A98" w:rsidP="007F1BFD">
      <w:pPr>
        <w:pStyle w:val="NoSpacing"/>
      </w:pPr>
      <w:r>
        <w:t>This memorandum supplements staff’s memorandum dated May 13, 2010.</w:t>
      </w:r>
    </w:p>
    <w:p w:rsidR="00A05A98" w:rsidRDefault="00A05A98" w:rsidP="007F1BFD">
      <w:pPr>
        <w:pStyle w:val="NoSpacing"/>
      </w:pPr>
    </w:p>
    <w:p w:rsidR="00562039" w:rsidRPr="00562039" w:rsidRDefault="004D0B8A" w:rsidP="006A20F0">
      <w:pPr>
        <w:pStyle w:val="NoSpacing"/>
        <w:rPr>
          <w:rFonts w:eastAsia="Times New Roman"/>
        </w:rPr>
      </w:pPr>
      <w:r>
        <w:t xml:space="preserve">The commission considered this matter at the </w:t>
      </w:r>
      <w:r w:rsidR="00F43A08">
        <w:t>May 13, 2010, open meeting</w:t>
      </w:r>
      <w:r>
        <w:t xml:space="preserve">. Staff and the company agreed to revised rates that </w:t>
      </w:r>
      <w:r w:rsidR="00FD7D34">
        <w:t xml:space="preserve">the company </w:t>
      </w:r>
      <w:r w:rsidR="006A20F0">
        <w:t xml:space="preserve">filed on May 3, 2010, and </w:t>
      </w:r>
      <w:r w:rsidR="00FD7D34">
        <w:t xml:space="preserve">proposed to become effective June 1, 2010. </w:t>
      </w:r>
      <w:r w:rsidR="006A20F0">
        <w:t xml:space="preserve">The company filed </w:t>
      </w:r>
      <w:r w:rsidR="00FB5793">
        <w:t xml:space="preserve">and </w:t>
      </w:r>
      <w:r w:rsidR="006A20F0">
        <w:t xml:space="preserve">additional revised page on May 13, 2010, to clarify the application of </w:t>
      </w:r>
      <w:r w:rsidR="00FB5793">
        <w:t xml:space="preserve">irrigation </w:t>
      </w:r>
      <w:r w:rsidR="00AA77B8">
        <w:t>rates</w:t>
      </w:r>
      <w:r w:rsidR="006A20F0">
        <w:t xml:space="preserve">. </w:t>
      </w:r>
      <w:r w:rsidR="00E43815" w:rsidRPr="00E43815">
        <w:t>On May 13, 2010, the Company filed 3</w:t>
      </w:r>
      <w:r w:rsidR="00E43815" w:rsidRPr="00E43815">
        <w:rPr>
          <w:vertAlign w:val="superscript"/>
        </w:rPr>
        <w:t>rd</w:t>
      </w:r>
      <w:r w:rsidR="00E43815" w:rsidRPr="00E43815">
        <w:t xml:space="preserve"> Revised Page 49 with a scheduled effective date of June 13, 2010, to add a reference to Schedule 14, Irrigation, to Rate Schedule 1A</w:t>
      </w:r>
      <w:r w:rsidR="00E43815">
        <w:t>, which was mistakenly assigned a new Docket UW-100830</w:t>
      </w:r>
      <w:r w:rsidR="00E43815" w:rsidRPr="00E43815">
        <w:t>.  On May 24, 2010, the company refiled all pages, including 3</w:t>
      </w:r>
      <w:r w:rsidR="00E43815" w:rsidRPr="00E43815">
        <w:rPr>
          <w:vertAlign w:val="superscript"/>
        </w:rPr>
        <w:t>rd</w:t>
      </w:r>
      <w:r w:rsidR="00E43815" w:rsidRPr="00E43815">
        <w:t xml:space="preserve"> Revised Page 49 (Schedule 14, Irrigation), to change the customer class identification from “commercial” customers to “nonresidential” customers, clarify application of rates to compound meters and irrigation service, and to simplify the administration of the docket.</w:t>
      </w:r>
      <w:r w:rsidR="00FB5793">
        <w:t xml:space="preserve"> </w:t>
      </w:r>
      <w:r w:rsidR="00562039" w:rsidRPr="00562039">
        <w:rPr>
          <w:rFonts w:eastAsia="Times New Roman"/>
        </w:rPr>
        <w:t xml:space="preserve">The company requests </w:t>
      </w:r>
      <w:r w:rsidR="006A20F0">
        <w:rPr>
          <w:rFonts w:eastAsia="Times New Roman"/>
        </w:rPr>
        <w:t xml:space="preserve">the commission to </w:t>
      </w:r>
      <w:r w:rsidR="00562039" w:rsidRPr="00562039">
        <w:rPr>
          <w:rFonts w:eastAsia="Times New Roman"/>
        </w:rPr>
        <w:t>allow</w:t>
      </w:r>
      <w:r w:rsidR="006A20F0">
        <w:rPr>
          <w:rFonts w:eastAsia="Times New Roman"/>
        </w:rPr>
        <w:t xml:space="preserve">, as permitted by WAC 480-80-122, </w:t>
      </w:r>
      <w:r w:rsidR="00562039" w:rsidRPr="00562039">
        <w:rPr>
          <w:rFonts w:eastAsia="Times New Roman"/>
        </w:rPr>
        <w:t xml:space="preserve">the revised rates </w:t>
      </w:r>
      <w:r w:rsidR="00FB5793">
        <w:rPr>
          <w:rFonts w:eastAsia="Times New Roman"/>
        </w:rPr>
        <w:t xml:space="preserve">and tariff revisions </w:t>
      </w:r>
      <w:r w:rsidR="006A20F0">
        <w:rPr>
          <w:rFonts w:eastAsia="Times New Roman"/>
        </w:rPr>
        <w:t xml:space="preserve">filed on May </w:t>
      </w:r>
      <w:r w:rsidR="00FB5793">
        <w:rPr>
          <w:rFonts w:eastAsia="Times New Roman"/>
        </w:rPr>
        <w:t>24</w:t>
      </w:r>
      <w:r w:rsidR="006A20F0">
        <w:rPr>
          <w:rFonts w:eastAsia="Times New Roman"/>
        </w:rPr>
        <w:t xml:space="preserve">, 2010, </w:t>
      </w:r>
      <w:r w:rsidR="00562039" w:rsidRPr="00562039">
        <w:rPr>
          <w:rFonts w:eastAsia="Times New Roman"/>
        </w:rPr>
        <w:t xml:space="preserve">to become effective on June 1, 2010, on less than statutory notice, and </w:t>
      </w:r>
      <w:r w:rsidR="00AA77B8">
        <w:rPr>
          <w:rFonts w:eastAsia="Times New Roman"/>
        </w:rPr>
        <w:t xml:space="preserve">to grant </w:t>
      </w:r>
      <w:r w:rsidR="00562039" w:rsidRPr="00562039">
        <w:rPr>
          <w:rFonts w:eastAsia="Times New Roman"/>
        </w:rPr>
        <w:t>an exemption from WAC 480-110-425, Customer Notice, to allow the company to notify customers of increases in the next billing cycle</w:t>
      </w:r>
      <w:r w:rsidR="006A20F0">
        <w:rPr>
          <w:rFonts w:eastAsia="Times New Roman"/>
        </w:rPr>
        <w:t>.</w:t>
      </w:r>
    </w:p>
    <w:p w:rsidR="00562039" w:rsidRDefault="00562039" w:rsidP="007F1BFD">
      <w:pPr>
        <w:pStyle w:val="NoSpacing"/>
      </w:pPr>
    </w:p>
    <w:p w:rsidR="00396AF9" w:rsidRDefault="00FD7D34" w:rsidP="007F1BFD">
      <w:pPr>
        <w:pStyle w:val="NoSpacing"/>
      </w:pPr>
      <w:r>
        <w:t>The revised rates would result in increases</w:t>
      </w:r>
      <w:r w:rsidR="002C5B30">
        <w:t>,</w:t>
      </w:r>
      <w:r>
        <w:t xml:space="preserve"> as compared to the proposed rates. </w:t>
      </w:r>
      <w:r w:rsidR="00BE36F9" w:rsidRPr="00BE36F9">
        <w:t>On May</w:t>
      </w:r>
      <w:r w:rsidR="00084BF7">
        <w:t xml:space="preserve"> </w:t>
      </w:r>
      <w:r w:rsidR="00BE36F9" w:rsidRPr="00BE36F9">
        <w:t xml:space="preserve">5, 2010, the commission sent a notice to the interested parties that this item would again be heard at the May 13, 2010 open meeting. The </w:t>
      </w:r>
      <w:r w:rsidR="006A2BC6" w:rsidRPr="006A2BC6">
        <w:t xml:space="preserve">District filed written comments on May 12, 2010, and appeared at the May 13, 2010, open meeting. The District, the company and staff agreed to postpone </w:t>
      </w:r>
      <w:r w:rsidR="006A2BC6" w:rsidRPr="006A2BC6">
        <w:lastRenderedPageBreak/>
        <w:t>commission consideration of the matter until May 27, 2010, to give the parties additional time to review the filing.</w:t>
      </w:r>
      <w:r>
        <w:t xml:space="preserve"> </w:t>
      </w:r>
    </w:p>
    <w:p w:rsidR="00562039" w:rsidRDefault="00562039" w:rsidP="007F1BFD">
      <w:pPr>
        <w:pStyle w:val="NoSpacing"/>
      </w:pPr>
    </w:p>
    <w:p w:rsidR="0035055F" w:rsidRDefault="002407A1" w:rsidP="007F1BFD">
      <w:pPr>
        <w:pStyle w:val="NoSpacing"/>
      </w:pPr>
      <w:r>
        <w:t>Staff worked with the District and the company to explain the rate design</w:t>
      </w:r>
      <w:r w:rsidR="009440F0">
        <w:t>. On May 18, 2010, staff p</w:t>
      </w:r>
      <w:r w:rsidR="00511D49">
        <w:t xml:space="preserve">rovided </w:t>
      </w:r>
      <w:r w:rsidR="009440F0">
        <w:t xml:space="preserve">the District a </w:t>
      </w:r>
      <w:r w:rsidR="00511D49">
        <w:t>summary of staff’s analysis of the District</w:t>
      </w:r>
      <w:r w:rsidR="00F43A08">
        <w:t>’</w:t>
      </w:r>
      <w:r w:rsidR="00511D49">
        <w:t xml:space="preserve">s water usage and estimated </w:t>
      </w:r>
      <w:r w:rsidR="00F43A08">
        <w:t>annual charges</w:t>
      </w:r>
      <w:r w:rsidR="00511D49">
        <w:t xml:space="preserve"> under the proposed revised rates</w:t>
      </w:r>
      <w:r>
        <w:t xml:space="preserve">. The District </w:t>
      </w:r>
      <w:r w:rsidR="009440F0">
        <w:t xml:space="preserve">questioned the accuracy of </w:t>
      </w:r>
      <w:r w:rsidR="00DB2128">
        <w:t xml:space="preserve">staff’s </w:t>
      </w:r>
      <w:r>
        <w:t xml:space="preserve">usage </w:t>
      </w:r>
      <w:r w:rsidR="00DB2128">
        <w:t xml:space="preserve">data </w:t>
      </w:r>
      <w:r>
        <w:t xml:space="preserve">for several of </w:t>
      </w:r>
      <w:r w:rsidR="000C2D22">
        <w:t>its</w:t>
      </w:r>
      <w:r>
        <w:t xml:space="preserve"> meters</w:t>
      </w:r>
      <w:r w:rsidR="009440F0">
        <w:t>. After further review, s</w:t>
      </w:r>
      <w:r w:rsidR="000C2D22">
        <w:t>t</w:t>
      </w:r>
      <w:r>
        <w:t xml:space="preserve">aff discovered </w:t>
      </w:r>
      <w:r w:rsidR="009440F0">
        <w:t xml:space="preserve">errors in </w:t>
      </w:r>
      <w:r w:rsidR="000C2D22">
        <w:t>adjust</w:t>
      </w:r>
      <w:r w:rsidR="009440F0">
        <w:t xml:space="preserve">ing </w:t>
      </w:r>
      <w:r w:rsidR="00DB2128">
        <w:t xml:space="preserve">the company’s </w:t>
      </w:r>
      <w:r>
        <w:t xml:space="preserve">raw meter usage data to </w:t>
      </w:r>
      <w:r w:rsidR="000C2D22">
        <w:t>account for “</w:t>
      </w:r>
      <w:r>
        <w:t>compound meters”. Th</w:t>
      </w:r>
      <w:r w:rsidR="000C2D22">
        <w:t>e</w:t>
      </w:r>
      <w:r>
        <w:t xml:space="preserve"> error affected </w:t>
      </w:r>
      <w:r w:rsidR="006A2BC6" w:rsidRPr="006A2BC6">
        <w:t>eight of the 74</w:t>
      </w:r>
      <w:r>
        <w:t xml:space="preserve"> nonresidential </w:t>
      </w:r>
      <w:r w:rsidR="00370C13">
        <w:t xml:space="preserve">compound </w:t>
      </w:r>
      <w:r w:rsidR="00003847">
        <w:t xml:space="preserve">meters, </w:t>
      </w:r>
      <w:r w:rsidR="006A2BC6" w:rsidRPr="006A2BC6">
        <w:t>five</w:t>
      </w:r>
      <w:r>
        <w:t xml:space="preserve"> of which serve the District. The company verified the accuracy of the </w:t>
      </w:r>
      <w:r w:rsidR="00DB2128">
        <w:t xml:space="preserve">revised </w:t>
      </w:r>
      <w:r>
        <w:t xml:space="preserve">data, and staff provided the District </w:t>
      </w:r>
      <w:r w:rsidR="00F43A08">
        <w:t xml:space="preserve">and the company </w:t>
      </w:r>
      <w:r>
        <w:t xml:space="preserve">with its </w:t>
      </w:r>
      <w:r w:rsidR="00F43A08">
        <w:t xml:space="preserve">revised </w:t>
      </w:r>
      <w:r>
        <w:t>analysis</w:t>
      </w:r>
      <w:r w:rsidR="00DB2128">
        <w:t xml:space="preserve"> on May 19, 2010</w:t>
      </w:r>
      <w:r w:rsidR="000C2D22">
        <w:t>.</w:t>
      </w:r>
      <w:r w:rsidR="0035055F">
        <w:t xml:space="preserve"> </w:t>
      </w:r>
      <w:r w:rsidR="00F43A08">
        <w:t xml:space="preserve">Correcting the usage data </w:t>
      </w:r>
      <w:r w:rsidR="0035055F">
        <w:t xml:space="preserve">decreased the District’s estimated annual </w:t>
      </w:r>
      <w:r w:rsidR="00F43A08">
        <w:t>charges</w:t>
      </w:r>
      <w:r w:rsidR="00B828A1">
        <w:t xml:space="preserve"> from </w:t>
      </w:r>
      <w:r w:rsidR="006A2BC6" w:rsidRPr="006A2BC6">
        <w:t>$118,287 to $82,106, and would increase the District’s annual water charge by 116 percent as compared to current rates.</w:t>
      </w:r>
    </w:p>
    <w:p w:rsidR="002407A1" w:rsidRDefault="002407A1" w:rsidP="007F1BFD">
      <w:pPr>
        <w:pStyle w:val="NoSpacing"/>
      </w:pPr>
    </w:p>
    <w:p w:rsidR="000C2D22" w:rsidRDefault="000C2D22" w:rsidP="007F1BFD">
      <w:pPr>
        <w:pStyle w:val="NoSpacing"/>
      </w:pPr>
      <w:r w:rsidRPr="000C2D22">
        <w:t>The following table show</w:t>
      </w:r>
      <w:r w:rsidR="00245254">
        <w:t>s</w:t>
      </w:r>
      <w:r w:rsidRPr="000C2D22">
        <w:t xml:space="preserve"> </w:t>
      </w:r>
      <w:r w:rsidR="00B2322A">
        <w:t xml:space="preserve">the results of </w:t>
      </w:r>
      <w:r w:rsidR="00DB2128">
        <w:t xml:space="preserve">staff’s </w:t>
      </w:r>
      <w:r w:rsidR="00B2322A">
        <w:t xml:space="preserve">additional </w:t>
      </w:r>
      <w:r w:rsidR="00DB2128">
        <w:t>analysis</w:t>
      </w:r>
      <w:r w:rsidR="00B2322A">
        <w:t xml:space="preserve">. The table </w:t>
      </w:r>
      <w:r w:rsidR="00396AF9">
        <w:t>shows</w:t>
      </w:r>
      <w:r w:rsidR="00B2322A">
        <w:t xml:space="preserve"> </w:t>
      </w:r>
      <w:r w:rsidRPr="000C2D22">
        <w:t>the relationship between annual water usage and annual revenue for the residential and nonresidential classes, and</w:t>
      </w:r>
      <w:r w:rsidR="00245254">
        <w:t>, within the nonresidential class,</w:t>
      </w:r>
      <w:r w:rsidRPr="000C2D22">
        <w:t xml:space="preserve"> for the District and all other nonreside</w:t>
      </w:r>
      <w:r w:rsidR="00787112">
        <w:t>ntial customers.</w:t>
      </w:r>
      <w:r w:rsidR="00B2322A" w:rsidRPr="00B2322A">
        <w:t xml:space="preserve"> </w:t>
      </w:r>
      <w:r w:rsidR="00B2322A">
        <w:t>The additional analysis provides additional support for staff’s proposed revised rate design.</w:t>
      </w:r>
    </w:p>
    <w:p w:rsidR="0035055F" w:rsidRDefault="0035055F" w:rsidP="007F1BFD">
      <w:pPr>
        <w:pStyle w:val="NoSpacing"/>
      </w:pPr>
    </w:p>
    <w:tbl>
      <w:tblPr>
        <w:tblW w:w="5000" w:type="pct"/>
        <w:tblLook w:val="04A0"/>
      </w:tblPr>
      <w:tblGrid>
        <w:gridCol w:w="3316"/>
        <w:gridCol w:w="1974"/>
        <w:gridCol w:w="2204"/>
        <w:gridCol w:w="2082"/>
      </w:tblGrid>
      <w:tr w:rsidR="00787112" w:rsidRPr="00787112" w:rsidTr="00787112">
        <w:trPr>
          <w:trHeight w:val="780"/>
        </w:trPr>
        <w:tc>
          <w:tcPr>
            <w:tcW w:w="1731" w:type="pct"/>
            <w:tcBorders>
              <w:top w:val="nil"/>
              <w:left w:val="nil"/>
              <w:bottom w:val="nil"/>
              <w:right w:val="nil"/>
            </w:tcBorders>
            <w:shd w:val="clear" w:color="auto" w:fill="auto"/>
            <w:noWrap/>
            <w:vAlign w:val="bottom"/>
            <w:hideMark/>
          </w:tcPr>
          <w:p w:rsidR="00787112" w:rsidRPr="00787112" w:rsidRDefault="00787112" w:rsidP="00787112">
            <w:pPr>
              <w:rPr>
                <w:rFonts w:eastAsia="Times New Roman"/>
                <w:sz w:val="20"/>
                <w:szCs w:val="20"/>
              </w:rPr>
            </w:pPr>
          </w:p>
        </w:tc>
        <w:tc>
          <w:tcPr>
            <w:tcW w:w="1030" w:type="pct"/>
            <w:tcBorders>
              <w:top w:val="nil"/>
              <w:left w:val="nil"/>
              <w:bottom w:val="nil"/>
              <w:right w:val="nil"/>
            </w:tcBorders>
            <w:shd w:val="clear" w:color="000000" w:fill="D99795"/>
            <w:vAlign w:val="bottom"/>
            <w:hideMark/>
          </w:tcPr>
          <w:p w:rsidR="00787112" w:rsidRPr="00787112" w:rsidRDefault="00787112" w:rsidP="00787112">
            <w:pPr>
              <w:jc w:val="center"/>
              <w:rPr>
                <w:rFonts w:eastAsia="Times New Roman"/>
                <w:b/>
                <w:bCs/>
                <w:color w:val="FF0000"/>
                <w:sz w:val="20"/>
                <w:szCs w:val="20"/>
              </w:rPr>
            </w:pPr>
            <w:r w:rsidRPr="00787112">
              <w:rPr>
                <w:rFonts w:eastAsia="Times New Roman"/>
                <w:b/>
                <w:bCs/>
                <w:color w:val="FF0000"/>
                <w:sz w:val="20"/>
                <w:szCs w:val="20"/>
              </w:rPr>
              <w:t xml:space="preserve"> Total Yearly Bill ($) </w:t>
            </w:r>
          </w:p>
        </w:tc>
        <w:tc>
          <w:tcPr>
            <w:tcW w:w="1151" w:type="pct"/>
            <w:tcBorders>
              <w:top w:val="nil"/>
              <w:left w:val="nil"/>
              <w:bottom w:val="nil"/>
              <w:right w:val="nil"/>
            </w:tcBorders>
            <w:shd w:val="clear" w:color="000000" w:fill="D99795"/>
            <w:vAlign w:val="bottom"/>
            <w:hideMark/>
          </w:tcPr>
          <w:p w:rsidR="00787112" w:rsidRPr="00787112" w:rsidRDefault="00787112" w:rsidP="00647B19">
            <w:pPr>
              <w:jc w:val="center"/>
              <w:rPr>
                <w:rFonts w:eastAsia="Times New Roman"/>
                <w:b/>
                <w:bCs/>
                <w:color w:val="FF0000"/>
                <w:sz w:val="20"/>
                <w:szCs w:val="20"/>
              </w:rPr>
            </w:pPr>
            <w:r w:rsidRPr="00787112">
              <w:rPr>
                <w:rFonts w:eastAsia="Times New Roman"/>
                <w:b/>
                <w:bCs/>
                <w:color w:val="FF0000"/>
                <w:sz w:val="20"/>
                <w:szCs w:val="20"/>
              </w:rPr>
              <w:t xml:space="preserve"> Total Yearly Usage (cu</w:t>
            </w:r>
            <w:r w:rsidR="00647B19">
              <w:rPr>
                <w:rFonts w:eastAsia="Times New Roman"/>
                <w:b/>
                <w:bCs/>
                <w:color w:val="FF0000"/>
                <w:sz w:val="20"/>
                <w:szCs w:val="20"/>
              </w:rPr>
              <w:t xml:space="preserve">bic </w:t>
            </w:r>
            <w:r w:rsidRPr="00787112">
              <w:rPr>
                <w:rFonts w:eastAsia="Times New Roman"/>
                <w:b/>
                <w:bCs/>
                <w:color w:val="FF0000"/>
                <w:sz w:val="20"/>
                <w:szCs w:val="20"/>
              </w:rPr>
              <w:t>f</w:t>
            </w:r>
            <w:r w:rsidR="00647B19">
              <w:rPr>
                <w:rFonts w:eastAsia="Times New Roman"/>
                <w:b/>
                <w:bCs/>
                <w:color w:val="FF0000"/>
                <w:sz w:val="20"/>
                <w:szCs w:val="20"/>
              </w:rPr>
              <w:t>ee</w:t>
            </w:r>
            <w:r w:rsidRPr="00787112">
              <w:rPr>
                <w:rFonts w:eastAsia="Times New Roman"/>
                <w:b/>
                <w:bCs/>
                <w:color w:val="FF0000"/>
                <w:sz w:val="20"/>
                <w:szCs w:val="20"/>
              </w:rPr>
              <w:t xml:space="preserve">t) </w:t>
            </w:r>
          </w:p>
        </w:tc>
        <w:tc>
          <w:tcPr>
            <w:tcW w:w="1087" w:type="pct"/>
            <w:tcBorders>
              <w:top w:val="nil"/>
              <w:left w:val="nil"/>
              <w:bottom w:val="nil"/>
              <w:right w:val="nil"/>
            </w:tcBorders>
            <w:shd w:val="clear" w:color="000000" w:fill="D99795"/>
            <w:vAlign w:val="bottom"/>
            <w:hideMark/>
          </w:tcPr>
          <w:p w:rsidR="00787112" w:rsidRPr="00787112" w:rsidRDefault="00787112" w:rsidP="00647B19">
            <w:pPr>
              <w:jc w:val="center"/>
              <w:rPr>
                <w:rFonts w:eastAsia="Times New Roman"/>
                <w:b/>
                <w:bCs/>
                <w:color w:val="FF0000"/>
                <w:sz w:val="20"/>
                <w:szCs w:val="20"/>
              </w:rPr>
            </w:pPr>
            <w:r w:rsidRPr="00787112">
              <w:rPr>
                <w:rFonts w:eastAsia="Times New Roman"/>
                <w:b/>
                <w:bCs/>
                <w:color w:val="FF0000"/>
                <w:sz w:val="20"/>
                <w:szCs w:val="20"/>
              </w:rPr>
              <w:t xml:space="preserve"> Average Monthly Usage (cu</w:t>
            </w:r>
            <w:r w:rsidR="00647B19">
              <w:rPr>
                <w:rFonts w:eastAsia="Times New Roman"/>
                <w:b/>
                <w:bCs/>
                <w:color w:val="FF0000"/>
                <w:sz w:val="20"/>
                <w:szCs w:val="20"/>
              </w:rPr>
              <w:t xml:space="preserve">bic </w:t>
            </w:r>
            <w:r w:rsidRPr="00787112">
              <w:rPr>
                <w:rFonts w:eastAsia="Times New Roman"/>
                <w:b/>
                <w:bCs/>
                <w:color w:val="FF0000"/>
                <w:sz w:val="20"/>
                <w:szCs w:val="20"/>
              </w:rPr>
              <w:t>f</w:t>
            </w:r>
            <w:r w:rsidR="00647B19">
              <w:rPr>
                <w:rFonts w:eastAsia="Times New Roman"/>
                <w:b/>
                <w:bCs/>
                <w:color w:val="FF0000"/>
                <w:sz w:val="20"/>
                <w:szCs w:val="20"/>
              </w:rPr>
              <w:t>ee</w:t>
            </w:r>
            <w:r w:rsidR="00245254">
              <w:rPr>
                <w:rFonts w:eastAsia="Times New Roman"/>
                <w:b/>
                <w:bCs/>
                <w:color w:val="FF0000"/>
                <w:sz w:val="20"/>
                <w:szCs w:val="20"/>
              </w:rPr>
              <w:t>t</w:t>
            </w:r>
            <w:r w:rsidRPr="00787112">
              <w:rPr>
                <w:rFonts w:eastAsia="Times New Roman"/>
                <w:b/>
                <w:bCs/>
                <w:color w:val="FF0000"/>
                <w:sz w:val="20"/>
                <w:szCs w:val="20"/>
              </w:rPr>
              <w:t xml:space="preserve">.)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787112">
            <w:pPr>
              <w:jc w:val="right"/>
              <w:rPr>
                <w:rFonts w:eastAsia="Times New Roman"/>
                <w:b/>
                <w:bCs/>
                <w:sz w:val="20"/>
                <w:szCs w:val="20"/>
              </w:rPr>
            </w:pPr>
            <w:r w:rsidRPr="00787112">
              <w:rPr>
                <w:rFonts w:eastAsia="Times New Roman"/>
                <w:b/>
                <w:bCs/>
                <w:sz w:val="20"/>
                <w:szCs w:val="20"/>
              </w:rPr>
              <w:t>Bethel School Dist</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 $             82,106 </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4,100,300 </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17,085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787112">
            <w:pPr>
              <w:jc w:val="right"/>
              <w:rPr>
                <w:rFonts w:eastAsia="Times New Roman"/>
                <w:i/>
                <w:iCs/>
                <w:sz w:val="20"/>
                <w:szCs w:val="20"/>
              </w:rPr>
            </w:pPr>
            <w:r w:rsidRPr="00787112">
              <w:rPr>
                <w:rFonts w:eastAsia="Times New Roman"/>
                <w:i/>
                <w:iCs/>
                <w:sz w:val="20"/>
                <w:szCs w:val="20"/>
              </w:rPr>
              <w:t xml:space="preserve">Percent of </w:t>
            </w:r>
            <w:r w:rsidR="00647B19">
              <w:rPr>
                <w:rFonts w:eastAsia="Times New Roman"/>
                <w:i/>
                <w:iCs/>
                <w:sz w:val="20"/>
                <w:szCs w:val="20"/>
              </w:rPr>
              <w:t xml:space="preserve">Total </w:t>
            </w:r>
            <w:r w:rsidRPr="00787112">
              <w:rPr>
                <w:rFonts w:eastAsia="Times New Roman"/>
                <w:i/>
                <w:iCs/>
                <w:sz w:val="20"/>
                <w:szCs w:val="20"/>
              </w:rPr>
              <w:t>Non-Residential</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17.4%</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18.7%</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647B19">
            <w:pPr>
              <w:jc w:val="right"/>
              <w:rPr>
                <w:rFonts w:eastAsia="Times New Roman"/>
                <w:i/>
                <w:iCs/>
                <w:sz w:val="20"/>
                <w:szCs w:val="20"/>
              </w:rPr>
            </w:pPr>
            <w:r w:rsidRPr="00787112">
              <w:rPr>
                <w:rFonts w:eastAsia="Times New Roman"/>
                <w:i/>
                <w:iCs/>
                <w:sz w:val="20"/>
                <w:szCs w:val="20"/>
              </w:rPr>
              <w:t>Percent of Total</w:t>
            </w:r>
            <w:r w:rsidR="00647B19">
              <w:rPr>
                <w:rFonts w:eastAsia="Times New Roman"/>
                <w:i/>
                <w:iCs/>
                <w:sz w:val="20"/>
                <w:szCs w:val="20"/>
              </w:rPr>
              <w:t xml:space="preserve"> Company</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1.8%</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2.2%</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787112">
            <w:pPr>
              <w:jc w:val="right"/>
              <w:rPr>
                <w:rFonts w:eastAsia="Times New Roman"/>
                <w:b/>
                <w:bCs/>
                <w:sz w:val="20"/>
                <w:szCs w:val="20"/>
              </w:rPr>
            </w:pPr>
            <w:r w:rsidRPr="00787112">
              <w:rPr>
                <w:rFonts w:eastAsia="Times New Roman"/>
                <w:b/>
                <w:bCs/>
                <w:sz w:val="20"/>
                <w:szCs w:val="20"/>
              </w:rPr>
              <w:t>All Other Non-Residential</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 $           390,907 </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17,877,500 </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3,355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787112">
            <w:pPr>
              <w:jc w:val="right"/>
              <w:rPr>
                <w:rFonts w:eastAsia="Times New Roman"/>
                <w:i/>
                <w:iCs/>
                <w:sz w:val="20"/>
                <w:szCs w:val="20"/>
              </w:rPr>
            </w:pPr>
            <w:r w:rsidRPr="00787112">
              <w:rPr>
                <w:rFonts w:eastAsia="Times New Roman"/>
                <w:i/>
                <w:iCs/>
                <w:sz w:val="20"/>
                <w:szCs w:val="20"/>
              </w:rPr>
              <w:t xml:space="preserve">Percent of </w:t>
            </w:r>
            <w:r w:rsidR="00647B19">
              <w:rPr>
                <w:rFonts w:eastAsia="Times New Roman"/>
                <w:i/>
                <w:iCs/>
                <w:sz w:val="20"/>
                <w:szCs w:val="20"/>
              </w:rPr>
              <w:t xml:space="preserve">Total </w:t>
            </w:r>
            <w:r w:rsidRPr="00787112">
              <w:rPr>
                <w:rFonts w:eastAsia="Times New Roman"/>
                <w:i/>
                <w:iCs/>
                <w:sz w:val="20"/>
                <w:szCs w:val="20"/>
              </w:rPr>
              <w:t>Non-Residential</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82.6%</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81.3%</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647B19">
            <w:pPr>
              <w:jc w:val="right"/>
              <w:rPr>
                <w:rFonts w:eastAsia="Times New Roman"/>
                <w:i/>
                <w:iCs/>
                <w:sz w:val="20"/>
                <w:szCs w:val="20"/>
              </w:rPr>
            </w:pPr>
            <w:r w:rsidRPr="00787112">
              <w:rPr>
                <w:rFonts w:eastAsia="Times New Roman"/>
                <w:i/>
                <w:iCs/>
                <w:sz w:val="20"/>
                <w:szCs w:val="20"/>
              </w:rPr>
              <w:t xml:space="preserve">Percent of Total </w:t>
            </w:r>
            <w:r w:rsidR="00647B19">
              <w:rPr>
                <w:rFonts w:eastAsia="Times New Roman"/>
                <w:i/>
                <w:iCs/>
                <w:sz w:val="20"/>
                <w:szCs w:val="20"/>
              </w:rPr>
              <w:t>Company</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8.8%</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9.6%</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787112">
            <w:pPr>
              <w:rPr>
                <w:rFonts w:eastAsia="Times New Roman"/>
                <w:sz w:val="20"/>
                <w:szCs w:val="20"/>
              </w:rPr>
            </w:pPr>
            <w:r w:rsidRPr="00787112">
              <w:rPr>
                <w:rFonts w:eastAsia="Times New Roman"/>
                <w:sz w:val="20"/>
                <w:szCs w:val="20"/>
              </w:rPr>
              <w:t> </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r w:rsidR="00787112" w:rsidRPr="00787112" w:rsidTr="00787112">
        <w:trPr>
          <w:trHeight w:val="300"/>
        </w:trPr>
        <w:tc>
          <w:tcPr>
            <w:tcW w:w="1731" w:type="pct"/>
            <w:tcBorders>
              <w:top w:val="nil"/>
              <w:left w:val="nil"/>
              <w:bottom w:val="nil"/>
              <w:right w:val="nil"/>
            </w:tcBorders>
            <w:shd w:val="clear" w:color="000000" w:fill="DBE5F1"/>
            <w:noWrap/>
            <w:vAlign w:val="bottom"/>
            <w:hideMark/>
          </w:tcPr>
          <w:p w:rsidR="00787112" w:rsidRPr="00787112" w:rsidRDefault="00787112" w:rsidP="00787112">
            <w:pPr>
              <w:jc w:val="right"/>
              <w:rPr>
                <w:rFonts w:eastAsia="Times New Roman"/>
                <w:b/>
                <w:bCs/>
                <w:sz w:val="20"/>
                <w:szCs w:val="20"/>
              </w:rPr>
            </w:pPr>
            <w:r w:rsidRPr="00787112">
              <w:rPr>
                <w:rFonts w:eastAsia="Times New Roman"/>
                <w:b/>
                <w:bCs/>
                <w:sz w:val="20"/>
                <w:szCs w:val="20"/>
              </w:rPr>
              <w:t>Total Non-Residential</w:t>
            </w:r>
          </w:p>
        </w:tc>
        <w:tc>
          <w:tcPr>
            <w:tcW w:w="1030"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 $           473,013 </w:t>
            </w:r>
          </w:p>
        </w:tc>
        <w:tc>
          <w:tcPr>
            <w:tcW w:w="1151"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21,977,800 </w:t>
            </w:r>
          </w:p>
        </w:tc>
        <w:tc>
          <w:tcPr>
            <w:tcW w:w="1087"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4,249 </w:t>
            </w:r>
          </w:p>
        </w:tc>
      </w:tr>
      <w:tr w:rsidR="00787112" w:rsidRPr="00787112" w:rsidTr="00787112">
        <w:trPr>
          <w:trHeight w:val="300"/>
        </w:trPr>
        <w:tc>
          <w:tcPr>
            <w:tcW w:w="1731" w:type="pct"/>
            <w:tcBorders>
              <w:top w:val="nil"/>
              <w:left w:val="nil"/>
              <w:bottom w:val="nil"/>
              <w:right w:val="nil"/>
            </w:tcBorders>
            <w:shd w:val="clear" w:color="000000" w:fill="DBE5F1"/>
            <w:noWrap/>
            <w:vAlign w:val="bottom"/>
            <w:hideMark/>
          </w:tcPr>
          <w:p w:rsidR="00787112" w:rsidRPr="00787112" w:rsidRDefault="00787112" w:rsidP="00647B19">
            <w:pPr>
              <w:jc w:val="right"/>
              <w:rPr>
                <w:rFonts w:eastAsia="Times New Roman"/>
                <w:i/>
                <w:iCs/>
                <w:sz w:val="20"/>
                <w:szCs w:val="20"/>
              </w:rPr>
            </w:pPr>
            <w:r w:rsidRPr="00787112">
              <w:rPr>
                <w:rFonts w:eastAsia="Times New Roman"/>
                <w:i/>
                <w:iCs/>
                <w:sz w:val="20"/>
                <w:szCs w:val="20"/>
              </w:rPr>
              <w:t xml:space="preserve">Percent of Total </w:t>
            </w:r>
            <w:r w:rsidR="00647B19">
              <w:rPr>
                <w:rFonts w:eastAsia="Times New Roman"/>
                <w:i/>
                <w:iCs/>
                <w:sz w:val="20"/>
                <w:szCs w:val="20"/>
              </w:rPr>
              <w:t>Company</w:t>
            </w:r>
          </w:p>
        </w:tc>
        <w:tc>
          <w:tcPr>
            <w:tcW w:w="1030"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10.6%</w:t>
            </w:r>
          </w:p>
        </w:tc>
        <w:tc>
          <w:tcPr>
            <w:tcW w:w="1151"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11.8%</w:t>
            </w:r>
          </w:p>
        </w:tc>
        <w:tc>
          <w:tcPr>
            <w:tcW w:w="1087"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787112">
            <w:pPr>
              <w:rPr>
                <w:rFonts w:ascii="Calibri" w:eastAsia="Times New Roman" w:hAnsi="Calibri"/>
                <w:color w:val="000000"/>
                <w:sz w:val="22"/>
                <w:szCs w:val="22"/>
              </w:rPr>
            </w:pPr>
            <w:r w:rsidRPr="00787112">
              <w:rPr>
                <w:rFonts w:ascii="Calibri" w:eastAsia="Times New Roman" w:hAnsi="Calibri"/>
                <w:color w:val="000000"/>
                <w:sz w:val="22"/>
                <w:szCs w:val="22"/>
              </w:rPr>
              <w:t> </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ascii="Calibri" w:eastAsia="Times New Roman" w:hAnsi="Calibri"/>
                <w:color w:val="000000"/>
                <w:sz w:val="22"/>
                <w:szCs w:val="22"/>
              </w:rPr>
            </w:pPr>
            <w:r w:rsidRPr="00787112">
              <w:rPr>
                <w:rFonts w:ascii="Calibri" w:eastAsia="Times New Roman" w:hAnsi="Calibri"/>
                <w:color w:val="000000"/>
                <w:sz w:val="22"/>
                <w:szCs w:val="22"/>
              </w:rPr>
              <w:t> </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ascii="Calibri" w:eastAsia="Times New Roman" w:hAnsi="Calibri"/>
                <w:color w:val="000000"/>
                <w:sz w:val="22"/>
                <w:szCs w:val="22"/>
              </w:rPr>
            </w:pPr>
            <w:r w:rsidRPr="00787112">
              <w:rPr>
                <w:rFonts w:ascii="Calibri" w:eastAsia="Times New Roman" w:hAnsi="Calibri"/>
                <w:color w:val="000000"/>
                <w:sz w:val="22"/>
                <w:szCs w:val="22"/>
              </w:rPr>
              <w:t> </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ascii="Calibri" w:eastAsia="Times New Roman" w:hAnsi="Calibri"/>
                <w:color w:val="000000"/>
                <w:sz w:val="22"/>
                <w:szCs w:val="22"/>
              </w:rPr>
            </w:pPr>
            <w:r w:rsidRPr="00787112">
              <w:rPr>
                <w:rFonts w:ascii="Calibri" w:eastAsia="Times New Roman" w:hAnsi="Calibri"/>
                <w:color w:val="000000"/>
                <w:sz w:val="22"/>
                <w:szCs w:val="22"/>
              </w:rPr>
              <w:t>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787112">
            <w:pPr>
              <w:jc w:val="right"/>
              <w:rPr>
                <w:rFonts w:eastAsia="Times New Roman"/>
                <w:b/>
                <w:bCs/>
                <w:sz w:val="20"/>
                <w:szCs w:val="20"/>
              </w:rPr>
            </w:pPr>
            <w:r w:rsidRPr="00787112">
              <w:rPr>
                <w:rFonts w:eastAsia="Times New Roman"/>
                <w:b/>
                <w:bCs/>
                <w:sz w:val="20"/>
                <w:szCs w:val="20"/>
              </w:rPr>
              <w:t>Residential</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 $        3,972,586 </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164,107,700 </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866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647B19">
            <w:pPr>
              <w:jc w:val="right"/>
              <w:rPr>
                <w:rFonts w:eastAsia="Times New Roman"/>
                <w:i/>
                <w:iCs/>
                <w:sz w:val="20"/>
                <w:szCs w:val="20"/>
              </w:rPr>
            </w:pPr>
            <w:r w:rsidRPr="00787112">
              <w:rPr>
                <w:rFonts w:eastAsia="Times New Roman"/>
                <w:i/>
                <w:iCs/>
                <w:sz w:val="20"/>
                <w:szCs w:val="20"/>
              </w:rPr>
              <w:t xml:space="preserve">Percent of Total </w:t>
            </w:r>
            <w:r w:rsidR="00647B19">
              <w:rPr>
                <w:rFonts w:eastAsia="Times New Roman"/>
                <w:i/>
                <w:iCs/>
                <w:sz w:val="20"/>
                <w:szCs w:val="20"/>
              </w:rPr>
              <w:t>Company</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89.4%</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88.2%</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r w:rsidR="00787112" w:rsidRPr="00787112" w:rsidTr="00787112">
        <w:trPr>
          <w:trHeight w:val="300"/>
        </w:trPr>
        <w:tc>
          <w:tcPr>
            <w:tcW w:w="1731" w:type="pct"/>
            <w:tcBorders>
              <w:top w:val="nil"/>
              <w:left w:val="nil"/>
              <w:bottom w:val="nil"/>
              <w:right w:val="nil"/>
            </w:tcBorders>
            <w:shd w:val="clear" w:color="000000" w:fill="EAF1DD"/>
            <w:noWrap/>
            <w:vAlign w:val="bottom"/>
            <w:hideMark/>
          </w:tcPr>
          <w:p w:rsidR="00787112" w:rsidRPr="00787112" w:rsidRDefault="00787112" w:rsidP="00787112">
            <w:pPr>
              <w:rPr>
                <w:rFonts w:ascii="Calibri" w:eastAsia="Times New Roman" w:hAnsi="Calibri"/>
                <w:color w:val="000000"/>
                <w:sz w:val="22"/>
                <w:szCs w:val="22"/>
              </w:rPr>
            </w:pPr>
            <w:r w:rsidRPr="00787112">
              <w:rPr>
                <w:rFonts w:ascii="Calibri" w:eastAsia="Times New Roman" w:hAnsi="Calibri"/>
                <w:color w:val="000000"/>
                <w:sz w:val="22"/>
                <w:szCs w:val="22"/>
              </w:rPr>
              <w:t> </w:t>
            </w:r>
          </w:p>
        </w:tc>
        <w:tc>
          <w:tcPr>
            <w:tcW w:w="1030" w:type="pct"/>
            <w:tcBorders>
              <w:top w:val="nil"/>
              <w:left w:val="nil"/>
              <w:bottom w:val="nil"/>
              <w:right w:val="nil"/>
            </w:tcBorders>
            <w:shd w:val="clear" w:color="000000" w:fill="EAF1DD"/>
            <w:noWrap/>
            <w:vAlign w:val="center"/>
            <w:hideMark/>
          </w:tcPr>
          <w:p w:rsidR="00787112" w:rsidRPr="00787112" w:rsidRDefault="00787112" w:rsidP="00787112">
            <w:pPr>
              <w:jc w:val="right"/>
              <w:rPr>
                <w:rFonts w:ascii="Calibri" w:eastAsia="Times New Roman" w:hAnsi="Calibri"/>
                <w:color w:val="000000"/>
                <w:sz w:val="22"/>
                <w:szCs w:val="22"/>
              </w:rPr>
            </w:pPr>
            <w:r w:rsidRPr="00787112">
              <w:rPr>
                <w:rFonts w:ascii="Calibri" w:eastAsia="Times New Roman" w:hAnsi="Calibri"/>
                <w:color w:val="000000"/>
                <w:sz w:val="22"/>
                <w:szCs w:val="22"/>
              </w:rPr>
              <w:t> </w:t>
            </w:r>
          </w:p>
        </w:tc>
        <w:tc>
          <w:tcPr>
            <w:tcW w:w="1151" w:type="pct"/>
            <w:tcBorders>
              <w:top w:val="nil"/>
              <w:left w:val="nil"/>
              <w:bottom w:val="nil"/>
              <w:right w:val="nil"/>
            </w:tcBorders>
            <w:shd w:val="clear" w:color="000000" w:fill="EAF1DD"/>
            <w:noWrap/>
            <w:vAlign w:val="center"/>
            <w:hideMark/>
          </w:tcPr>
          <w:p w:rsidR="00787112" w:rsidRPr="00787112" w:rsidRDefault="00787112" w:rsidP="00787112">
            <w:pPr>
              <w:jc w:val="right"/>
              <w:rPr>
                <w:rFonts w:ascii="Calibri" w:eastAsia="Times New Roman" w:hAnsi="Calibri"/>
                <w:color w:val="000000"/>
                <w:sz w:val="22"/>
                <w:szCs w:val="22"/>
              </w:rPr>
            </w:pPr>
            <w:r w:rsidRPr="00787112">
              <w:rPr>
                <w:rFonts w:ascii="Calibri" w:eastAsia="Times New Roman" w:hAnsi="Calibri"/>
                <w:color w:val="000000"/>
                <w:sz w:val="22"/>
                <w:szCs w:val="22"/>
              </w:rPr>
              <w:t> </w:t>
            </w:r>
          </w:p>
        </w:tc>
        <w:tc>
          <w:tcPr>
            <w:tcW w:w="1087" w:type="pct"/>
            <w:tcBorders>
              <w:top w:val="nil"/>
              <w:left w:val="nil"/>
              <w:bottom w:val="nil"/>
              <w:right w:val="nil"/>
            </w:tcBorders>
            <w:shd w:val="clear" w:color="000000" w:fill="EAF1DD"/>
            <w:noWrap/>
            <w:vAlign w:val="center"/>
            <w:hideMark/>
          </w:tcPr>
          <w:p w:rsidR="00787112" w:rsidRPr="00787112" w:rsidRDefault="00787112" w:rsidP="00787112">
            <w:pPr>
              <w:jc w:val="right"/>
              <w:rPr>
                <w:rFonts w:ascii="Calibri" w:eastAsia="Times New Roman" w:hAnsi="Calibri"/>
                <w:color w:val="000000"/>
                <w:sz w:val="22"/>
                <w:szCs w:val="22"/>
              </w:rPr>
            </w:pPr>
            <w:r w:rsidRPr="00787112">
              <w:rPr>
                <w:rFonts w:ascii="Calibri" w:eastAsia="Times New Roman" w:hAnsi="Calibri"/>
                <w:color w:val="000000"/>
                <w:sz w:val="22"/>
                <w:szCs w:val="22"/>
              </w:rPr>
              <w:t> </w:t>
            </w:r>
          </w:p>
        </w:tc>
      </w:tr>
      <w:tr w:rsidR="00787112" w:rsidRPr="00787112" w:rsidTr="00787112">
        <w:trPr>
          <w:trHeight w:val="300"/>
        </w:trPr>
        <w:tc>
          <w:tcPr>
            <w:tcW w:w="1731" w:type="pct"/>
            <w:tcBorders>
              <w:top w:val="nil"/>
              <w:left w:val="nil"/>
              <w:bottom w:val="nil"/>
              <w:right w:val="nil"/>
            </w:tcBorders>
            <w:shd w:val="clear" w:color="000000" w:fill="DBE5F1"/>
            <w:noWrap/>
            <w:vAlign w:val="bottom"/>
            <w:hideMark/>
          </w:tcPr>
          <w:p w:rsidR="00787112" w:rsidRPr="00787112" w:rsidRDefault="00787112" w:rsidP="00647B19">
            <w:pPr>
              <w:jc w:val="right"/>
              <w:rPr>
                <w:rFonts w:eastAsia="Times New Roman"/>
                <w:b/>
                <w:bCs/>
                <w:sz w:val="20"/>
                <w:szCs w:val="20"/>
              </w:rPr>
            </w:pPr>
            <w:r w:rsidRPr="00787112">
              <w:rPr>
                <w:rFonts w:eastAsia="Times New Roman"/>
                <w:b/>
                <w:bCs/>
                <w:sz w:val="20"/>
                <w:szCs w:val="20"/>
              </w:rPr>
              <w:t xml:space="preserve">Total </w:t>
            </w:r>
            <w:r w:rsidR="00647B19">
              <w:rPr>
                <w:rFonts w:eastAsia="Times New Roman"/>
                <w:b/>
                <w:bCs/>
                <w:sz w:val="20"/>
                <w:szCs w:val="20"/>
              </w:rPr>
              <w:t>Company</w:t>
            </w:r>
          </w:p>
        </w:tc>
        <w:tc>
          <w:tcPr>
            <w:tcW w:w="1030"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 $        4,445,599 </w:t>
            </w:r>
          </w:p>
        </w:tc>
        <w:tc>
          <w:tcPr>
            <w:tcW w:w="1151"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xml:space="preserve">186,085,500 </w:t>
            </w:r>
          </w:p>
        </w:tc>
        <w:tc>
          <w:tcPr>
            <w:tcW w:w="1087"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r w:rsidR="00787112" w:rsidRPr="00787112" w:rsidTr="00787112">
        <w:trPr>
          <w:trHeight w:val="300"/>
        </w:trPr>
        <w:tc>
          <w:tcPr>
            <w:tcW w:w="1731" w:type="pct"/>
            <w:tcBorders>
              <w:top w:val="nil"/>
              <w:left w:val="nil"/>
              <w:bottom w:val="nil"/>
              <w:right w:val="nil"/>
            </w:tcBorders>
            <w:shd w:val="clear" w:color="000000" w:fill="DBE5F1"/>
            <w:noWrap/>
            <w:vAlign w:val="bottom"/>
            <w:hideMark/>
          </w:tcPr>
          <w:p w:rsidR="00787112" w:rsidRPr="00787112" w:rsidRDefault="00787112" w:rsidP="00787112">
            <w:pPr>
              <w:jc w:val="right"/>
              <w:rPr>
                <w:rFonts w:eastAsia="Times New Roman"/>
                <w:i/>
                <w:iCs/>
                <w:sz w:val="20"/>
                <w:szCs w:val="20"/>
              </w:rPr>
            </w:pPr>
            <w:r w:rsidRPr="00787112">
              <w:rPr>
                <w:rFonts w:eastAsia="Times New Roman"/>
                <w:i/>
                <w:iCs/>
                <w:sz w:val="20"/>
                <w:szCs w:val="20"/>
              </w:rPr>
              <w:t> </w:t>
            </w:r>
          </w:p>
        </w:tc>
        <w:tc>
          <w:tcPr>
            <w:tcW w:w="1030"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100.0%</w:t>
            </w:r>
          </w:p>
        </w:tc>
        <w:tc>
          <w:tcPr>
            <w:tcW w:w="1151"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100.0%</w:t>
            </w:r>
          </w:p>
        </w:tc>
        <w:tc>
          <w:tcPr>
            <w:tcW w:w="1087" w:type="pct"/>
            <w:tcBorders>
              <w:top w:val="nil"/>
              <w:left w:val="nil"/>
              <w:bottom w:val="nil"/>
              <w:right w:val="nil"/>
            </w:tcBorders>
            <w:shd w:val="clear" w:color="000000" w:fill="DBE5F1"/>
            <w:noWrap/>
            <w:vAlign w:val="center"/>
            <w:hideMark/>
          </w:tcPr>
          <w:p w:rsidR="00787112" w:rsidRPr="00787112" w:rsidRDefault="00787112" w:rsidP="00787112">
            <w:pPr>
              <w:jc w:val="right"/>
              <w:rPr>
                <w:rFonts w:eastAsia="Times New Roman"/>
                <w:sz w:val="20"/>
                <w:szCs w:val="20"/>
              </w:rPr>
            </w:pPr>
            <w:r w:rsidRPr="00787112">
              <w:rPr>
                <w:rFonts w:eastAsia="Times New Roman"/>
                <w:sz w:val="20"/>
                <w:szCs w:val="20"/>
              </w:rPr>
              <w:t> </w:t>
            </w:r>
          </w:p>
        </w:tc>
      </w:tr>
    </w:tbl>
    <w:p w:rsidR="002B5769" w:rsidRDefault="002B5769" w:rsidP="007F1BFD">
      <w:pPr>
        <w:pStyle w:val="NoSpacing"/>
      </w:pPr>
    </w:p>
    <w:p w:rsidR="002B5769" w:rsidRDefault="002B5769" w:rsidP="007F1BFD">
      <w:pPr>
        <w:pStyle w:val="NoSpacing"/>
      </w:pPr>
    </w:p>
    <w:p w:rsidR="0035055F" w:rsidRDefault="002C5B30" w:rsidP="007F1BFD">
      <w:pPr>
        <w:pStyle w:val="NoSpacing"/>
      </w:pPr>
      <w:r>
        <w:t xml:space="preserve">Although the parties have made some progress in resolving issues, the District asks the commission to further postpone consideration of this matter to allow the District more time to understand and analyze the filing and prepare comments. </w:t>
      </w:r>
      <w:r w:rsidR="0035055F">
        <w:t xml:space="preserve">The District claims </w:t>
      </w:r>
      <w:r w:rsidR="0035055F" w:rsidRPr="0035055F">
        <w:t xml:space="preserve">that it would be disproportionately impacted by the rate increases in a manner that is unfair, unjust and </w:t>
      </w:r>
      <w:r w:rsidR="0035055F" w:rsidRPr="0035055F">
        <w:lastRenderedPageBreak/>
        <w:t>unreasonable</w:t>
      </w:r>
      <w:r w:rsidR="00DB2128">
        <w:t xml:space="preserve">. </w:t>
      </w:r>
      <w:r w:rsidR="004A21E5">
        <w:t>Although s</w:t>
      </w:r>
      <w:r w:rsidR="00DB2128">
        <w:t xml:space="preserve">taff agrees that the District would be disproportionately impacted by the revised rates, </w:t>
      </w:r>
      <w:r w:rsidR="005B6C93">
        <w:t xml:space="preserve">staff notes that </w:t>
      </w:r>
      <w:r w:rsidR="004A21E5">
        <w:t xml:space="preserve">the </w:t>
      </w:r>
      <w:r w:rsidR="005B6C93">
        <w:t xml:space="preserve">disproportionate impact is </w:t>
      </w:r>
      <w:r w:rsidR="00DB2128" w:rsidRPr="00DB2128">
        <w:rPr>
          <w:u w:val="single"/>
        </w:rPr>
        <w:t>less</w:t>
      </w:r>
      <w:r w:rsidR="00511D49">
        <w:rPr>
          <w:u w:val="single"/>
        </w:rPr>
        <w:t>,</w:t>
      </w:r>
      <w:r w:rsidR="00511D49">
        <w:t xml:space="preserve"> not more,</w:t>
      </w:r>
      <w:r w:rsidR="00DB2128">
        <w:t xml:space="preserve"> than other customer groups.</w:t>
      </w:r>
      <w:r w:rsidR="0035055F" w:rsidRPr="0035055F">
        <w:t xml:space="preserve"> </w:t>
      </w:r>
      <w:r w:rsidR="0035055F">
        <w:t>Based upon usage, the District would pay relatively less than “all other nonresidential”</w:t>
      </w:r>
      <w:r w:rsidR="00DB2128">
        <w:t xml:space="preserve"> customers</w:t>
      </w:r>
      <w:r w:rsidR="0035055F">
        <w:t xml:space="preserve">, as a group, and that </w:t>
      </w:r>
      <w:r w:rsidR="00DB2128">
        <w:t xml:space="preserve">the </w:t>
      </w:r>
      <w:r w:rsidR="0035055F">
        <w:t>nonresidential</w:t>
      </w:r>
      <w:r w:rsidR="00DB2128">
        <w:t xml:space="preserve"> </w:t>
      </w:r>
      <w:r w:rsidR="00702FA4">
        <w:t xml:space="preserve">class of </w:t>
      </w:r>
      <w:r w:rsidR="00DB2128">
        <w:t>customers</w:t>
      </w:r>
      <w:r w:rsidR="00702FA4">
        <w:t xml:space="preserve"> </w:t>
      </w:r>
      <w:r w:rsidR="0035055F">
        <w:t>w</w:t>
      </w:r>
      <w:r w:rsidR="00511D49">
        <w:t>ould</w:t>
      </w:r>
      <w:r w:rsidR="0035055F">
        <w:t xml:space="preserve"> pay relatively less than the residential class</w:t>
      </w:r>
      <w:r w:rsidR="00702FA4">
        <w:t xml:space="preserve"> of customers</w:t>
      </w:r>
      <w:r w:rsidR="0035055F">
        <w:t>.</w:t>
      </w:r>
    </w:p>
    <w:p w:rsidR="000C2D22" w:rsidRDefault="000C2D22" w:rsidP="007F1BFD">
      <w:pPr>
        <w:pStyle w:val="NoSpacing"/>
      </w:pPr>
    </w:p>
    <w:p w:rsidR="00B2322A" w:rsidRDefault="00B2322A" w:rsidP="00B2322A">
      <w:pPr>
        <w:pStyle w:val="NoSpacing"/>
      </w:pPr>
      <w:r>
        <w:t>The company opposes further delay</w:t>
      </w:r>
      <w:r w:rsidR="001C7342">
        <w:t xml:space="preserve"> of the implementation of the revised rates</w:t>
      </w:r>
      <w:r>
        <w:t>.  Review of the company’s historical usage and revenue pattern demonstrates the critical timing of implementing rates that will apply during the higher usage months during the summer.</w:t>
      </w:r>
    </w:p>
    <w:p w:rsidR="00930C8A" w:rsidRDefault="00930C8A" w:rsidP="007F1BFD">
      <w:pPr>
        <w:pStyle w:val="NoSpacing"/>
      </w:pPr>
    </w:p>
    <w:p w:rsidR="00A05A98" w:rsidRPr="00A05A98" w:rsidRDefault="00A05A98" w:rsidP="00A05A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rPr>
          <w:rFonts w:eastAsia="Times New Roman"/>
          <w:b/>
          <w:u w:val="single"/>
        </w:rPr>
      </w:pPr>
      <w:r w:rsidRPr="00A05A98">
        <w:rPr>
          <w:rFonts w:eastAsia="Times New Roman"/>
          <w:b/>
          <w:u w:val="single"/>
        </w:rPr>
        <w:t>Conclusion</w:t>
      </w:r>
    </w:p>
    <w:p w:rsidR="00792FC6" w:rsidRDefault="00245254" w:rsidP="007F1BFD">
      <w:pPr>
        <w:pStyle w:val="NoSpacing"/>
      </w:pPr>
      <w:r>
        <w:t>To balance the interests of all parties, s</w:t>
      </w:r>
      <w:r w:rsidR="00930C8A">
        <w:t xml:space="preserve">taff recommends that the commission allow the revised rates </w:t>
      </w:r>
      <w:r w:rsidR="008F57BB">
        <w:t>to go into effect June 1, 2010, on a temporary basis, subject to refund. Th</w:t>
      </w:r>
      <w:r w:rsidR="005B6C93">
        <w:t>is recommendation</w:t>
      </w:r>
      <w:r w:rsidR="008F57BB">
        <w:t xml:space="preserve"> allow</w:t>
      </w:r>
      <w:r w:rsidR="005B6C93">
        <w:t>s</w:t>
      </w:r>
      <w:r w:rsidR="008F57BB">
        <w:t xml:space="preserve"> the District additional time to analyze the filing and prepare comments, </w:t>
      </w:r>
      <w:r w:rsidR="00A06FAF">
        <w:t>protect</w:t>
      </w:r>
      <w:r w:rsidR="005B6C93">
        <w:t>s</w:t>
      </w:r>
      <w:r w:rsidR="00A06FAF">
        <w:t xml:space="preserve"> all customers should the commission ultimately determine that lower rates, and a refund are appropriate, and protect</w:t>
      </w:r>
      <w:r w:rsidR="005B6C93">
        <w:t>s</w:t>
      </w:r>
      <w:r w:rsidR="00A06FAF">
        <w:t xml:space="preserve"> the company by allowing </w:t>
      </w:r>
      <w:r>
        <w:t xml:space="preserve">the company to begin collecting </w:t>
      </w:r>
      <w:r w:rsidR="00A06FAF">
        <w:t xml:space="preserve">increased revenue during the high usage summer months. Staff also recommends that the commission direct the District to file its final comments no later than June 10, 2010, </w:t>
      </w:r>
      <w:r>
        <w:t>so</w:t>
      </w:r>
      <w:r w:rsidR="00A06FAF">
        <w:t xml:space="preserve"> the commission </w:t>
      </w:r>
      <w:r>
        <w:t>can</w:t>
      </w:r>
      <w:r w:rsidR="00A06FAF">
        <w:t xml:space="preserve"> consider this matter at the June 24, 2010, open meeting. </w:t>
      </w:r>
    </w:p>
    <w:p w:rsidR="0097762E" w:rsidRDefault="0097762E" w:rsidP="00835B02">
      <w:pPr>
        <w:pStyle w:val="NoSpacing"/>
        <w:rPr>
          <w:color w:val="548DD4" w:themeColor="text2" w:themeTint="99"/>
        </w:rPr>
      </w:pPr>
    </w:p>
    <w:p w:rsidR="00A05A98" w:rsidRPr="00702FA4" w:rsidRDefault="00A05A98" w:rsidP="00A05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Calibri"/>
          <w:lang w:bidi="en-US"/>
        </w:rPr>
      </w:pPr>
      <w:r>
        <w:rPr>
          <w:rFonts w:eastAsia="Calibri"/>
          <w:lang w:bidi="en-US"/>
        </w:rPr>
        <w:t>Staff recommends that the commission i</w:t>
      </w:r>
      <w:r w:rsidRPr="00702FA4">
        <w:rPr>
          <w:rFonts w:eastAsia="Calibri"/>
          <w:lang w:bidi="en-US"/>
        </w:rPr>
        <w:t>ssue an Order to:</w:t>
      </w:r>
    </w:p>
    <w:p w:rsidR="00F50642" w:rsidRDefault="00F50642">
      <w:pPr>
        <w:pStyle w:val="ListParagraph"/>
        <w:rPr>
          <w:rFonts w:eastAsia="Calibri"/>
          <w:color w:val="000000"/>
        </w:rPr>
      </w:pPr>
    </w:p>
    <w:p w:rsidR="00F50642" w:rsidRDefault="00E43815">
      <w:pPr>
        <w:widowControl w:val="0"/>
        <w:numPr>
          <w:ilvl w:val="0"/>
          <w:numId w:val="10"/>
        </w:numPr>
        <w:autoSpaceDE w:val="0"/>
        <w:autoSpaceDN w:val="0"/>
        <w:adjustRightInd w:val="0"/>
        <w:rPr>
          <w:rFonts w:eastAsia="Calibri"/>
          <w:color w:val="000000"/>
          <w:lang w:bidi="en-US"/>
        </w:rPr>
      </w:pPr>
      <w:r w:rsidRPr="006A20F0">
        <w:rPr>
          <w:rFonts w:eastAsia="Calibri"/>
          <w:color w:val="000000"/>
          <w:lang w:bidi="en-US"/>
        </w:rPr>
        <w:t xml:space="preserve">Allow the revised rates </w:t>
      </w:r>
      <w:r>
        <w:rPr>
          <w:rFonts w:eastAsia="Calibri"/>
          <w:color w:val="000000"/>
          <w:lang w:bidi="en-US"/>
        </w:rPr>
        <w:t xml:space="preserve">and tariff revisions </w:t>
      </w:r>
      <w:r w:rsidRPr="006A20F0">
        <w:rPr>
          <w:rFonts w:eastAsia="Calibri"/>
          <w:color w:val="000000"/>
          <w:lang w:bidi="en-US"/>
        </w:rPr>
        <w:t>filed by Rainier View Water Company, Inc.</w:t>
      </w:r>
      <w:r w:rsidRPr="006A20F0">
        <w:rPr>
          <w:rFonts w:eastAsia="Calibri"/>
          <w:color w:val="000000"/>
        </w:rPr>
        <w:t xml:space="preserve"> on </w:t>
      </w:r>
      <w:r w:rsidRPr="006A20F0">
        <w:rPr>
          <w:rFonts w:eastAsia="Calibri"/>
          <w:color w:val="000000"/>
          <w:lang w:bidi="en-US"/>
        </w:rPr>
        <w:t xml:space="preserve">May </w:t>
      </w:r>
      <w:r>
        <w:rPr>
          <w:rFonts w:eastAsia="Calibri"/>
          <w:color w:val="000000"/>
          <w:lang w:bidi="en-US"/>
        </w:rPr>
        <w:t>24</w:t>
      </w:r>
      <w:r w:rsidRPr="006A20F0">
        <w:rPr>
          <w:rFonts w:eastAsia="Calibri"/>
          <w:color w:val="000000"/>
          <w:lang w:bidi="en-US"/>
        </w:rPr>
        <w:t>, 2010, to become effective June 1, 2010, on a temporary basis, subject to refund.</w:t>
      </w:r>
    </w:p>
    <w:p w:rsidR="00E43815" w:rsidRPr="006A20F0" w:rsidRDefault="00E43815" w:rsidP="00E43815">
      <w:pPr>
        <w:widowControl w:val="0"/>
        <w:autoSpaceDE w:val="0"/>
        <w:autoSpaceDN w:val="0"/>
        <w:adjustRightInd w:val="0"/>
        <w:ind w:left="360"/>
        <w:rPr>
          <w:rFonts w:eastAsia="Calibri"/>
          <w:color w:val="000000"/>
          <w:lang w:bidi="en-US"/>
        </w:rPr>
      </w:pPr>
      <w:r w:rsidRPr="006A20F0">
        <w:rPr>
          <w:rFonts w:eastAsia="Calibri"/>
          <w:color w:val="000000"/>
          <w:lang w:bidi="en-US"/>
        </w:rPr>
        <w:t xml:space="preserve"> </w:t>
      </w:r>
    </w:p>
    <w:p w:rsidR="00F50642" w:rsidRDefault="00E43815">
      <w:pPr>
        <w:widowControl w:val="0"/>
        <w:numPr>
          <w:ilvl w:val="0"/>
          <w:numId w:val="10"/>
        </w:numPr>
        <w:autoSpaceDE w:val="0"/>
        <w:autoSpaceDN w:val="0"/>
        <w:adjustRightInd w:val="0"/>
        <w:rPr>
          <w:rFonts w:eastAsia="Calibri"/>
          <w:color w:val="000000"/>
        </w:rPr>
      </w:pPr>
      <w:r w:rsidRPr="00972D40">
        <w:rPr>
          <w:rFonts w:eastAsia="Calibri"/>
          <w:color w:val="000000"/>
        </w:rPr>
        <w:t>Grant the company’s request, as permitted by WAC 480-80-122, to allow the revised rates and tariff revisions to become effective on June 1, 2010, on less than statutory notice.</w:t>
      </w:r>
    </w:p>
    <w:p w:rsidR="00E43815" w:rsidRPr="006A20F0" w:rsidRDefault="00E43815" w:rsidP="00E43815">
      <w:pPr>
        <w:widowControl w:val="0"/>
        <w:autoSpaceDE w:val="0"/>
        <w:autoSpaceDN w:val="0"/>
        <w:adjustRightInd w:val="0"/>
        <w:ind w:left="360"/>
        <w:rPr>
          <w:rFonts w:eastAsia="Calibri"/>
          <w:color w:val="000000"/>
        </w:rPr>
      </w:pPr>
      <w:r w:rsidRPr="006A20F0">
        <w:rPr>
          <w:rFonts w:eastAsia="Calibri"/>
          <w:color w:val="000000"/>
        </w:rPr>
        <w:t xml:space="preserve"> </w:t>
      </w:r>
    </w:p>
    <w:p w:rsidR="00F50642" w:rsidRDefault="00E43815">
      <w:pPr>
        <w:widowControl w:val="0"/>
        <w:numPr>
          <w:ilvl w:val="0"/>
          <w:numId w:val="10"/>
        </w:numPr>
        <w:autoSpaceDE w:val="0"/>
        <w:autoSpaceDN w:val="0"/>
        <w:adjustRightInd w:val="0"/>
        <w:rPr>
          <w:rFonts w:eastAsia="Calibri"/>
          <w:color w:val="000000"/>
        </w:rPr>
      </w:pPr>
      <w:r w:rsidRPr="006A20F0">
        <w:rPr>
          <w:rFonts w:eastAsia="Calibri"/>
          <w:color w:val="000000"/>
        </w:rPr>
        <w:t>Grant the company’s request for an exemption from WAC 480-110-425, Customer Notice, to allow the company to notify customers of increases in the next billing cycle.</w:t>
      </w:r>
    </w:p>
    <w:p w:rsidR="00E43815" w:rsidRPr="00702FA4" w:rsidRDefault="00E43815" w:rsidP="00E43815">
      <w:pPr>
        <w:widowControl w:val="0"/>
        <w:autoSpaceDE w:val="0"/>
        <w:autoSpaceDN w:val="0"/>
        <w:adjustRightInd w:val="0"/>
        <w:ind w:left="360"/>
        <w:rPr>
          <w:rFonts w:eastAsia="Calibri"/>
          <w:color w:val="000000"/>
          <w:sz w:val="22"/>
          <w:szCs w:val="22"/>
        </w:rPr>
      </w:pPr>
    </w:p>
    <w:p w:rsidR="00F50642" w:rsidRDefault="00F50642">
      <w:pPr>
        <w:widowControl w:val="0"/>
        <w:autoSpaceDE w:val="0"/>
        <w:autoSpaceDN w:val="0"/>
        <w:adjustRightInd w:val="0"/>
        <w:rPr>
          <w:rFonts w:eastAsia="Times New Roman"/>
          <w:color w:val="000000"/>
        </w:rPr>
      </w:pPr>
    </w:p>
    <w:sectPr w:rsidR="00F50642" w:rsidSect="00264389">
      <w:headerReference w:type="default" r:id="rId10"/>
      <w:pgSz w:w="12240" w:h="15840" w:code="1"/>
      <w:pgMar w:top="1440" w:right="1440" w:bottom="1440" w:left="1440" w:header="18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254" w:rsidRDefault="00245254" w:rsidP="00245254">
      <w:r>
        <w:separator/>
      </w:r>
    </w:p>
  </w:endnote>
  <w:endnote w:type="continuationSeparator" w:id="0">
    <w:p w:rsidR="00245254" w:rsidRDefault="00245254" w:rsidP="00245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254" w:rsidRDefault="00245254" w:rsidP="00245254">
      <w:r>
        <w:separator/>
      </w:r>
    </w:p>
  </w:footnote>
  <w:footnote w:type="continuationSeparator" w:id="0">
    <w:p w:rsidR="00245254" w:rsidRDefault="00245254" w:rsidP="00245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54" w:rsidRDefault="00245254" w:rsidP="00245254">
    <w:pPr>
      <w:tabs>
        <w:tab w:val="center" w:pos="4680"/>
        <w:tab w:val="right" w:pos="9360"/>
      </w:tabs>
      <w:rPr>
        <w:rFonts w:eastAsia="Calibri"/>
        <w:sz w:val="20"/>
        <w:szCs w:val="20"/>
        <w:lang w:bidi="en-US"/>
      </w:rPr>
    </w:pPr>
  </w:p>
  <w:p w:rsidR="00245254" w:rsidRPr="00245254" w:rsidRDefault="00245254" w:rsidP="00245254">
    <w:pPr>
      <w:tabs>
        <w:tab w:val="center" w:pos="4680"/>
        <w:tab w:val="right" w:pos="9360"/>
      </w:tabs>
      <w:rPr>
        <w:rFonts w:eastAsia="Calibri"/>
        <w:sz w:val="20"/>
        <w:szCs w:val="20"/>
        <w:lang w:bidi="en-US"/>
      </w:rPr>
    </w:pPr>
    <w:r w:rsidRPr="00245254">
      <w:rPr>
        <w:rFonts w:eastAsia="Calibri"/>
        <w:sz w:val="20"/>
        <w:szCs w:val="20"/>
        <w:lang w:bidi="en-US"/>
      </w:rPr>
      <w:t>Docket UW-</w:t>
    </w:r>
    <w:r>
      <w:rPr>
        <w:rFonts w:eastAsia="Calibri"/>
        <w:sz w:val="20"/>
        <w:szCs w:val="20"/>
        <w:lang w:bidi="en-US"/>
      </w:rPr>
      <w:t>091466</w:t>
    </w:r>
  </w:p>
  <w:p w:rsidR="00245254" w:rsidRPr="00245254" w:rsidRDefault="00245254" w:rsidP="00245254">
    <w:pPr>
      <w:tabs>
        <w:tab w:val="center" w:pos="4680"/>
        <w:tab w:val="right" w:pos="9360"/>
      </w:tabs>
      <w:rPr>
        <w:rFonts w:eastAsia="Calibri"/>
        <w:sz w:val="20"/>
        <w:szCs w:val="20"/>
        <w:lang w:bidi="en-US"/>
      </w:rPr>
    </w:pPr>
    <w:r w:rsidRPr="00245254">
      <w:rPr>
        <w:rFonts w:eastAsia="Calibri"/>
        <w:sz w:val="20"/>
        <w:szCs w:val="20"/>
        <w:lang w:bidi="en-US"/>
      </w:rPr>
      <w:t>May 27, 2010</w:t>
    </w:r>
  </w:p>
  <w:p w:rsidR="00245254" w:rsidRPr="00245254" w:rsidRDefault="00245254" w:rsidP="00245254">
    <w:pPr>
      <w:tabs>
        <w:tab w:val="center" w:pos="4680"/>
        <w:tab w:val="right" w:pos="9360"/>
      </w:tabs>
      <w:rPr>
        <w:rFonts w:eastAsia="Calibri"/>
        <w:sz w:val="20"/>
        <w:szCs w:val="20"/>
        <w:lang w:bidi="en-US"/>
      </w:rPr>
    </w:pPr>
    <w:r w:rsidRPr="00245254">
      <w:rPr>
        <w:rFonts w:eastAsia="Calibri"/>
        <w:sz w:val="20"/>
        <w:szCs w:val="20"/>
        <w:lang w:bidi="en-US"/>
      </w:rPr>
      <w:t xml:space="preserve">Page </w:t>
    </w:r>
    <w:r w:rsidR="00BC3762" w:rsidRPr="00245254">
      <w:rPr>
        <w:rFonts w:eastAsia="Calibri"/>
        <w:sz w:val="20"/>
        <w:szCs w:val="20"/>
        <w:lang w:bidi="en-US"/>
      </w:rPr>
      <w:fldChar w:fldCharType="begin"/>
    </w:r>
    <w:r w:rsidRPr="00245254">
      <w:rPr>
        <w:rFonts w:eastAsia="Calibri"/>
        <w:sz w:val="20"/>
        <w:szCs w:val="20"/>
        <w:lang w:bidi="en-US"/>
      </w:rPr>
      <w:instrText xml:space="preserve"> PAGE   \* MERGEFORMAT </w:instrText>
    </w:r>
    <w:r w:rsidR="00BC3762" w:rsidRPr="00245254">
      <w:rPr>
        <w:rFonts w:eastAsia="Calibri"/>
        <w:sz w:val="20"/>
        <w:szCs w:val="20"/>
        <w:lang w:bidi="en-US"/>
      </w:rPr>
      <w:fldChar w:fldCharType="separate"/>
    </w:r>
    <w:r w:rsidR="006C3F0D">
      <w:rPr>
        <w:rFonts w:eastAsia="Calibri"/>
        <w:noProof/>
        <w:sz w:val="20"/>
        <w:szCs w:val="20"/>
        <w:lang w:bidi="en-US"/>
      </w:rPr>
      <w:t>3</w:t>
    </w:r>
    <w:r w:rsidR="00BC3762" w:rsidRPr="00245254">
      <w:rPr>
        <w:rFonts w:eastAsia="Calibri"/>
        <w:sz w:val="20"/>
        <w:szCs w:val="20"/>
        <w:lang w:bidi="en-US"/>
      </w:rPr>
      <w:fldChar w:fldCharType="end"/>
    </w:r>
  </w:p>
  <w:p w:rsidR="00245254" w:rsidRDefault="002452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61E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C462589"/>
    <w:multiLevelType w:val="hybridMultilevel"/>
    <w:tmpl w:val="6142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C190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A6C1845"/>
    <w:multiLevelType w:val="multilevel"/>
    <w:tmpl w:val="59E4E85A"/>
    <w:lvl w:ilvl="0">
      <w:start w:val="1"/>
      <w:numFmt w:val="decimal"/>
      <w:pStyle w:val="Jim1"/>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6C6A767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DDC6B07"/>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F3B66E1"/>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2"/>
  </w:num>
  <w:num w:numId="4">
    <w:abstractNumId w:val="4"/>
  </w:num>
  <w:num w:numId="5">
    <w:abstractNumId w:val="1"/>
  </w:num>
  <w:num w:numId="6">
    <w:abstractNumId w:val="0"/>
  </w:num>
  <w:num w:numId="7">
    <w:abstractNumId w:val="3"/>
  </w:num>
  <w:num w:numId="8">
    <w:abstractNumId w:val="6"/>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4"/>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17E6F"/>
    <w:rsid w:val="00003847"/>
    <w:rsid w:val="00024460"/>
    <w:rsid w:val="00030398"/>
    <w:rsid w:val="00033E2D"/>
    <w:rsid w:val="00061941"/>
    <w:rsid w:val="00062FAD"/>
    <w:rsid w:val="00083FB2"/>
    <w:rsid w:val="00084BF7"/>
    <w:rsid w:val="00087518"/>
    <w:rsid w:val="000A048C"/>
    <w:rsid w:val="000C2D22"/>
    <w:rsid w:val="000C70F4"/>
    <w:rsid w:val="001033D4"/>
    <w:rsid w:val="00124C4D"/>
    <w:rsid w:val="001358B9"/>
    <w:rsid w:val="00156783"/>
    <w:rsid w:val="0017695C"/>
    <w:rsid w:val="0018516A"/>
    <w:rsid w:val="001B22B6"/>
    <w:rsid w:val="001C5AB1"/>
    <w:rsid w:val="001C7342"/>
    <w:rsid w:val="001F1FEF"/>
    <w:rsid w:val="001F4371"/>
    <w:rsid w:val="00201453"/>
    <w:rsid w:val="00217E6F"/>
    <w:rsid w:val="002407A1"/>
    <w:rsid w:val="00245254"/>
    <w:rsid w:val="00251A5F"/>
    <w:rsid w:val="002547DD"/>
    <w:rsid w:val="00264389"/>
    <w:rsid w:val="002675D5"/>
    <w:rsid w:val="00271CBF"/>
    <w:rsid w:val="00275752"/>
    <w:rsid w:val="00275D58"/>
    <w:rsid w:val="00282042"/>
    <w:rsid w:val="002A0205"/>
    <w:rsid w:val="002B5769"/>
    <w:rsid w:val="002C039A"/>
    <w:rsid w:val="002C27C2"/>
    <w:rsid w:val="002C5B30"/>
    <w:rsid w:val="00325DE9"/>
    <w:rsid w:val="00326983"/>
    <w:rsid w:val="003351DF"/>
    <w:rsid w:val="003356FA"/>
    <w:rsid w:val="00340706"/>
    <w:rsid w:val="0035055F"/>
    <w:rsid w:val="00355537"/>
    <w:rsid w:val="00356571"/>
    <w:rsid w:val="00370C13"/>
    <w:rsid w:val="00377931"/>
    <w:rsid w:val="00382875"/>
    <w:rsid w:val="00396AF9"/>
    <w:rsid w:val="003B19D4"/>
    <w:rsid w:val="003B73BB"/>
    <w:rsid w:val="003E1936"/>
    <w:rsid w:val="003F0251"/>
    <w:rsid w:val="00423AD5"/>
    <w:rsid w:val="00437FED"/>
    <w:rsid w:val="004514E4"/>
    <w:rsid w:val="00461495"/>
    <w:rsid w:val="00477D84"/>
    <w:rsid w:val="0048133C"/>
    <w:rsid w:val="004866BE"/>
    <w:rsid w:val="00491EC4"/>
    <w:rsid w:val="004A21E5"/>
    <w:rsid w:val="004A5FBB"/>
    <w:rsid w:val="004D0B8A"/>
    <w:rsid w:val="00511D49"/>
    <w:rsid w:val="00515531"/>
    <w:rsid w:val="00523CC1"/>
    <w:rsid w:val="005268CA"/>
    <w:rsid w:val="00562039"/>
    <w:rsid w:val="00590850"/>
    <w:rsid w:val="005A121A"/>
    <w:rsid w:val="005B6C93"/>
    <w:rsid w:val="005C7273"/>
    <w:rsid w:val="005E0B68"/>
    <w:rsid w:val="005E4FB6"/>
    <w:rsid w:val="005F2F34"/>
    <w:rsid w:val="0061181E"/>
    <w:rsid w:val="00642AF1"/>
    <w:rsid w:val="006432DB"/>
    <w:rsid w:val="00647B19"/>
    <w:rsid w:val="00661CF7"/>
    <w:rsid w:val="00661EF4"/>
    <w:rsid w:val="00683F4F"/>
    <w:rsid w:val="006A20F0"/>
    <w:rsid w:val="006A2BC6"/>
    <w:rsid w:val="006A7C5C"/>
    <w:rsid w:val="006C2657"/>
    <w:rsid w:val="006C3829"/>
    <w:rsid w:val="006C3F0D"/>
    <w:rsid w:val="006D621D"/>
    <w:rsid w:val="006E1966"/>
    <w:rsid w:val="006F747B"/>
    <w:rsid w:val="006F7629"/>
    <w:rsid w:val="00702FA4"/>
    <w:rsid w:val="00720DBD"/>
    <w:rsid w:val="0076183D"/>
    <w:rsid w:val="00787112"/>
    <w:rsid w:val="00792FC6"/>
    <w:rsid w:val="00797135"/>
    <w:rsid w:val="007A6F0C"/>
    <w:rsid w:val="007A72F0"/>
    <w:rsid w:val="007B3723"/>
    <w:rsid w:val="007D1024"/>
    <w:rsid w:val="007D7522"/>
    <w:rsid w:val="007E0E74"/>
    <w:rsid w:val="007F1BFD"/>
    <w:rsid w:val="00822DF8"/>
    <w:rsid w:val="00835B02"/>
    <w:rsid w:val="00842A35"/>
    <w:rsid w:val="008554C1"/>
    <w:rsid w:val="00885DA8"/>
    <w:rsid w:val="008A3C1F"/>
    <w:rsid w:val="008B3B98"/>
    <w:rsid w:val="008F0904"/>
    <w:rsid w:val="008F53D4"/>
    <w:rsid w:val="008F57BB"/>
    <w:rsid w:val="00907648"/>
    <w:rsid w:val="00914BFF"/>
    <w:rsid w:val="00927207"/>
    <w:rsid w:val="00930C8A"/>
    <w:rsid w:val="009440F0"/>
    <w:rsid w:val="00972D40"/>
    <w:rsid w:val="0097762E"/>
    <w:rsid w:val="0099065C"/>
    <w:rsid w:val="00995378"/>
    <w:rsid w:val="009A3131"/>
    <w:rsid w:val="009C3A05"/>
    <w:rsid w:val="009D5F02"/>
    <w:rsid w:val="009E7811"/>
    <w:rsid w:val="00A05A98"/>
    <w:rsid w:val="00A06FAF"/>
    <w:rsid w:val="00A146BF"/>
    <w:rsid w:val="00A152CB"/>
    <w:rsid w:val="00A32D04"/>
    <w:rsid w:val="00A72F1A"/>
    <w:rsid w:val="00A84C2A"/>
    <w:rsid w:val="00A91BB7"/>
    <w:rsid w:val="00AA77B8"/>
    <w:rsid w:val="00AD5659"/>
    <w:rsid w:val="00AE035C"/>
    <w:rsid w:val="00B2322A"/>
    <w:rsid w:val="00B262AB"/>
    <w:rsid w:val="00B545DE"/>
    <w:rsid w:val="00B62640"/>
    <w:rsid w:val="00B71CEC"/>
    <w:rsid w:val="00B828A1"/>
    <w:rsid w:val="00BC3762"/>
    <w:rsid w:val="00BC4D70"/>
    <w:rsid w:val="00BD1678"/>
    <w:rsid w:val="00BD6728"/>
    <w:rsid w:val="00BE36F9"/>
    <w:rsid w:val="00BF4B8A"/>
    <w:rsid w:val="00C463F2"/>
    <w:rsid w:val="00C819B2"/>
    <w:rsid w:val="00CA5BD7"/>
    <w:rsid w:val="00CD1FEE"/>
    <w:rsid w:val="00CD4E7C"/>
    <w:rsid w:val="00CE0CEF"/>
    <w:rsid w:val="00D05480"/>
    <w:rsid w:val="00D12D1E"/>
    <w:rsid w:val="00D24C81"/>
    <w:rsid w:val="00D40E26"/>
    <w:rsid w:val="00D43798"/>
    <w:rsid w:val="00D73363"/>
    <w:rsid w:val="00D84B75"/>
    <w:rsid w:val="00D92A6E"/>
    <w:rsid w:val="00D96760"/>
    <w:rsid w:val="00DA6082"/>
    <w:rsid w:val="00DB2128"/>
    <w:rsid w:val="00DD2A47"/>
    <w:rsid w:val="00DF51F4"/>
    <w:rsid w:val="00E0366B"/>
    <w:rsid w:val="00E05B70"/>
    <w:rsid w:val="00E303CB"/>
    <w:rsid w:val="00E367E3"/>
    <w:rsid w:val="00E43815"/>
    <w:rsid w:val="00E64A8A"/>
    <w:rsid w:val="00E758E6"/>
    <w:rsid w:val="00E8517B"/>
    <w:rsid w:val="00EB4282"/>
    <w:rsid w:val="00F43A08"/>
    <w:rsid w:val="00F468E2"/>
    <w:rsid w:val="00F50642"/>
    <w:rsid w:val="00F74CE9"/>
    <w:rsid w:val="00F75D3B"/>
    <w:rsid w:val="00F82DD4"/>
    <w:rsid w:val="00FA680D"/>
    <w:rsid w:val="00FB5793"/>
    <w:rsid w:val="00FD7D34"/>
    <w:rsid w:val="00FE5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3D4"/>
  </w:style>
  <w:style w:type="paragraph" w:styleId="Heading1">
    <w:name w:val="heading 1"/>
    <w:basedOn w:val="Normal"/>
    <w:next w:val="Normal"/>
    <w:link w:val="Heading1Char"/>
    <w:qFormat/>
    <w:rsid w:val="008F53D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3D4"/>
  </w:style>
  <w:style w:type="character" w:customStyle="1" w:styleId="Heading1Char">
    <w:name w:val="Heading 1 Char"/>
    <w:basedOn w:val="DefaultParagraphFont"/>
    <w:link w:val="Heading1"/>
    <w:rsid w:val="008F53D4"/>
    <w:rPr>
      <w:rFonts w:asciiTheme="majorHAnsi" w:eastAsiaTheme="majorEastAsia" w:hAnsiTheme="majorHAnsi" w:cstheme="majorBidi"/>
      <w:b/>
      <w:bCs/>
      <w:kern w:val="32"/>
      <w:sz w:val="32"/>
      <w:szCs w:val="32"/>
    </w:rPr>
  </w:style>
  <w:style w:type="paragraph" w:styleId="Header">
    <w:name w:val="header"/>
    <w:basedOn w:val="Normal"/>
    <w:link w:val="HeaderChar"/>
    <w:rsid w:val="008F53D4"/>
    <w:pPr>
      <w:tabs>
        <w:tab w:val="center" w:pos="4320"/>
        <w:tab w:val="right" w:pos="8640"/>
      </w:tabs>
    </w:pPr>
    <w:rPr>
      <w:rFonts w:eastAsia="Times New Roman"/>
    </w:rPr>
  </w:style>
  <w:style w:type="character" w:customStyle="1" w:styleId="HeaderChar">
    <w:name w:val="Header Char"/>
    <w:basedOn w:val="DefaultParagraphFont"/>
    <w:link w:val="Header"/>
    <w:rsid w:val="008F53D4"/>
    <w:rPr>
      <w:rFonts w:eastAsia="Times New Roman"/>
      <w:sz w:val="24"/>
      <w:szCs w:val="24"/>
    </w:rPr>
  </w:style>
  <w:style w:type="paragraph" w:styleId="Footer">
    <w:name w:val="footer"/>
    <w:basedOn w:val="Normal"/>
    <w:link w:val="FooterChar"/>
    <w:rsid w:val="008F53D4"/>
    <w:pPr>
      <w:tabs>
        <w:tab w:val="center" w:pos="4320"/>
        <w:tab w:val="right" w:pos="8640"/>
      </w:tabs>
    </w:pPr>
    <w:rPr>
      <w:rFonts w:eastAsia="Times New Roman"/>
    </w:rPr>
  </w:style>
  <w:style w:type="character" w:customStyle="1" w:styleId="FooterChar">
    <w:name w:val="Footer Char"/>
    <w:basedOn w:val="DefaultParagraphFont"/>
    <w:link w:val="Footer"/>
    <w:rsid w:val="008F53D4"/>
    <w:rPr>
      <w:rFonts w:eastAsia="Times New Roman"/>
      <w:sz w:val="24"/>
      <w:szCs w:val="24"/>
    </w:rPr>
  </w:style>
  <w:style w:type="character" w:styleId="PageNumber">
    <w:name w:val="page number"/>
    <w:basedOn w:val="DefaultParagraphFont"/>
    <w:rsid w:val="008F53D4"/>
  </w:style>
  <w:style w:type="character" w:styleId="Hyperlink">
    <w:name w:val="Hyperlink"/>
    <w:basedOn w:val="DefaultParagraphFont"/>
    <w:rsid w:val="008F53D4"/>
    <w:rPr>
      <w:color w:val="0000FF"/>
      <w:u w:val="single"/>
    </w:rPr>
  </w:style>
  <w:style w:type="character" w:styleId="FollowedHyperlink">
    <w:name w:val="FollowedHyperlink"/>
    <w:basedOn w:val="DefaultParagraphFont"/>
    <w:rsid w:val="008F53D4"/>
    <w:rPr>
      <w:color w:val="800080"/>
      <w:u w:val="single"/>
    </w:rPr>
  </w:style>
  <w:style w:type="paragraph" w:styleId="NormalWeb">
    <w:name w:val="Normal (Web)"/>
    <w:basedOn w:val="Normal"/>
    <w:rsid w:val="008F53D4"/>
    <w:pPr>
      <w:spacing w:before="100" w:beforeAutospacing="1" w:after="100" w:afterAutospacing="1"/>
    </w:pPr>
    <w:rPr>
      <w:rFonts w:eastAsia="Times New Roman"/>
    </w:rPr>
  </w:style>
  <w:style w:type="paragraph" w:styleId="BalloonText">
    <w:name w:val="Balloon Text"/>
    <w:basedOn w:val="Normal"/>
    <w:link w:val="BalloonTextChar"/>
    <w:rsid w:val="002C27C2"/>
    <w:rPr>
      <w:rFonts w:ascii="Tahoma" w:hAnsi="Tahoma" w:cs="Tahoma"/>
      <w:sz w:val="16"/>
      <w:szCs w:val="16"/>
    </w:rPr>
  </w:style>
  <w:style w:type="numbering" w:customStyle="1" w:styleId="Style1">
    <w:name w:val="Style1"/>
    <w:basedOn w:val="NoList"/>
    <w:rsid w:val="008F53D4"/>
    <w:pPr>
      <w:numPr>
        <w:numId w:val="1"/>
      </w:numPr>
    </w:pPr>
  </w:style>
  <w:style w:type="paragraph" w:customStyle="1" w:styleId="Jim1">
    <w:name w:val="Jim 1"/>
    <w:basedOn w:val="Normal"/>
    <w:qFormat/>
    <w:rsid w:val="008F53D4"/>
    <w:pPr>
      <w:numPr>
        <w:numId w:val="4"/>
      </w:numPr>
    </w:pPr>
    <w:rPr>
      <w:rFonts w:eastAsia="Times New Roman"/>
      <w:b/>
    </w:rPr>
  </w:style>
  <w:style w:type="character" w:customStyle="1" w:styleId="BalloonTextChar">
    <w:name w:val="Balloon Text Char"/>
    <w:basedOn w:val="DefaultParagraphFont"/>
    <w:link w:val="BalloonText"/>
    <w:rsid w:val="002C27C2"/>
    <w:rPr>
      <w:rFonts w:ascii="Tahoma" w:hAnsi="Tahoma" w:cs="Tahoma"/>
      <w:sz w:val="16"/>
      <w:szCs w:val="16"/>
    </w:rPr>
  </w:style>
  <w:style w:type="paragraph" w:styleId="ListParagraph">
    <w:name w:val="List Paragraph"/>
    <w:basedOn w:val="Normal"/>
    <w:uiPriority w:val="34"/>
    <w:qFormat/>
    <w:rsid w:val="00702FA4"/>
    <w:pPr>
      <w:ind w:left="720"/>
      <w:contextualSpacing/>
    </w:pPr>
  </w:style>
</w:styles>
</file>

<file path=word/webSettings.xml><?xml version="1.0" encoding="utf-8"?>
<w:webSettings xmlns:r="http://schemas.openxmlformats.org/officeDocument/2006/relationships" xmlns:w="http://schemas.openxmlformats.org/wordprocessingml/2006/main">
  <w:divs>
    <w:div w:id="26217869">
      <w:bodyDiv w:val="1"/>
      <w:marLeft w:val="0"/>
      <w:marRight w:val="0"/>
      <w:marTop w:val="0"/>
      <w:marBottom w:val="0"/>
      <w:divBdr>
        <w:top w:val="none" w:sz="0" w:space="0" w:color="auto"/>
        <w:left w:val="none" w:sz="0" w:space="0" w:color="auto"/>
        <w:bottom w:val="none" w:sz="0" w:space="0" w:color="auto"/>
        <w:right w:val="none" w:sz="0" w:space="0" w:color="auto"/>
      </w:divBdr>
    </w:div>
    <w:div w:id="14384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B5F341A018724DA3BF5105168943B6" ma:contentTypeVersion="131" ma:contentTypeDescription="" ma:contentTypeScope="" ma:versionID="2651db1f25901870be90b1bd5d420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2009-09-15T07:00:00+00:00</OpenedDate>
    <Date1 xmlns="dc463f71-b30c-4ab2-9473-d307f9d35888">2010-05-27T07:00:00+00:00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091466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5E8B9C-294B-4DF3-8280-A41937B1F7B0}"/>
</file>

<file path=customXml/itemProps2.xml><?xml version="1.0" encoding="utf-8"?>
<ds:datastoreItem xmlns:ds="http://schemas.openxmlformats.org/officeDocument/2006/customXml" ds:itemID="{661333B4-C501-4ABF-9800-936DA94B8DAF}"/>
</file>

<file path=customXml/itemProps3.xml><?xml version="1.0" encoding="utf-8"?>
<ds:datastoreItem xmlns:ds="http://schemas.openxmlformats.org/officeDocument/2006/customXml" ds:itemID="{EB592543-236F-4BC0-ACC1-9E4D49EC36D5}"/>
</file>

<file path=customXml/itemProps4.xml><?xml version="1.0" encoding="utf-8"?>
<ds:datastoreItem xmlns:ds="http://schemas.openxmlformats.org/officeDocument/2006/customXml" ds:itemID="{9B0F7564-D3BE-483F-8B80-89E25726F6ED}"/>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JWard</dc:creator>
  <cp:keywords/>
  <dc:description/>
  <cp:lastModifiedBy>Lisa Wyse, Records Manager</cp:lastModifiedBy>
  <cp:revision>2</cp:revision>
  <cp:lastPrinted>2010-05-24T17:53:00Z</cp:lastPrinted>
  <dcterms:created xsi:type="dcterms:W3CDTF">2010-05-24T22:15:00Z</dcterms:created>
  <dcterms:modified xsi:type="dcterms:W3CDTF">2010-05-24T22:15:00Z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0x0101006E56B4D1795A2E4DB2F0B01679ED314A0064B5F341A018724DA3BF5105168943B6</vt:lpwstr>
  </property>
  <property fmtid="{D5CDD505-2E9C-101B-9397-08002B2CF9AE}" pid="3" name="_docset_NoMedatataSyncRequired">
    <vt:lpwstr>False</vt:lpwstr>
  </property>
</Properties>
</file>