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606B0D" w:rsidP="002929F4">
      <w:pPr>
        <w:jc w:val="center"/>
      </w:pPr>
      <w:r>
        <w:t xml:space="preserve">BEFORE THE WASHINGTON STATE UTILITIES </w:t>
      </w:r>
    </w:p>
    <w:p w:rsidR="006877D4" w:rsidP="002929F4">
      <w:pPr>
        <w:jc w:val="center"/>
      </w:pPr>
      <w:r>
        <w:t>AND TRANSPORTATION COMMISSION</w:t>
      </w:r>
    </w:p>
    <w:p w:rsidR="00CD1F6E" w:rsidP="002929F4">
      <w:pPr>
        <w:jc w:val="center"/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</w:tblBorders>
        <w:tblLook w:val="04A0"/>
      </w:tblPr>
      <w:tblGrid>
        <w:gridCol w:w="4788"/>
        <w:gridCol w:w="4788"/>
      </w:tblGrid>
      <w:tr w:rsidTr="002F5808">
        <w:tblPrEx>
          <w:tblW w:w="0" w:type="auto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2F5808" w:rsidP="002F5808">
            <w:pPr>
              <w:pStyle w:val="PartyContents"/>
            </w:pPr>
            <w:sdt>
              <w:sdtPr>
                <w:alias w:val="Edit field"/>
                <w:tag w:val="SWILI1ContentsA"/>
                <w:id w:val="1848836857"/>
                <w:placeholder>
                  <w:docPart w:val="74431441E7FC4EFF9AB79BB10B23672F"/>
                </w:placeholder>
                <w:showingPlcHdr/>
                <w:richText/>
              </w:sdtPr>
              <w:sdtContent/>
            </w:sdt>
            <w:r w:rsidR="00606B0D">
              <w:t>WASHINGTON UTILITIES AND TRANSPORTATION COMMISSION,</w:t>
            </w:r>
          </w:p>
          <w:p w:rsidR="006877D4" w:rsidP="002F5808">
            <w:pPr>
              <w:pStyle w:val="PartyContents"/>
            </w:pPr>
          </w:p>
          <w:p w:rsidR="006877D4" w:rsidP="00606B0D">
            <w:pPr>
              <w:pStyle w:val="PartyContents"/>
              <w:ind w:left="2250"/>
            </w:pPr>
            <w:r>
              <w:t>Complainant,</w:t>
            </w:r>
          </w:p>
          <w:p w:rsidR="000C60E8" w:rsidP="002F5808">
            <w:pPr>
              <w:pStyle w:val="PartyContents"/>
            </w:pPr>
          </w:p>
          <w:p w:rsidR="002F5808" w:rsidP="002F5808">
            <w:pPr>
              <w:pStyle w:val="Caption"/>
            </w:pPr>
            <w:r>
              <w:t>v</w:t>
            </w:r>
            <w:r>
              <w:t>.</w:t>
            </w:r>
          </w:p>
          <w:p w:rsidR="00606B0D" w:rsidP="00606B0D"/>
          <w:p w:rsidR="00606B0D" w:rsidP="00606B0D">
            <w:r>
              <w:t>WASTE CONTROL, INC.,</w:t>
            </w:r>
          </w:p>
          <w:p w:rsidR="00606B0D" w:rsidP="00606B0D"/>
          <w:p w:rsidR="002F5808" w:rsidP="00CD1F6E">
            <w:pPr>
              <w:ind w:left="2250"/>
            </w:pPr>
            <w:r>
              <w:t>Respondent.</w:t>
            </w:r>
          </w:p>
        </w:tc>
        <w:tc>
          <w:tcPr>
            <w:tcW w:w="4788" w:type="dxa"/>
          </w:tcPr>
          <w:p w:rsidR="002F5808" w:rsidP="00ED2138">
            <w:pPr>
              <w:pStyle w:val="Caption"/>
            </w:pPr>
            <w:bookmarkStart w:id="0" w:name="swiLT7Level"/>
            <w:r>
              <w:t xml:space="preserve">DOCKET NO. </w:t>
            </w:r>
            <w:r w:rsidR="00194DDD">
              <w:t>TG-140560</w:t>
            </w:r>
          </w:p>
          <w:p w:rsidR="002F5808" w:rsidP="002F5808">
            <w:bookmarkEnd w:id="0"/>
          </w:p>
          <w:p w:rsidR="002F5808" w:rsidP="00194DDD">
            <w:r>
              <w:t xml:space="preserve">COMPANY REPLY TO STAFF RESPONSE TO MOTION TO ALLOW TEMPORARY RATES SUBJECT TO REFUND AT THE PROPOSED SETTLEMENT LEVEL FILED IN OCTOBER, 2014  </w:t>
            </w:r>
          </w:p>
        </w:tc>
      </w:tr>
    </w:tbl>
    <w:p w:rsidR="00890694" w:rsidP="001E20C6">
      <w:pPr>
        <w:pStyle w:val="Heading2"/>
        <w:keepNext w:val="0"/>
      </w:pPr>
      <w:r>
        <w:tab/>
      </w:r>
      <w:r w:rsidR="00194DDD">
        <w:t>Waste</w:t>
      </w:r>
      <w:r w:rsidR="00A742E9">
        <w:t xml:space="preserve"> Control, Inc. (“the Company”) acknowledges </w:t>
      </w:r>
      <w:r w:rsidR="00155D22">
        <w:t xml:space="preserve">and appreciates </w:t>
      </w:r>
      <w:r w:rsidR="00194DDD">
        <w:t xml:space="preserve">the additional time afforded </w:t>
      </w:r>
      <w:r w:rsidR="00155D22">
        <w:t xml:space="preserve">by the parties </w:t>
      </w:r>
      <w:r w:rsidR="00194DDD">
        <w:t xml:space="preserve">to </w:t>
      </w:r>
      <w:r w:rsidR="00155D22">
        <w:t xml:space="preserve">enable its </w:t>
      </w:r>
      <w:r w:rsidR="00194DDD">
        <w:t xml:space="preserve">expert to review the priceout schedules attached to the Staff’s Response of March 6, 2015.  </w:t>
      </w:r>
      <w:r w:rsidR="00155D22">
        <w:t>N</w:t>
      </w:r>
      <w:r w:rsidR="00194DDD">
        <w:t xml:space="preserve">ow </w:t>
      </w:r>
      <w:r w:rsidR="00155D22">
        <w:t xml:space="preserve">having </w:t>
      </w:r>
      <w:r w:rsidR="00194DDD">
        <w:t>analyzed that Response, the Company accept</w:t>
      </w:r>
      <w:r w:rsidR="00A742E9">
        <w:t>s</w:t>
      </w:r>
      <w:r w:rsidR="00194DDD">
        <w:t xml:space="preserve"> the proposal as submitted by the Staff in its Exhibit to its Response and accordingly</w:t>
      </w:r>
      <w:r w:rsidR="00A742E9">
        <w:t>,</w:t>
      </w:r>
      <w:r w:rsidR="00194DDD">
        <w:t xml:space="preserve"> the proposed rate design of the </w:t>
      </w:r>
      <w:r w:rsidR="00155D22">
        <w:t xml:space="preserve">additional revenue requirement </w:t>
      </w:r>
      <w:r w:rsidR="00194DDD">
        <w:t xml:space="preserve">sought by the Company in its Motion for Temporary Rates Subject to Refund.  </w:t>
      </w:r>
    </w:p>
    <w:p w:rsidR="00A742E9" w:rsidRPr="0095709F" w:rsidP="001E20C6">
      <w:pPr>
        <w:pStyle w:val="Heading2"/>
        <w:keepNext w:val="0"/>
      </w:pPr>
      <w:r>
        <w:tab/>
        <w:t>The Company</w:t>
      </w:r>
      <w:r w:rsidR="00194DDD">
        <w:t xml:space="preserve"> would, </w:t>
      </w:r>
      <w:r>
        <w:t xml:space="preserve">also, </w:t>
      </w:r>
      <w:r w:rsidR="00194DDD">
        <w:t xml:space="preserve">however, </w:t>
      </w:r>
      <w:r w:rsidR="00155D22">
        <w:t xml:space="preserve">note </w:t>
      </w:r>
      <w:r>
        <w:t xml:space="preserve">some </w:t>
      </w:r>
      <w:r>
        <w:t>of</w:t>
      </w:r>
      <w:r>
        <w:t xml:space="preserve"> the characterizations and arguments inserted in the Staff’s Response.  </w:t>
      </w:r>
      <w:r w:rsidRPr="0095709F" w:rsidR="00155D22">
        <w:t>T</w:t>
      </w:r>
      <w:r w:rsidRPr="0095709F">
        <w:t>he Company does not agree with certain Staff assertions</w:t>
      </w:r>
      <w:r w:rsidRPr="0095709F" w:rsidR="00AC2E7E">
        <w:t xml:space="preserve"> in</w:t>
      </w:r>
      <w:r w:rsidRPr="0095709F">
        <w:t xml:space="preserve"> </w:t>
      </w:r>
      <w:r w:rsidRPr="0095709F">
        <w:rPr>
          <w:rFonts w:cs="Times New Roman"/>
        </w:rPr>
        <w:t>¶</w:t>
      </w:r>
      <w:r w:rsidRPr="0095709F">
        <w:t xml:space="preserve">4 of its Response including the </w:t>
      </w:r>
      <w:r w:rsidRPr="0095709F" w:rsidR="00AC2E7E">
        <w:t xml:space="preserve">unsupported customer count allegation (the Company </w:t>
      </w:r>
      <w:r w:rsidR="0095709F">
        <w:t xml:space="preserve">instead </w:t>
      </w:r>
      <w:r w:rsidRPr="0095709F" w:rsidR="00AC2E7E">
        <w:t xml:space="preserve">provided an </w:t>
      </w:r>
      <w:r w:rsidR="0095709F">
        <w:t>adjusted</w:t>
      </w:r>
      <w:r w:rsidRPr="0095709F" w:rsidR="00AC2E7E">
        <w:t xml:space="preserve"> version </w:t>
      </w:r>
      <w:r w:rsidR="0095709F">
        <w:t xml:space="preserve">and formula </w:t>
      </w:r>
      <w:r w:rsidRPr="0095709F" w:rsidR="00AC2E7E">
        <w:t xml:space="preserve">which </w:t>
      </w:r>
      <w:r w:rsidR="0095709F">
        <w:t xml:space="preserve">it intended </w:t>
      </w:r>
      <w:r w:rsidRPr="0095709F" w:rsidR="00AC2E7E">
        <w:t>to conform to the current test period</w:t>
      </w:r>
      <w:r w:rsidRPr="0095709F">
        <w:t>)</w:t>
      </w:r>
      <w:r w:rsidRPr="0095709F" w:rsidR="00AC2E7E">
        <w:t xml:space="preserve"> and </w:t>
      </w:r>
      <w:r w:rsidRPr="0095709F" w:rsidR="00155D22">
        <w:t xml:space="preserve">observes </w:t>
      </w:r>
      <w:r w:rsidRPr="0095709F" w:rsidR="00AC2E7E">
        <w:t xml:space="preserve">the </w:t>
      </w:r>
      <w:r w:rsidRPr="0095709F">
        <w:t xml:space="preserve">Company </w:t>
      </w:r>
      <w:r w:rsidRPr="0095709F" w:rsidR="00AC2E7E">
        <w:t xml:space="preserve">priceout </w:t>
      </w:r>
      <w:r w:rsidRPr="0095709F" w:rsidR="00155D22">
        <w:t xml:space="preserve">simply </w:t>
      </w:r>
      <w:r w:rsidRPr="0095709F" w:rsidR="00AC2E7E">
        <w:t xml:space="preserve">assumes that nonregulated Kalama operations are charged </w:t>
      </w:r>
      <w:r w:rsidRPr="0095709F" w:rsidR="00155D22">
        <w:t>(</w:t>
      </w:r>
      <w:r w:rsidRPr="0095709F" w:rsidR="00AC2E7E">
        <w:t>as they are</w:t>
      </w:r>
      <w:r w:rsidRPr="0095709F" w:rsidR="00155D22">
        <w:t>)</w:t>
      </w:r>
      <w:r w:rsidRPr="0095709F" w:rsidR="00AC2E7E">
        <w:t xml:space="preserve"> at the same rate established by the Commission for unincorporated Cowlitz County territory</w:t>
      </w:r>
      <w:r w:rsidR="0095709F">
        <w:t xml:space="preserve"> less city franchise fee</w:t>
      </w:r>
      <w:r w:rsidRPr="0095709F" w:rsidR="00AC2E7E">
        <w:t xml:space="preserve">.  </w:t>
      </w:r>
    </w:p>
    <w:p w:rsidR="00EB0904" w:rsidP="001E20C6">
      <w:pPr>
        <w:pStyle w:val="Heading2"/>
        <w:keepNext w:val="0"/>
      </w:pPr>
      <w:r>
        <w:tab/>
      </w:r>
      <w:r w:rsidR="00AC2E7E">
        <w:t>However, rather than continue to dispute computations</w:t>
      </w:r>
      <w:r>
        <w:t xml:space="preserve"> and analyses </w:t>
      </w:r>
      <w:r w:rsidR="00AC2E7E">
        <w:t xml:space="preserve">that will </w:t>
      </w:r>
      <w:r>
        <w:t xml:space="preserve">require even </w:t>
      </w:r>
      <w:r w:rsidR="00AC2E7E">
        <w:t xml:space="preserve">more </w:t>
      </w:r>
      <w:r w:rsidR="00155D22">
        <w:t xml:space="preserve">delay and </w:t>
      </w:r>
      <w:r w:rsidR="00AC2E7E">
        <w:t xml:space="preserve">time to resolve, the Company </w:t>
      </w:r>
      <w:r w:rsidR="00155D22">
        <w:t xml:space="preserve">would </w:t>
      </w:r>
      <w:r w:rsidR="00AC2E7E">
        <w:t xml:space="preserve">accept the Staff’s proposed priceout as a </w:t>
      </w:r>
      <w:r w:rsidR="00155D22">
        <w:t xml:space="preserve">reasonable </w:t>
      </w:r>
      <w:r w:rsidR="00AC2E7E">
        <w:t xml:space="preserve">compromise to effectuate the incremental </w:t>
      </w:r>
      <w:r>
        <w:t xml:space="preserve">revenue </w:t>
      </w:r>
      <w:r w:rsidR="00AC2E7E">
        <w:t xml:space="preserve">increase requirement </w:t>
      </w:r>
      <w:r>
        <w:t xml:space="preserve">previously submitted in settlement </w:t>
      </w:r>
      <w:r w:rsidR="00155D22">
        <w:t>in October, 2014</w:t>
      </w:r>
      <w:r w:rsidR="006E31BE">
        <w:t>,</w:t>
      </w:r>
      <w:bookmarkStart w:id="1" w:name="_GoBack"/>
      <w:bookmarkEnd w:id="1"/>
      <w:r w:rsidR="00155D22">
        <w:t xml:space="preserve"> </w:t>
      </w:r>
      <w:r w:rsidR="00AC2E7E">
        <w:t xml:space="preserve">pending </w:t>
      </w:r>
      <w:r>
        <w:t xml:space="preserve">a </w:t>
      </w:r>
      <w:r w:rsidR="00AC2E7E">
        <w:t>final outcome i</w:t>
      </w:r>
      <w:r w:rsidR="000D167B">
        <w:t xml:space="preserve">n this proceeding.  </w:t>
      </w:r>
    </w:p>
    <w:p w:rsidR="00606B0D" w:rsidP="001E20C6">
      <w:pPr>
        <w:pStyle w:val="Heading2"/>
        <w:keepNext w:val="0"/>
      </w:pPr>
      <w:r>
        <w:tab/>
      </w:r>
      <w:r w:rsidR="00092F56">
        <w:t>The Company</w:t>
      </w:r>
      <w:r w:rsidR="00155D22">
        <w:t xml:space="preserve"> does take issue with </w:t>
      </w:r>
      <w:r w:rsidR="00AC2E7E">
        <w:t>the Staff’s now familiar rendition</w:t>
      </w:r>
      <w:r>
        <w:t xml:space="preserve"> at </w:t>
      </w:r>
      <w:r>
        <w:rPr>
          <w:rFonts w:cs="Times New Roman"/>
        </w:rPr>
        <w:t>¶</w:t>
      </w:r>
      <w:r>
        <w:t>7</w:t>
      </w:r>
      <w:r w:rsidR="00AC2E7E">
        <w:t xml:space="preserve"> </w:t>
      </w:r>
      <w:r w:rsidR="00155D22">
        <w:t xml:space="preserve">of its Response </w:t>
      </w:r>
      <w:r w:rsidR="00AC2E7E">
        <w:t xml:space="preserve">that the loan covenants affecting all six Waste Control Companies are intertwined to the extent that cross-collateralization or interdependent financing arrangements </w:t>
      </w:r>
      <w:r w:rsidR="00155D22">
        <w:t xml:space="preserve">enable </w:t>
      </w:r>
      <w:r w:rsidR="000D167B">
        <w:t>“</w:t>
      </w:r>
      <w:r w:rsidR="00AC2E7E">
        <w:t>piercing of the corporate veil</w:t>
      </w:r>
      <w:r w:rsidR="000D167B">
        <w:t>”</w:t>
      </w:r>
      <w:r w:rsidR="00AC2E7E">
        <w:t xml:space="preserve"> for the purpose of constructing </w:t>
      </w:r>
      <w:r>
        <w:t xml:space="preserve">theories in </w:t>
      </w:r>
      <w:r w:rsidR="00AC2E7E">
        <w:t>allowing aggregation of capital structures</w:t>
      </w:r>
      <w:r w:rsidR="000D167B">
        <w:t xml:space="preserve"> for affiliate returns on rental properties.</w:t>
      </w:r>
      <w:r w:rsidR="00AC2E7E">
        <w:t xml:space="preserve">  While this will obviously be addressed further on Reply Brief as it was </w:t>
      </w:r>
      <w:r>
        <w:t xml:space="preserve">detailedly </w:t>
      </w:r>
      <w:r w:rsidR="00AC2E7E">
        <w:t xml:space="preserve">in hearing on March 11, 2015, a Response to the Motion for Temporary Rates is not intended </w:t>
      </w:r>
      <w:r w:rsidR="000D167B">
        <w:t>as</w:t>
      </w:r>
      <w:r w:rsidR="00AC2E7E">
        <w:t xml:space="preserve"> a </w:t>
      </w:r>
      <w:r>
        <w:t>segue</w:t>
      </w:r>
      <w:r w:rsidR="00AC2E7E">
        <w:t xml:space="preserve"> for reiterating </w:t>
      </w:r>
      <w:r>
        <w:t xml:space="preserve">contested </w:t>
      </w:r>
      <w:r w:rsidR="00AC2E7E">
        <w:t>themes from the underlying rate case</w:t>
      </w:r>
      <w:r>
        <w:t>,</w:t>
      </w:r>
      <w:r w:rsidR="00AC2E7E">
        <w:t xml:space="preserve"> but rather</w:t>
      </w:r>
      <w:r w:rsidR="00155D22">
        <w:t>, an opportunity</w:t>
      </w:r>
      <w:r w:rsidR="00AC2E7E">
        <w:t xml:space="preserve"> </w:t>
      </w:r>
      <w:r w:rsidR="000D167B">
        <w:t xml:space="preserve">to respond to </w:t>
      </w:r>
      <w:r w:rsidR="00AC2E7E">
        <w:t>the singular issue of whether the Company has established just cause for grant of interim rate relief</w:t>
      </w:r>
      <w:r>
        <w:t xml:space="preserve"> upon which the Company Motion is based</w:t>
      </w:r>
      <w:r w:rsidR="00AC2E7E">
        <w:t>.</w:t>
      </w:r>
      <w:r>
        <w:rPr>
          <w:rStyle w:val="FootnoteReference"/>
        </w:rPr>
        <w:footnoteReference w:id="2"/>
      </w:r>
      <w:r w:rsidR="00AC2E7E">
        <w:t xml:space="preserve">  Finally, the Company submits this Reply with the full understanding in response to footnote</w:t>
      </w:r>
      <w:r w:rsidR="000D167B">
        <w:t xml:space="preserve"> 3</w:t>
      </w:r>
      <w:r w:rsidR="00AC2E7E">
        <w:t xml:space="preserve"> of the Staff’s Response</w:t>
      </w:r>
      <w:r w:rsidR="000D167B">
        <w:t>,</w:t>
      </w:r>
      <w:r w:rsidR="00AC2E7E">
        <w:t xml:space="preserve"> that its priceout </w:t>
      </w:r>
      <w:r w:rsidR="000D167B">
        <w:t xml:space="preserve">was intended to and </w:t>
      </w:r>
      <w:r w:rsidR="00AC2E7E">
        <w:t xml:space="preserve">is </w:t>
      </w:r>
      <w:r>
        <w:t xml:space="preserve">now </w:t>
      </w:r>
      <w:r w:rsidR="00AC2E7E">
        <w:t>inc</w:t>
      </w:r>
      <w:r w:rsidR="00ED2C20">
        <w:t>luded in the official adjudicative</w:t>
      </w:r>
      <w:r w:rsidR="00092F56">
        <w:t xml:space="preserve"> file i</w:t>
      </w:r>
      <w:r w:rsidR="00AC2E7E">
        <w:t>n this matter.</w:t>
      </w:r>
    </w:p>
    <w:p w:rsidR="00A3375E" w:rsidRPr="00A3375E" w:rsidP="000F4CBA">
      <w:pPr>
        <w:pStyle w:val="Heading2"/>
        <w:numPr>
          <w:ilvl w:val="0"/>
          <w:numId w:val="0"/>
        </w:numPr>
      </w:pPr>
      <w:r>
        <w:t xml:space="preserve">Dated this </w:t>
      </w:r>
      <w:r w:rsidR="00AA0C26">
        <w:t>18</w:t>
      </w:r>
      <w:r w:rsidRPr="00AA0C26" w:rsidR="00AA0C26">
        <w:rPr>
          <w:vertAlign w:val="superscript"/>
        </w:rPr>
        <w:t>th</w:t>
      </w:r>
      <w:r w:rsidR="00AA0C26">
        <w:t xml:space="preserve"> </w:t>
      </w:r>
      <w:r>
        <w:t xml:space="preserve">day of March 2015 at </w:t>
      </w:r>
      <w:r w:rsidR="00AA0C26">
        <w:t>Seattle</w:t>
      </w:r>
      <w:r>
        <w:t>, Washington</w:t>
      </w:r>
    </w:p>
    <w:p w:rsidR="00973AE8" w:rsidP="002F5808"/>
    <w:p w:rsidR="00973AE8" w:rsidP="002F5808"/>
    <w:tbl>
      <w:tblPr>
        <w:tblW w:w="9558" w:type="dxa"/>
        <w:tblLayout w:type="fixed"/>
        <w:tblLook w:val="0000"/>
      </w:tblPr>
      <w:tblGrid>
        <w:gridCol w:w="4698"/>
        <w:gridCol w:w="4860"/>
      </w:tblGrid>
      <w:tr w:rsidTr="00187A77">
        <w:tblPrEx>
          <w:tblW w:w="9558" w:type="dxa"/>
          <w:tblLayout w:type="fixed"/>
          <w:tblLook w:val="0000"/>
        </w:tblPrEx>
        <w:trPr>
          <w:cantSplit/>
        </w:trPr>
        <w:tc>
          <w:tcPr>
            <w:tcW w:w="4698" w:type="dxa"/>
          </w:tcPr>
          <w:p w:rsidR="00194DDD" w:rsidRPr="00712413" w:rsidP="00187A77">
            <w:pPr>
              <w:keepNext/>
              <w:tabs>
                <w:tab w:val="left" w:pos="432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194DDD" w:rsidP="00187A77">
            <w:pPr>
              <w:keepNext/>
              <w:spacing w:line="240" w:lineRule="exact"/>
              <w:rPr>
                <w:caps/>
                <w:sz w:val="20"/>
                <w:szCs w:val="20"/>
              </w:rPr>
            </w:pPr>
            <w:r w:rsidRPr="00712413">
              <w:rPr>
                <w:caps/>
              </w:rPr>
              <w:t>RESPECTFULLY sUBMITTED</w:t>
            </w:r>
            <w:r w:rsidRPr="00712413">
              <w:rPr>
                <w:caps/>
                <w:sz w:val="20"/>
                <w:szCs w:val="20"/>
              </w:rPr>
              <w:t>,</w:t>
            </w:r>
          </w:p>
          <w:p w:rsidR="00194DDD" w:rsidRPr="00712413" w:rsidP="00187A77">
            <w:pPr>
              <w:keepNext/>
              <w:spacing w:line="240" w:lineRule="exact"/>
              <w:rPr>
                <w:caps/>
                <w:sz w:val="20"/>
                <w:szCs w:val="20"/>
              </w:rPr>
            </w:pPr>
          </w:p>
          <w:p w:rsidR="00194DDD" w:rsidP="00187A77">
            <w:pPr>
              <w:keepNext/>
              <w:spacing w:line="240" w:lineRule="exact"/>
              <w:rPr>
                <w:caps/>
                <w:sz w:val="20"/>
                <w:szCs w:val="20"/>
              </w:rPr>
            </w:pPr>
          </w:p>
          <w:p w:rsidR="00194DDD" w:rsidRPr="00712413" w:rsidP="00187A77">
            <w:pPr>
              <w:keepNext/>
              <w:spacing w:line="240" w:lineRule="exact"/>
              <w:rPr>
                <w:caps/>
                <w:sz w:val="20"/>
                <w:szCs w:val="20"/>
              </w:rPr>
            </w:pPr>
          </w:p>
          <w:p w:rsidR="00194DDD" w:rsidRPr="00712413" w:rsidP="00187A77">
            <w:pPr>
              <w:keepNext/>
              <w:tabs>
                <w:tab w:val="right" w:pos="4572"/>
              </w:tabs>
              <w:spacing w:line="240" w:lineRule="exact"/>
              <w:rPr>
                <w:sz w:val="20"/>
                <w:szCs w:val="20"/>
                <w:u w:val="single"/>
              </w:rPr>
            </w:pPr>
            <w:r w:rsidRPr="00712413">
              <w:rPr>
                <w:sz w:val="20"/>
                <w:szCs w:val="20"/>
              </w:rPr>
              <w:t xml:space="preserve">By </w:t>
            </w:r>
            <w:r w:rsidRPr="00712413">
              <w:rPr>
                <w:sz w:val="20"/>
                <w:szCs w:val="20"/>
                <w:u w:val="single"/>
              </w:rPr>
              <w:tab/>
            </w:r>
          </w:p>
          <w:p w:rsidR="00194DDD" w:rsidRPr="00712413" w:rsidP="00187A77">
            <w:pPr>
              <w:keepNext/>
              <w:tabs>
                <w:tab w:val="left" w:pos="432"/>
                <w:tab w:val="right" w:pos="4932"/>
              </w:tabs>
              <w:spacing w:line="240" w:lineRule="exact"/>
            </w:pPr>
            <w:r>
              <w:rPr>
                <w:sz w:val="20"/>
                <w:szCs w:val="20"/>
              </w:rPr>
              <w:t xml:space="preserve">       </w:t>
            </w:r>
            <w:r w:rsidRPr="00712413">
              <w:t xml:space="preserve">David W. Wiley, WSBA #08614 </w:t>
            </w:r>
          </w:p>
          <w:p w:rsidR="00194DDD" w:rsidRPr="00712413" w:rsidP="00187A77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sz w:val="20"/>
                <w:szCs w:val="20"/>
              </w:rPr>
            </w:pPr>
            <w:r w:rsidRPr="00712413">
              <w:rPr>
                <w:sz w:val="20"/>
                <w:szCs w:val="20"/>
              </w:rPr>
              <w:t xml:space="preserve">       </w:t>
            </w:r>
            <w:r w:rsidRPr="00712413">
              <w:rPr>
                <w:rStyle w:val="Hyperlink"/>
                <w:sz w:val="20"/>
                <w:szCs w:val="20"/>
              </w:rPr>
              <w:t>dwiley@williamskastner.com</w:t>
            </w:r>
            <w:r w:rsidRPr="00712413">
              <w:rPr>
                <w:sz w:val="20"/>
                <w:szCs w:val="20"/>
              </w:rPr>
              <w:t xml:space="preserve"> </w:t>
            </w:r>
          </w:p>
          <w:p w:rsidR="00194DDD" w:rsidRPr="00712413" w:rsidP="00851803">
            <w:pPr>
              <w:keepNext/>
              <w:spacing w:line="240" w:lineRule="exact"/>
            </w:pPr>
            <w:r w:rsidRPr="00712413">
              <w:t xml:space="preserve">Attorneys for </w:t>
            </w:r>
            <w:r w:rsidR="00851803">
              <w:t>Waste Control, Inc.</w:t>
            </w:r>
          </w:p>
        </w:tc>
      </w:tr>
    </w:tbl>
    <w:p w:rsidR="00606B0D" w:rsidP="006877D4"/>
    <w:p w:rsidR="006877D4" w:rsidP="006877D4"/>
    <w:p w:rsidR="008C026B" w:rsidP="006877D4"/>
    <w:sectPr w:rsidSect="006E31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E7E">
    <w:pPr>
      <w:pStyle w:val="Footer"/>
      <w:rPr>
        <w:sz w:val="20"/>
      </w:rPr>
    </w:pPr>
    <w:r w:rsidRPr="00AC2E7E">
      <w:rPr>
        <w:sz w:val="20"/>
      </w:rPr>
      <w:t xml:space="preserve">COMPANY REPLY TO STAFF RESPONSE TO </w:t>
    </w:r>
  </w:p>
  <w:p w:rsidR="00692D1F" w:rsidRPr="00AC2E7E">
    <w:pPr>
      <w:pStyle w:val="Footer"/>
      <w:rPr>
        <w:sz w:val="20"/>
      </w:rPr>
    </w:pPr>
    <w:r w:rsidRPr="00AC2E7E">
      <w:rPr>
        <w:sz w:val="20"/>
      </w:rPr>
      <w:t xml:space="preserve">MOTION TO ALLOW TEMPORARY RATES </w:t>
    </w:r>
    <w:r w:rsidRPr="00ED2138" w:rsidR="006877D4">
      <w:rPr>
        <w:sz w:val="20"/>
      </w:rPr>
      <w:t>-</w:t>
    </w:r>
    <w:r w:rsidRPr="00ED2138" w:rsidR="006877D4">
      <w:rPr>
        <w:sz w:val="20"/>
      </w:rPr>
      <w:fldChar w:fldCharType="begin"/>
    </w:r>
    <w:r w:rsidRPr="00ED2138" w:rsidR="006877D4">
      <w:rPr>
        <w:sz w:val="20"/>
      </w:rPr>
      <w:instrText xml:space="preserve"> PAGE   \* MERGEFORMAT </w:instrText>
    </w:r>
    <w:r w:rsidRPr="00ED2138" w:rsidR="006877D4">
      <w:rPr>
        <w:sz w:val="20"/>
      </w:rPr>
      <w:fldChar w:fldCharType="separate"/>
    </w:r>
    <w:r w:rsidR="006E31BE">
      <w:rPr>
        <w:noProof/>
        <w:sz w:val="20"/>
      </w:rPr>
      <w:t>2</w:t>
    </w:r>
    <w:r w:rsidRPr="00ED2138" w:rsidR="006877D4">
      <w:rPr>
        <w:noProof/>
        <w:sz w:val="20"/>
      </w:rPr>
      <w:fldChar w:fldCharType="end"/>
    </w:r>
  </w:p>
  <w:p w:rsidR="00692D1F" w:rsidP="00692D1F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92D1F">
      <w:rPr>
        <w:sz w:val="16"/>
      </w:rPr>
      <w:instrText>IF "</w:instrText>
    </w:r>
    <w:r w:rsidRPr="00692D1F">
      <w:rPr>
        <w:sz w:val="16"/>
      </w:rPr>
      <w:instrText>1</w:instrText>
    </w:r>
    <w:r w:rsidRPr="00692D1F">
      <w:rPr>
        <w:sz w:val="16"/>
      </w:rPr>
      <w:instrText>" = "1" "</w:instrText>
    </w:r>
    <w:r w:rsidRPr="00692D1F">
      <w:rPr>
        <w:sz w:val="16"/>
      </w:rPr>
      <w:fldChar w:fldCharType="begin"/>
    </w:r>
    <w:r w:rsidRPr="00692D1F">
      <w:rPr>
        <w:sz w:val="16"/>
      </w:rPr>
      <w:instrText xml:space="preserve"> DOCPROPERTY "SWDocID" </w:instrText>
    </w:r>
    <w:r w:rsidRPr="00692D1F">
      <w:rPr>
        <w:sz w:val="16"/>
      </w:rPr>
      <w:fldChar w:fldCharType="separate"/>
    </w:r>
    <w:r w:rsidRPr="00692D1F">
      <w:rPr>
        <w:sz w:val="16"/>
      </w:rPr>
      <w:instrText xml:space="preserve"> 5372541.1</w:instrText>
    </w:r>
    <w:r w:rsidRPr="00692D1F">
      <w:rPr>
        <w:sz w:val="16"/>
      </w:rPr>
      <w:fldChar w:fldCharType="end"/>
    </w:r>
    <w:r w:rsidRPr="00692D1F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692D1F">
      <w:rPr>
        <w:sz w:val="16"/>
      </w:rPr>
      <w:t xml:space="preserve"> 5372541.1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F5808">
      <w:r>
        <w:separator/>
      </w:r>
    </w:p>
  </w:footnote>
  <w:footnote w:type="continuationSeparator" w:id="1">
    <w:p w:rsidR="002F5808">
      <w:r>
        <w:continuationSeparator/>
      </w:r>
    </w:p>
  </w:footnote>
  <w:footnote w:id="2">
    <w:p w:rsidR="00EB09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5D22">
        <w:t>Recurring</w:t>
      </w:r>
      <w:r>
        <w:t xml:space="preserve"> Staff attempts at bites of the proverbial apple have not been </w:t>
      </w:r>
      <w:r w:rsidR="00155D22">
        <w:t>unique in this proceeding.</w:t>
      </w:r>
      <w:r>
        <w:t xml:space="preserve"> </w:t>
      </w:r>
      <w:r w:rsidR="00155D22">
        <w:rPr>
          <w:i/>
        </w:rPr>
        <w:t>S</w:t>
      </w:r>
      <w:r>
        <w:rPr>
          <w:i/>
        </w:rPr>
        <w:t>ee</w:t>
      </w:r>
      <w:r>
        <w:t xml:space="preserve">, i.e., Commission Staff’s Response to </w:t>
      </w:r>
      <w:r>
        <w:t>WRRA’s</w:t>
      </w:r>
      <w:r>
        <w:t xml:space="preserve"> Response to and Joinder in Respondent’s Discovery Motion of June 23, 2014 and WCI’s Reply thereto of June 25, 2014, ¶¶2, 3, pp. 1 and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B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26B" w:rsidRPr="00194DDD" w:rsidP="00194DDD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1255C95"/>
    <w:multiLevelType w:val="hybridMultilevel"/>
    <w:tmpl w:val="26EC9C58"/>
    <w:lvl w:ilvl="0">
      <w:start w:val="1"/>
      <w:numFmt w:val="decimal"/>
      <w:lvlText w:val="%1"/>
      <w:lvlJc w:val="left"/>
      <w:pPr>
        <w:ind w:left="0" w:hanging="360"/>
      </w:pPr>
      <w:rPr>
        <w:rFonts w:ascii="Times New Roman" w:hAnsi="Times New Roman" w:hint="default"/>
        <w:b w:val="0"/>
        <w:i/>
        <w:sz w:val="24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5073EE7"/>
    <w:multiLevelType w:val="hybridMultilevel"/>
    <w:tmpl w:val="3FFE5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342E"/>
    <w:multiLevelType w:val="multilevel"/>
    <w:tmpl w:val="33D021BC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Heading2"/>
      <w:lvlText w:val="%2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18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72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5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ListParagraph"/>
    <w:qFormat/>
    <w:rsid w:val="00606B0D"/>
    <w:pPr>
      <w:keepNext/>
      <w:numPr>
        <w:numId w:val="14"/>
      </w:numPr>
      <w:tabs>
        <w:tab w:val="clear" w:pos="0"/>
      </w:tabs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qFormat/>
    <w:rsid w:val="00606B0D"/>
    <w:pPr>
      <w:keepNext/>
      <w:numPr>
        <w:ilvl w:val="1"/>
        <w:numId w:val="14"/>
      </w:numPr>
      <w:tabs>
        <w:tab w:val="clear" w:pos="0"/>
        <w:tab w:val="left" w:pos="720"/>
      </w:tabs>
      <w:spacing w:before="120" w:after="120" w:line="480" w:lineRule="auto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2"/>
    <w:qFormat/>
    <w:rsid w:val="00606B0D"/>
    <w:pPr>
      <w:keepNext/>
      <w:numPr>
        <w:ilvl w:val="2"/>
        <w:numId w:val="14"/>
      </w:numPr>
      <w:tabs>
        <w:tab w:val="clear" w:pos="0"/>
      </w:tabs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2"/>
    <w:unhideWhenUsed/>
    <w:rsid w:val="00606B0D"/>
    <w:pPr>
      <w:keepNext/>
      <w:numPr>
        <w:ilvl w:val="3"/>
        <w:numId w:val="14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nhideWhenUsed/>
    <w:rsid w:val="00606B0D"/>
    <w:pPr>
      <w:numPr>
        <w:ilvl w:val="4"/>
        <w:numId w:val="14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nhideWhenUsed/>
    <w:rsid w:val="00606B0D"/>
    <w:pPr>
      <w:numPr>
        <w:ilvl w:val="5"/>
        <w:numId w:val="14"/>
      </w:numPr>
      <w:tabs>
        <w:tab w:val="clear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2"/>
    <w:unhideWhenUsed/>
    <w:rsid w:val="00606B0D"/>
    <w:pPr>
      <w:numPr>
        <w:ilvl w:val="6"/>
        <w:numId w:val="14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nhideWhenUsed/>
    <w:rsid w:val="00606B0D"/>
    <w:pPr>
      <w:numPr>
        <w:ilvl w:val="7"/>
        <w:numId w:val="14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nhideWhenUsed/>
    <w:rsid w:val="00606B0D"/>
    <w:pPr>
      <w:numPr>
        <w:ilvl w:val="8"/>
        <w:numId w:val="14"/>
      </w:numPr>
      <w:tabs>
        <w:tab w:val="clear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uiPriority w:val="99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styleId="Caption">
    <w:name w:val="caption"/>
    <w:basedOn w:val="Normal"/>
    <w:next w:val="Normal"/>
    <w:semiHidden/>
    <w:rsid w:val="002F5808"/>
    <w:pPr>
      <w:spacing w:line="240" w:lineRule="exact"/>
    </w:pPr>
    <w:rPr>
      <w:bCs/>
      <w:szCs w:val="20"/>
    </w:rPr>
  </w:style>
  <w:style w:type="paragraph" w:customStyle="1" w:styleId="PartyName">
    <w:name w:val="Party Name"/>
    <w:basedOn w:val="Normal"/>
    <w:semiHidden/>
    <w:rsid w:val="002F5808"/>
    <w:pPr>
      <w:spacing w:line="240" w:lineRule="exact"/>
      <w:ind w:left="1440"/>
    </w:pPr>
    <w:rPr>
      <w:szCs w:val="20"/>
    </w:rPr>
  </w:style>
  <w:style w:type="paragraph" w:customStyle="1" w:styleId="PartyContents">
    <w:name w:val="Party Contents"/>
    <w:basedOn w:val="Normal"/>
    <w:semiHidden/>
    <w:rsid w:val="002F5808"/>
    <w:pPr>
      <w:spacing w:line="240" w:lineRule="exact"/>
    </w:pPr>
    <w:rPr>
      <w:szCs w:val="20"/>
    </w:rPr>
  </w:style>
  <w:style w:type="paragraph" w:customStyle="1" w:styleId="Versus">
    <w:name w:val="Versus"/>
    <w:basedOn w:val="Normal"/>
    <w:semiHidden/>
    <w:rsid w:val="002F5808"/>
    <w:pPr>
      <w:spacing w:line="240" w:lineRule="exact"/>
      <w:ind w:lef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973A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877D4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06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6B0D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C02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numbering" Target="numbering.xml"/><Relationship Id="rId8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7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14" Type="http://schemas.openxmlformats.org/officeDocument/2006/relationships/styles" Target="styles.xml"/><Relationship Id="rId4" Type="http://schemas.openxmlformats.org/officeDocument/2006/relationships/fontTable" Target="fontTable.xml"/><Relationship Id="rId9" Type="http://schemas.openxmlformats.org/officeDocument/2006/relationships/header" Target="header3.xml"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4431441E7FC4EFF9AB79BB10B23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CCFE-C31D-4112-91B5-D7AAB72675DE}"/>
      </w:docPartPr>
      <w:docPartBody>
        <w:p w:rsidR="001E6F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0" w:inkAnnotations="1" w:insDel="1" w:markup="1"/>
  <w:defaultTabStop w:val="720"/>
  <w:characterSpacingControl w:val="doNotCompress"/>
  <w:footnotePr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C8268A-AF02-44BD-AB56-C26E8C2075CC}"/>
</file>

<file path=customXml/itemProps2.xml><?xml version="1.0" encoding="utf-8"?>
<ds:datastoreItem xmlns:ds="http://schemas.openxmlformats.org/officeDocument/2006/customXml" ds:itemID="{519B27EA-E302-43DA-9F7B-153261E52443}"/>
</file>

<file path=customXml/itemProps3.xml><?xml version="1.0" encoding="utf-8"?>
<ds:datastoreItem xmlns:ds="http://schemas.openxmlformats.org/officeDocument/2006/customXml" ds:itemID="{90EA9A62-0CF9-4BF6-BD4F-05A1E2642174}"/>
</file>

<file path=customXml/itemProps4.xml><?xml version="1.0" encoding="utf-8"?>
<ds:datastoreItem xmlns:ds="http://schemas.openxmlformats.org/officeDocument/2006/customXml" ds:itemID="{CD1E723D-4BB8-45D2-A8C3-9AE948818FF1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2</Pages>
  <Words>464</Words>
  <Characters>2676</Characters>
  <Application>Microsoft Office Word</Application>
  <DocSecurity>0</DocSecurity>
  <Lines>39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2015-03-18T18:51:18Z</dcterms:created>
  <dcterms:modified xsi:type="dcterms:W3CDTF">2015-03-18T18:51:18Z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5372541.1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