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9B525B" w:rsidRDefault="00D467AE" w:rsidP="00F63A40">
      <w:pPr>
        <w:pStyle w:val="Heading1"/>
        <w:keepNext w:val="0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 w:rsidP="00F63A40">
      <w:pPr>
        <w:pStyle w:val="Heading1"/>
        <w:keepNext w:val="0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 w:rsidP="00F63A40">
      <w:pPr>
        <w:pStyle w:val="Heading1"/>
        <w:keepNext w:val="0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 w:rsidP="00F63A40">
      <w:pPr>
        <w:pStyle w:val="Heading1"/>
        <w:keepNext w:val="0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 w:rsidP="00F63A40">
      <w:pPr>
        <w:pStyle w:val="Heading1"/>
        <w:keepNext w:val="0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 w:rsidP="00F63A40">
      <w:pPr>
        <w:pStyle w:val="Heading1"/>
        <w:keepNext w:val="0"/>
        <w:rPr>
          <w:vanish w:val="0"/>
          <w:szCs w:val="16"/>
        </w:rPr>
      </w:pPr>
    </w:p>
    <w:p w:rsidR="00D467AE" w:rsidRPr="00BB721D" w:rsidRDefault="00D467AE" w:rsidP="00F63A40">
      <w:pPr>
        <w:pStyle w:val="Heading1"/>
        <w:keepNext w:val="0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C325CF" w:rsidRDefault="0070497C" w:rsidP="00F63A40">
      <w:pPr>
        <w:pStyle w:val="Heading1"/>
        <w:keepNext w:val="0"/>
        <w:rPr>
          <w:vanish w:val="0"/>
          <w:szCs w:val="16"/>
        </w:rPr>
      </w:pPr>
      <w:r>
        <w:rPr>
          <w:vanish w:val="0"/>
          <w:szCs w:val="16"/>
        </w:rPr>
        <w:t>Northwest</w:t>
      </w:r>
      <w:r w:rsidR="00C325CF">
        <w:rPr>
          <w:vanish w:val="0"/>
          <w:szCs w:val="16"/>
        </w:rPr>
        <w:t xml:space="preserve"> Region Vice President </w:t>
      </w:r>
    </w:p>
    <w:p w:rsidR="00C325CF" w:rsidRPr="00C325CF" w:rsidRDefault="00C325CF" w:rsidP="00F63A40">
      <w:pPr>
        <w:pStyle w:val="Heading1"/>
        <w:keepNext w:val="0"/>
        <w:rPr>
          <w:vanish w:val="0"/>
          <w:szCs w:val="16"/>
        </w:rPr>
      </w:pPr>
      <w:r>
        <w:rPr>
          <w:vanish w:val="0"/>
          <w:szCs w:val="16"/>
        </w:rPr>
        <w:t>Public Policy</w:t>
      </w:r>
    </w:p>
    <w:p w:rsidR="00103F55" w:rsidRDefault="00103F55" w:rsidP="00BB721D"/>
    <w:p w:rsidR="00D467AE" w:rsidRDefault="00A7390B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</w:t>
      </w:r>
      <w:r w:rsidR="00F63A40">
        <w:rPr>
          <w:rFonts w:ascii="Times New Roman" w:hAnsi="Times New Roman"/>
        </w:rPr>
        <w:t>9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</w:p>
    <w:p w:rsidR="00F63A40" w:rsidRDefault="00F63A40" w:rsidP="00BB721D">
      <w:pPr>
        <w:rPr>
          <w:rFonts w:ascii="Times New Roman" w:hAnsi="Times New Roman"/>
        </w:rPr>
      </w:pP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</w:t>
      </w:r>
      <w:r w:rsidR="00C95B99">
        <w:rPr>
          <w:rFonts w:ascii="Times New Roman" w:hAnsi="Times New Roman"/>
          <w:b/>
          <w:i/>
        </w:rPr>
        <w:t>Email</w:t>
      </w:r>
      <w:r w:rsidRPr="000455F9">
        <w:rPr>
          <w:rFonts w:ascii="Times New Roman" w:hAnsi="Times New Roman"/>
          <w:b/>
          <w:i/>
        </w:rPr>
        <w:t xml:space="preserve">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F63A40">
      <w:pPr>
        <w:pStyle w:val="Heading1"/>
        <w:keepNext w:val="0"/>
        <w:rPr>
          <w:sz w:val="24"/>
          <w:szCs w:val="24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F63A40" w:rsidRPr="00BB721D" w:rsidRDefault="00F63A40" w:rsidP="00BB721D">
      <w:pPr>
        <w:rPr>
          <w:rFonts w:ascii="Times New Roman" w:hAnsi="Times New Roman"/>
        </w:rPr>
      </w:pPr>
    </w:p>
    <w:p w:rsidR="00783B38" w:rsidRDefault="005F2F0D" w:rsidP="005F2F0D">
      <w:pPr>
        <w:rPr>
          <w:rFonts w:ascii="Times New Roman" w:hAnsi="Times New Roman"/>
        </w:rPr>
      </w:pPr>
      <w:bookmarkStart w:id="0" w:name="InsertAddress"/>
      <w:bookmarkEnd w:id="0"/>
      <w:r>
        <w:rPr>
          <w:rFonts w:ascii="Times New Roman" w:hAnsi="Times New Roman"/>
        </w:rPr>
        <w:t xml:space="preserve">Mr. </w:t>
      </w:r>
      <w:r w:rsidR="00783B38">
        <w:rPr>
          <w:rFonts w:ascii="Times New Roman" w:hAnsi="Times New Roman"/>
        </w:rPr>
        <w:t>Steven V. King</w:t>
      </w:r>
      <w:r>
        <w:rPr>
          <w:rFonts w:ascii="Times New Roman" w:hAnsi="Times New Roman"/>
        </w:rPr>
        <w:t xml:space="preserve"> </w:t>
      </w:r>
    </w:p>
    <w:p w:rsidR="005F2F0D" w:rsidRDefault="005F2F0D" w:rsidP="005F2F0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Executive Director and Secretary</w:t>
      </w:r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&amp; Transportation Commission</w:t>
      </w:r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 SW</w:t>
          </w:r>
        </w:smartTag>
      </w:smartTag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5F2F0D" w:rsidRDefault="005F2F0D" w:rsidP="005F2F0D">
      <w:pPr>
        <w:rPr>
          <w:rFonts w:ascii="Times New Roman" w:hAnsi="Times New Roman"/>
          <w:b/>
        </w:rPr>
      </w:pPr>
    </w:p>
    <w:p w:rsidR="005F2F0D" w:rsidRPr="00F63A40" w:rsidRDefault="00F63A40" w:rsidP="00F63A40">
      <w:pPr>
        <w:tabs>
          <w:tab w:val="left" w:pos="720"/>
        </w:tabs>
        <w:ind w:left="1440" w:right="1354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5F2F0D" w:rsidRPr="00F63A40">
        <w:rPr>
          <w:rFonts w:ascii="Times New Roman" w:hAnsi="Times New Roman"/>
          <w:b/>
        </w:rPr>
        <w:t>Re:</w:t>
      </w:r>
      <w:r w:rsidR="005F2F0D" w:rsidRPr="00F63A40">
        <w:rPr>
          <w:rFonts w:ascii="Times New Roman" w:hAnsi="Times New Roman"/>
          <w:b/>
        </w:rPr>
        <w:tab/>
        <w:t xml:space="preserve">CenturyLink’s </w:t>
      </w:r>
      <w:r>
        <w:rPr>
          <w:rFonts w:ascii="Times New Roman" w:hAnsi="Times New Roman"/>
          <w:b/>
        </w:rPr>
        <w:t>C</w:t>
      </w:r>
      <w:r w:rsidR="005F2F0D" w:rsidRPr="00F63A40">
        <w:rPr>
          <w:rFonts w:ascii="Times New Roman" w:hAnsi="Times New Roman"/>
          <w:b/>
        </w:rPr>
        <w:t xml:space="preserve">ompliance </w:t>
      </w:r>
      <w:r>
        <w:rPr>
          <w:rFonts w:ascii="Times New Roman" w:hAnsi="Times New Roman"/>
          <w:b/>
        </w:rPr>
        <w:t>F</w:t>
      </w:r>
      <w:r w:rsidR="005F2F0D" w:rsidRPr="00F63A40">
        <w:rPr>
          <w:rFonts w:ascii="Times New Roman" w:hAnsi="Times New Roman"/>
          <w:b/>
        </w:rPr>
        <w:t xml:space="preserve">iling </w:t>
      </w:r>
      <w:r>
        <w:rPr>
          <w:rFonts w:ascii="Times New Roman" w:hAnsi="Times New Roman"/>
          <w:b/>
        </w:rPr>
        <w:t>P</w:t>
      </w:r>
      <w:r w:rsidR="005F2F0D" w:rsidRPr="00F63A40">
        <w:rPr>
          <w:rFonts w:ascii="Times New Roman" w:hAnsi="Times New Roman"/>
          <w:b/>
        </w:rPr>
        <w:t xml:space="preserve">ursuant to </w:t>
      </w:r>
      <w:r>
        <w:rPr>
          <w:rFonts w:ascii="Times New Roman" w:hAnsi="Times New Roman"/>
          <w:b/>
        </w:rPr>
        <w:t>P</w:t>
      </w:r>
      <w:r w:rsidR="005F2F0D" w:rsidRPr="00F63A40">
        <w:rPr>
          <w:rFonts w:ascii="Times New Roman" w:hAnsi="Times New Roman"/>
          <w:b/>
        </w:rPr>
        <w:t xml:space="preserve">aragraph 50 of the Commission’s Order 05 in Docket No. </w:t>
      </w:r>
      <w:proofErr w:type="gramStart"/>
      <w:r w:rsidR="005F2F0D" w:rsidRPr="00F63A40">
        <w:rPr>
          <w:rFonts w:ascii="Times New Roman" w:hAnsi="Times New Roman"/>
          <w:b/>
        </w:rPr>
        <w:t>UT-082119 – CenturyTel/</w:t>
      </w:r>
      <w:proofErr w:type="spellStart"/>
      <w:r w:rsidR="005F2F0D" w:rsidRPr="00F63A40">
        <w:rPr>
          <w:rFonts w:ascii="Times New Roman" w:hAnsi="Times New Roman"/>
          <w:b/>
        </w:rPr>
        <w:t>Embarq</w:t>
      </w:r>
      <w:proofErr w:type="spellEnd"/>
      <w:r w:rsidR="005F2F0D" w:rsidRPr="00F63A4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</w:t>
      </w:r>
      <w:r w:rsidR="005F2F0D" w:rsidRPr="00F63A40">
        <w:rPr>
          <w:rFonts w:ascii="Times New Roman" w:hAnsi="Times New Roman"/>
          <w:b/>
        </w:rPr>
        <w:t>erger.</w:t>
      </w:r>
      <w:proofErr w:type="gramEnd"/>
    </w:p>
    <w:p w:rsidR="005F2F0D" w:rsidRDefault="005F2F0D" w:rsidP="005F2F0D">
      <w:pPr>
        <w:rPr>
          <w:rFonts w:ascii="Times New Roman" w:hAnsi="Times New Roman"/>
          <w:b/>
        </w:rPr>
      </w:pPr>
    </w:p>
    <w:p w:rsidR="005F2F0D" w:rsidRDefault="005F2F0D" w:rsidP="005F2F0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Dear </w:t>
      </w:r>
      <w:bookmarkStart w:id="1" w:name="Dear"/>
      <w:bookmarkEnd w:id="1"/>
      <w:r>
        <w:rPr>
          <w:rFonts w:ascii="Times New Roman" w:hAnsi="Times New Roman"/>
        </w:rPr>
        <w:t xml:space="preserve">Mr. </w:t>
      </w:r>
      <w:r w:rsidR="00783B38">
        <w:rPr>
          <w:rFonts w:ascii="Times New Roman" w:hAnsi="Times New Roman"/>
        </w:rPr>
        <w:t>King</w:t>
      </w:r>
      <w:r>
        <w:rPr>
          <w:rFonts w:ascii="Times New Roman" w:hAnsi="Times New Roman"/>
        </w:rPr>
        <w:t>:</w:t>
      </w:r>
    </w:p>
    <w:p w:rsidR="005F2F0D" w:rsidRDefault="005F2F0D" w:rsidP="005F2F0D">
      <w:pPr>
        <w:rPr>
          <w:rFonts w:ascii="Times New Roman" w:hAnsi="Times New Roman"/>
          <w:b/>
        </w:rPr>
      </w:pPr>
    </w:p>
    <w:p w:rsidR="00A7390B" w:rsidRDefault="00A7390B" w:rsidP="005F2F0D">
      <w:pPr>
        <w:pStyle w:val="normalblock"/>
        <w:spacing w:line="240" w:lineRule="auto"/>
      </w:pPr>
      <w:r>
        <w:t>P</w:t>
      </w:r>
      <w:r w:rsidR="005F2F0D">
        <w:t>aragraph 50 of the Commission’s Order 05 in Docket UT-082119</w:t>
      </w:r>
      <w:r>
        <w:t xml:space="preserve"> requires CenturyLink to provide the Commission an annual report of the costs and synergy savings of the CenturyTel/Embarq merger.  Pursuant to Appendix 4 of the </w:t>
      </w:r>
      <w:r w:rsidR="00F63A40">
        <w:t>O</w:t>
      </w:r>
      <w:r>
        <w:t>rder, the report was to be provided</w:t>
      </w:r>
      <w:r w:rsidR="0062528B">
        <w:t xml:space="preserve"> </w:t>
      </w:r>
      <w:r w:rsidR="00F63A40">
        <w:t>“</w:t>
      </w:r>
      <w:r>
        <w:t>. . . until August 15, 2014, or until the end of the integration period, whichever is later</w:t>
      </w:r>
      <w:r w:rsidR="00F63A40">
        <w:t xml:space="preserve"> </w:t>
      </w:r>
      <w:r>
        <w:t>. . .</w:t>
      </w:r>
      <w:proofErr w:type="gramStart"/>
      <w:r>
        <w:t>”</w:t>
      </w:r>
      <w:r w:rsidR="00F63A40">
        <w:t>.</w:t>
      </w:r>
      <w:proofErr w:type="gramEnd"/>
    </w:p>
    <w:p w:rsidR="00A7390B" w:rsidRDefault="00A7390B" w:rsidP="005F2F0D">
      <w:pPr>
        <w:pStyle w:val="normalblock"/>
        <w:spacing w:line="240" w:lineRule="auto"/>
      </w:pPr>
    </w:p>
    <w:p w:rsidR="004463BE" w:rsidRDefault="00A7390B" w:rsidP="005F2F0D">
      <w:pPr>
        <w:pStyle w:val="normalblock"/>
        <w:spacing w:line="240" w:lineRule="auto"/>
      </w:pPr>
      <w:r>
        <w:t>However, as reported in CenturyLink’s compliance filing of October 21, 2013, the company</w:t>
      </w:r>
      <w:r w:rsidR="005F2F0D">
        <w:t xml:space="preserve"> achieved its previously announced target of $375 million in annual synergies on a run-rate basis associated with the CenturyTel/Embarq merger</w:t>
      </w:r>
      <w:r>
        <w:t xml:space="preserve"> as of December 2011</w:t>
      </w:r>
      <w:r w:rsidR="005F2F0D">
        <w:t xml:space="preserve">.  </w:t>
      </w:r>
      <w:r>
        <w:t xml:space="preserve">In addition, </w:t>
      </w:r>
      <w:r w:rsidR="005F2F0D">
        <w:t xml:space="preserve">CenturyLink </w:t>
      </w:r>
      <w:r>
        <w:t xml:space="preserve">reported that it had </w:t>
      </w:r>
      <w:r w:rsidR="005F2F0D">
        <w:t xml:space="preserve">completed all substantive integration activities associated with the CenturyTel/Embarq merger and </w:t>
      </w:r>
      <w:r>
        <w:t xml:space="preserve">would </w:t>
      </w:r>
      <w:r w:rsidR="005F2F0D">
        <w:t xml:space="preserve">not incur any further integration costs associated with that transaction.  </w:t>
      </w:r>
    </w:p>
    <w:p w:rsidR="004463BE" w:rsidRDefault="004463BE" w:rsidP="005F2F0D">
      <w:pPr>
        <w:pStyle w:val="normalblock"/>
        <w:spacing w:line="240" w:lineRule="auto"/>
      </w:pPr>
    </w:p>
    <w:p w:rsidR="005F2F0D" w:rsidRDefault="005F2F0D" w:rsidP="005F2F0D">
      <w:pPr>
        <w:pStyle w:val="normalblock"/>
        <w:spacing w:line="240" w:lineRule="auto"/>
      </w:pPr>
      <w:r>
        <w:t xml:space="preserve">As a result, </w:t>
      </w:r>
      <w:r w:rsidR="00955FBE">
        <w:t xml:space="preserve">the merger cost and synergy impacts associated with the CenturyTel/Embarq merger have been fully reported to the Commission through the compliance filings made in 2010, 2011, 2012 and 2013 and </w:t>
      </w:r>
      <w:r>
        <w:t xml:space="preserve">there </w:t>
      </w:r>
      <w:r w:rsidR="00955FBE">
        <w:t>is</w:t>
      </w:r>
      <w:r>
        <w:t xml:space="preserve"> no new information to report in </w:t>
      </w:r>
      <w:r w:rsidR="00A65812">
        <w:t>filings</w:t>
      </w:r>
      <w:r>
        <w:t xml:space="preserve"> under this </w:t>
      </w:r>
      <w:r w:rsidR="004463BE">
        <w:t>c</w:t>
      </w:r>
      <w:r>
        <w:t xml:space="preserve">ondition.  </w:t>
      </w:r>
      <w:r w:rsidR="00955FBE">
        <w:t>Accordingly, the requirements imposed by paragraph 50 for reporting of merger costs and synergies ha</w:t>
      </w:r>
      <w:r w:rsidR="0062528B">
        <w:t>ve</w:t>
      </w:r>
      <w:r w:rsidR="00955FBE">
        <w:t xml:space="preserve"> been fully satisfied an</w:t>
      </w:r>
      <w:r w:rsidR="0062528B">
        <w:t>d</w:t>
      </w:r>
      <w:r w:rsidR="00955FBE">
        <w:t xml:space="preserve"> no additional reports are required.</w:t>
      </w:r>
    </w:p>
    <w:p w:rsidR="005F2F0D" w:rsidRDefault="005F2F0D" w:rsidP="005F2F0D">
      <w:pPr>
        <w:pStyle w:val="normalblock"/>
        <w:spacing w:line="240" w:lineRule="auto"/>
      </w:pPr>
    </w:p>
    <w:p w:rsidR="008405C5" w:rsidRDefault="008405C5" w:rsidP="008405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any questions regarding this </w:t>
      </w:r>
      <w:r w:rsidR="0062528B">
        <w:rPr>
          <w:rFonts w:ascii="Times New Roman" w:hAnsi="Times New Roman"/>
        </w:rPr>
        <w:t>issue</w:t>
      </w:r>
      <w:r>
        <w:rPr>
          <w:rFonts w:ascii="Times New Roman" w:hAnsi="Times New Roman"/>
        </w:rPr>
        <w:t>, please don’t hesitate to call me.</w:t>
      </w:r>
    </w:p>
    <w:p w:rsidR="005F2F0D" w:rsidRDefault="005F2F0D" w:rsidP="005F2F0D">
      <w:pPr>
        <w:pStyle w:val="normalblock"/>
      </w:pPr>
    </w:p>
    <w:p w:rsidR="005F2F0D" w:rsidRDefault="005F2F0D" w:rsidP="005F2F0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Sincerely,</w:t>
      </w:r>
    </w:p>
    <w:p w:rsidR="005F2F0D" w:rsidRDefault="005F2F0D" w:rsidP="005F2F0D">
      <w:pPr>
        <w:rPr>
          <w:rFonts w:ascii="Times New Roman" w:hAnsi="Times New Roman"/>
          <w:b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F63A40" w:rsidRDefault="00D467AE" w:rsidP="00584331">
      <w:pPr>
        <w:rPr>
          <w:rFonts w:ascii="Times New Roman" w:hAnsi="Times New Roman"/>
          <w:sz w:val="22"/>
          <w:szCs w:val="22"/>
        </w:rPr>
      </w:pPr>
      <w:r w:rsidRPr="00F63A40">
        <w:rPr>
          <w:rFonts w:ascii="Times New Roman" w:hAnsi="Times New Roman"/>
          <w:sz w:val="22"/>
          <w:szCs w:val="22"/>
        </w:rPr>
        <w:t>MSR</w:t>
      </w:r>
      <w:r w:rsidR="00F63A40" w:rsidRPr="00F63A40">
        <w:rPr>
          <w:rFonts w:ascii="Times New Roman" w:hAnsi="Times New Roman"/>
          <w:sz w:val="22"/>
          <w:szCs w:val="22"/>
        </w:rPr>
        <w:t>/</w:t>
      </w:r>
      <w:proofErr w:type="spellStart"/>
      <w:r w:rsidR="00F63A40" w:rsidRPr="00F63A40">
        <w:rPr>
          <w:rFonts w:ascii="Times New Roman" w:hAnsi="Times New Roman"/>
          <w:sz w:val="22"/>
          <w:szCs w:val="22"/>
        </w:rPr>
        <w:t>jga</w:t>
      </w:r>
      <w:proofErr w:type="spellEnd"/>
    </w:p>
    <w:p w:rsidR="00783B38" w:rsidRPr="00584331" w:rsidRDefault="00783B38" w:rsidP="00584331">
      <w:pPr>
        <w:rPr>
          <w:rFonts w:ascii="Times New Roman" w:hAnsi="Times New Roman"/>
        </w:rPr>
      </w:pPr>
    </w:p>
    <w:p w:rsidR="00D467AE" w:rsidRDefault="00D467AE" w:rsidP="005F2F0D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 w:rsidR="005F2F0D">
        <w:rPr>
          <w:rFonts w:ascii="Times New Roman" w:hAnsi="Times New Roman"/>
        </w:rPr>
        <w:tab/>
      </w:r>
      <w:r w:rsidR="008B4925">
        <w:rPr>
          <w:rFonts w:ascii="Times New Roman" w:hAnsi="Times New Roman"/>
        </w:rPr>
        <w:t>Sally Brown</w:t>
      </w:r>
    </w:p>
    <w:p w:rsidR="00D467AE" w:rsidRDefault="005F2F0D" w:rsidP="005F2F0D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C477F">
        <w:rPr>
          <w:rFonts w:ascii="Times New Roman" w:hAnsi="Times New Roman"/>
        </w:rPr>
        <w:t>Simon ffitch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sectPr w:rsidR="00D467AE" w:rsidSect="00955FBE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245" w:right="1843" w:bottom="2250" w:left="1843" w:header="720" w:footer="36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99" w:rsidRDefault="00C95B99">
      <w:r>
        <w:separator/>
      </w:r>
    </w:p>
  </w:endnote>
  <w:endnote w:type="continuationSeparator" w:id="0">
    <w:p w:rsidR="00C95B99" w:rsidRDefault="00C9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99" w:rsidRDefault="00C95B99">
    <w:pPr>
      <w:pStyle w:val="Footer"/>
    </w:pPr>
  </w:p>
  <w:p w:rsidR="00C95B99" w:rsidRDefault="00C95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99" w:rsidRDefault="00C95B99">
      <w:r>
        <w:separator/>
      </w:r>
    </w:p>
  </w:footnote>
  <w:footnote w:type="continuationSeparator" w:id="0">
    <w:p w:rsidR="00C95B99" w:rsidRDefault="00C95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99" w:rsidRPr="00C95B99" w:rsidRDefault="00C95B99" w:rsidP="00D87102">
    <w:pPr>
      <w:pStyle w:val="Header"/>
      <w:rPr>
        <w:rFonts w:ascii="Times New Roman" w:hAnsi="Times New Roman"/>
        <w:szCs w:val="24"/>
      </w:rPr>
    </w:pPr>
    <w:r w:rsidRPr="00C95B99">
      <w:rPr>
        <w:rFonts w:ascii="Times New Roman" w:hAnsi="Times New Roman"/>
        <w:szCs w:val="24"/>
      </w:rPr>
      <w:t>Steven V. King</w:t>
    </w:r>
  </w:p>
  <w:p w:rsidR="00C95B99" w:rsidRPr="00C95B99" w:rsidRDefault="00C95B99" w:rsidP="00D87102">
    <w:pPr>
      <w:pStyle w:val="Header"/>
      <w:rPr>
        <w:rFonts w:ascii="Times New Roman" w:hAnsi="Times New Roman"/>
        <w:szCs w:val="24"/>
      </w:rPr>
    </w:pPr>
    <w:r w:rsidRPr="00C95B99">
      <w:rPr>
        <w:rFonts w:ascii="Times New Roman" w:hAnsi="Times New Roman"/>
        <w:szCs w:val="24"/>
      </w:rPr>
      <w:t>Washington Utilities and Transportation Commission</w:t>
    </w:r>
  </w:p>
  <w:p w:rsidR="00C95B99" w:rsidRPr="00C95B99" w:rsidRDefault="00C95B99" w:rsidP="00D87102">
    <w:pPr>
      <w:pStyle w:val="Header"/>
      <w:rPr>
        <w:rFonts w:ascii="Times New Roman" w:hAnsi="Times New Roman"/>
        <w:szCs w:val="24"/>
      </w:rPr>
    </w:pPr>
    <w:r w:rsidRPr="00C95B99">
      <w:rPr>
        <w:rFonts w:ascii="Times New Roman" w:hAnsi="Times New Roman"/>
        <w:szCs w:val="24"/>
      </w:rPr>
      <w:t>July 9, 2014</w:t>
    </w:r>
  </w:p>
  <w:p w:rsidR="00C95B99" w:rsidRPr="00C95B99" w:rsidRDefault="00C95B99">
    <w:pPr>
      <w:pStyle w:val="Header"/>
      <w:rPr>
        <w:rFonts w:ascii="Times New Roman" w:hAnsi="Times New Roman"/>
        <w:szCs w:val="24"/>
      </w:rPr>
    </w:pPr>
    <w:r w:rsidRPr="00C95B99">
      <w:rPr>
        <w:rFonts w:ascii="Times New Roman" w:hAnsi="Times New Roman"/>
        <w:szCs w:val="24"/>
      </w:rPr>
      <w:t xml:space="preserve">Page </w:t>
    </w:r>
    <w:r w:rsidRPr="00C95B99">
      <w:rPr>
        <w:rFonts w:ascii="Times New Roman" w:hAnsi="Times New Roman"/>
        <w:szCs w:val="24"/>
      </w:rPr>
      <w:fldChar w:fldCharType="begin"/>
    </w:r>
    <w:r w:rsidRPr="00C95B99">
      <w:rPr>
        <w:rFonts w:ascii="Times New Roman" w:hAnsi="Times New Roman"/>
        <w:szCs w:val="24"/>
      </w:rPr>
      <w:instrText xml:space="preserve"> PAGE   \* MERGEFORMAT </w:instrText>
    </w:r>
    <w:r w:rsidRPr="00C95B99">
      <w:rPr>
        <w:rFonts w:ascii="Times New Roman" w:hAnsi="Times New Roman"/>
        <w:szCs w:val="24"/>
      </w:rPr>
      <w:fldChar w:fldCharType="separate"/>
    </w:r>
    <w:r w:rsidR="00771C3D">
      <w:rPr>
        <w:rFonts w:ascii="Times New Roman" w:hAnsi="Times New Roman"/>
        <w:noProof/>
        <w:szCs w:val="24"/>
      </w:rPr>
      <w:t>2</w:t>
    </w:r>
    <w:r w:rsidRPr="00C95B99">
      <w:rPr>
        <w:rFonts w:ascii="Times New Roman" w:hAnsi="Times New Roman"/>
        <w:szCs w:val="24"/>
      </w:rPr>
      <w:fldChar w:fldCharType="end"/>
    </w:r>
  </w:p>
  <w:p w:rsidR="00C95B99" w:rsidRPr="00C95B99" w:rsidRDefault="00C95B99">
    <w:pPr>
      <w:pStyle w:val="Header"/>
      <w:rPr>
        <w:rFonts w:ascii="Times New Roman" w:hAnsi="Times New Roman"/>
        <w:szCs w:val="24"/>
      </w:rPr>
    </w:pPr>
  </w:p>
  <w:p w:rsidR="00C95B99" w:rsidRPr="00C95B99" w:rsidRDefault="00C95B99">
    <w:pPr>
      <w:pStyle w:val="Header"/>
      <w:rPr>
        <w:rFonts w:ascii="Times New Roman" w:hAnsi="Times New Roman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99" w:rsidRDefault="00C95B99">
    <w:pPr>
      <w:pStyle w:val="Header"/>
    </w:pPr>
  </w:p>
  <w:p w:rsidR="00C95B99" w:rsidRDefault="00C95B99">
    <w:pPr>
      <w:pStyle w:val="Header"/>
    </w:pPr>
  </w:p>
  <w:p w:rsidR="00C95B99" w:rsidRDefault="00C95B99">
    <w:pPr>
      <w:pStyle w:val="Header"/>
    </w:pPr>
  </w:p>
  <w:p w:rsidR="00C95B99" w:rsidRDefault="00C95B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E05A796C"/>
    <w:lvl w:ilvl="0" w:tplc="EBC69B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33215"/>
    <w:multiLevelType w:val="hybridMultilevel"/>
    <w:tmpl w:val="295AA98A"/>
    <w:lvl w:ilvl="0" w:tplc="EE4435B8">
      <w:start w:val="1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22BC4"/>
    <w:rsid w:val="00030B26"/>
    <w:rsid w:val="000455F9"/>
    <w:rsid w:val="00055D31"/>
    <w:rsid w:val="00085937"/>
    <w:rsid w:val="00093DEB"/>
    <w:rsid w:val="000A3083"/>
    <w:rsid w:val="000E1380"/>
    <w:rsid w:val="000F32B0"/>
    <w:rsid w:val="000F6F8B"/>
    <w:rsid w:val="00103F55"/>
    <w:rsid w:val="001348FC"/>
    <w:rsid w:val="0017458C"/>
    <w:rsid w:val="00180ED1"/>
    <w:rsid w:val="001C0754"/>
    <w:rsid w:val="001E312C"/>
    <w:rsid w:val="001E4552"/>
    <w:rsid w:val="001F2725"/>
    <w:rsid w:val="001F7289"/>
    <w:rsid w:val="00200B09"/>
    <w:rsid w:val="00205A06"/>
    <w:rsid w:val="002210E5"/>
    <w:rsid w:val="00225045"/>
    <w:rsid w:val="00233E94"/>
    <w:rsid w:val="00240FF4"/>
    <w:rsid w:val="00277537"/>
    <w:rsid w:val="002A2462"/>
    <w:rsid w:val="002A4A0F"/>
    <w:rsid w:val="002C2983"/>
    <w:rsid w:val="002E0827"/>
    <w:rsid w:val="00312CF4"/>
    <w:rsid w:val="00325FB6"/>
    <w:rsid w:val="0035316D"/>
    <w:rsid w:val="00364C8D"/>
    <w:rsid w:val="003D34BE"/>
    <w:rsid w:val="003E506C"/>
    <w:rsid w:val="004463BE"/>
    <w:rsid w:val="00474AFF"/>
    <w:rsid w:val="00493301"/>
    <w:rsid w:val="004B5792"/>
    <w:rsid w:val="004C7177"/>
    <w:rsid w:val="004D0FC2"/>
    <w:rsid w:val="00517F7A"/>
    <w:rsid w:val="0055181C"/>
    <w:rsid w:val="005801BA"/>
    <w:rsid w:val="00584190"/>
    <w:rsid w:val="00584331"/>
    <w:rsid w:val="005A4E09"/>
    <w:rsid w:val="005B20CF"/>
    <w:rsid w:val="005B2115"/>
    <w:rsid w:val="005C5152"/>
    <w:rsid w:val="005E5D0F"/>
    <w:rsid w:val="005F2F0D"/>
    <w:rsid w:val="005F3E53"/>
    <w:rsid w:val="00604FC8"/>
    <w:rsid w:val="0062528B"/>
    <w:rsid w:val="00633FF8"/>
    <w:rsid w:val="006403C0"/>
    <w:rsid w:val="00685EC1"/>
    <w:rsid w:val="00702BD8"/>
    <w:rsid w:val="0070497C"/>
    <w:rsid w:val="0075486D"/>
    <w:rsid w:val="007666D5"/>
    <w:rsid w:val="00770100"/>
    <w:rsid w:val="0077111C"/>
    <w:rsid w:val="00771C3D"/>
    <w:rsid w:val="00771D79"/>
    <w:rsid w:val="00783B38"/>
    <w:rsid w:val="00786452"/>
    <w:rsid w:val="0079563A"/>
    <w:rsid w:val="007E3257"/>
    <w:rsid w:val="007E7960"/>
    <w:rsid w:val="0082524F"/>
    <w:rsid w:val="008405C5"/>
    <w:rsid w:val="00865D63"/>
    <w:rsid w:val="008818BD"/>
    <w:rsid w:val="008944E1"/>
    <w:rsid w:val="008B4925"/>
    <w:rsid w:val="008D3C37"/>
    <w:rsid w:val="008F5BA6"/>
    <w:rsid w:val="00900A75"/>
    <w:rsid w:val="00920149"/>
    <w:rsid w:val="00921AFD"/>
    <w:rsid w:val="00930DE2"/>
    <w:rsid w:val="00955FBE"/>
    <w:rsid w:val="00973782"/>
    <w:rsid w:val="00973E16"/>
    <w:rsid w:val="0098336C"/>
    <w:rsid w:val="009870DE"/>
    <w:rsid w:val="00992A53"/>
    <w:rsid w:val="009A454B"/>
    <w:rsid w:val="009A7945"/>
    <w:rsid w:val="009B0ABA"/>
    <w:rsid w:val="009B3975"/>
    <w:rsid w:val="009B4842"/>
    <w:rsid w:val="009B525B"/>
    <w:rsid w:val="009B63BE"/>
    <w:rsid w:val="009E18E0"/>
    <w:rsid w:val="00A118B8"/>
    <w:rsid w:val="00A34D98"/>
    <w:rsid w:val="00A412ED"/>
    <w:rsid w:val="00A65812"/>
    <w:rsid w:val="00A7390B"/>
    <w:rsid w:val="00A83676"/>
    <w:rsid w:val="00A84BEA"/>
    <w:rsid w:val="00A857F1"/>
    <w:rsid w:val="00B107F9"/>
    <w:rsid w:val="00B23EFE"/>
    <w:rsid w:val="00B30518"/>
    <w:rsid w:val="00B4612F"/>
    <w:rsid w:val="00B62375"/>
    <w:rsid w:val="00BA2AC5"/>
    <w:rsid w:val="00BB721D"/>
    <w:rsid w:val="00BD0F49"/>
    <w:rsid w:val="00BD5652"/>
    <w:rsid w:val="00BF09EE"/>
    <w:rsid w:val="00BF5515"/>
    <w:rsid w:val="00BF63B7"/>
    <w:rsid w:val="00C05E22"/>
    <w:rsid w:val="00C129D1"/>
    <w:rsid w:val="00C20D83"/>
    <w:rsid w:val="00C325CF"/>
    <w:rsid w:val="00C95B99"/>
    <w:rsid w:val="00C95DA4"/>
    <w:rsid w:val="00CB2B44"/>
    <w:rsid w:val="00CC477F"/>
    <w:rsid w:val="00CE5DE0"/>
    <w:rsid w:val="00D40442"/>
    <w:rsid w:val="00D467AE"/>
    <w:rsid w:val="00D52104"/>
    <w:rsid w:val="00D60B04"/>
    <w:rsid w:val="00D702ED"/>
    <w:rsid w:val="00D76DE9"/>
    <w:rsid w:val="00D87102"/>
    <w:rsid w:val="00D96019"/>
    <w:rsid w:val="00DA390B"/>
    <w:rsid w:val="00E21E80"/>
    <w:rsid w:val="00E24E4D"/>
    <w:rsid w:val="00E86BFE"/>
    <w:rsid w:val="00EA2D3D"/>
    <w:rsid w:val="00ED18B9"/>
    <w:rsid w:val="00ED5B20"/>
    <w:rsid w:val="00EE3EC2"/>
    <w:rsid w:val="00F35EA4"/>
    <w:rsid w:val="00F37C18"/>
    <w:rsid w:val="00F63A40"/>
    <w:rsid w:val="00F72123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5F2F0D"/>
    <w:pPr>
      <w:widowControl w:val="0"/>
      <w:spacing w:line="240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Transfer of Property</CaseType>
    <OpenedDate xmlns="dc463f71-b30c-4ab2-9473-d307f9d35888">2008-11-21T08:00:00+00:00</OpenedDate>
    <CaseCompanyNames xmlns="dc463f71-b30c-4ab2-9473-d307f9d35888">United Telephone Company of the Northwest</CaseCompanyNames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2014-07-09T07:00:00+00:00</Date1>
    <AgendaOrder xmlns="dc463f71-b30c-4ab2-9473-d307f9d35888">false</AgendaOrder>
    <CaseStatus xmlns="dc463f71-b30c-4ab2-9473-d307f9d35888">Closed</CaseStatus>
    <DocumentSetType xmlns="dc463f71-b30c-4ab2-9473-d307f9d35888">Letter</DocumentSetType>
    <Prefix xmlns="dc463f71-b30c-4ab2-9473-d307f9d35888">UT</Prefix>
    <DocketNumber xmlns="dc463f71-b30c-4ab2-9473-d307f9d35888">082119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7B120-1B9E-4FA2-9A2A-88F7C7E18836}"/>
</file>

<file path=customXml/itemProps2.xml><?xml version="1.0" encoding="utf-8"?>
<ds:datastoreItem xmlns:ds="http://schemas.openxmlformats.org/officeDocument/2006/customXml" ds:itemID="{370098C3-3296-4606-875C-B490734799C8}"/>
</file>

<file path=customXml/itemProps3.xml><?xml version="1.0" encoding="utf-8"?>
<ds:datastoreItem xmlns:ds="http://schemas.openxmlformats.org/officeDocument/2006/customXml" ds:itemID="{F6FFB238-34AC-4B7A-B615-A2CDB566BC98}"/>
</file>

<file path=customXml/itemProps4.xml><?xml version="1.0" encoding="utf-8"?>
<ds:datastoreItem xmlns:ds="http://schemas.openxmlformats.org/officeDocument/2006/customXml" ds:itemID="{9E752544-C303-4F8F-9DB4-3D8BBF2B8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CenturyLink Employee</cp:lastModifiedBy>
  <cp:revision>3</cp:revision>
  <cp:lastPrinted>2014-07-09T17:10:00Z</cp:lastPrinted>
  <dcterms:created xsi:type="dcterms:W3CDTF">2014-07-09T17:07:00Z</dcterms:created>
  <dcterms:modified xsi:type="dcterms:W3CDTF">2014-07-09T18:46:00Z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