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C" w:rsidRPr="00F27E5A" w:rsidRDefault="00C3471C" w:rsidP="00C3471C">
      <w:pPr>
        <w:tabs>
          <w:tab w:val="center" w:pos="4680"/>
        </w:tabs>
        <w:ind w:right="-252" w:hanging="360"/>
        <w:jc w:val="both"/>
        <w:rPr>
          <w:b/>
          <w:bCs/>
        </w:rPr>
      </w:pPr>
      <w:bookmarkStart w:id="0" w:name="_GoBack"/>
      <w:bookmarkEnd w:id="0"/>
      <w:r w:rsidRPr="00F27E5A">
        <w:rPr>
          <w:b/>
          <w:bCs/>
        </w:rPr>
        <w:tab/>
      </w:r>
      <w:r w:rsidRPr="00F27E5A">
        <w:rPr>
          <w:b/>
          <w:bCs/>
        </w:rPr>
        <w:tab/>
      </w:r>
      <w:r w:rsidRPr="00F27E5A">
        <w:rPr>
          <w:b/>
          <w:bCs/>
        </w:rPr>
        <w:tab/>
        <w:t xml:space="preserve">Exhibit </w:t>
      </w:r>
      <w:r w:rsidR="00EA5286" w:rsidRPr="00F27E5A">
        <w:rPr>
          <w:b/>
          <w:bCs/>
        </w:rPr>
        <w:t>No.</w:t>
      </w:r>
      <w:r w:rsidR="00940838" w:rsidRPr="00F27E5A">
        <w:rPr>
          <w:b/>
          <w:bCs/>
        </w:rPr>
        <w:t xml:space="preserve"> </w:t>
      </w:r>
      <w:r w:rsidR="00CD5EF2" w:rsidRPr="00F27E5A">
        <w:rPr>
          <w:b/>
          <w:bCs/>
        </w:rPr>
        <w:t>_</w:t>
      </w:r>
      <w:r w:rsidR="00940838" w:rsidRPr="00F27E5A">
        <w:rPr>
          <w:b/>
          <w:bCs/>
        </w:rPr>
        <w:t>_</w:t>
      </w:r>
      <w:r w:rsidR="00CD5EF2" w:rsidRPr="00F27E5A">
        <w:rPr>
          <w:b/>
          <w:bCs/>
        </w:rPr>
        <w:t>_</w:t>
      </w:r>
      <w:r w:rsidR="00CB6378" w:rsidRPr="00F27E5A">
        <w:rPr>
          <w:b/>
          <w:bCs/>
        </w:rPr>
        <w:t xml:space="preserve"> </w:t>
      </w:r>
      <w:r w:rsidR="00783CB8" w:rsidRPr="00F27E5A">
        <w:rPr>
          <w:b/>
          <w:bCs/>
        </w:rPr>
        <w:t>(</w:t>
      </w:r>
      <w:r w:rsidR="002F1187" w:rsidRPr="00F27E5A">
        <w:rPr>
          <w:b/>
          <w:bCs/>
        </w:rPr>
        <w:t>CTM</w:t>
      </w:r>
      <w:r w:rsidR="00783CB8" w:rsidRPr="00F27E5A">
        <w:rPr>
          <w:b/>
          <w:bCs/>
        </w:rPr>
        <w:t>-</w:t>
      </w:r>
      <w:r w:rsidR="0088018B" w:rsidRPr="00F27E5A">
        <w:rPr>
          <w:b/>
          <w:bCs/>
        </w:rPr>
        <w:t>1</w:t>
      </w:r>
      <w:r w:rsidR="00783CB8" w:rsidRPr="00F27E5A">
        <w:rPr>
          <w:b/>
          <w:bCs/>
        </w:rPr>
        <w:t>T)</w:t>
      </w:r>
    </w:p>
    <w:p w:rsidR="00C3471C" w:rsidRPr="00F27E5A" w:rsidRDefault="00C3471C" w:rsidP="00C3471C">
      <w:pPr>
        <w:tabs>
          <w:tab w:val="center" w:pos="4680"/>
        </w:tabs>
        <w:ind w:right="-252" w:hanging="360"/>
        <w:jc w:val="both"/>
        <w:rPr>
          <w:b/>
          <w:bCs/>
        </w:rPr>
      </w:pPr>
      <w:r w:rsidRPr="00F27E5A">
        <w:rPr>
          <w:b/>
          <w:bCs/>
        </w:rPr>
        <w:tab/>
      </w:r>
      <w:r w:rsidRPr="00F27E5A">
        <w:rPr>
          <w:b/>
          <w:bCs/>
        </w:rPr>
        <w:tab/>
      </w:r>
      <w:r w:rsidRPr="00F27E5A">
        <w:rPr>
          <w:b/>
          <w:bCs/>
        </w:rPr>
        <w:tab/>
        <w:t>Docket</w:t>
      </w:r>
      <w:r w:rsidR="00B12659" w:rsidRPr="00F27E5A">
        <w:rPr>
          <w:b/>
          <w:bCs/>
        </w:rPr>
        <w:t xml:space="preserve"> UE-1</w:t>
      </w:r>
      <w:r w:rsidR="00E53319" w:rsidRPr="00F27E5A">
        <w:rPr>
          <w:b/>
          <w:bCs/>
        </w:rPr>
        <w:t>30</w:t>
      </w:r>
      <w:r w:rsidR="0086515B">
        <w:rPr>
          <w:b/>
          <w:bCs/>
        </w:rPr>
        <w:t>617</w:t>
      </w:r>
    </w:p>
    <w:p w:rsidR="00C3471C" w:rsidRPr="00F27E5A" w:rsidRDefault="00C3471C" w:rsidP="00C3471C">
      <w:pPr>
        <w:tabs>
          <w:tab w:val="center" w:pos="4680"/>
        </w:tabs>
        <w:ind w:right="-252" w:hanging="360"/>
        <w:jc w:val="both"/>
        <w:rPr>
          <w:b/>
          <w:bCs/>
        </w:rPr>
      </w:pPr>
      <w:r w:rsidRPr="00F27E5A">
        <w:rPr>
          <w:b/>
          <w:bCs/>
        </w:rPr>
        <w:tab/>
      </w:r>
      <w:r w:rsidRPr="00F27E5A">
        <w:rPr>
          <w:b/>
          <w:bCs/>
        </w:rPr>
        <w:tab/>
      </w:r>
      <w:r w:rsidRPr="00F27E5A">
        <w:rPr>
          <w:b/>
          <w:bCs/>
        </w:rPr>
        <w:tab/>
        <w:t xml:space="preserve">Witness: </w:t>
      </w:r>
      <w:r w:rsidR="00BD36B5">
        <w:rPr>
          <w:b/>
          <w:bCs/>
        </w:rPr>
        <w:t xml:space="preserve"> </w:t>
      </w:r>
      <w:r w:rsidR="002F1187" w:rsidRPr="00F27E5A">
        <w:rPr>
          <w:b/>
          <w:bCs/>
        </w:rPr>
        <w:t>Christopher T. Mickelson</w:t>
      </w:r>
    </w:p>
    <w:p w:rsidR="00B12659" w:rsidRPr="00F27E5A" w:rsidRDefault="00B12659" w:rsidP="00B12659">
      <w:pPr>
        <w:tabs>
          <w:tab w:val="center" w:pos="4680"/>
        </w:tabs>
        <w:ind w:right="-108" w:hanging="180"/>
        <w:jc w:val="both"/>
        <w:rPr>
          <w:b/>
        </w:rPr>
      </w:pPr>
    </w:p>
    <w:p w:rsidR="00317088" w:rsidRDefault="00317088" w:rsidP="00317088">
      <w:pPr>
        <w:ind w:left="-360"/>
        <w:jc w:val="center"/>
        <w:rPr>
          <w:rFonts w:eastAsia="Calibri"/>
          <w:b/>
          <w:szCs w:val="22"/>
        </w:rPr>
      </w:pPr>
    </w:p>
    <w:p w:rsidR="00317088" w:rsidRDefault="00317088" w:rsidP="00317088">
      <w:pPr>
        <w:ind w:left="-360"/>
        <w:jc w:val="center"/>
        <w:rPr>
          <w:rFonts w:eastAsia="Calibri"/>
          <w:b/>
          <w:szCs w:val="22"/>
        </w:rPr>
      </w:pPr>
    </w:p>
    <w:p w:rsidR="00317088" w:rsidRPr="00317088" w:rsidRDefault="00317088" w:rsidP="00317088">
      <w:pPr>
        <w:ind w:left="-360"/>
        <w:jc w:val="center"/>
        <w:rPr>
          <w:rFonts w:eastAsia="Calibri"/>
          <w:b/>
          <w:szCs w:val="22"/>
        </w:rPr>
      </w:pPr>
      <w:r w:rsidRPr="00317088">
        <w:rPr>
          <w:rFonts w:eastAsia="Calibri"/>
          <w:b/>
          <w:szCs w:val="22"/>
        </w:rPr>
        <w:t>BEFORE THE WASHINGTON UTILITIES AND TRANSPORTATION COMMISSION</w:t>
      </w:r>
    </w:p>
    <w:p w:rsidR="00317088" w:rsidRDefault="00317088" w:rsidP="00317088">
      <w:pPr>
        <w:rPr>
          <w:rFonts w:eastAsia="Calibri"/>
          <w:b/>
          <w:szCs w:val="22"/>
        </w:rPr>
      </w:pPr>
    </w:p>
    <w:p w:rsidR="00317088" w:rsidRPr="00317088" w:rsidRDefault="00317088" w:rsidP="00317088">
      <w:pPr>
        <w:rPr>
          <w:rFonts w:eastAsia="Calibri"/>
          <w:b/>
          <w:szCs w:val="22"/>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317088" w:rsidRPr="00317088" w:rsidTr="00BE6944">
        <w:tc>
          <w:tcPr>
            <w:tcW w:w="4590" w:type="dxa"/>
            <w:tcBorders>
              <w:top w:val="single" w:sz="6" w:space="0" w:color="FFFFFF"/>
              <w:left w:val="single" w:sz="6" w:space="0" w:color="FFFFFF"/>
              <w:bottom w:val="single" w:sz="7" w:space="0" w:color="000000"/>
              <w:right w:val="single" w:sz="6" w:space="0" w:color="FFFFFF"/>
            </w:tcBorders>
          </w:tcPr>
          <w:p w:rsidR="00317088" w:rsidRPr="00317088" w:rsidRDefault="00317088" w:rsidP="00317088">
            <w:pPr>
              <w:rPr>
                <w:rFonts w:eastAsia="Calibri"/>
                <w:b/>
                <w:szCs w:val="22"/>
              </w:rPr>
            </w:pPr>
            <w:r w:rsidRPr="00317088">
              <w:rPr>
                <w:rFonts w:eastAsia="Calibri"/>
                <w:b/>
                <w:szCs w:val="22"/>
              </w:rPr>
              <w:t xml:space="preserve">In the Matter of the Petition of </w:t>
            </w:r>
          </w:p>
          <w:p w:rsidR="00317088" w:rsidRP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 xml:space="preserve">PUGET SOUND ENERGY, INC. </w:t>
            </w:r>
          </w:p>
          <w:p w:rsidR="00317088" w:rsidRP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 xml:space="preserve">For an Accounting Order Authorizing Accounting Treatment Related to Payments for Major Maintenance Activities </w:t>
            </w:r>
          </w:p>
          <w:p w:rsidR="00317088" w:rsidRPr="00317088" w:rsidRDefault="00317088" w:rsidP="00317088">
            <w:pPr>
              <w:rPr>
                <w:rFonts w:eastAsia="Calibri"/>
                <w:b/>
                <w:szCs w:val="22"/>
              </w:rPr>
            </w:pPr>
            <w:r w:rsidRPr="00317088">
              <w:rPr>
                <w:rFonts w:eastAsia="Calibri"/>
                <w:b/>
                <w:szCs w:val="22"/>
              </w:rPr>
              <w:t>____________________________________</w:t>
            </w:r>
          </w:p>
          <w:p w:rsidR="00317088" w:rsidRP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WASHINGTON UTILITIES AND TRANSPORTATION COMMISSION,</w:t>
            </w:r>
          </w:p>
          <w:p w:rsidR="00317088" w:rsidRP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ab/>
            </w:r>
            <w:r w:rsidRPr="00317088">
              <w:rPr>
                <w:rFonts w:eastAsia="Calibri"/>
                <w:b/>
                <w:szCs w:val="22"/>
              </w:rPr>
              <w:tab/>
              <w:t>Complainant,</w:t>
            </w:r>
          </w:p>
          <w:p w:rsidR="00317088" w:rsidRP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v.</w:t>
            </w:r>
          </w:p>
          <w:p w:rsidR="00317088" w:rsidRP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 xml:space="preserve">PUGET SOUND ENERGY, INC. </w:t>
            </w:r>
          </w:p>
          <w:p w:rsidR="00317088" w:rsidRP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ab/>
            </w:r>
            <w:r w:rsidRPr="00317088">
              <w:rPr>
                <w:rFonts w:eastAsia="Calibri"/>
                <w:b/>
                <w:szCs w:val="22"/>
              </w:rPr>
              <w:tab/>
              <w:t>Respondent.</w:t>
            </w:r>
          </w:p>
          <w:p w:rsidR="00317088" w:rsidRPr="00317088" w:rsidRDefault="00317088" w:rsidP="00317088">
            <w:pPr>
              <w:rPr>
                <w:rFonts w:eastAsia="Calibri"/>
                <w:b/>
                <w:szCs w:val="22"/>
              </w:rPr>
            </w:pPr>
            <w:r w:rsidRPr="00317088">
              <w:rPr>
                <w:rFonts w:eastAsia="Calibri"/>
                <w:b/>
                <w:szCs w:val="22"/>
              </w:rPr>
              <w:t>____________________________________</w:t>
            </w:r>
          </w:p>
          <w:p w:rsidR="00AF3912" w:rsidRDefault="00AF3912" w:rsidP="002F0C19">
            <w:pPr>
              <w:rPr>
                <w:rFonts w:eastAsia="Calibri"/>
                <w:b/>
                <w:szCs w:val="22"/>
              </w:rPr>
            </w:pPr>
          </w:p>
          <w:p w:rsidR="002F0C19" w:rsidRPr="00317088" w:rsidRDefault="002F0C19" w:rsidP="002F0C19">
            <w:pPr>
              <w:rPr>
                <w:rFonts w:eastAsia="Calibri"/>
                <w:b/>
                <w:szCs w:val="22"/>
              </w:rPr>
            </w:pPr>
            <w:r w:rsidRPr="00317088">
              <w:rPr>
                <w:rFonts w:eastAsia="Calibri"/>
                <w:b/>
                <w:szCs w:val="22"/>
              </w:rPr>
              <w:t xml:space="preserve">In the Matter of the Petition of </w:t>
            </w:r>
          </w:p>
          <w:p w:rsidR="002F0C19" w:rsidRPr="00317088" w:rsidRDefault="002F0C19" w:rsidP="002F0C19">
            <w:pPr>
              <w:rPr>
                <w:rFonts w:eastAsia="Calibri"/>
                <w:b/>
                <w:szCs w:val="22"/>
              </w:rPr>
            </w:pPr>
          </w:p>
          <w:p w:rsidR="002F0C19" w:rsidRPr="00317088" w:rsidRDefault="002F0C19" w:rsidP="002F0C19">
            <w:pPr>
              <w:rPr>
                <w:rFonts w:eastAsia="Calibri"/>
                <w:b/>
                <w:szCs w:val="22"/>
              </w:rPr>
            </w:pPr>
            <w:r w:rsidRPr="00317088">
              <w:rPr>
                <w:rFonts w:eastAsia="Calibri"/>
                <w:b/>
                <w:szCs w:val="22"/>
              </w:rPr>
              <w:t xml:space="preserve">PUGET SOUND ENERGY, INC. </w:t>
            </w:r>
          </w:p>
          <w:p w:rsidR="002F0C19" w:rsidRPr="00317088" w:rsidRDefault="002F0C19" w:rsidP="002F0C19">
            <w:pPr>
              <w:rPr>
                <w:rFonts w:eastAsia="Calibri"/>
                <w:b/>
                <w:szCs w:val="22"/>
              </w:rPr>
            </w:pPr>
          </w:p>
          <w:p w:rsidR="00317088" w:rsidRPr="00317088" w:rsidRDefault="002F0C19" w:rsidP="002F0C19">
            <w:pPr>
              <w:rPr>
                <w:rFonts w:eastAsia="Calibri"/>
                <w:b/>
                <w:szCs w:val="22"/>
              </w:rPr>
            </w:pPr>
            <w:r w:rsidRPr="00317088">
              <w:rPr>
                <w:rFonts w:eastAsia="Calibri"/>
                <w:b/>
                <w:szCs w:val="22"/>
              </w:rPr>
              <w:t>For an Accounting Order Authorizing Accounting the Sale of the Water Rights and Associated Assets of the Electron Hydroelectric Project in Accordance with WAC 480-143 and RCW 80.12</w:t>
            </w:r>
          </w:p>
          <w:p w:rsidR="002F0C19" w:rsidRDefault="002F0C19" w:rsidP="002F0C19">
            <w:pPr>
              <w:rPr>
                <w:rFonts w:eastAsia="Calibri"/>
                <w:b/>
                <w:szCs w:val="22"/>
              </w:rPr>
            </w:pPr>
          </w:p>
          <w:p w:rsidR="002F0C19" w:rsidRDefault="002F0C19" w:rsidP="002F0C19">
            <w:pPr>
              <w:rPr>
                <w:rFonts w:eastAsia="Calibri"/>
                <w:b/>
                <w:szCs w:val="22"/>
              </w:rPr>
            </w:pPr>
          </w:p>
          <w:p w:rsidR="00317088" w:rsidRDefault="00317088" w:rsidP="00317088">
            <w:pPr>
              <w:rPr>
                <w:rFonts w:eastAsia="Calibri"/>
                <w:b/>
                <w:szCs w:val="22"/>
              </w:rPr>
            </w:pPr>
          </w:p>
          <w:p w:rsidR="00317088" w:rsidRDefault="00317088" w:rsidP="00317088">
            <w:pPr>
              <w:rPr>
                <w:rFonts w:eastAsia="Calibri"/>
                <w:b/>
                <w:szCs w:val="22"/>
              </w:rPr>
            </w:pPr>
          </w:p>
          <w:p w:rsidR="00317088" w:rsidRDefault="00317088" w:rsidP="00317088">
            <w:pPr>
              <w:rPr>
                <w:rFonts w:eastAsia="Calibri"/>
                <w:b/>
                <w:szCs w:val="22"/>
              </w:rPr>
            </w:pPr>
          </w:p>
          <w:p w:rsid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 xml:space="preserve">In the Matter of the Application of </w:t>
            </w:r>
          </w:p>
          <w:p w:rsidR="00317088" w:rsidRP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PUGET SOUND ENERGY, INC.,</w:t>
            </w:r>
          </w:p>
          <w:p w:rsidR="00317088" w:rsidRP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For an Order Authorizing the Sale of Interests in the Development Assets Required for the Construction and Operation of Phase II of the Lower Snake River Wind Facility</w:t>
            </w:r>
          </w:p>
        </w:tc>
        <w:tc>
          <w:tcPr>
            <w:tcW w:w="4590" w:type="dxa"/>
            <w:tcBorders>
              <w:top w:val="single" w:sz="6" w:space="0" w:color="FFFFFF"/>
              <w:left w:val="single" w:sz="7" w:space="0" w:color="000000"/>
              <w:bottom w:val="single" w:sz="6" w:space="0" w:color="FFFFFF"/>
              <w:right w:val="single" w:sz="6" w:space="0" w:color="FFFFFF"/>
            </w:tcBorders>
          </w:tcPr>
          <w:p w:rsidR="00317088" w:rsidRPr="00317088" w:rsidRDefault="00317088" w:rsidP="00317088">
            <w:pPr>
              <w:rPr>
                <w:rFonts w:eastAsia="Calibri"/>
                <w:b/>
                <w:szCs w:val="22"/>
              </w:rPr>
            </w:pPr>
            <w:r w:rsidRPr="00317088">
              <w:rPr>
                <w:rFonts w:eastAsia="Calibri"/>
                <w:b/>
                <w:szCs w:val="22"/>
              </w:rPr>
              <w:lastRenderedPageBreak/>
              <w:t>DOCKET UE-130583</w:t>
            </w: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DOCKET UE-130617</w:t>
            </w: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 xml:space="preserve">DOCKET UE-131099 </w:t>
            </w: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Pr="00317088" w:rsidRDefault="00317088" w:rsidP="00317088">
            <w:pPr>
              <w:rPr>
                <w:rFonts w:eastAsia="Calibri"/>
                <w:b/>
                <w:szCs w:val="22"/>
              </w:rPr>
            </w:pPr>
          </w:p>
          <w:p w:rsidR="00317088" w:rsidRDefault="00317088" w:rsidP="00317088">
            <w:pPr>
              <w:rPr>
                <w:rFonts w:eastAsia="Calibri"/>
                <w:b/>
                <w:szCs w:val="22"/>
              </w:rPr>
            </w:pPr>
          </w:p>
          <w:p w:rsidR="00317088" w:rsidRDefault="00317088" w:rsidP="00317088">
            <w:pPr>
              <w:rPr>
                <w:rFonts w:eastAsia="Calibri"/>
                <w:b/>
                <w:szCs w:val="22"/>
              </w:rPr>
            </w:pPr>
          </w:p>
          <w:p w:rsidR="00317088" w:rsidRDefault="00317088" w:rsidP="00317088">
            <w:pPr>
              <w:rPr>
                <w:rFonts w:eastAsia="Calibri"/>
                <w:b/>
                <w:szCs w:val="22"/>
              </w:rPr>
            </w:pPr>
          </w:p>
          <w:p w:rsidR="00317088" w:rsidRDefault="00317088" w:rsidP="00317088">
            <w:pPr>
              <w:rPr>
                <w:rFonts w:eastAsia="Calibri"/>
                <w:b/>
                <w:szCs w:val="22"/>
              </w:rPr>
            </w:pPr>
          </w:p>
          <w:p w:rsidR="00317088" w:rsidRDefault="00317088" w:rsidP="00317088">
            <w:pPr>
              <w:rPr>
                <w:rFonts w:eastAsia="Calibri"/>
                <w:b/>
                <w:szCs w:val="22"/>
              </w:rPr>
            </w:pPr>
          </w:p>
          <w:p w:rsidR="00AF3912" w:rsidRDefault="00AF3912" w:rsidP="00317088">
            <w:pPr>
              <w:rPr>
                <w:rFonts w:eastAsia="Calibri"/>
                <w:b/>
                <w:szCs w:val="22"/>
              </w:rPr>
            </w:pPr>
          </w:p>
          <w:p w:rsidR="00317088" w:rsidRPr="00317088" w:rsidRDefault="00317088" w:rsidP="00317088">
            <w:pPr>
              <w:rPr>
                <w:rFonts w:eastAsia="Calibri"/>
                <w:b/>
                <w:szCs w:val="22"/>
              </w:rPr>
            </w:pPr>
            <w:r w:rsidRPr="00317088">
              <w:rPr>
                <w:rFonts w:eastAsia="Calibri"/>
                <w:b/>
                <w:szCs w:val="22"/>
              </w:rPr>
              <w:t>DOCKET UE-131230</w:t>
            </w:r>
          </w:p>
          <w:p w:rsidR="00317088" w:rsidRPr="00317088" w:rsidRDefault="00317088" w:rsidP="00317088">
            <w:pPr>
              <w:rPr>
                <w:rFonts w:eastAsia="Calibri"/>
                <w:b/>
                <w:szCs w:val="22"/>
              </w:rPr>
            </w:pPr>
          </w:p>
          <w:p w:rsidR="00317088" w:rsidRPr="00317088" w:rsidRDefault="00317088" w:rsidP="00317088">
            <w:pPr>
              <w:rPr>
                <w:rFonts w:eastAsia="Calibri"/>
                <w:b/>
                <w:szCs w:val="22"/>
              </w:rPr>
            </w:pPr>
          </w:p>
        </w:tc>
      </w:tr>
    </w:tbl>
    <w:p w:rsidR="00317088" w:rsidRPr="00317088" w:rsidRDefault="00317088" w:rsidP="00317088">
      <w:pPr>
        <w:rPr>
          <w:rFonts w:eastAsia="Calibri"/>
          <w:b/>
          <w:szCs w:val="22"/>
        </w:rPr>
      </w:pPr>
    </w:p>
    <w:p w:rsidR="0086515B" w:rsidRPr="00F27E5A" w:rsidRDefault="0086515B" w:rsidP="00B12659">
      <w:pPr>
        <w:tabs>
          <w:tab w:val="center" w:pos="4680"/>
        </w:tabs>
        <w:ind w:right="-108" w:hanging="180"/>
        <w:jc w:val="both"/>
        <w:rPr>
          <w:b/>
        </w:rPr>
      </w:pPr>
    </w:p>
    <w:p w:rsidR="00E53319" w:rsidRPr="00F27E5A" w:rsidRDefault="00E53319" w:rsidP="00B12659">
      <w:pPr>
        <w:tabs>
          <w:tab w:val="center" w:pos="4680"/>
        </w:tabs>
        <w:ind w:right="-108" w:hanging="180"/>
        <w:jc w:val="both"/>
        <w:rPr>
          <w:b/>
        </w:rPr>
      </w:pPr>
    </w:p>
    <w:p w:rsidR="00E53319" w:rsidRPr="00F27E5A" w:rsidRDefault="00E53319" w:rsidP="00B12659">
      <w:pPr>
        <w:tabs>
          <w:tab w:val="center" w:pos="4680"/>
        </w:tabs>
        <w:ind w:right="-108" w:hanging="180"/>
        <w:jc w:val="both"/>
        <w:rPr>
          <w:b/>
        </w:rPr>
      </w:pPr>
    </w:p>
    <w:p w:rsidR="00C3471C" w:rsidRPr="00F27E5A" w:rsidRDefault="00C3471C" w:rsidP="00C3471C">
      <w:pPr>
        <w:tabs>
          <w:tab w:val="center" w:pos="4680"/>
        </w:tabs>
        <w:jc w:val="center"/>
        <w:rPr>
          <w:b/>
          <w:bCs/>
        </w:rPr>
      </w:pPr>
      <w:r w:rsidRPr="00F27E5A">
        <w:rPr>
          <w:b/>
          <w:bCs/>
        </w:rPr>
        <w:t>TESTIMONY OF</w:t>
      </w:r>
    </w:p>
    <w:p w:rsidR="00C3471C" w:rsidRPr="00F27E5A" w:rsidRDefault="00C3471C" w:rsidP="00C3471C">
      <w:pPr>
        <w:jc w:val="center"/>
        <w:rPr>
          <w:b/>
          <w:bCs/>
        </w:rPr>
      </w:pPr>
    </w:p>
    <w:p w:rsidR="00C3471C" w:rsidRPr="00F27E5A" w:rsidRDefault="002F1187" w:rsidP="00C3471C">
      <w:pPr>
        <w:tabs>
          <w:tab w:val="center" w:pos="4680"/>
        </w:tabs>
        <w:jc w:val="center"/>
        <w:rPr>
          <w:b/>
          <w:bCs/>
        </w:rPr>
      </w:pPr>
      <w:r w:rsidRPr="00F27E5A">
        <w:rPr>
          <w:b/>
          <w:bCs/>
        </w:rPr>
        <w:t>CHRISTOPHER T. MICKELSON</w:t>
      </w:r>
    </w:p>
    <w:p w:rsidR="00C3471C" w:rsidRPr="00F27E5A" w:rsidRDefault="00C3471C" w:rsidP="00C3471C">
      <w:pPr>
        <w:tabs>
          <w:tab w:val="center" w:pos="4680"/>
        </w:tabs>
        <w:jc w:val="center"/>
        <w:rPr>
          <w:b/>
          <w:bCs/>
        </w:rPr>
      </w:pPr>
    </w:p>
    <w:p w:rsidR="00C3471C" w:rsidRPr="00F27E5A" w:rsidRDefault="00C3471C" w:rsidP="00C3471C">
      <w:pPr>
        <w:tabs>
          <w:tab w:val="center" w:pos="4680"/>
        </w:tabs>
        <w:jc w:val="center"/>
        <w:rPr>
          <w:b/>
          <w:bCs/>
        </w:rPr>
      </w:pPr>
      <w:r w:rsidRPr="00F27E5A">
        <w:rPr>
          <w:b/>
          <w:bCs/>
        </w:rPr>
        <w:t>STAFF OF</w:t>
      </w:r>
    </w:p>
    <w:p w:rsidR="00C3471C" w:rsidRPr="00F27E5A" w:rsidRDefault="00C3471C" w:rsidP="00C3471C">
      <w:pPr>
        <w:tabs>
          <w:tab w:val="center" w:pos="4680"/>
        </w:tabs>
        <w:jc w:val="center"/>
        <w:rPr>
          <w:b/>
          <w:bCs/>
        </w:rPr>
      </w:pPr>
      <w:r w:rsidRPr="00F27E5A">
        <w:rPr>
          <w:b/>
          <w:bCs/>
        </w:rPr>
        <w:t>WASHINGTON UTILITIES AND</w:t>
      </w:r>
    </w:p>
    <w:p w:rsidR="00C3471C" w:rsidRPr="00F27E5A" w:rsidRDefault="00C3471C" w:rsidP="00C3471C">
      <w:pPr>
        <w:tabs>
          <w:tab w:val="center" w:pos="4680"/>
        </w:tabs>
        <w:jc w:val="center"/>
        <w:rPr>
          <w:b/>
          <w:bCs/>
        </w:rPr>
      </w:pPr>
      <w:r w:rsidRPr="00F27E5A">
        <w:rPr>
          <w:b/>
          <w:bCs/>
        </w:rPr>
        <w:t>TRANSPORTATION COMMISSION</w:t>
      </w:r>
    </w:p>
    <w:p w:rsidR="0074370C" w:rsidRPr="00F27E5A" w:rsidRDefault="0074370C" w:rsidP="00C3471C">
      <w:pPr>
        <w:tabs>
          <w:tab w:val="center" w:pos="4680"/>
        </w:tabs>
        <w:jc w:val="center"/>
        <w:rPr>
          <w:b/>
          <w:bCs/>
        </w:rPr>
      </w:pPr>
    </w:p>
    <w:p w:rsidR="009E5C21" w:rsidRPr="00F27E5A" w:rsidRDefault="009E5C21" w:rsidP="00C3471C">
      <w:pPr>
        <w:tabs>
          <w:tab w:val="center" w:pos="4680"/>
        </w:tabs>
        <w:jc w:val="center"/>
        <w:rPr>
          <w:b/>
          <w:bCs/>
        </w:rPr>
      </w:pPr>
    </w:p>
    <w:p w:rsidR="00101D35" w:rsidRDefault="00101D35" w:rsidP="00C3471C">
      <w:pPr>
        <w:tabs>
          <w:tab w:val="center" w:pos="4680"/>
        </w:tabs>
        <w:jc w:val="center"/>
        <w:rPr>
          <w:b/>
          <w:bCs/>
        </w:rPr>
      </w:pPr>
    </w:p>
    <w:p w:rsidR="00DE426B" w:rsidRPr="00F27E5A" w:rsidRDefault="00357E51" w:rsidP="000E6C40">
      <w:pPr>
        <w:jc w:val="center"/>
        <w:rPr>
          <w:b/>
          <w:bCs/>
          <w:i/>
        </w:rPr>
      </w:pPr>
      <w:r>
        <w:rPr>
          <w:b/>
          <w:bCs/>
          <w:i/>
        </w:rPr>
        <w:t>Company Accounting Petition for Major Maintenance Activities</w:t>
      </w:r>
      <w:r w:rsidR="003B056D">
        <w:rPr>
          <w:b/>
          <w:bCs/>
          <w:i/>
        </w:rPr>
        <w:t xml:space="preserve"> in Docket UE-130583</w:t>
      </w:r>
      <w:r w:rsidR="002637EB">
        <w:rPr>
          <w:b/>
          <w:bCs/>
          <w:i/>
        </w:rPr>
        <w:t>;</w:t>
      </w:r>
      <w:r>
        <w:rPr>
          <w:b/>
          <w:bCs/>
          <w:i/>
        </w:rPr>
        <w:t xml:space="preserve"> </w:t>
      </w:r>
      <w:r w:rsidR="00DE2DF6">
        <w:rPr>
          <w:b/>
          <w:bCs/>
          <w:i/>
        </w:rPr>
        <w:t>Treasury Grants, Ratemaking Treatment</w:t>
      </w:r>
      <w:r w:rsidR="002637EB">
        <w:rPr>
          <w:b/>
          <w:bCs/>
          <w:i/>
        </w:rPr>
        <w:t>;</w:t>
      </w:r>
      <w:r w:rsidR="00DE2DF6">
        <w:rPr>
          <w:b/>
          <w:bCs/>
          <w:i/>
        </w:rPr>
        <w:t xml:space="preserve"> Adjustments for </w:t>
      </w:r>
      <w:r w:rsidR="000E6C40">
        <w:rPr>
          <w:b/>
          <w:bCs/>
          <w:i/>
        </w:rPr>
        <w:t>Power Cost Rate</w:t>
      </w:r>
      <w:r w:rsidR="002637EB">
        <w:rPr>
          <w:b/>
          <w:bCs/>
          <w:i/>
        </w:rPr>
        <w:t>;</w:t>
      </w:r>
      <w:r>
        <w:rPr>
          <w:b/>
          <w:bCs/>
          <w:i/>
        </w:rPr>
        <w:t xml:space="preserve"> </w:t>
      </w:r>
      <w:r w:rsidR="00DE426B">
        <w:rPr>
          <w:b/>
          <w:bCs/>
          <w:i/>
        </w:rPr>
        <w:t>Revenue Requirement</w:t>
      </w:r>
      <w:r w:rsidR="002637EB">
        <w:rPr>
          <w:b/>
          <w:bCs/>
          <w:i/>
        </w:rPr>
        <w:t>;</w:t>
      </w:r>
      <w:r>
        <w:rPr>
          <w:b/>
          <w:bCs/>
          <w:i/>
        </w:rPr>
        <w:t xml:space="preserve"> </w:t>
      </w:r>
      <w:r w:rsidR="00DE426B">
        <w:rPr>
          <w:b/>
          <w:bCs/>
          <w:i/>
        </w:rPr>
        <w:t>Revenue Allocation and Rate Design</w:t>
      </w:r>
    </w:p>
    <w:p w:rsidR="009E5C21" w:rsidRPr="00F27E5A" w:rsidRDefault="009E5C21" w:rsidP="009E5C21">
      <w:pPr>
        <w:jc w:val="center"/>
        <w:rPr>
          <w:b/>
          <w:bCs/>
          <w:i/>
        </w:rPr>
      </w:pPr>
    </w:p>
    <w:p w:rsidR="00101D35" w:rsidRPr="00F27E5A" w:rsidRDefault="00101D35" w:rsidP="009E5C21">
      <w:pPr>
        <w:jc w:val="center"/>
        <w:rPr>
          <w:b/>
          <w:bCs/>
          <w:i/>
        </w:rPr>
      </w:pPr>
    </w:p>
    <w:p w:rsidR="00EE3F86" w:rsidRPr="00F27E5A" w:rsidRDefault="00EE3F86" w:rsidP="009E5C21">
      <w:pPr>
        <w:jc w:val="center"/>
        <w:rPr>
          <w:b/>
          <w:bCs/>
          <w:i/>
        </w:rPr>
      </w:pPr>
    </w:p>
    <w:p w:rsidR="00C3471C" w:rsidRPr="00F27E5A" w:rsidRDefault="00C3471C" w:rsidP="00C3471C">
      <w:pPr>
        <w:rPr>
          <w:b/>
          <w:bCs/>
        </w:rPr>
      </w:pPr>
    </w:p>
    <w:p w:rsidR="00C3471C" w:rsidRPr="00F27E5A" w:rsidRDefault="0086515B" w:rsidP="00C3471C">
      <w:pPr>
        <w:tabs>
          <w:tab w:val="center" w:pos="4680"/>
        </w:tabs>
        <w:jc w:val="center"/>
        <w:rPr>
          <w:b/>
          <w:bCs/>
        </w:rPr>
      </w:pPr>
      <w:r>
        <w:rPr>
          <w:b/>
          <w:bCs/>
        </w:rPr>
        <w:t xml:space="preserve">August </w:t>
      </w:r>
      <w:r w:rsidR="00BA0543" w:rsidRPr="00F27E5A">
        <w:rPr>
          <w:b/>
          <w:bCs/>
        </w:rPr>
        <w:t>1</w:t>
      </w:r>
      <w:r>
        <w:rPr>
          <w:b/>
          <w:bCs/>
        </w:rPr>
        <w:t>4</w:t>
      </w:r>
      <w:r w:rsidR="002F1187" w:rsidRPr="00F27E5A">
        <w:rPr>
          <w:b/>
          <w:bCs/>
        </w:rPr>
        <w:t>, 201</w:t>
      </w:r>
      <w:r w:rsidR="009E5C21" w:rsidRPr="00F27E5A">
        <w:rPr>
          <w:b/>
          <w:bCs/>
        </w:rPr>
        <w:t>3</w:t>
      </w:r>
    </w:p>
    <w:p w:rsidR="00C3471C" w:rsidRPr="00F27E5A" w:rsidRDefault="00C3471C" w:rsidP="00C3471C">
      <w:pPr>
        <w:tabs>
          <w:tab w:val="center" w:pos="4680"/>
        </w:tabs>
        <w:rPr>
          <w:b/>
          <w:bCs/>
        </w:rPr>
      </w:pPr>
    </w:p>
    <w:p w:rsidR="00C3471C" w:rsidRPr="00F27E5A" w:rsidRDefault="00C3471C" w:rsidP="00C3471C">
      <w:pPr>
        <w:tabs>
          <w:tab w:val="center" w:pos="4680"/>
        </w:tabs>
        <w:sectPr w:rsidR="00C3471C" w:rsidRPr="00F27E5A" w:rsidSect="00C3471C">
          <w:pgSz w:w="12240" w:h="15840" w:code="1"/>
          <w:pgMar w:top="1440" w:right="1440" w:bottom="1440" w:left="1872" w:header="720" w:footer="720" w:gutter="0"/>
          <w:cols w:space="720"/>
          <w:titlePg/>
          <w:docGrid w:linePitch="360"/>
        </w:sectPr>
      </w:pPr>
    </w:p>
    <w:sdt>
      <w:sdtPr>
        <w:rPr>
          <w:rFonts w:ascii="Times New Roman" w:eastAsia="Times New Roman" w:hAnsi="Times New Roman" w:cs="Times New Roman"/>
          <w:b w:val="0"/>
          <w:bCs w:val="0"/>
          <w:color w:val="auto"/>
          <w:sz w:val="24"/>
          <w:szCs w:val="24"/>
          <w:lang w:eastAsia="en-US"/>
        </w:rPr>
        <w:id w:val="192658470"/>
        <w:docPartObj>
          <w:docPartGallery w:val="Table of Contents"/>
          <w:docPartUnique/>
        </w:docPartObj>
      </w:sdtPr>
      <w:sdtEndPr>
        <w:rPr>
          <w:noProof/>
        </w:rPr>
      </w:sdtEndPr>
      <w:sdtContent>
        <w:p w:rsidR="00641F26" w:rsidRPr="00F27E5A" w:rsidRDefault="00641F26" w:rsidP="006B4E3E">
          <w:pPr>
            <w:pStyle w:val="TOCHeading"/>
            <w:numPr>
              <w:ilvl w:val="0"/>
              <w:numId w:val="0"/>
            </w:numPr>
            <w:jc w:val="center"/>
            <w:rPr>
              <w:rFonts w:ascii="Times New Roman" w:hAnsi="Times New Roman" w:cs="Times New Roman"/>
              <w:color w:val="auto"/>
              <w:sz w:val="24"/>
              <w:szCs w:val="24"/>
            </w:rPr>
          </w:pPr>
          <w:r w:rsidRPr="00F27E5A">
            <w:rPr>
              <w:rFonts w:ascii="Times New Roman" w:hAnsi="Times New Roman" w:cs="Times New Roman"/>
              <w:color w:val="auto"/>
              <w:sz w:val="24"/>
              <w:szCs w:val="24"/>
            </w:rPr>
            <w:t>TABLE OF CONTENTS</w:t>
          </w:r>
        </w:p>
        <w:p w:rsidR="00641F26" w:rsidRPr="00F27E5A" w:rsidRDefault="00641F26" w:rsidP="00641F26">
          <w:pPr>
            <w:rPr>
              <w:lang w:eastAsia="ja-JP"/>
            </w:rPr>
          </w:pPr>
        </w:p>
        <w:p w:rsidR="00E1351A" w:rsidRDefault="0085372C">
          <w:pPr>
            <w:pStyle w:val="TOC1"/>
            <w:rPr>
              <w:rFonts w:asciiTheme="minorHAnsi" w:hAnsiTheme="minorHAnsi"/>
              <w:noProof/>
              <w:sz w:val="22"/>
              <w:lang w:eastAsia="en-US"/>
            </w:rPr>
          </w:pPr>
          <w:r w:rsidRPr="00F27E5A">
            <w:fldChar w:fldCharType="begin"/>
          </w:r>
          <w:r w:rsidR="006B4E3E" w:rsidRPr="00F27E5A">
            <w:instrText xml:space="preserve"> TOC \o "1-7" \h \z \u </w:instrText>
          </w:r>
          <w:r w:rsidRPr="00F27E5A">
            <w:fldChar w:fldCharType="separate"/>
          </w:r>
          <w:hyperlink w:anchor="_Toc364231275" w:history="1">
            <w:r w:rsidR="00E1351A" w:rsidRPr="00BF7535">
              <w:rPr>
                <w:rStyle w:val="Hyperlink"/>
                <w:noProof/>
              </w:rPr>
              <w:t>I.</w:t>
            </w:r>
            <w:r w:rsidR="00E1351A">
              <w:rPr>
                <w:rFonts w:asciiTheme="minorHAnsi" w:hAnsiTheme="minorHAnsi"/>
                <w:noProof/>
                <w:sz w:val="22"/>
                <w:lang w:eastAsia="en-US"/>
              </w:rPr>
              <w:tab/>
            </w:r>
            <w:r w:rsidR="00E1351A" w:rsidRPr="00BF7535">
              <w:rPr>
                <w:rStyle w:val="Hyperlink"/>
                <w:noProof/>
              </w:rPr>
              <w:t>INTRODUCTION</w:t>
            </w:r>
            <w:r w:rsidR="00E1351A">
              <w:rPr>
                <w:noProof/>
                <w:webHidden/>
              </w:rPr>
              <w:tab/>
            </w:r>
            <w:r w:rsidR="00E1351A">
              <w:rPr>
                <w:noProof/>
                <w:webHidden/>
              </w:rPr>
              <w:fldChar w:fldCharType="begin"/>
            </w:r>
            <w:r w:rsidR="00E1351A">
              <w:rPr>
                <w:noProof/>
                <w:webHidden/>
              </w:rPr>
              <w:instrText xml:space="preserve"> PAGEREF _Toc364231275 \h </w:instrText>
            </w:r>
            <w:r w:rsidR="00E1351A">
              <w:rPr>
                <w:noProof/>
                <w:webHidden/>
              </w:rPr>
            </w:r>
            <w:r w:rsidR="00E1351A">
              <w:rPr>
                <w:noProof/>
                <w:webHidden/>
              </w:rPr>
              <w:fldChar w:fldCharType="separate"/>
            </w:r>
            <w:r w:rsidR="00F8096B">
              <w:rPr>
                <w:noProof/>
                <w:webHidden/>
              </w:rPr>
              <w:t>1</w:t>
            </w:r>
            <w:r w:rsidR="00E1351A">
              <w:rPr>
                <w:noProof/>
                <w:webHidden/>
              </w:rPr>
              <w:fldChar w:fldCharType="end"/>
            </w:r>
          </w:hyperlink>
        </w:p>
        <w:p w:rsidR="00E1351A" w:rsidRDefault="00F8096B">
          <w:pPr>
            <w:pStyle w:val="TOC1"/>
            <w:rPr>
              <w:rFonts w:asciiTheme="minorHAnsi" w:hAnsiTheme="minorHAnsi"/>
              <w:noProof/>
              <w:sz w:val="22"/>
              <w:lang w:eastAsia="en-US"/>
            </w:rPr>
          </w:pPr>
          <w:hyperlink w:anchor="_Toc364231276" w:history="1">
            <w:r w:rsidR="00E1351A" w:rsidRPr="00BF7535">
              <w:rPr>
                <w:rStyle w:val="Hyperlink"/>
                <w:noProof/>
              </w:rPr>
              <w:t>II.</w:t>
            </w:r>
            <w:r w:rsidR="00E1351A">
              <w:rPr>
                <w:rFonts w:asciiTheme="minorHAnsi" w:hAnsiTheme="minorHAnsi"/>
                <w:noProof/>
                <w:sz w:val="22"/>
                <w:lang w:eastAsia="en-US"/>
              </w:rPr>
              <w:tab/>
            </w:r>
            <w:r w:rsidR="00E1351A" w:rsidRPr="00BF7535">
              <w:rPr>
                <w:rStyle w:val="Hyperlink"/>
                <w:noProof/>
              </w:rPr>
              <w:t>SCOPE AND SUMMARY OF TESTIMONY</w:t>
            </w:r>
            <w:r w:rsidR="00E1351A">
              <w:rPr>
                <w:noProof/>
                <w:webHidden/>
              </w:rPr>
              <w:tab/>
            </w:r>
            <w:r w:rsidR="00E1351A">
              <w:rPr>
                <w:noProof/>
                <w:webHidden/>
              </w:rPr>
              <w:fldChar w:fldCharType="begin"/>
            </w:r>
            <w:r w:rsidR="00E1351A">
              <w:rPr>
                <w:noProof/>
                <w:webHidden/>
              </w:rPr>
              <w:instrText xml:space="preserve"> PAGEREF _Toc364231276 \h </w:instrText>
            </w:r>
            <w:r w:rsidR="00E1351A">
              <w:rPr>
                <w:noProof/>
                <w:webHidden/>
              </w:rPr>
            </w:r>
            <w:r w:rsidR="00E1351A">
              <w:rPr>
                <w:noProof/>
                <w:webHidden/>
              </w:rPr>
              <w:fldChar w:fldCharType="separate"/>
            </w:r>
            <w:r>
              <w:rPr>
                <w:noProof/>
                <w:webHidden/>
              </w:rPr>
              <w:t>3</w:t>
            </w:r>
            <w:r w:rsidR="00E1351A">
              <w:rPr>
                <w:noProof/>
                <w:webHidden/>
              </w:rPr>
              <w:fldChar w:fldCharType="end"/>
            </w:r>
          </w:hyperlink>
        </w:p>
        <w:p w:rsidR="00E1351A" w:rsidRDefault="00F8096B">
          <w:pPr>
            <w:pStyle w:val="TOC1"/>
            <w:rPr>
              <w:rFonts w:asciiTheme="minorHAnsi" w:hAnsiTheme="minorHAnsi"/>
              <w:noProof/>
              <w:sz w:val="22"/>
              <w:lang w:eastAsia="en-US"/>
            </w:rPr>
          </w:pPr>
          <w:hyperlink w:anchor="_Toc364231277" w:history="1">
            <w:r w:rsidR="00E1351A" w:rsidRPr="00BF7535">
              <w:rPr>
                <w:rStyle w:val="Hyperlink"/>
                <w:noProof/>
              </w:rPr>
              <w:t>III.</w:t>
            </w:r>
            <w:r w:rsidR="00E1351A">
              <w:rPr>
                <w:rFonts w:asciiTheme="minorHAnsi" w:hAnsiTheme="minorHAnsi"/>
                <w:noProof/>
                <w:sz w:val="22"/>
                <w:lang w:eastAsia="en-US"/>
              </w:rPr>
              <w:tab/>
            </w:r>
            <w:r w:rsidR="00E1351A" w:rsidRPr="00BF7535">
              <w:rPr>
                <w:rStyle w:val="Hyperlink"/>
                <w:noProof/>
              </w:rPr>
              <w:t>POWER COST ISSUES</w:t>
            </w:r>
            <w:r w:rsidR="00E1351A">
              <w:rPr>
                <w:noProof/>
                <w:webHidden/>
              </w:rPr>
              <w:tab/>
            </w:r>
            <w:r w:rsidR="00E1351A">
              <w:rPr>
                <w:noProof/>
                <w:webHidden/>
              </w:rPr>
              <w:fldChar w:fldCharType="begin"/>
            </w:r>
            <w:r w:rsidR="00E1351A">
              <w:rPr>
                <w:noProof/>
                <w:webHidden/>
              </w:rPr>
              <w:instrText xml:space="preserve"> PAGEREF _Toc364231277 \h </w:instrText>
            </w:r>
            <w:r w:rsidR="00E1351A">
              <w:rPr>
                <w:noProof/>
                <w:webHidden/>
              </w:rPr>
            </w:r>
            <w:r w:rsidR="00E1351A">
              <w:rPr>
                <w:noProof/>
                <w:webHidden/>
              </w:rPr>
              <w:fldChar w:fldCharType="separate"/>
            </w:r>
            <w:r>
              <w:rPr>
                <w:noProof/>
                <w:webHidden/>
              </w:rPr>
              <w:t>8</w:t>
            </w:r>
            <w:r w:rsidR="00E1351A">
              <w:rPr>
                <w:noProof/>
                <w:webHidden/>
              </w:rPr>
              <w:fldChar w:fldCharType="end"/>
            </w:r>
          </w:hyperlink>
        </w:p>
        <w:p w:rsidR="00E1351A" w:rsidRDefault="00F8096B">
          <w:pPr>
            <w:pStyle w:val="TOC3"/>
            <w:rPr>
              <w:rFonts w:asciiTheme="minorHAnsi" w:hAnsiTheme="minorHAnsi"/>
              <w:noProof/>
              <w:sz w:val="22"/>
              <w:lang w:eastAsia="en-US"/>
            </w:rPr>
          </w:pPr>
          <w:hyperlink w:anchor="_Toc364231278" w:history="1">
            <w:r w:rsidR="00E1351A" w:rsidRPr="00BF7535">
              <w:rPr>
                <w:rStyle w:val="Hyperlink"/>
                <w:rFonts w:eastAsia="Calibri"/>
                <w:noProof/>
              </w:rPr>
              <w:t>A.</w:t>
            </w:r>
            <w:r w:rsidR="00E1351A">
              <w:rPr>
                <w:rFonts w:asciiTheme="minorHAnsi" w:hAnsiTheme="minorHAnsi"/>
                <w:noProof/>
                <w:sz w:val="22"/>
                <w:lang w:eastAsia="en-US"/>
              </w:rPr>
              <w:tab/>
            </w:r>
            <w:r w:rsidR="00E1351A" w:rsidRPr="00BF7535">
              <w:rPr>
                <w:rStyle w:val="Hyperlink"/>
                <w:noProof/>
              </w:rPr>
              <w:t>Test Year Compared to Rate Year</w:t>
            </w:r>
            <w:r w:rsidR="00E1351A">
              <w:rPr>
                <w:noProof/>
                <w:webHidden/>
              </w:rPr>
              <w:tab/>
            </w:r>
            <w:r w:rsidR="00E1351A">
              <w:rPr>
                <w:noProof/>
                <w:webHidden/>
              </w:rPr>
              <w:fldChar w:fldCharType="begin"/>
            </w:r>
            <w:r w:rsidR="00E1351A">
              <w:rPr>
                <w:noProof/>
                <w:webHidden/>
              </w:rPr>
              <w:instrText xml:space="preserve"> PAGEREF _Toc364231278 \h </w:instrText>
            </w:r>
            <w:r w:rsidR="00E1351A">
              <w:rPr>
                <w:noProof/>
                <w:webHidden/>
              </w:rPr>
            </w:r>
            <w:r w:rsidR="00E1351A">
              <w:rPr>
                <w:noProof/>
                <w:webHidden/>
              </w:rPr>
              <w:fldChar w:fldCharType="separate"/>
            </w:r>
            <w:r>
              <w:rPr>
                <w:noProof/>
                <w:webHidden/>
              </w:rPr>
              <w:t>8</w:t>
            </w:r>
            <w:r w:rsidR="00E1351A">
              <w:rPr>
                <w:noProof/>
                <w:webHidden/>
              </w:rPr>
              <w:fldChar w:fldCharType="end"/>
            </w:r>
          </w:hyperlink>
        </w:p>
        <w:p w:rsidR="00E1351A" w:rsidRDefault="00F8096B">
          <w:pPr>
            <w:pStyle w:val="TOC3"/>
            <w:rPr>
              <w:rFonts w:asciiTheme="minorHAnsi" w:hAnsiTheme="minorHAnsi"/>
              <w:noProof/>
              <w:sz w:val="22"/>
              <w:lang w:eastAsia="en-US"/>
            </w:rPr>
          </w:pPr>
          <w:hyperlink w:anchor="_Toc364231279" w:history="1">
            <w:r w:rsidR="00E1351A" w:rsidRPr="00BF7535">
              <w:rPr>
                <w:rStyle w:val="Hyperlink"/>
                <w:noProof/>
              </w:rPr>
              <w:t>B.</w:t>
            </w:r>
            <w:r w:rsidR="00E1351A">
              <w:rPr>
                <w:rFonts w:asciiTheme="minorHAnsi" w:hAnsiTheme="minorHAnsi"/>
                <w:noProof/>
                <w:sz w:val="22"/>
                <w:lang w:eastAsia="en-US"/>
              </w:rPr>
              <w:tab/>
            </w:r>
            <w:r w:rsidR="00E1351A" w:rsidRPr="00BF7535">
              <w:rPr>
                <w:rStyle w:val="Hyperlink"/>
                <w:noProof/>
              </w:rPr>
              <w:t>Major Maintenance Activities (Docket UE-130583)</w:t>
            </w:r>
            <w:r w:rsidR="00E1351A">
              <w:rPr>
                <w:noProof/>
                <w:webHidden/>
              </w:rPr>
              <w:tab/>
            </w:r>
            <w:r w:rsidR="00E1351A">
              <w:rPr>
                <w:noProof/>
                <w:webHidden/>
              </w:rPr>
              <w:fldChar w:fldCharType="begin"/>
            </w:r>
            <w:r w:rsidR="00E1351A">
              <w:rPr>
                <w:noProof/>
                <w:webHidden/>
              </w:rPr>
              <w:instrText xml:space="preserve"> PAGEREF _Toc364231279 \h </w:instrText>
            </w:r>
            <w:r w:rsidR="00E1351A">
              <w:rPr>
                <w:noProof/>
                <w:webHidden/>
              </w:rPr>
            </w:r>
            <w:r w:rsidR="00E1351A">
              <w:rPr>
                <w:noProof/>
                <w:webHidden/>
              </w:rPr>
              <w:fldChar w:fldCharType="separate"/>
            </w:r>
            <w:r>
              <w:rPr>
                <w:noProof/>
                <w:webHidden/>
              </w:rPr>
              <w:t>12</w:t>
            </w:r>
            <w:r w:rsidR="00E1351A">
              <w:rPr>
                <w:noProof/>
                <w:webHidden/>
              </w:rPr>
              <w:fldChar w:fldCharType="end"/>
            </w:r>
          </w:hyperlink>
        </w:p>
        <w:p w:rsidR="00E1351A" w:rsidRDefault="00F8096B">
          <w:pPr>
            <w:pStyle w:val="TOC3"/>
            <w:rPr>
              <w:rFonts w:asciiTheme="minorHAnsi" w:hAnsiTheme="minorHAnsi"/>
              <w:noProof/>
              <w:sz w:val="22"/>
              <w:lang w:eastAsia="en-US"/>
            </w:rPr>
          </w:pPr>
          <w:hyperlink w:anchor="_Toc364231280" w:history="1">
            <w:r w:rsidR="00E1351A" w:rsidRPr="00BF7535">
              <w:rPr>
                <w:rStyle w:val="Hyperlink"/>
                <w:noProof/>
              </w:rPr>
              <w:t>C.</w:t>
            </w:r>
            <w:r w:rsidR="00E1351A">
              <w:rPr>
                <w:rFonts w:asciiTheme="minorHAnsi" w:hAnsiTheme="minorHAnsi"/>
                <w:noProof/>
                <w:sz w:val="22"/>
                <w:lang w:eastAsia="en-US"/>
              </w:rPr>
              <w:tab/>
            </w:r>
            <w:r w:rsidR="00E1351A" w:rsidRPr="00BF7535">
              <w:rPr>
                <w:rStyle w:val="Hyperlink"/>
                <w:noProof/>
              </w:rPr>
              <w:t>Hydro Production Operations and Maintenance</w:t>
            </w:r>
            <w:r w:rsidR="00E1351A">
              <w:rPr>
                <w:noProof/>
                <w:webHidden/>
              </w:rPr>
              <w:tab/>
            </w:r>
            <w:r w:rsidR="00E1351A">
              <w:rPr>
                <w:noProof/>
                <w:webHidden/>
              </w:rPr>
              <w:fldChar w:fldCharType="begin"/>
            </w:r>
            <w:r w:rsidR="00E1351A">
              <w:rPr>
                <w:noProof/>
                <w:webHidden/>
              </w:rPr>
              <w:instrText xml:space="preserve"> PAGEREF _Toc364231280 \h </w:instrText>
            </w:r>
            <w:r w:rsidR="00E1351A">
              <w:rPr>
                <w:noProof/>
                <w:webHidden/>
              </w:rPr>
            </w:r>
            <w:r w:rsidR="00E1351A">
              <w:rPr>
                <w:noProof/>
                <w:webHidden/>
              </w:rPr>
              <w:fldChar w:fldCharType="separate"/>
            </w:r>
            <w:r>
              <w:rPr>
                <w:noProof/>
                <w:webHidden/>
              </w:rPr>
              <w:t>19</w:t>
            </w:r>
            <w:r w:rsidR="00E1351A">
              <w:rPr>
                <w:noProof/>
                <w:webHidden/>
              </w:rPr>
              <w:fldChar w:fldCharType="end"/>
            </w:r>
          </w:hyperlink>
        </w:p>
        <w:p w:rsidR="00E1351A" w:rsidRDefault="00F8096B">
          <w:pPr>
            <w:pStyle w:val="TOC3"/>
            <w:rPr>
              <w:rFonts w:asciiTheme="minorHAnsi" w:hAnsiTheme="minorHAnsi"/>
              <w:noProof/>
              <w:sz w:val="22"/>
              <w:lang w:eastAsia="en-US"/>
            </w:rPr>
          </w:pPr>
          <w:hyperlink w:anchor="_Toc364231281" w:history="1">
            <w:r w:rsidR="00E1351A" w:rsidRPr="00BF7535">
              <w:rPr>
                <w:rStyle w:val="Hyperlink"/>
                <w:noProof/>
              </w:rPr>
              <w:t>D.</w:t>
            </w:r>
            <w:r w:rsidR="00E1351A">
              <w:rPr>
                <w:rFonts w:asciiTheme="minorHAnsi" w:hAnsiTheme="minorHAnsi"/>
                <w:noProof/>
                <w:sz w:val="22"/>
                <w:lang w:eastAsia="en-US"/>
              </w:rPr>
              <w:tab/>
            </w:r>
            <w:r w:rsidR="00E1351A" w:rsidRPr="00BF7535">
              <w:rPr>
                <w:rStyle w:val="Hyperlink"/>
                <w:noProof/>
              </w:rPr>
              <w:t>Treasury Grants</w:t>
            </w:r>
            <w:r w:rsidR="00E1351A">
              <w:rPr>
                <w:noProof/>
                <w:webHidden/>
              </w:rPr>
              <w:tab/>
            </w:r>
            <w:r w:rsidR="00E1351A">
              <w:rPr>
                <w:noProof/>
                <w:webHidden/>
              </w:rPr>
              <w:fldChar w:fldCharType="begin"/>
            </w:r>
            <w:r w:rsidR="00E1351A">
              <w:rPr>
                <w:noProof/>
                <w:webHidden/>
              </w:rPr>
              <w:instrText xml:space="preserve"> PAGEREF _Toc364231281 \h </w:instrText>
            </w:r>
            <w:r w:rsidR="00E1351A">
              <w:rPr>
                <w:noProof/>
                <w:webHidden/>
              </w:rPr>
            </w:r>
            <w:r w:rsidR="00E1351A">
              <w:rPr>
                <w:noProof/>
                <w:webHidden/>
              </w:rPr>
              <w:fldChar w:fldCharType="separate"/>
            </w:r>
            <w:r>
              <w:rPr>
                <w:noProof/>
                <w:webHidden/>
              </w:rPr>
              <w:t>21</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82" w:history="1">
            <w:r w:rsidR="00E1351A" w:rsidRPr="00BF7535">
              <w:rPr>
                <w:rStyle w:val="Hyperlink"/>
                <w:noProof/>
              </w:rPr>
              <w:t>1.</w:t>
            </w:r>
            <w:r w:rsidR="00E1351A">
              <w:rPr>
                <w:rFonts w:asciiTheme="minorHAnsi" w:eastAsiaTheme="minorEastAsia" w:hAnsiTheme="minorHAnsi" w:cstheme="minorBidi"/>
                <w:noProof/>
                <w:sz w:val="22"/>
                <w:szCs w:val="22"/>
              </w:rPr>
              <w:tab/>
            </w:r>
            <w:r w:rsidR="00E1351A" w:rsidRPr="00BF7535">
              <w:rPr>
                <w:rStyle w:val="Hyperlink"/>
                <w:noProof/>
              </w:rPr>
              <w:t>Overview</w:t>
            </w:r>
            <w:r w:rsidR="00E1351A">
              <w:rPr>
                <w:noProof/>
                <w:webHidden/>
              </w:rPr>
              <w:tab/>
            </w:r>
            <w:r w:rsidR="00E1351A">
              <w:rPr>
                <w:noProof/>
                <w:webHidden/>
              </w:rPr>
              <w:fldChar w:fldCharType="begin"/>
            </w:r>
            <w:r w:rsidR="00E1351A">
              <w:rPr>
                <w:noProof/>
                <w:webHidden/>
              </w:rPr>
              <w:instrText xml:space="preserve"> PAGEREF _Toc364231282 \h </w:instrText>
            </w:r>
            <w:r w:rsidR="00E1351A">
              <w:rPr>
                <w:noProof/>
                <w:webHidden/>
              </w:rPr>
            </w:r>
            <w:r w:rsidR="00E1351A">
              <w:rPr>
                <w:noProof/>
                <w:webHidden/>
              </w:rPr>
              <w:fldChar w:fldCharType="separate"/>
            </w:r>
            <w:r>
              <w:rPr>
                <w:noProof/>
                <w:webHidden/>
              </w:rPr>
              <w:t>21</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83" w:history="1">
            <w:r w:rsidR="00E1351A" w:rsidRPr="00BF7535">
              <w:rPr>
                <w:rStyle w:val="Hyperlink"/>
                <w:noProof/>
              </w:rPr>
              <w:t>2.</w:t>
            </w:r>
            <w:r w:rsidR="00E1351A">
              <w:rPr>
                <w:rFonts w:asciiTheme="minorHAnsi" w:eastAsiaTheme="minorEastAsia" w:hAnsiTheme="minorHAnsi" w:cstheme="minorBidi"/>
                <w:noProof/>
                <w:sz w:val="22"/>
                <w:szCs w:val="22"/>
              </w:rPr>
              <w:tab/>
            </w:r>
            <w:r w:rsidR="00E1351A" w:rsidRPr="00BF7535">
              <w:rPr>
                <w:rStyle w:val="Hyperlink"/>
                <w:noProof/>
              </w:rPr>
              <w:t>Current Status and Treatment of Treasury Grants</w:t>
            </w:r>
            <w:r w:rsidR="00E1351A">
              <w:rPr>
                <w:noProof/>
                <w:webHidden/>
              </w:rPr>
              <w:tab/>
            </w:r>
            <w:r w:rsidR="00E1351A">
              <w:rPr>
                <w:noProof/>
                <w:webHidden/>
              </w:rPr>
              <w:fldChar w:fldCharType="begin"/>
            </w:r>
            <w:r w:rsidR="00E1351A">
              <w:rPr>
                <w:noProof/>
                <w:webHidden/>
              </w:rPr>
              <w:instrText xml:space="preserve"> PAGEREF _Toc364231283 \h </w:instrText>
            </w:r>
            <w:r w:rsidR="00E1351A">
              <w:rPr>
                <w:noProof/>
                <w:webHidden/>
              </w:rPr>
            </w:r>
            <w:r w:rsidR="00E1351A">
              <w:rPr>
                <w:noProof/>
                <w:webHidden/>
              </w:rPr>
              <w:fldChar w:fldCharType="separate"/>
            </w:r>
            <w:r>
              <w:rPr>
                <w:noProof/>
                <w:webHidden/>
              </w:rPr>
              <w:t>25</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84" w:history="1">
            <w:r w:rsidR="00E1351A" w:rsidRPr="00BF7535">
              <w:rPr>
                <w:rStyle w:val="Hyperlink"/>
                <w:noProof/>
              </w:rPr>
              <w:t>3.</w:t>
            </w:r>
            <w:r w:rsidR="00E1351A">
              <w:rPr>
                <w:rFonts w:asciiTheme="minorHAnsi" w:eastAsiaTheme="minorEastAsia" w:hAnsiTheme="minorHAnsi" w:cstheme="minorBidi"/>
                <w:noProof/>
                <w:sz w:val="22"/>
                <w:szCs w:val="22"/>
              </w:rPr>
              <w:tab/>
            </w:r>
            <w:r w:rsidR="00E1351A" w:rsidRPr="00BF7535">
              <w:rPr>
                <w:rStyle w:val="Hyperlink"/>
                <w:noProof/>
              </w:rPr>
              <w:t>The Matching Issue and Intergenerational Inequity</w:t>
            </w:r>
            <w:r w:rsidR="00E1351A">
              <w:rPr>
                <w:noProof/>
                <w:webHidden/>
              </w:rPr>
              <w:tab/>
            </w:r>
            <w:r w:rsidR="00E1351A">
              <w:rPr>
                <w:noProof/>
                <w:webHidden/>
              </w:rPr>
              <w:fldChar w:fldCharType="begin"/>
            </w:r>
            <w:r w:rsidR="00E1351A">
              <w:rPr>
                <w:noProof/>
                <w:webHidden/>
              </w:rPr>
              <w:instrText xml:space="preserve"> PAGEREF _Toc364231284 \h </w:instrText>
            </w:r>
            <w:r w:rsidR="00E1351A">
              <w:rPr>
                <w:noProof/>
                <w:webHidden/>
              </w:rPr>
            </w:r>
            <w:r w:rsidR="00E1351A">
              <w:rPr>
                <w:noProof/>
                <w:webHidden/>
              </w:rPr>
              <w:fldChar w:fldCharType="separate"/>
            </w:r>
            <w:r>
              <w:rPr>
                <w:noProof/>
                <w:webHidden/>
              </w:rPr>
              <w:t>26</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85" w:history="1">
            <w:r w:rsidR="00E1351A" w:rsidRPr="00BF7535">
              <w:rPr>
                <w:rStyle w:val="Hyperlink"/>
                <w:noProof/>
              </w:rPr>
              <w:t>4.</w:t>
            </w:r>
            <w:r w:rsidR="00E1351A">
              <w:rPr>
                <w:rFonts w:asciiTheme="minorHAnsi" w:eastAsiaTheme="minorEastAsia" w:hAnsiTheme="minorHAnsi" w:cstheme="minorBidi"/>
                <w:noProof/>
                <w:sz w:val="22"/>
                <w:szCs w:val="22"/>
              </w:rPr>
              <w:tab/>
            </w:r>
            <w:r w:rsidR="00E1351A" w:rsidRPr="00BF7535">
              <w:rPr>
                <w:rStyle w:val="Hyperlink"/>
                <w:noProof/>
              </w:rPr>
              <w:t>Tax Treatment of PTCs and ITCs is Different than Treasury Grants</w:t>
            </w:r>
            <w:r w:rsidR="00E1351A">
              <w:rPr>
                <w:noProof/>
                <w:webHidden/>
              </w:rPr>
              <w:tab/>
            </w:r>
            <w:r w:rsidR="00E1351A">
              <w:rPr>
                <w:noProof/>
                <w:webHidden/>
              </w:rPr>
              <w:fldChar w:fldCharType="begin"/>
            </w:r>
            <w:r w:rsidR="00E1351A">
              <w:rPr>
                <w:noProof/>
                <w:webHidden/>
              </w:rPr>
              <w:instrText xml:space="preserve"> PAGEREF _Toc364231285 \h </w:instrText>
            </w:r>
            <w:r w:rsidR="00E1351A">
              <w:rPr>
                <w:noProof/>
                <w:webHidden/>
              </w:rPr>
            </w:r>
            <w:r w:rsidR="00E1351A">
              <w:rPr>
                <w:noProof/>
                <w:webHidden/>
              </w:rPr>
              <w:fldChar w:fldCharType="separate"/>
            </w:r>
            <w:r>
              <w:rPr>
                <w:noProof/>
                <w:webHidden/>
              </w:rPr>
              <w:t>28</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86" w:history="1">
            <w:r w:rsidR="00E1351A" w:rsidRPr="00BF7535">
              <w:rPr>
                <w:rStyle w:val="Hyperlink"/>
                <w:noProof/>
              </w:rPr>
              <w:t>5.</w:t>
            </w:r>
            <w:r w:rsidR="00E1351A">
              <w:rPr>
                <w:rFonts w:asciiTheme="minorHAnsi" w:eastAsiaTheme="minorEastAsia" w:hAnsiTheme="minorHAnsi" w:cstheme="minorBidi"/>
                <w:noProof/>
                <w:sz w:val="22"/>
                <w:szCs w:val="22"/>
              </w:rPr>
              <w:tab/>
            </w:r>
            <w:r w:rsidR="00E1351A" w:rsidRPr="00BF7535">
              <w:rPr>
                <w:rStyle w:val="Hyperlink"/>
                <w:noProof/>
              </w:rPr>
              <w:t>ARRA Permits Treasury Grants to be Used to Offset Rate Base</w:t>
            </w:r>
            <w:r w:rsidR="00E1351A">
              <w:rPr>
                <w:noProof/>
                <w:webHidden/>
              </w:rPr>
              <w:tab/>
            </w:r>
            <w:r w:rsidR="00E1351A">
              <w:rPr>
                <w:noProof/>
                <w:webHidden/>
              </w:rPr>
              <w:fldChar w:fldCharType="begin"/>
            </w:r>
            <w:r w:rsidR="00E1351A">
              <w:rPr>
                <w:noProof/>
                <w:webHidden/>
              </w:rPr>
              <w:instrText xml:space="preserve"> PAGEREF _Toc364231286 \h </w:instrText>
            </w:r>
            <w:r w:rsidR="00E1351A">
              <w:rPr>
                <w:noProof/>
                <w:webHidden/>
              </w:rPr>
            </w:r>
            <w:r w:rsidR="00E1351A">
              <w:rPr>
                <w:noProof/>
                <w:webHidden/>
              </w:rPr>
              <w:fldChar w:fldCharType="separate"/>
            </w:r>
            <w:r>
              <w:rPr>
                <w:noProof/>
                <w:webHidden/>
              </w:rPr>
              <w:t>29</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87" w:history="1">
            <w:r w:rsidR="00E1351A" w:rsidRPr="00BF7535">
              <w:rPr>
                <w:rStyle w:val="Hyperlink"/>
                <w:noProof/>
              </w:rPr>
              <w:t>6.</w:t>
            </w:r>
            <w:r w:rsidR="00E1351A">
              <w:rPr>
                <w:rFonts w:asciiTheme="minorHAnsi" w:eastAsiaTheme="minorEastAsia" w:hAnsiTheme="minorHAnsi" w:cstheme="minorBidi"/>
                <w:noProof/>
                <w:sz w:val="22"/>
                <w:szCs w:val="22"/>
              </w:rPr>
              <w:tab/>
            </w:r>
            <w:r w:rsidR="00E1351A" w:rsidRPr="00BF7535">
              <w:rPr>
                <w:rStyle w:val="Hyperlink"/>
                <w:noProof/>
              </w:rPr>
              <w:t>Staff’s Proposed Treatment of Treasury Grants is Reasonable</w:t>
            </w:r>
            <w:r w:rsidR="00E1351A">
              <w:rPr>
                <w:noProof/>
                <w:webHidden/>
              </w:rPr>
              <w:tab/>
            </w:r>
            <w:r w:rsidR="00E1351A">
              <w:rPr>
                <w:noProof/>
                <w:webHidden/>
              </w:rPr>
              <w:fldChar w:fldCharType="begin"/>
            </w:r>
            <w:r w:rsidR="00E1351A">
              <w:rPr>
                <w:noProof/>
                <w:webHidden/>
              </w:rPr>
              <w:instrText xml:space="preserve"> PAGEREF _Toc364231287 \h </w:instrText>
            </w:r>
            <w:r w:rsidR="00E1351A">
              <w:rPr>
                <w:noProof/>
                <w:webHidden/>
              </w:rPr>
            </w:r>
            <w:r w:rsidR="00E1351A">
              <w:rPr>
                <w:noProof/>
                <w:webHidden/>
              </w:rPr>
              <w:fldChar w:fldCharType="separate"/>
            </w:r>
            <w:r>
              <w:rPr>
                <w:noProof/>
                <w:webHidden/>
              </w:rPr>
              <w:t>32</w:t>
            </w:r>
            <w:r w:rsidR="00E1351A">
              <w:rPr>
                <w:noProof/>
                <w:webHidden/>
              </w:rPr>
              <w:fldChar w:fldCharType="end"/>
            </w:r>
          </w:hyperlink>
        </w:p>
        <w:p w:rsidR="00E1351A" w:rsidRDefault="00F8096B">
          <w:pPr>
            <w:pStyle w:val="TOC1"/>
            <w:rPr>
              <w:rFonts w:asciiTheme="minorHAnsi" w:hAnsiTheme="minorHAnsi"/>
              <w:noProof/>
              <w:sz w:val="22"/>
              <w:lang w:eastAsia="en-US"/>
            </w:rPr>
          </w:pPr>
          <w:hyperlink w:anchor="_Toc364231288" w:history="1">
            <w:r w:rsidR="00E1351A" w:rsidRPr="00BF7535">
              <w:rPr>
                <w:rStyle w:val="Hyperlink"/>
                <w:noProof/>
              </w:rPr>
              <w:t>IV.</w:t>
            </w:r>
            <w:r w:rsidR="00E1351A">
              <w:rPr>
                <w:rFonts w:asciiTheme="minorHAnsi" w:hAnsiTheme="minorHAnsi"/>
                <w:noProof/>
                <w:sz w:val="22"/>
                <w:lang w:eastAsia="en-US"/>
              </w:rPr>
              <w:tab/>
            </w:r>
            <w:r w:rsidR="00E1351A" w:rsidRPr="00BF7535">
              <w:rPr>
                <w:rStyle w:val="Hyperlink"/>
                <w:noProof/>
              </w:rPr>
              <w:t>CALCULATION OF POWER COST RATE</w:t>
            </w:r>
            <w:r w:rsidR="00E1351A">
              <w:rPr>
                <w:noProof/>
                <w:webHidden/>
              </w:rPr>
              <w:tab/>
            </w:r>
            <w:r w:rsidR="00E1351A">
              <w:rPr>
                <w:noProof/>
                <w:webHidden/>
              </w:rPr>
              <w:fldChar w:fldCharType="begin"/>
            </w:r>
            <w:r w:rsidR="00E1351A">
              <w:rPr>
                <w:noProof/>
                <w:webHidden/>
              </w:rPr>
              <w:instrText xml:space="preserve"> PAGEREF _Toc364231288 \h </w:instrText>
            </w:r>
            <w:r w:rsidR="00E1351A">
              <w:rPr>
                <w:noProof/>
                <w:webHidden/>
              </w:rPr>
            </w:r>
            <w:r w:rsidR="00E1351A">
              <w:rPr>
                <w:noProof/>
                <w:webHidden/>
              </w:rPr>
              <w:fldChar w:fldCharType="separate"/>
            </w:r>
            <w:r>
              <w:rPr>
                <w:noProof/>
                <w:webHidden/>
              </w:rPr>
              <w:t>34</w:t>
            </w:r>
            <w:r w:rsidR="00E1351A">
              <w:rPr>
                <w:noProof/>
                <w:webHidden/>
              </w:rPr>
              <w:fldChar w:fldCharType="end"/>
            </w:r>
          </w:hyperlink>
        </w:p>
        <w:p w:rsidR="00E1351A" w:rsidRDefault="00F8096B">
          <w:pPr>
            <w:pStyle w:val="TOC3"/>
            <w:rPr>
              <w:rFonts w:asciiTheme="minorHAnsi" w:hAnsiTheme="minorHAnsi"/>
              <w:noProof/>
              <w:sz w:val="22"/>
              <w:lang w:eastAsia="en-US"/>
            </w:rPr>
          </w:pPr>
          <w:hyperlink w:anchor="_Toc364231289" w:history="1">
            <w:r w:rsidR="00E1351A" w:rsidRPr="00BF7535">
              <w:rPr>
                <w:rStyle w:val="Hyperlink"/>
                <w:noProof/>
              </w:rPr>
              <w:t>A.</w:t>
            </w:r>
            <w:r w:rsidR="00E1351A">
              <w:rPr>
                <w:rFonts w:asciiTheme="minorHAnsi" w:hAnsiTheme="minorHAnsi"/>
                <w:noProof/>
                <w:sz w:val="22"/>
                <w:lang w:eastAsia="en-US"/>
              </w:rPr>
              <w:tab/>
            </w:r>
            <w:r w:rsidR="00E1351A" w:rsidRPr="00BF7535">
              <w:rPr>
                <w:rStyle w:val="Hyperlink"/>
                <w:noProof/>
              </w:rPr>
              <w:t>Uncontested Adjustments</w:t>
            </w:r>
            <w:r w:rsidR="00E1351A">
              <w:rPr>
                <w:noProof/>
                <w:webHidden/>
              </w:rPr>
              <w:tab/>
            </w:r>
            <w:r w:rsidR="00E1351A">
              <w:rPr>
                <w:noProof/>
                <w:webHidden/>
              </w:rPr>
              <w:fldChar w:fldCharType="begin"/>
            </w:r>
            <w:r w:rsidR="00E1351A">
              <w:rPr>
                <w:noProof/>
                <w:webHidden/>
              </w:rPr>
              <w:instrText xml:space="preserve"> PAGEREF _Toc364231289 \h </w:instrText>
            </w:r>
            <w:r w:rsidR="00E1351A">
              <w:rPr>
                <w:noProof/>
                <w:webHidden/>
              </w:rPr>
            </w:r>
            <w:r w:rsidR="00E1351A">
              <w:rPr>
                <w:noProof/>
                <w:webHidden/>
              </w:rPr>
              <w:fldChar w:fldCharType="separate"/>
            </w:r>
            <w:r>
              <w:rPr>
                <w:noProof/>
                <w:webHidden/>
              </w:rPr>
              <w:t>35</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90" w:history="1">
            <w:r w:rsidR="00E1351A" w:rsidRPr="00BF7535">
              <w:rPr>
                <w:rStyle w:val="Hyperlink"/>
                <w:noProof/>
              </w:rPr>
              <w:t>1.</w:t>
            </w:r>
            <w:r w:rsidR="00E1351A">
              <w:rPr>
                <w:rFonts w:asciiTheme="minorHAnsi" w:eastAsiaTheme="minorEastAsia" w:hAnsiTheme="minorHAnsi" w:cstheme="minorBidi"/>
                <w:noProof/>
                <w:sz w:val="22"/>
                <w:szCs w:val="22"/>
              </w:rPr>
              <w:tab/>
            </w:r>
            <w:r w:rsidR="00E1351A" w:rsidRPr="00BF7535">
              <w:rPr>
                <w:rStyle w:val="Hyperlink"/>
                <w:noProof/>
              </w:rPr>
              <w:t>Remove Wild Horse Solar (Adjustment 10)</w:t>
            </w:r>
            <w:r w:rsidR="00E1351A">
              <w:rPr>
                <w:noProof/>
                <w:webHidden/>
              </w:rPr>
              <w:tab/>
            </w:r>
            <w:r w:rsidR="00E1351A">
              <w:rPr>
                <w:noProof/>
                <w:webHidden/>
              </w:rPr>
              <w:fldChar w:fldCharType="begin"/>
            </w:r>
            <w:r w:rsidR="00E1351A">
              <w:rPr>
                <w:noProof/>
                <w:webHidden/>
              </w:rPr>
              <w:instrText xml:space="preserve"> PAGEREF _Toc364231290 \h </w:instrText>
            </w:r>
            <w:r w:rsidR="00E1351A">
              <w:rPr>
                <w:noProof/>
                <w:webHidden/>
              </w:rPr>
            </w:r>
            <w:r w:rsidR="00E1351A">
              <w:rPr>
                <w:noProof/>
                <w:webHidden/>
              </w:rPr>
              <w:fldChar w:fldCharType="separate"/>
            </w:r>
            <w:r>
              <w:rPr>
                <w:noProof/>
                <w:webHidden/>
              </w:rPr>
              <w:t>35</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91" w:history="1">
            <w:r w:rsidR="00E1351A" w:rsidRPr="00BF7535">
              <w:rPr>
                <w:rStyle w:val="Hyperlink"/>
                <w:noProof/>
              </w:rPr>
              <w:t>2.</w:t>
            </w:r>
            <w:r w:rsidR="00E1351A">
              <w:rPr>
                <w:rFonts w:asciiTheme="minorHAnsi" w:eastAsiaTheme="minorEastAsia" w:hAnsiTheme="minorHAnsi" w:cstheme="minorBidi"/>
                <w:noProof/>
                <w:sz w:val="22"/>
                <w:szCs w:val="22"/>
              </w:rPr>
              <w:tab/>
            </w:r>
            <w:r w:rsidR="00E1351A" w:rsidRPr="00BF7535">
              <w:rPr>
                <w:rStyle w:val="Hyperlink"/>
                <w:noProof/>
              </w:rPr>
              <w:t>Remove Tenaska (Adjustment 11)</w:t>
            </w:r>
            <w:r w:rsidR="00E1351A">
              <w:rPr>
                <w:noProof/>
                <w:webHidden/>
              </w:rPr>
              <w:tab/>
            </w:r>
            <w:r w:rsidR="00E1351A">
              <w:rPr>
                <w:noProof/>
                <w:webHidden/>
              </w:rPr>
              <w:fldChar w:fldCharType="begin"/>
            </w:r>
            <w:r w:rsidR="00E1351A">
              <w:rPr>
                <w:noProof/>
                <w:webHidden/>
              </w:rPr>
              <w:instrText xml:space="preserve"> PAGEREF _Toc364231291 \h </w:instrText>
            </w:r>
            <w:r w:rsidR="00E1351A">
              <w:rPr>
                <w:noProof/>
                <w:webHidden/>
              </w:rPr>
            </w:r>
            <w:r w:rsidR="00E1351A">
              <w:rPr>
                <w:noProof/>
                <w:webHidden/>
              </w:rPr>
              <w:fldChar w:fldCharType="separate"/>
            </w:r>
            <w:r>
              <w:rPr>
                <w:noProof/>
                <w:webHidden/>
              </w:rPr>
              <w:t>35</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92" w:history="1">
            <w:r w:rsidR="00E1351A" w:rsidRPr="00BF7535">
              <w:rPr>
                <w:rStyle w:val="Hyperlink"/>
                <w:noProof/>
              </w:rPr>
              <w:t>3.</w:t>
            </w:r>
            <w:r w:rsidR="00E1351A">
              <w:rPr>
                <w:rFonts w:asciiTheme="minorHAnsi" w:eastAsiaTheme="minorEastAsia" w:hAnsiTheme="minorHAnsi" w:cstheme="minorBidi"/>
                <w:noProof/>
                <w:sz w:val="22"/>
                <w:szCs w:val="22"/>
              </w:rPr>
              <w:tab/>
            </w:r>
            <w:r w:rsidR="00E1351A" w:rsidRPr="00BF7535">
              <w:rPr>
                <w:rStyle w:val="Hyperlink"/>
                <w:noProof/>
              </w:rPr>
              <w:t>Property Taxes (Adjustment 13)</w:t>
            </w:r>
            <w:r w:rsidR="00E1351A">
              <w:rPr>
                <w:noProof/>
                <w:webHidden/>
              </w:rPr>
              <w:tab/>
            </w:r>
            <w:r w:rsidR="00E1351A">
              <w:rPr>
                <w:noProof/>
                <w:webHidden/>
              </w:rPr>
              <w:fldChar w:fldCharType="begin"/>
            </w:r>
            <w:r w:rsidR="00E1351A">
              <w:rPr>
                <w:noProof/>
                <w:webHidden/>
              </w:rPr>
              <w:instrText xml:space="preserve"> PAGEREF _Toc364231292 \h </w:instrText>
            </w:r>
            <w:r w:rsidR="00E1351A">
              <w:rPr>
                <w:noProof/>
                <w:webHidden/>
              </w:rPr>
            </w:r>
            <w:r w:rsidR="00E1351A">
              <w:rPr>
                <w:noProof/>
                <w:webHidden/>
              </w:rPr>
              <w:fldChar w:fldCharType="separate"/>
            </w:r>
            <w:r>
              <w:rPr>
                <w:noProof/>
                <w:webHidden/>
              </w:rPr>
              <w:t>35</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93" w:history="1">
            <w:r w:rsidR="00E1351A" w:rsidRPr="00BF7535">
              <w:rPr>
                <w:rStyle w:val="Hyperlink"/>
                <w:noProof/>
              </w:rPr>
              <w:t>4.</w:t>
            </w:r>
            <w:r w:rsidR="00E1351A">
              <w:rPr>
                <w:rFonts w:asciiTheme="minorHAnsi" w:eastAsiaTheme="minorEastAsia" w:hAnsiTheme="minorHAnsi" w:cstheme="minorBidi"/>
                <w:noProof/>
                <w:sz w:val="22"/>
                <w:szCs w:val="22"/>
              </w:rPr>
              <w:tab/>
            </w:r>
            <w:r w:rsidR="00E1351A" w:rsidRPr="00BF7535">
              <w:rPr>
                <w:rStyle w:val="Hyperlink"/>
                <w:noProof/>
              </w:rPr>
              <w:t>Conversion Factor (Adjustment 25)</w:t>
            </w:r>
            <w:r w:rsidR="00E1351A">
              <w:rPr>
                <w:noProof/>
                <w:webHidden/>
              </w:rPr>
              <w:tab/>
            </w:r>
            <w:r w:rsidR="00E1351A">
              <w:rPr>
                <w:noProof/>
                <w:webHidden/>
              </w:rPr>
              <w:fldChar w:fldCharType="begin"/>
            </w:r>
            <w:r w:rsidR="00E1351A">
              <w:rPr>
                <w:noProof/>
                <w:webHidden/>
              </w:rPr>
              <w:instrText xml:space="preserve"> PAGEREF _Toc364231293 \h </w:instrText>
            </w:r>
            <w:r w:rsidR="00E1351A">
              <w:rPr>
                <w:noProof/>
                <w:webHidden/>
              </w:rPr>
            </w:r>
            <w:r w:rsidR="00E1351A">
              <w:rPr>
                <w:noProof/>
                <w:webHidden/>
              </w:rPr>
              <w:fldChar w:fldCharType="separate"/>
            </w:r>
            <w:r>
              <w:rPr>
                <w:noProof/>
                <w:webHidden/>
              </w:rPr>
              <w:t>35</w:t>
            </w:r>
            <w:r w:rsidR="00E1351A">
              <w:rPr>
                <w:noProof/>
                <w:webHidden/>
              </w:rPr>
              <w:fldChar w:fldCharType="end"/>
            </w:r>
          </w:hyperlink>
        </w:p>
        <w:p w:rsidR="00E1351A" w:rsidRDefault="00F8096B">
          <w:pPr>
            <w:pStyle w:val="TOC3"/>
            <w:rPr>
              <w:rFonts w:asciiTheme="minorHAnsi" w:hAnsiTheme="minorHAnsi"/>
              <w:noProof/>
              <w:sz w:val="22"/>
              <w:lang w:eastAsia="en-US"/>
            </w:rPr>
          </w:pPr>
          <w:hyperlink w:anchor="_Toc364231294" w:history="1">
            <w:r w:rsidR="00E1351A" w:rsidRPr="00BF7535">
              <w:rPr>
                <w:rStyle w:val="Hyperlink"/>
                <w:noProof/>
              </w:rPr>
              <w:t>B.</w:t>
            </w:r>
            <w:r w:rsidR="00E1351A">
              <w:rPr>
                <w:rFonts w:asciiTheme="minorHAnsi" w:hAnsiTheme="minorHAnsi"/>
                <w:noProof/>
                <w:sz w:val="22"/>
                <w:lang w:eastAsia="en-US"/>
              </w:rPr>
              <w:tab/>
            </w:r>
            <w:r w:rsidR="00E1351A" w:rsidRPr="00BF7535">
              <w:rPr>
                <w:rStyle w:val="Hyperlink"/>
                <w:noProof/>
              </w:rPr>
              <w:t>Contested Adjustments Strictly Due to Rate Year</w:t>
            </w:r>
            <w:r w:rsidR="00E1351A">
              <w:rPr>
                <w:noProof/>
                <w:webHidden/>
              </w:rPr>
              <w:tab/>
            </w:r>
            <w:r w:rsidR="00E1351A">
              <w:rPr>
                <w:noProof/>
                <w:webHidden/>
              </w:rPr>
              <w:fldChar w:fldCharType="begin"/>
            </w:r>
            <w:r w:rsidR="00E1351A">
              <w:rPr>
                <w:noProof/>
                <w:webHidden/>
              </w:rPr>
              <w:instrText xml:space="preserve"> PAGEREF _Toc364231294 \h </w:instrText>
            </w:r>
            <w:r w:rsidR="00E1351A">
              <w:rPr>
                <w:noProof/>
                <w:webHidden/>
              </w:rPr>
            </w:r>
            <w:r w:rsidR="00E1351A">
              <w:rPr>
                <w:noProof/>
                <w:webHidden/>
              </w:rPr>
              <w:fldChar w:fldCharType="separate"/>
            </w:r>
            <w:r>
              <w:rPr>
                <w:noProof/>
                <w:webHidden/>
              </w:rPr>
              <w:t>36</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95" w:history="1">
            <w:r w:rsidR="00E1351A" w:rsidRPr="00BF7535">
              <w:rPr>
                <w:rStyle w:val="Hyperlink"/>
                <w:noProof/>
              </w:rPr>
              <w:t>1.</w:t>
            </w:r>
            <w:r w:rsidR="00E1351A">
              <w:rPr>
                <w:rFonts w:asciiTheme="minorHAnsi" w:eastAsiaTheme="minorEastAsia" w:hAnsiTheme="minorHAnsi" w:cstheme="minorBidi"/>
                <w:noProof/>
                <w:sz w:val="22"/>
                <w:szCs w:val="22"/>
              </w:rPr>
              <w:tab/>
            </w:r>
            <w:r w:rsidR="00E1351A" w:rsidRPr="00BF7535">
              <w:rPr>
                <w:rStyle w:val="Hyperlink"/>
                <w:noProof/>
              </w:rPr>
              <w:t>Montana Energy Tax (Adjustment 2)</w:t>
            </w:r>
            <w:r w:rsidR="00E1351A">
              <w:rPr>
                <w:noProof/>
                <w:webHidden/>
              </w:rPr>
              <w:tab/>
            </w:r>
            <w:r w:rsidR="00E1351A">
              <w:rPr>
                <w:noProof/>
                <w:webHidden/>
              </w:rPr>
              <w:fldChar w:fldCharType="begin"/>
            </w:r>
            <w:r w:rsidR="00E1351A">
              <w:rPr>
                <w:noProof/>
                <w:webHidden/>
              </w:rPr>
              <w:instrText xml:space="preserve"> PAGEREF _Toc364231295 \h </w:instrText>
            </w:r>
            <w:r w:rsidR="00E1351A">
              <w:rPr>
                <w:noProof/>
                <w:webHidden/>
              </w:rPr>
            </w:r>
            <w:r w:rsidR="00E1351A">
              <w:rPr>
                <w:noProof/>
                <w:webHidden/>
              </w:rPr>
              <w:fldChar w:fldCharType="separate"/>
            </w:r>
            <w:r>
              <w:rPr>
                <w:noProof/>
                <w:webHidden/>
              </w:rPr>
              <w:t>36</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96" w:history="1">
            <w:r w:rsidR="00E1351A" w:rsidRPr="00BF7535">
              <w:rPr>
                <w:rStyle w:val="Hyperlink"/>
                <w:noProof/>
              </w:rPr>
              <w:t>2.</w:t>
            </w:r>
            <w:r w:rsidR="00E1351A">
              <w:rPr>
                <w:rFonts w:asciiTheme="minorHAnsi" w:eastAsiaTheme="minorEastAsia" w:hAnsiTheme="minorHAnsi" w:cstheme="minorBidi"/>
                <w:noProof/>
                <w:sz w:val="22"/>
                <w:szCs w:val="22"/>
              </w:rPr>
              <w:tab/>
            </w:r>
            <w:r w:rsidR="00E1351A" w:rsidRPr="00BF7535">
              <w:rPr>
                <w:rStyle w:val="Hyperlink"/>
                <w:noProof/>
              </w:rPr>
              <w:t>Lower Snake River Project (Adjustment 3)</w:t>
            </w:r>
            <w:r w:rsidR="00E1351A">
              <w:rPr>
                <w:noProof/>
                <w:webHidden/>
              </w:rPr>
              <w:tab/>
            </w:r>
            <w:r w:rsidR="00E1351A">
              <w:rPr>
                <w:noProof/>
                <w:webHidden/>
              </w:rPr>
              <w:fldChar w:fldCharType="begin"/>
            </w:r>
            <w:r w:rsidR="00E1351A">
              <w:rPr>
                <w:noProof/>
                <w:webHidden/>
              </w:rPr>
              <w:instrText xml:space="preserve"> PAGEREF _Toc364231296 \h </w:instrText>
            </w:r>
            <w:r w:rsidR="00E1351A">
              <w:rPr>
                <w:noProof/>
                <w:webHidden/>
              </w:rPr>
            </w:r>
            <w:r w:rsidR="00E1351A">
              <w:rPr>
                <w:noProof/>
                <w:webHidden/>
              </w:rPr>
              <w:fldChar w:fldCharType="separate"/>
            </w:r>
            <w:r>
              <w:rPr>
                <w:noProof/>
                <w:webHidden/>
              </w:rPr>
              <w:t>36</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97" w:history="1">
            <w:r w:rsidR="00E1351A" w:rsidRPr="00BF7535">
              <w:rPr>
                <w:rStyle w:val="Hyperlink"/>
                <w:noProof/>
              </w:rPr>
              <w:t>3.</w:t>
            </w:r>
            <w:r w:rsidR="00E1351A">
              <w:rPr>
                <w:rFonts w:asciiTheme="minorHAnsi" w:eastAsiaTheme="minorEastAsia" w:hAnsiTheme="minorHAnsi" w:cstheme="minorBidi"/>
                <w:noProof/>
                <w:sz w:val="22"/>
                <w:szCs w:val="22"/>
              </w:rPr>
              <w:tab/>
            </w:r>
            <w:r w:rsidR="00E1351A" w:rsidRPr="00BF7535">
              <w:rPr>
                <w:rStyle w:val="Hyperlink"/>
                <w:noProof/>
              </w:rPr>
              <w:t>Bonneville Exchange Power (Adjustment 15)</w:t>
            </w:r>
            <w:r w:rsidR="00E1351A">
              <w:rPr>
                <w:noProof/>
                <w:webHidden/>
              </w:rPr>
              <w:tab/>
            </w:r>
            <w:r w:rsidR="00E1351A">
              <w:rPr>
                <w:noProof/>
                <w:webHidden/>
              </w:rPr>
              <w:fldChar w:fldCharType="begin"/>
            </w:r>
            <w:r w:rsidR="00E1351A">
              <w:rPr>
                <w:noProof/>
                <w:webHidden/>
              </w:rPr>
              <w:instrText xml:space="preserve"> PAGEREF _Toc364231297 \h </w:instrText>
            </w:r>
            <w:r w:rsidR="00E1351A">
              <w:rPr>
                <w:noProof/>
                <w:webHidden/>
              </w:rPr>
            </w:r>
            <w:r w:rsidR="00E1351A">
              <w:rPr>
                <w:noProof/>
                <w:webHidden/>
              </w:rPr>
              <w:fldChar w:fldCharType="separate"/>
            </w:r>
            <w:r>
              <w:rPr>
                <w:noProof/>
                <w:webHidden/>
              </w:rPr>
              <w:t>36</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98" w:history="1">
            <w:r w:rsidR="00E1351A" w:rsidRPr="00BF7535">
              <w:rPr>
                <w:rStyle w:val="Hyperlink"/>
                <w:noProof/>
              </w:rPr>
              <w:t>4.</w:t>
            </w:r>
            <w:r w:rsidR="00E1351A">
              <w:rPr>
                <w:rFonts w:asciiTheme="minorHAnsi" w:eastAsiaTheme="minorEastAsia" w:hAnsiTheme="minorHAnsi" w:cstheme="minorBidi"/>
                <w:noProof/>
                <w:sz w:val="22"/>
                <w:szCs w:val="22"/>
              </w:rPr>
              <w:tab/>
            </w:r>
            <w:r w:rsidR="00E1351A" w:rsidRPr="00BF7535">
              <w:rPr>
                <w:rStyle w:val="Hyperlink"/>
                <w:noProof/>
              </w:rPr>
              <w:t>Regulatory Assets – White River Project (Adjustment 16)</w:t>
            </w:r>
            <w:r w:rsidR="00E1351A">
              <w:rPr>
                <w:noProof/>
                <w:webHidden/>
              </w:rPr>
              <w:tab/>
            </w:r>
            <w:r w:rsidR="00E1351A">
              <w:rPr>
                <w:noProof/>
                <w:webHidden/>
              </w:rPr>
              <w:fldChar w:fldCharType="begin"/>
            </w:r>
            <w:r w:rsidR="00E1351A">
              <w:rPr>
                <w:noProof/>
                <w:webHidden/>
              </w:rPr>
              <w:instrText xml:space="preserve"> PAGEREF _Toc364231298 \h </w:instrText>
            </w:r>
            <w:r w:rsidR="00E1351A">
              <w:rPr>
                <w:noProof/>
                <w:webHidden/>
              </w:rPr>
            </w:r>
            <w:r w:rsidR="00E1351A">
              <w:rPr>
                <w:noProof/>
                <w:webHidden/>
              </w:rPr>
              <w:fldChar w:fldCharType="separate"/>
            </w:r>
            <w:r>
              <w:rPr>
                <w:noProof/>
                <w:webHidden/>
              </w:rPr>
              <w:t>37</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299" w:history="1">
            <w:r w:rsidR="00E1351A" w:rsidRPr="00BF7535">
              <w:rPr>
                <w:rStyle w:val="Hyperlink"/>
                <w:noProof/>
              </w:rPr>
              <w:t>5.</w:t>
            </w:r>
            <w:r w:rsidR="00E1351A">
              <w:rPr>
                <w:rFonts w:asciiTheme="minorHAnsi" w:eastAsiaTheme="minorEastAsia" w:hAnsiTheme="minorHAnsi" w:cstheme="minorBidi"/>
                <w:noProof/>
                <w:sz w:val="22"/>
                <w:szCs w:val="22"/>
              </w:rPr>
              <w:tab/>
            </w:r>
            <w:r w:rsidR="00E1351A" w:rsidRPr="00BF7535">
              <w:rPr>
                <w:rStyle w:val="Hyperlink"/>
                <w:noProof/>
              </w:rPr>
              <w:t>Plant Deferrals (Adjustment 17)</w:t>
            </w:r>
            <w:r w:rsidR="00E1351A">
              <w:rPr>
                <w:noProof/>
                <w:webHidden/>
              </w:rPr>
              <w:tab/>
            </w:r>
            <w:r w:rsidR="00E1351A">
              <w:rPr>
                <w:noProof/>
                <w:webHidden/>
              </w:rPr>
              <w:fldChar w:fldCharType="begin"/>
            </w:r>
            <w:r w:rsidR="00E1351A">
              <w:rPr>
                <w:noProof/>
                <w:webHidden/>
              </w:rPr>
              <w:instrText xml:space="preserve"> PAGEREF _Toc364231299 \h </w:instrText>
            </w:r>
            <w:r w:rsidR="00E1351A">
              <w:rPr>
                <w:noProof/>
                <w:webHidden/>
              </w:rPr>
            </w:r>
            <w:r w:rsidR="00E1351A">
              <w:rPr>
                <w:noProof/>
                <w:webHidden/>
              </w:rPr>
              <w:fldChar w:fldCharType="separate"/>
            </w:r>
            <w:r>
              <w:rPr>
                <w:noProof/>
                <w:webHidden/>
              </w:rPr>
              <w:t>37</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00" w:history="1">
            <w:r w:rsidR="00E1351A" w:rsidRPr="00BF7535">
              <w:rPr>
                <w:rStyle w:val="Hyperlink"/>
                <w:noProof/>
              </w:rPr>
              <w:t>6.</w:t>
            </w:r>
            <w:r w:rsidR="00E1351A">
              <w:rPr>
                <w:rFonts w:asciiTheme="minorHAnsi" w:eastAsiaTheme="minorEastAsia" w:hAnsiTheme="minorHAnsi" w:cstheme="minorBidi"/>
                <w:noProof/>
                <w:sz w:val="22"/>
                <w:szCs w:val="22"/>
              </w:rPr>
              <w:tab/>
            </w:r>
            <w:r w:rsidR="00E1351A" w:rsidRPr="00BF7535">
              <w:rPr>
                <w:rStyle w:val="Hyperlink"/>
                <w:noProof/>
              </w:rPr>
              <w:t>Capacity Payments on Westcoast Pipeline (Adjustment 18)</w:t>
            </w:r>
            <w:r w:rsidR="00E1351A">
              <w:rPr>
                <w:noProof/>
                <w:webHidden/>
              </w:rPr>
              <w:tab/>
            </w:r>
            <w:r w:rsidR="00E1351A">
              <w:rPr>
                <w:noProof/>
                <w:webHidden/>
              </w:rPr>
              <w:fldChar w:fldCharType="begin"/>
            </w:r>
            <w:r w:rsidR="00E1351A">
              <w:rPr>
                <w:noProof/>
                <w:webHidden/>
              </w:rPr>
              <w:instrText xml:space="preserve"> PAGEREF _Toc364231300 \h </w:instrText>
            </w:r>
            <w:r w:rsidR="00E1351A">
              <w:rPr>
                <w:noProof/>
                <w:webHidden/>
              </w:rPr>
            </w:r>
            <w:r w:rsidR="00E1351A">
              <w:rPr>
                <w:noProof/>
                <w:webHidden/>
              </w:rPr>
              <w:fldChar w:fldCharType="separate"/>
            </w:r>
            <w:r>
              <w:rPr>
                <w:noProof/>
                <w:webHidden/>
              </w:rPr>
              <w:t>37</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01" w:history="1">
            <w:r w:rsidR="00E1351A" w:rsidRPr="00BF7535">
              <w:rPr>
                <w:rStyle w:val="Hyperlink"/>
                <w:noProof/>
              </w:rPr>
              <w:t>7.</w:t>
            </w:r>
            <w:r w:rsidR="00E1351A">
              <w:rPr>
                <w:rFonts w:asciiTheme="minorHAnsi" w:eastAsiaTheme="minorEastAsia" w:hAnsiTheme="minorHAnsi" w:cstheme="minorBidi"/>
                <w:noProof/>
                <w:sz w:val="22"/>
                <w:szCs w:val="22"/>
              </w:rPr>
              <w:tab/>
            </w:r>
            <w:r w:rsidR="00E1351A" w:rsidRPr="00BF7535">
              <w:rPr>
                <w:rStyle w:val="Hyperlink"/>
                <w:noProof/>
              </w:rPr>
              <w:t>PUD Contract Initiation Payment &amp; Security Deposit (Adjustment 19)</w:t>
            </w:r>
            <w:r w:rsidR="00E1351A">
              <w:rPr>
                <w:noProof/>
                <w:webHidden/>
              </w:rPr>
              <w:tab/>
            </w:r>
            <w:r w:rsidR="00E1351A">
              <w:rPr>
                <w:noProof/>
                <w:webHidden/>
              </w:rPr>
              <w:fldChar w:fldCharType="begin"/>
            </w:r>
            <w:r w:rsidR="00E1351A">
              <w:rPr>
                <w:noProof/>
                <w:webHidden/>
              </w:rPr>
              <w:instrText xml:space="preserve"> PAGEREF _Toc364231301 \h </w:instrText>
            </w:r>
            <w:r w:rsidR="00E1351A">
              <w:rPr>
                <w:noProof/>
                <w:webHidden/>
              </w:rPr>
            </w:r>
            <w:r w:rsidR="00E1351A">
              <w:rPr>
                <w:noProof/>
                <w:webHidden/>
              </w:rPr>
              <w:fldChar w:fldCharType="separate"/>
            </w:r>
            <w:r>
              <w:rPr>
                <w:noProof/>
                <w:webHidden/>
              </w:rPr>
              <w:t>37</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02" w:history="1">
            <w:r w:rsidR="00E1351A" w:rsidRPr="00BF7535">
              <w:rPr>
                <w:rStyle w:val="Hyperlink"/>
                <w:noProof/>
              </w:rPr>
              <w:t>8.</w:t>
            </w:r>
            <w:r w:rsidR="00E1351A">
              <w:rPr>
                <w:rFonts w:asciiTheme="minorHAnsi" w:eastAsiaTheme="minorEastAsia" w:hAnsiTheme="minorHAnsi" w:cstheme="minorBidi"/>
                <w:noProof/>
                <w:sz w:val="22"/>
                <w:szCs w:val="22"/>
              </w:rPr>
              <w:tab/>
            </w:r>
            <w:r w:rsidR="00E1351A" w:rsidRPr="00BF7535">
              <w:rPr>
                <w:rStyle w:val="Hyperlink"/>
                <w:noProof/>
              </w:rPr>
              <w:t>Hedging Line of Credit (Adjustment 22)</w:t>
            </w:r>
            <w:r w:rsidR="00E1351A">
              <w:rPr>
                <w:noProof/>
                <w:webHidden/>
              </w:rPr>
              <w:tab/>
            </w:r>
            <w:r w:rsidR="00E1351A">
              <w:rPr>
                <w:noProof/>
                <w:webHidden/>
              </w:rPr>
              <w:fldChar w:fldCharType="begin"/>
            </w:r>
            <w:r w:rsidR="00E1351A">
              <w:rPr>
                <w:noProof/>
                <w:webHidden/>
              </w:rPr>
              <w:instrText xml:space="preserve"> PAGEREF _Toc364231302 \h </w:instrText>
            </w:r>
            <w:r w:rsidR="00E1351A">
              <w:rPr>
                <w:noProof/>
                <w:webHidden/>
              </w:rPr>
            </w:r>
            <w:r w:rsidR="00E1351A">
              <w:rPr>
                <w:noProof/>
                <w:webHidden/>
              </w:rPr>
              <w:fldChar w:fldCharType="separate"/>
            </w:r>
            <w:r>
              <w:rPr>
                <w:noProof/>
                <w:webHidden/>
              </w:rPr>
              <w:t>38</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03" w:history="1">
            <w:r w:rsidR="00E1351A" w:rsidRPr="00BF7535">
              <w:rPr>
                <w:rStyle w:val="Hyperlink"/>
                <w:noProof/>
              </w:rPr>
              <w:t>9.</w:t>
            </w:r>
            <w:r w:rsidR="00E1351A">
              <w:rPr>
                <w:rFonts w:asciiTheme="minorHAnsi" w:eastAsiaTheme="minorEastAsia" w:hAnsiTheme="minorHAnsi" w:cstheme="minorBidi"/>
                <w:noProof/>
                <w:sz w:val="22"/>
                <w:szCs w:val="22"/>
              </w:rPr>
              <w:tab/>
            </w:r>
            <w:r w:rsidR="00E1351A" w:rsidRPr="00BF7535">
              <w:rPr>
                <w:rStyle w:val="Hyperlink"/>
                <w:noProof/>
              </w:rPr>
              <w:t>Temperature Normalization (Adjustment 24)</w:t>
            </w:r>
            <w:r w:rsidR="00E1351A">
              <w:rPr>
                <w:noProof/>
                <w:webHidden/>
              </w:rPr>
              <w:tab/>
            </w:r>
            <w:r w:rsidR="00E1351A">
              <w:rPr>
                <w:noProof/>
                <w:webHidden/>
              </w:rPr>
              <w:fldChar w:fldCharType="begin"/>
            </w:r>
            <w:r w:rsidR="00E1351A">
              <w:rPr>
                <w:noProof/>
                <w:webHidden/>
              </w:rPr>
              <w:instrText xml:space="preserve"> PAGEREF _Toc364231303 \h </w:instrText>
            </w:r>
            <w:r w:rsidR="00E1351A">
              <w:rPr>
                <w:noProof/>
                <w:webHidden/>
              </w:rPr>
            </w:r>
            <w:r w:rsidR="00E1351A">
              <w:rPr>
                <w:noProof/>
                <w:webHidden/>
              </w:rPr>
              <w:fldChar w:fldCharType="separate"/>
            </w:r>
            <w:r>
              <w:rPr>
                <w:noProof/>
                <w:webHidden/>
              </w:rPr>
              <w:t>38</w:t>
            </w:r>
            <w:r w:rsidR="00E1351A">
              <w:rPr>
                <w:noProof/>
                <w:webHidden/>
              </w:rPr>
              <w:fldChar w:fldCharType="end"/>
            </w:r>
          </w:hyperlink>
        </w:p>
        <w:p w:rsidR="00E1351A" w:rsidRDefault="00F8096B">
          <w:pPr>
            <w:pStyle w:val="TOC3"/>
            <w:rPr>
              <w:rFonts w:asciiTheme="minorHAnsi" w:hAnsiTheme="minorHAnsi"/>
              <w:noProof/>
              <w:sz w:val="22"/>
              <w:lang w:eastAsia="en-US"/>
            </w:rPr>
          </w:pPr>
          <w:hyperlink w:anchor="_Toc364231304" w:history="1">
            <w:r w:rsidR="00E1351A" w:rsidRPr="00BF7535">
              <w:rPr>
                <w:rStyle w:val="Hyperlink"/>
                <w:noProof/>
              </w:rPr>
              <w:t>C.</w:t>
            </w:r>
            <w:r w:rsidR="00E1351A">
              <w:rPr>
                <w:rFonts w:asciiTheme="minorHAnsi" w:hAnsiTheme="minorHAnsi"/>
                <w:noProof/>
                <w:sz w:val="22"/>
                <w:lang w:eastAsia="en-US"/>
              </w:rPr>
              <w:tab/>
            </w:r>
            <w:r w:rsidR="00E1351A" w:rsidRPr="00BF7535">
              <w:rPr>
                <w:rStyle w:val="Hyperlink"/>
                <w:noProof/>
              </w:rPr>
              <w:t>Contested Adjustments Due to Rate Year and Other Issues</w:t>
            </w:r>
            <w:r w:rsidR="00E1351A">
              <w:rPr>
                <w:noProof/>
                <w:webHidden/>
              </w:rPr>
              <w:tab/>
            </w:r>
            <w:r w:rsidR="00E1351A">
              <w:rPr>
                <w:noProof/>
                <w:webHidden/>
              </w:rPr>
              <w:fldChar w:fldCharType="begin"/>
            </w:r>
            <w:r w:rsidR="00E1351A">
              <w:rPr>
                <w:noProof/>
                <w:webHidden/>
              </w:rPr>
              <w:instrText xml:space="preserve"> PAGEREF _Toc364231304 \h </w:instrText>
            </w:r>
            <w:r w:rsidR="00E1351A">
              <w:rPr>
                <w:noProof/>
                <w:webHidden/>
              </w:rPr>
            </w:r>
            <w:r w:rsidR="00E1351A">
              <w:rPr>
                <w:noProof/>
                <w:webHidden/>
              </w:rPr>
              <w:fldChar w:fldCharType="separate"/>
            </w:r>
            <w:r>
              <w:rPr>
                <w:noProof/>
                <w:webHidden/>
              </w:rPr>
              <w:t>38</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05" w:history="1">
            <w:r w:rsidR="00E1351A" w:rsidRPr="00BF7535">
              <w:rPr>
                <w:rStyle w:val="Hyperlink"/>
                <w:noProof/>
              </w:rPr>
              <w:t>1.</w:t>
            </w:r>
            <w:r w:rsidR="00E1351A">
              <w:rPr>
                <w:rFonts w:asciiTheme="minorHAnsi" w:eastAsiaTheme="minorEastAsia" w:hAnsiTheme="minorHAnsi" w:cstheme="minorBidi"/>
                <w:noProof/>
                <w:sz w:val="22"/>
                <w:szCs w:val="22"/>
              </w:rPr>
              <w:tab/>
            </w:r>
            <w:r w:rsidR="00E1351A" w:rsidRPr="00BF7535">
              <w:rPr>
                <w:rStyle w:val="Hyperlink"/>
                <w:noProof/>
              </w:rPr>
              <w:t>Power Costs (Adjustment 1)</w:t>
            </w:r>
            <w:r w:rsidR="00E1351A">
              <w:rPr>
                <w:noProof/>
                <w:webHidden/>
              </w:rPr>
              <w:tab/>
            </w:r>
            <w:r w:rsidR="00E1351A">
              <w:rPr>
                <w:noProof/>
                <w:webHidden/>
              </w:rPr>
              <w:fldChar w:fldCharType="begin"/>
            </w:r>
            <w:r w:rsidR="00E1351A">
              <w:rPr>
                <w:noProof/>
                <w:webHidden/>
              </w:rPr>
              <w:instrText xml:space="preserve"> PAGEREF _Toc364231305 \h </w:instrText>
            </w:r>
            <w:r w:rsidR="00E1351A">
              <w:rPr>
                <w:noProof/>
                <w:webHidden/>
              </w:rPr>
            </w:r>
            <w:r w:rsidR="00E1351A">
              <w:rPr>
                <w:noProof/>
                <w:webHidden/>
              </w:rPr>
              <w:fldChar w:fldCharType="separate"/>
            </w:r>
            <w:r>
              <w:rPr>
                <w:noProof/>
                <w:webHidden/>
              </w:rPr>
              <w:t>38</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06" w:history="1">
            <w:r w:rsidR="00E1351A" w:rsidRPr="00BF7535">
              <w:rPr>
                <w:rStyle w:val="Hyperlink"/>
                <w:noProof/>
              </w:rPr>
              <w:t>2.</w:t>
            </w:r>
            <w:r w:rsidR="00E1351A">
              <w:rPr>
                <w:rFonts w:asciiTheme="minorHAnsi" w:eastAsiaTheme="minorEastAsia" w:hAnsiTheme="minorHAnsi" w:cstheme="minorBidi"/>
                <w:noProof/>
                <w:sz w:val="22"/>
                <w:szCs w:val="22"/>
              </w:rPr>
              <w:tab/>
            </w:r>
            <w:r w:rsidR="00E1351A" w:rsidRPr="00BF7535">
              <w:rPr>
                <w:rStyle w:val="Hyperlink"/>
                <w:noProof/>
              </w:rPr>
              <w:t>Snoqualmie Falls Project Upgrades (Adjustment 4)</w:t>
            </w:r>
            <w:r w:rsidR="00E1351A">
              <w:rPr>
                <w:noProof/>
                <w:webHidden/>
              </w:rPr>
              <w:tab/>
            </w:r>
            <w:r w:rsidR="00E1351A">
              <w:rPr>
                <w:noProof/>
                <w:webHidden/>
              </w:rPr>
              <w:fldChar w:fldCharType="begin"/>
            </w:r>
            <w:r w:rsidR="00E1351A">
              <w:rPr>
                <w:noProof/>
                <w:webHidden/>
              </w:rPr>
              <w:instrText xml:space="preserve"> PAGEREF _Toc364231306 \h </w:instrText>
            </w:r>
            <w:r w:rsidR="00E1351A">
              <w:rPr>
                <w:noProof/>
                <w:webHidden/>
              </w:rPr>
            </w:r>
            <w:r w:rsidR="00E1351A">
              <w:rPr>
                <w:noProof/>
                <w:webHidden/>
              </w:rPr>
              <w:fldChar w:fldCharType="separate"/>
            </w:r>
            <w:r>
              <w:rPr>
                <w:noProof/>
                <w:webHidden/>
              </w:rPr>
              <w:t>39</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07" w:history="1">
            <w:r w:rsidR="00E1351A" w:rsidRPr="00BF7535">
              <w:rPr>
                <w:rStyle w:val="Hyperlink"/>
                <w:noProof/>
              </w:rPr>
              <w:t>3.</w:t>
            </w:r>
            <w:r w:rsidR="00E1351A">
              <w:rPr>
                <w:rFonts w:asciiTheme="minorHAnsi" w:eastAsiaTheme="minorEastAsia" w:hAnsiTheme="minorHAnsi" w:cstheme="minorBidi"/>
                <w:noProof/>
                <w:sz w:val="22"/>
                <w:szCs w:val="22"/>
              </w:rPr>
              <w:tab/>
            </w:r>
            <w:r w:rsidR="00E1351A" w:rsidRPr="00BF7535">
              <w:rPr>
                <w:rStyle w:val="Hyperlink"/>
                <w:noProof/>
              </w:rPr>
              <w:t>Snoqualmie Falls Project Deferral (Adjustment 5)</w:t>
            </w:r>
            <w:r w:rsidR="00E1351A">
              <w:rPr>
                <w:noProof/>
                <w:webHidden/>
              </w:rPr>
              <w:tab/>
            </w:r>
            <w:r w:rsidR="00E1351A">
              <w:rPr>
                <w:noProof/>
                <w:webHidden/>
              </w:rPr>
              <w:fldChar w:fldCharType="begin"/>
            </w:r>
            <w:r w:rsidR="00E1351A">
              <w:rPr>
                <w:noProof/>
                <w:webHidden/>
              </w:rPr>
              <w:instrText xml:space="preserve"> PAGEREF _Toc364231307 \h </w:instrText>
            </w:r>
            <w:r w:rsidR="00E1351A">
              <w:rPr>
                <w:noProof/>
                <w:webHidden/>
              </w:rPr>
            </w:r>
            <w:r w:rsidR="00E1351A">
              <w:rPr>
                <w:noProof/>
                <w:webHidden/>
              </w:rPr>
              <w:fldChar w:fldCharType="separate"/>
            </w:r>
            <w:r>
              <w:rPr>
                <w:noProof/>
                <w:webHidden/>
              </w:rPr>
              <w:t>40</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08" w:history="1">
            <w:r w:rsidR="00E1351A" w:rsidRPr="00BF7535">
              <w:rPr>
                <w:rStyle w:val="Hyperlink"/>
                <w:noProof/>
              </w:rPr>
              <w:t>4.</w:t>
            </w:r>
            <w:r w:rsidR="00E1351A">
              <w:rPr>
                <w:rFonts w:asciiTheme="minorHAnsi" w:eastAsiaTheme="minorEastAsia" w:hAnsiTheme="minorHAnsi" w:cstheme="minorBidi"/>
                <w:noProof/>
                <w:sz w:val="22"/>
                <w:szCs w:val="22"/>
              </w:rPr>
              <w:tab/>
            </w:r>
            <w:r w:rsidR="00E1351A" w:rsidRPr="00BF7535">
              <w:rPr>
                <w:rStyle w:val="Hyperlink"/>
                <w:noProof/>
              </w:rPr>
              <w:t>Lower Baker Project Upgrades (Adjustment 6)</w:t>
            </w:r>
            <w:r w:rsidR="00E1351A">
              <w:rPr>
                <w:noProof/>
                <w:webHidden/>
              </w:rPr>
              <w:tab/>
            </w:r>
            <w:r w:rsidR="00E1351A">
              <w:rPr>
                <w:noProof/>
                <w:webHidden/>
              </w:rPr>
              <w:fldChar w:fldCharType="begin"/>
            </w:r>
            <w:r w:rsidR="00E1351A">
              <w:rPr>
                <w:noProof/>
                <w:webHidden/>
              </w:rPr>
              <w:instrText xml:space="preserve"> PAGEREF _Toc364231308 \h </w:instrText>
            </w:r>
            <w:r w:rsidR="00E1351A">
              <w:rPr>
                <w:noProof/>
                <w:webHidden/>
              </w:rPr>
            </w:r>
            <w:r w:rsidR="00E1351A">
              <w:rPr>
                <w:noProof/>
                <w:webHidden/>
              </w:rPr>
              <w:fldChar w:fldCharType="separate"/>
            </w:r>
            <w:r>
              <w:rPr>
                <w:noProof/>
                <w:webHidden/>
              </w:rPr>
              <w:t>40</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09" w:history="1">
            <w:r w:rsidR="00E1351A" w:rsidRPr="00BF7535">
              <w:rPr>
                <w:rStyle w:val="Hyperlink"/>
                <w:noProof/>
              </w:rPr>
              <w:t>5.</w:t>
            </w:r>
            <w:r w:rsidR="00E1351A">
              <w:rPr>
                <w:rFonts w:asciiTheme="minorHAnsi" w:eastAsiaTheme="minorEastAsia" w:hAnsiTheme="minorHAnsi" w:cstheme="minorBidi"/>
                <w:noProof/>
                <w:sz w:val="22"/>
                <w:szCs w:val="22"/>
              </w:rPr>
              <w:tab/>
            </w:r>
            <w:r w:rsidR="00E1351A" w:rsidRPr="00BF7535">
              <w:rPr>
                <w:rStyle w:val="Hyperlink"/>
                <w:noProof/>
              </w:rPr>
              <w:t>Lower Baker Project Deferral (Adjustment 7)</w:t>
            </w:r>
            <w:r w:rsidR="00E1351A">
              <w:rPr>
                <w:noProof/>
                <w:webHidden/>
              </w:rPr>
              <w:tab/>
            </w:r>
            <w:r w:rsidR="00E1351A">
              <w:rPr>
                <w:noProof/>
                <w:webHidden/>
              </w:rPr>
              <w:fldChar w:fldCharType="begin"/>
            </w:r>
            <w:r w:rsidR="00E1351A">
              <w:rPr>
                <w:noProof/>
                <w:webHidden/>
              </w:rPr>
              <w:instrText xml:space="preserve"> PAGEREF _Toc364231309 \h </w:instrText>
            </w:r>
            <w:r w:rsidR="00E1351A">
              <w:rPr>
                <w:noProof/>
                <w:webHidden/>
              </w:rPr>
            </w:r>
            <w:r w:rsidR="00E1351A">
              <w:rPr>
                <w:noProof/>
                <w:webHidden/>
              </w:rPr>
              <w:fldChar w:fldCharType="separate"/>
            </w:r>
            <w:r>
              <w:rPr>
                <w:noProof/>
                <w:webHidden/>
              </w:rPr>
              <w:t>40</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10" w:history="1">
            <w:r w:rsidR="00E1351A" w:rsidRPr="00BF7535">
              <w:rPr>
                <w:rStyle w:val="Hyperlink"/>
                <w:noProof/>
              </w:rPr>
              <w:t>6.</w:t>
            </w:r>
            <w:r w:rsidR="00E1351A">
              <w:rPr>
                <w:rFonts w:asciiTheme="minorHAnsi" w:eastAsiaTheme="minorEastAsia" w:hAnsiTheme="minorHAnsi" w:cstheme="minorBidi"/>
                <w:noProof/>
                <w:sz w:val="22"/>
                <w:szCs w:val="22"/>
              </w:rPr>
              <w:tab/>
            </w:r>
            <w:r w:rsidR="00E1351A" w:rsidRPr="00BF7535">
              <w:rPr>
                <w:rStyle w:val="Hyperlink"/>
                <w:noProof/>
              </w:rPr>
              <w:t>Ferndale Generating Station (Adjustment 8)</w:t>
            </w:r>
            <w:r w:rsidR="00E1351A">
              <w:rPr>
                <w:noProof/>
                <w:webHidden/>
              </w:rPr>
              <w:tab/>
            </w:r>
            <w:r w:rsidR="00E1351A">
              <w:rPr>
                <w:noProof/>
                <w:webHidden/>
              </w:rPr>
              <w:fldChar w:fldCharType="begin"/>
            </w:r>
            <w:r w:rsidR="00E1351A">
              <w:rPr>
                <w:noProof/>
                <w:webHidden/>
              </w:rPr>
              <w:instrText xml:space="preserve"> PAGEREF _Toc364231310 \h </w:instrText>
            </w:r>
            <w:r w:rsidR="00E1351A">
              <w:rPr>
                <w:noProof/>
                <w:webHidden/>
              </w:rPr>
            </w:r>
            <w:r w:rsidR="00E1351A">
              <w:rPr>
                <w:noProof/>
                <w:webHidden/>
              </w:rPr>
              <w:fldChar w:fldCharType="separate"/>
            </w:r>
            <w:r>
              <w:rPr>
                <w:noProof/>
                <w:webHidden/>
              </w:rPr>
              <w:t>41</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11" w:history="1">
            <w:r w:rsidR="00E1351A" w:rsidRPr="00BF7535">
              <w:rPr>
                <w:rStyle w:val="Hyperlink"/>
                <w:noProof/>
              </w:rPr>
              <w:t>7.</w:t>
            </w:r>
            <w:r w:rsidR="00E1351A">
              <w:rPr>
                <w:rFonts w:asciiTheme="minorHAnsi" w:eastAsiaTheme="minorEastAsia" w:hAnsiTheme="minorHAnsi" w:cstheme="minorBidi"/>
                <w:noProof/>
                <w:sz w:val="22"/>
                <w:szCs w:val="22"/>
              </w:rPr>
              <w:tab/>
            </w:r>
            <w:r w:rsidR="00E1351A" w:rsidRPr="00BF7535">
              <w:rPr>
                <w:rStyle w:val="Hyperlink"/>
                <w:noProof/>
              </w:rPr>
              <w:t>Ferndale Deferral (Adjustment 9)</w:t>
            </w:r>
            <w:r w:rsidR="00E1351A">
              <w:rPr>
                <w:noProof/>
                <w:webHidden/>
              </w:rPr>
              <w:tab/>
            </w:r>
            <w:r w:rsidR="00E1351A">
              <w:rPr>
                <w:noProof/>
                <w:webHidden/>
              </w:rPr>
              <w:fldChar w:fldCharType="begin"/>
            </w:r>
            <w:r w:rsidR="00E1351A">
              <w:rPr>
                <w:noProof/>
                <w:webHidden/>
              </w:rPr>
              <w:instrText xml:space="preserve"> PAGEREF _Toc364231311 \h </w:instrText>
            </w:r>
            <w:r w:rsidR="00E1351A">
              <w:rPr>
                <w:noProof/>
                <w:webHidden/>
              </w:rPr>
            </w:r>
            <w:r w:rsidR="00E1351A">
              <w:rPr>
                <w:noProof/>
                <w:webHidden/>
              </w:rPr>
              <w:fldChar w:fldCharType="separate"/>
            </w:r>
            <w:r>
              <w:rPr>
                <w:noProof/>
                <w:webHidden/>
              </w:rPr>
              <w:t>41</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12" w:history="1">
            <w:r w:rsidR="00E1351A" w:rsidRPr="00BF7535">
              <w:rPr>
                <w:rStyle w:val="Hyperlink"/>
                <w:noProof/>
              </w:rPr>
              <w:t>8.</w:t>
            </w:r>
            <w:r w:rsidR="00E1351A">
              <w:rPr>
                <w:rFonts w:asciiTheme="minorHAnsi" w:eastAsiaTheme="minorEastAsia" w:hAnsiTheme="minorHAnsi" w:cstheme="minorBidi"/>
                <w:noProof/>
                <w:sz w:val="22"/>
                <w:szCs w:val="22"/>
              </w:rPr>
              <w:tab/>
            </w:r>
            <w:r w:rsidR="00E1351A" w:rsidRPr="00BF7535">
              <w:rPr>
                <w:rStyle w:val="Hyperlink"/>
                <w:noProof/>
              </w:rPr>
              <w:t>Sale of Electron Project (Adjustment 12)</w:t>
            </w:r>
            <w:r w:rsidR="00E1351A">
              <w:rPr>
                <w:noProof/>
                <w:webHidden/>
              </w:rPr>
              <w:tab/>
            </w:r>
            <w:r w:rsidR="00E1351A">
              <w:rPr>
                <w:noProof/>
                <w:webHidden/>
              </w:rPr>
              <w:fldChar w:fldCharType="begin"/>
            </w:r>
            <w:r w:rsidR="00E1351A">
              <w:rPr>
                <w:noProof/>
                <w:webHidden/>
              </w:rPr>
              <w:instrText xml:space="preserve"> PAGEREF _Toc364231312 \h </w:instrText>
            </w:r>
            <w:r w:rsidR="00E1351A">
              <w:rPr>
                <w:noProof/>
                <w:webHidden/>
              </w:rPr>
            </w:r>
            <w:r w:rsidR="00E1351A">
              <w:rPr>
                <w:noProof/>
                <w:webHidden/>
              </w:rPr>
              <w:fldChar w:fldCharType="separate"/>
            </w:r>
            <w:r>
              <w:rPr>
                <w:noProof/>
                <w:webHidden/>
              </w:rPr>
              <w:t>42</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13" w:history="1">
            <w:r w:rsidR="00E1351A" w:rsidRPr="00BF7535">
              <w:rPr>
                <w:rStyle w:val="Hyperlink"/>
                <w:noProof/>
              </w:rPr>
              <w:t>9.</w:t>
            </w:r>
            <w:r w:rsidR="00E1351A">
              <w:rPr>
                <w:rFonts w:asciiTheme="minorHAnsi" w:eastAsiaTheme="minorEastAsia" w:hAnsiTheme="minorHAnsi" w:cstheme="minorBidi"/>
                <w:noProof/>
                <w:sz w:val="22"/>
                <w:szCs w:val="22"/>
              </w:rPr>
              <w:tab/>
            </w:r>
            <w:r w:rsidR="00E1351A" w:rsidRPr="00BF7535">
              <w:rPr>
                <w:rStyle w:val="Hyperlink"/>
                <w:noProof/>
              </w:rPr>
              <w:t>Property Insurance (Adjustment 14)</w:t>
            </w:r>
            <w:r w:rsidR="00E1351A">
              <w:rPr>
                <w:noProof/>
                <w:webHidden/>
              </w:rPr>
              <w:tab/>
            </w:r>
            <w:r w:rsidR="00E1351A">
              <w:rPr>
                <w:noProof/>
                <w:webHidden/>
              </w:rPr>
              <w:fldChar w:fldCharType="begin"/>
            </w:r>
            <w:r w:rsidR="00E1351A">
              <w:rPr>
                <w:noProof/>
                <w:webHidden/>
              </w:rPr>
              <w:instrText xml:space="preserve"> PAGEREF _Toc364231313 \h </w:instrText>
            </w:r>
            <w:r w:rsidR="00E1351A">
              <w:rPr>
                <w:noProof/>
                <w:webHidden/>
              </w:rPr>
            </w:r>
            <w:r w:rsidR="00E1351A">
              <w:rPr>
                <w:noProof/>
                <w:webHidden/>
              </w:rPr>
              <w:fldChar w:fldCharType="separate"/>
            </w:r>
            <w:r>
              <w:rPr>
                <w:noProof/>
                <w:webHidden/>
              </w:rPr>
              <w:t>42</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14" w:history="1">
            <w:r w:rsidR="00E1351A" w:rsidRPr="00BF7535">
              <w:rPr>
                <w:rStyle w:val="Hyperlink"/>
                <w:noProof/>
              </w:rPr>
              <w:t>10.</w:t>
            </w:r>
            <w:r w:rsidR="00E1351A">
              <w:rPr>
                <w:rFonts w:asciiTheme="minorHAnsi" w:eastAsiaTheme="minorEastAsia" w:hAnsiTheme="minorHAnsi" w:cstheme="minorBidi"/>
                <w:noProof/>
                <w:sz w:val="22"/>
                <w:szCs w:val="22"/>
              </w:rPr>
              <w:tab/>
            </w:r>
            <w:r w:rsidR="00E1351A" w:rsidRPr="00BF7535">
              <w:rPr>
                <w:rStyle w:val="Hyperlink"/>
                <w:noProof/>
              </w:rPr>
              <w:t>Other Regulatory Assets (Adjustment 20)</w:t>
            </w:r>
            <w:r w:rsidR="00E1351A">
              <w:rPr>
                <w:noProof/>
                <w:webHidden/>
              </w:rPr>
              <w:tab/>
            </w:r>
            <w:r w:rsidR="00E1351A">
              <w:rPr>
                <w:noProof/>
                <w:webHidden/>
              </w:rPr>
              <w:fldChar w:fldCharType="begin"/>
            </w:r>
            <w:r w:rsidR="00E1351A">
              <w:rPr>
                <w:noProof/>
                <w:webHidden/>
              </w:rPr>
              <w:instrText xml:space="preserve"> PAGEREF _Toc364231314 \h </w:instrText>
            </w:r>
            <w:r w:rsidR="00E1351A">
              <w:rPr>
                <w:noProof/>
                <w:webHidden/>
              </w:rPr>
            </w:r>
            <w:r w:rsidR="00E1351A">
              <w:rPr>
                <w:noProof/>
                <w:webHidden/>
              </w:rPr>
              <w:fldChar w:fldCharType="separate"/>
            </w:r>
            <w:r>
              <w:rPr>
                <w:noProof/>
                <w:webHidden/>
              </w:rPr>
              <w:t>42</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15" w:history="1">
            <w:r w:rsidR="00E1351A" w:rsidRPr="00BF7535">
              <w:rPr>
                <w:rStyle w:val="Hyperlink"/>
                <w:noProof/>
              </w:rPr>
              <w:t>11.</w:t>
            </w:r>
            <w:r w:rsidR="00E1351A">
              <w:rPr>
                <w:rFonts w:asciiTheme="minorHAnsi" w:eastAsiaTheme="minorEastAsia" w:hAnsiTheme="minorHAnsi" w:cstheme="minorBidi"/>
                <w:noProof/>
                <w:sz w:val="22"/>
                <w:szCs w:val="22"/>
              </w:rPr>
              <w:tab/>
            </w:r>
            <w:r w:rsidR="00E1351A" w:rsidRPr="00BF7535">
              <w:rPr>
                <w:rStyle w:val="Hyperlink"/>
                <w:noProof/>
              </w:rPr>
              <w:t>Prepaid Transmission &amp; Deferred Carrying Charges (Adjustment 21)</w:t>
            </w:r>
            <w:r w:rsidR="00E1351A">
              <w:rPr>
                <w:noProof/>
                <w:webHidden/>
              </w:rPr>
              <w:tab/>
            </w:r>
            <w:r w:rsidR="00E1351A">
              <w:rPr>
                <w:noProof/>
                <w:webHidden/>
              </w:rPr>
              <w:fldChar w:fldCharType="begin"/>
            </w:r>
            <w:r w:rsidR="00E1351A">
              <w:rPr>
                <w:noProof/>
                <w:webHidden/>
              </w:rPr>
              <w:instrText xml:space="preserve"> PAGEREF _Toc364231315 \h </w:instrText>
            </w:r>
            <w:r w:rsidR="00E1351A">
              <w:rPr>
                <w:noProof/>
                <w:webHidden/>
              </w:rPr>
            </w:r>
            <w:r w:rsidR="00E1351A">
              <w:rPr>
                <w:noProof/>
                <w:webHidden/>
              </w:rPr>
              <w:fldChar w:fldCharType="separate"/>
            </w:r>
            <w:r>
              <w:rPr>
                <w:noProof/>
                <w:webHidden/>
              </w:rPr>
              <w:t>43</w:t>
            </w:r>
            <w:r w:rsidR="00E1351A">
              <w:rPr>
                <w:noProof/>
                <w:webHidden/>
              </w:rPr>
              <w:fldChar w:fldCharType="end"/>
            </w:r>
          </w:hyperlink>
        </w:p>
        <w:p w:rsidR="00E1351A" w:rsidRDefault="00F8096B">
          <w:pPr>
            <w:pStyle w:val="TOC6"/>
            <w:rPr>
              <w:rFonts w:asciiTheme="minorHAnsi" w:eastAsiaTheme="minorEastAsia" w:hAnsiTheme="minorHAnsi" w:cstheme="minorBidi"/>
              <w:noProof/>
              <w:sz w:val="22"/>
              <w:szCs w:val="22"/>
            </w:rPr>
          </w:pPr>
          <w:hyperlink w:anchor="_Toc364231316" w:history="1">
            <w:r w:rsidR="00E1351A" w:rsidRPr="00BF7535">
              <w:rPr>
                <w:rStyle w:val="Hyperlink"/>
                <w:noProof/>
              </w:rPr>
              <w:t>12.</w:t>
            </w:r>
            <w:r w:rsidR="00E1351A">
              <w:rPr>
                <w:rFonts w:asciiTheme="minorHAnsi" w:eastAsiaTheme="minorEastAsia" w:hAnsiTheme="minorHAnsi" w:cstheme="minorBidi"/>
                <w:noProof/>
                <w:sz w:val="22"/>
                <w:szCs w:val="22"/>
              </w:rPr>
              <w:tab/>
            </w:r>
            <w:r w:rsidR="00E1351A" w:rsidRPr="00BF7535">
              <w:rPr>
                <w:rStyle w:val="Hyperlink"/>
                <w:noProof/>
              </w:rPr>
              <w:t>Production Adjustment (Adjustment 23)</w:t>
            </w:r>
            <w:r w:rsidR="00E1351A">
              <w:rPr>
                <w:noProof/>
                <w:webHidden/>
              </w:rPr>
              <w:tab/>
            </w:r>
            <w:r w:rsidR="00E1351A">
              <w:rPr>
                <w:noProof/>
                <w:webHidden/>
              </w:rPr>
              <w:fldChar w:fldCharType="begin"/>
            </w:r>
            <w:r w:rsidR="00E1351A">
              <w:rPr>
                <w:noProof/>
                <w:webHidden/>
              </w:rPr>
              <w:instrText xml:space="preserve"> PAGEREF _Toc364231316 \h </w:instrText>
            </w:r>
            <w:r w:rsidR="00E1351A">
              <w:rPr>
                <w:noProof/>
                <w:webHidden/>
              </w:rPr>
            </w:r>
            <w:r w:rsidR="00E1351A">
              <w:rPr>
                <w:noProof/>
                <w:webHidden/>
              </w:rPr>
              <w:fldChar w:fldCharType="separate"/>
            </w:r>
            <w:r>
              <w:rPr>
                <w:noProof/>
                <w:webHidden/>
              </w:rPr>
              <w:t>43</w:t>
            </w:r>
            <w:r w:rsidR="00E1351A">
              <w:rPr>
                <w:noProof/>
                <w:webHidden/>
              </w:rPr>
              <w:fldChar w:fldCharType="end"/>
            </w:r>
          </w:hyperlink>
        </w:p>
        <w:p w:rsidR="00E1351A" w:rsidRDefault="00F8096B">
          <w:pPr>
            <w:pStyle w:val="TOC1"/>
            <w:rPr>
              <w:rFonts w:asciiTheme="minorHAnsi" w:hAnsiTheme="minorHAnsi"/>
              <w:noProof/>
              <w:sz w:val="22"/>
              <w:lang w:eastAsia="en-US"/>
            </w:rPr>
          </w:pPr>
          <w:hyperlink w:anchor="_Toc364231317" w:history="1">
            <w:r w:rsidR="00E1351A" w:rsidRPr="00BF7535">
              <w:rPr>
                <w:rStyle w:val="Hyperlink"/>
                <w:noProof/>
              </w:rPr>
              <w:t>V.</w:t>
            </w:r>
            <w:r w:rsidR="00E1351A">
              <w:rPr>
                <w:rFonts w:asciiTheme="minorHAnsi" w:hAnsiTheme="minorHAnsi"/>
                <w:noProof/>
                <w:sz w:val="22"/>
                <w:lang w:eastAsia="en-US"/>
              </w:rPr>
              <w:tab/>
            </w:r>
            <w:r w:rsidR="00E1351A" w:rsidRPr="00BF7535">
              <w:rPr>
                <w:rStyle w:val="Hyperlink"/>
                <w:noProof/>
              </w:rPr>
              <w:t>POWER COST RATE AND REVENUE REQUIREMENT</w:t>
            </w:r>
            <w:r w:rsidR="00E1351A">
              <w:rPr>
                <w:noProof/>
                <w:webHidden/>
              </w:rPr>
              <w:tab/>
            </w:r>
            <w:r w:rsidR="00E1351A">
              <w:rPr>
                <w:noProof/>
                <w:webHidden/>
              </w:rPr>
              <w:fldChar w:fldCharType="begin"/>
            </w:r>
            <w:r w:rsidR="00E1351A">
              <w:rPr>
                <w:noProof/>
                <w:webHidden/>
              </w:rPr>
              <w:instrText xml:space="preserve"> PAGEREF _Toc364231317 \h </w:instrText>
            </w:r>
            <w:r w:rsidR="00E1351A">
              <w:rPr>
                <w:noProof/>
                <w:webHidden/>
              </w:rPr>
            </w:r>
            <w:r w:rsidR="00E1351A">
              <w:rPr>
                <w:noProof/>
                <w:webHidden/>
              </w:rPr>
              <w:fldChar w:fldCharType="separate"/>
            </w:r>
            <w:r>
              <w:rPr>
                <w:noProof/>
                <w:webHidden/>
              </w:rPr>
              <w:t>44</w:t>
            </w:r>
            <w:r w:rsidR="00E1351A">
              <w:rPr>
                <w:noProof/>
                <w:webHidden/>
              </w:rPr>
              <w:fldChar w:fldCharType="end"/>
            </w:r>
          </w:hyperlink>
        </w:p>
        <w:p w:rsidR="00E1351A" w:rsidRDefault="00F8096B">
          <w:pPr>
            <w:pStyle w:val="TOC1"/>
            <w:rPr>
              <w:rFonts w:asciiTheme="minorHAnsi" w:hAnsiTheme="minorHAnsi"/>
              <w:noProof/>
              <w:sz w:val="22"/>
              <w:lang w:eastAsia="en-US"/>
            </w:rPr>
          </w:pPr>
          <w:hyperlink w:anchor="_Toc364231318" w:history="1">
            <w:r w:rsidR="00E1351A" w:rsidRPr="00BF7535">
              <w:rPr>
                <w:rStyle w:val="Hyperlink"/>
                <w:noProof/>
              </w:rPr>
              <w:t>VI.</w:t>
            </w:r>
            <w:r w:rsidR="00E1351A">
              <w:rPr>
                <w:rFonts w:asciiTheme="minorHAnsi" w:hAnsiTheme="minorHAnsi"/>
                <w:noProof/>
                <w:sz w:val="22"/>
                <w:lang w:eastAsia="en-US"/>
              </w:rPr>
              <w:tab/>
            </w:r>
            <w:r w:rsidR="00E1351A" w:rsidRPr="00BF7535">
              <w:rPr>
                <w:rStyle w:val="Hyperlink"/>
                <w:noProof/>
              </w:rPr>
              <w:t>REVENUE ALLOCATION AND RATE DESIGN</w:t>
            </w:r>
            <w:r w:rsidR="00E1351A">
              <w:rPr>
                <w:noProof/>
                <w:webHidden/>
              </w:rPr>
              <w:tab/>
            </w:r>
            <w:r w:rsidR="00E1351A">
              <w:rPr>
                <w:noProof/>
                <w:webHidden/>
              </w:rPr>
              <w:fldChar w:fldCharType="begin"/>
            </w:r>
            <w:r w:rsidR="00E1351A">
              <w:rPr>
                <w:noProof/>
                <w:webHidden/>
              </w:rPr>
              <w:instrText xml:space="preserve"> PAGEREF _Toc364231318 \h </w:instrText>
            </w:r>
            <w:r w:rsidR="00E1351A">
              <w:rPr>
                <w:noProof/>
                <w:webHidden/>
              </w:rPr>
            </w:r>
            <w:r w:rsidR="00E1351A">
              <w:rPr>
                <w:noProof/>
                <w:webHidden/>
              </w:rPr>
              <w:fldChar w:fldCharType="separate"/>
            </w:r>
            <w:r>
              <w:rPr>
                <w:noProof/>
                <w:webHidden/>
              </w:rPr>
              <w:t>45</w:t>
            </w:r>
            <w:r w:rsidR="00E1351A">
              <w:rPr>
                <w:noProof/>
                <w:webHidden/>
              </w:rPr>
              <w:fldChar w:fldCharType="end"/>
            </w:r>
          </w:hyperlink>
        </w:p>
        <w:p w:rsidR="00276957" w:rsidRPr="00F27E5A" w:rsidRDefault="0085372C" w:rsidP="000004F0">
          <w:pPr>
            <w:spacing w:line="360" w:lineRule="auto"/>
            <w:rPr>
              <w:rFonts w:eastAsiaTheme="minorEastAsia" w:cstheme="minorBidi"/>
              <w:szCs w:val="22"/>
              <w:lang w:eastAsia="ja-JP"/>
            </w:rPr>
          </w:pPr>
          <w:r w:rsidRPr="00F27E5A">
            <w:rPr>
              <w:rFonts w:eastAsiaTheme="minorEastAsia" w:cstheme="minorBidi"/>
              <w:szCs w:val="22"/>
              <w:lang w:eastAsia="ja-JP"/>
            </w:rPr>
            <w:fldChar w:fldCharType="end"/>
          </w:r>
          <w:r w:rsidR="00276957" w:rsidRPr="00F27E5A">
            <w:rPr>
              <w:rFonts w:eastAsiaTheme="minorEastAsia" w:cstheme="minorBidi"/>
              <w:szCs w:val="22"/>
              <w:lang w:eastAsia="ja-JP"/>
            </w:rPr>
            <w:br w:type="page"/>
          </w:r>
        </w:p>
        <w:p w:rsidR="00B44F4A" w:rsidRPr="00F27E5A" w:rsidRDefault="00B44F4A" w:rsidP="00641F26">
          <w:pPr>
            <w:spacing w:line="360" w:lineRule="auto"/>
            <w:rPr>
              <w:b/>
              <w:bCs/>
              <w:noProof/>
            </w:rPr>
          </w:pPr>
        </w:p>
        <w:p w:rsidR="00B44F4A" w:rsidRPr="00F27E5A" w:rsidRDefault="00B44F4A" w:rsidP="00B44F4A">
          <w:pPr>
            <w:spacing w:line="360" w:lineRule="auto"/>
            <w:jc w:val="center"/>
            <w:rPr>
              <w:b/>
              <w:bCs/>
              <w:noProof/>
            </w:rPr>
          </w:pPr>
          <w:r w:rsidRPr="00F27E5A">
            <w:rPr>
              <w:b/>
              <w:bCs/>
              <w:noProof/>
            </w:rPr>
            <w:t>LIST OF EXHIBITS</w:t>
          </w:r>
        </w:p>
        <w:p w:rsidR="004E0D94" w:rsidRPr="00F27E5A" w:rsidRDefault="004E0D94" w:rsidP="004E0D94"/>
        <w:p w:rsidR="00B758B7" w:rsidRPr="00F27E5A" w:rsidRDefault="00B758B7" w:rsidP="00B758B7">
          <w:pPr>
            <w:spacing w:line="360" w:lineRule="auto"/>
          </w:pPr>
          <w:r w:rsidRPr="00F27E5A">
            <w:rPr>
              <w:bCs/>
            </w:rPr>
            <w:t>Exhibit No.</w:t>
          </w:r>
          <w:r w:rsidR="00940838" w:rsidRPr="00F27E5A">
            <w:rPr>
              <w:bCs/>
            </w:rPr>
            <w:t xml:space="preserve"> </w:t>
          </w:r>
          <w:r w:rsidRPr="00F27E5A">
            <w:rPr>
              <w:bCs/>
            </w:rPr>
            <w:t>CTM-</w:t>
          </w:r>
          <w:r w:rsidR="00E242F6" w:rsidRPr="00F27E5A">
            <w:rPr>
              <w:bCs/>
            </w:rPr>
            <w:t>2</w:t>
          </w:r>
          <w:r w:rsidR="00BD36B5">
            <w:rPr>
              <w:bCs/>
            </w:rPr>
            <w:t xml:space="preserve">, </w:t>
          </w:r>
          <w:r w:rsidR="009245F3">
            <w:rPr>
              <w:bCs/>
            </w:rPr>
            <w:t xml:space="preserve">Power Cost Rate </w:t>
          </w:r>
          <w:r w:rsidR="007668C6" w:rsidRPr="00F27E5A">
            <w:rPr>
              <w:bCs/>
            </w:rPr>
            <w:t>Adjustment</w:t>
          </w:r>
          <w:r w:rsidR="009245F3">
            <w:rPr>
              <w:bCs/>
            </w:rPr>
            <w:t>s</w:t>
          </w:r>
        </w:p>
        <w:p w:rsidR="004E747D" w:rsidRPr="00F27E5A" w:rsidRDefault="004E747D" w:rsidP="004E747D">
          <w:pPr>
            <w:spacing w:line="360" w:lineRule="auto"/>
          </w:pPr>
          <w:r w:rsidRPr="00F27E5A">
            <w:rPr>
              <w:bCs/>
            </w:rPr>
            <w:t>Exhibit No. CTM-</w:t>
          </w:r>
          <w:r w:rsidR="00E242F6" w:rsidRPr="00F27E5A">
            <w:rPr>
              <w:bCs/>
            </w:rPr>
            <w:t>3</w:t>
          </w:r>
          <w:r w:rsidR="00BD36B5">
            <w:rPr>
              <w:bCs/>
            </w:rPr>
            <w:t xml:space="preserve">, </w:t>
          </w:r>
          <w:r w:rsidR="00C3227D">
            <w:rPr>
              <w:bCs/>
            </w:rPr>
            <w:t>Power Cost Rate</w:t>
          </w:r>
        </w:p>
        <w:p w:rsidR="004E747D" w:rsidRDefault="004E747D" w:rsidP="004E747D">
          <w:pPr>
            <w:spacing w:line="360" w:lineRule="auto"/>
            <w:rPr>
              <w:bCs/>
            </w:rPr>
          </w:pPr>
          <w:r w:rsidRPr="00F27E5A">
            <w:rPr>
              <w:bCs/>
            </w:rPr>
            <w:t>Exhibit No. CTM-</w:t>
          </w:r>
          <w:r w:rsidR="00E242F6" w:rsidRPr="00F27E5A">
            <w:rPr>
              <w:bCs/>
            </w:rPr>
            <w:t>4</w:t>
          </w:r>
          <w:r w:rsidR="00BD36B5">
            <w:rPr>
              <w:bCs/>
            </w:rPr>
            <w:t xml:space="preserve">, </w:t>
          </w:r>
          <w:r w:rsidR="00C3227D">
            <w:rPr>
              <w:bCs/>
            </w:rPr>
            <w:t>Revenue</w:t>
          </w:r>
          <w:r w:rsidR="003A3E0D">
            <w:rPr>
              <w:bCs/>
            </w:rPr>
            <w:t xml:space="preserve"> Requirement</w:t>
          </w:r>
        </w:p>
        <w:p w:rsidR="00496E06" w:rsidRDefault="00B758B7" w:rsidP="006E6198">
          <w:pPr>
            <w:spacing w:line="360" w:lineRule="auto"/>
          </w:pPr>
          <w:r w:rsidRPr="00F27E5A">
            <w:rPr>
              <w:bCs/>
            </w:rPr>
            <w:t>Exhibit No.</w:t>
          </w:r>
          <w:r w:rsidR="00940838" w:rsidRPr="00F27E5A">
            <w:rPr>
              <w:bCs/>
            </w:rPr>
            <w:t xml:space="preserve"> </w:t>
          </w:r>
          <w:r w:rsidRPr="00F27E5A">
            <w:rPr>
              <w:bCs/>
            </w:rPr>
            <w:t>CTM-</w:t>
          </w:r>
          <w:r w:rsidR="00C3227D">
            <w:rPr>
              <w:bCs/>
            </w:rPr>
            <w:t>5</w:t>
          </w:r>
          <w:r w:rsidR="00BD36B5">
            <w:rPr>
              <w:bCs/>
            </w:rPr>
            <w:t xml:space="preserve">, </w:t>
          </w:r>
          <w:r w:rsidR="00A472FD" w:rsidRPr="00F27E5A">
            <w:rPr>
              <w:bCs/>
            </w:rPr>
            <w:t xml:space="preserve">Electric </w:t>
          </w:r>
          <w:r w:rsidR="00A472FD" w:rsidRPr="00F27E5A">
            <w:t>Revenue Allocation and Rate Design</w:t>
          </w:r>
        </w:p>
        <w:p w:rsidR="006E6198" w:rsidRPr="00C44CD7" w:rsidRDefault="00353355" w:rsidP="006E6198">
          <w:pPr>
            <w:spacing w:line="360" w:lineRule="auto"/>
          </w:pPr>
          <w:r>
            <w:t>Exhibit No. CTM-</w:t>
          </w:r>
          <w:r w:rsidR="00C67EC2">
            <w:t>6</w:t>
          </w:r>
          <w:r>
            <w:t xml:space="preserve">, </w:t>
          </w:r>
          <w:r w:rsidR="00310176">
            <w:t>U.S. Department of Treasury’s Program Guidance</w:t>
          </w:r>
        </w:p>
      </w:sdtContent>
    </w:sdt>
    <w:p w:rsidR="00FB6F77" w:rsidRPr="00F27E5A" w:rsidRDefault="00B65674" w:rsidP="005A6989">
      <w:pPr>
        <w:sectPr w:rsidR="00FB6F77" w:rsidRPr="00F27E5A" w:rsidSect="00B65674">
          <w:footerReference w:type="default" r:id="rId9"/>
          <w:pgSz w:w="12240" w:h="15840" w:code="1"/>
          <w:pgMar w:top="1440" w:right="1440" w:bottom="1440" w:left="1872" w:header="720" w:footer="720" w:gutter="0"/>
          <w:pgNumType w:fmt="lowerRoman" w:start="1"/>
          <w:cols w:space="720"/>
          <w:docGrid w:linePitch="360"/>
        </w:sectPr>
      </w:pPr>
      <w:r w:rsidRPr="00F27E5A">
        <w:br w:type="page"/>
      </w:r>
    </w:p>
    <w:p w:rsidR="00FB6F77" w:rsidRPr="00F27E5A" w:rsidRDefault="00FB6F77" w:rsidP="00E24E40">
      <w:pPr>
        <w:pStyle w:val="Heading1"/>
        <w:jc w:val="both"/>
      </w:pPr>
      <w:bookmarkStart w:id="1" w:name="_Toc364231275"/>
      <w:r w:rsidRPr="00F27E5A">
        <w:lastRenderedPageBreak/>
        <w:t>INTRODUCTION</w:t>
      </w:r>
      <w:bookmarkEnd w:id="1"/>
    </w:p>
    <w:p w:rsidR="001D211D" w:rsidRPr="00F27E5A" w:rsidRDefault="001D211D" w:rsidP="00641F26">
      <w:pPr>
        <w:pStyle w:val="Question-Testimony"/>
      </w:pPr>
    </w:p>
    <w:p w:rsidR="00C3471C" w:rsidRPr="00F27E5A" w:rsidRDefault="00C3471C" w:rsidP="00641F26">
      <w:pPr>
        <w:pStyle w:val="Question-Testimony"/>
      </w:pPr>
      <w:r w:rsidRPr="00F27E5A">
        <w:t>Q.</w:t>
      </w:r>
      <w:r w:rsidRPr="00F27E5A">
        <w:tab/>
        <w:t xml:space="preserve">Please state your name and business address.  </w:t>
      </w:r>
    </w:p>
    <w:p w:rsidR="00C3471C" w:rsidRPr="00F27E5A" w:rsidRDefault="002F1187" w:rsidP="00641F26">
      <w:pPr>
        <w:pStyle w:val="Answer-Testimony"/>
      </w:pPr>
      <w:r w:rsidRPr="00F27E5A">
        <w:t>A.</w:t>
      </w:r>
      <w:r w:rsidRPr="00F27E5A">
        <w:tab/>
        <w:t>My name is Christopher T</w:t>
      </w:r>
      <w:r w:rsidR="003A238D" w:rsidRPr="00F27E5A">
        <w:t>homas</w:t>
      </w:r>
      <w:r w:rsidRPr="00F27E5A">
        <w:t xml:space="preserve"> Mickelson</w:t>
      </w:r>
      <w:r w:rsidR="00C3471C" w:rsidRPr="00F27E5A">
        <w:t>.  My business address is</w:t>
      </w:r>
      <w:r w:rsidR="00100D8D" w:rsidRPr="00F27E5A">
        <w:t xml:space="preserve"> t</w:t>
      </w:r>
      <w:r w:rsidRPr="00F27E5A">
        <w:t>he Richard Hemstad Building,</w:t>
      </w:r>
      <w:r w:rsidR="00C3471C" w:rsidRPr="00F27E5A">
        <w:t xml:space="preserve"> 1300 S. Evergreen Park Drive S.W., Olympia, W</w:t>
      </w:r>
      <w:r w:rsidR="00100D8D" w:rsidRPr="00F27E5A">
        <w:t>ashington</w:t>
      </w:r>
      <w:r w:rsidR="00233A3C" w:rsidRPr="00F27E5A">
        <w:t xml:space="preserve">  98504.</w:t>
      </w:r>
    </w:p>
    <w:p w:rsidR="00464A47" w:rsidRPr="00F27E5A" w:rsidRDefault="00464A47" w:rsidP="00464A47">
      <w:pPr>
        <w:spacing w:line="480" w:lineRule="auto"/>
        <w:ind w:left="720" w:hanging="720"/>
      </w:pPr>
    </w:p>
    <w:p w:rsidR="00464A47" w:rsidRPr="00F27E5A" w:rsidRDefault="00464A47" w:rsidP="00464A47">
      <w:pPr>
        <w:pStyle w:val="Question-Testimony"/>
      </w:pPr>
      <w:r w:rsidRPr="00F27E5A">
        <w:t>Q.</w:t>
      </w:r>
      <w:r w:rsidRPr="00F27E5A">
        <w:tab/>
        <w:t xml:space="preserve">By whom are you employed and in what capacity?  </w:t>
      </w:r>
    </w:p>
    <w:p w:rsidR="00464A47" w:rsidRPr="00F27E5A" w:rsidRDefault="00464A47" w:rsidP="00464A47">
      <w:pPr>
        <w:pStyle w:val="Answer-Testimony"/>
      </w:pPr>
      <w:r w:rsidRPr="00F27E5A">
        <w:rPr>
          <w:rStyle w:val="Answer-TestimonyChar"/>
        </w:rPr>
        <w:t>A.</w:t>
      </w:r>
      <w:r w:rsidRPr="00F27E5A">
        <w:rPr>
          <w:rStyle w:val="Answer-TestimonyChar"/>
        </w:rPr>
        <w:tab/>
        <w:t>I am employed by the Washington Utilities and Transportation Commission</w:t>
      </w:r>
      <w:r w:rsidRPr="00F27E5A">
        <w:t xml:space="preserve"> (Commission) as a Senior Regulatory Analyst in the Energy Section of the Regulatory Services Division.</w:t>
      </w:r>
      <w:r w:rsidR="0092519E" w:rsidRPr="00F27E5A">
        <w:t xml:space="preserve">  A</w:t>
      </w:r>
      <w:r w:rsidRPr="00F27E5A">
        <w:t>mong other duties,</w:t>
      </w:r>
      <w:r w:rsidR="0092519E" w:rsidRPr="00F27E5A">
        <w:t xml:space="preserve"> I am responsible </w:t>
      </w:r>
      <w:r w:rsidRPr="00F27E5A">
        <w:t>for analyzing financial, accounting</w:t>
      </w:r>
      <w:r w:rsidR="004A3B4E" w:rsidRPr="00F27E5A">
        <w:t xml:space="preserve">, </w:t>
      </w:r>
      <w:r w:rsidR="00233A3C" w:rsidRPr="00F27E5A">
        <w:t xml:space="preserve">and </w:t>
      </w:r>
      <w:r w:rsidR="004A3B4E" w:rsidRPr="00F27E5A">
        <w:t>revenue allocation</w:t>
      </w:r>
      <w:r w:rsidR="0092519E" w:rsidRPr="00F27E5A">
        <w:t xml:space="preserve"> and</w:t>
      </w:r>
      <w:r w:rsidRPr="00F27E5A">
        <w:t xml:space="preserve"> rate</w:t>
      </w:r>
      <w:r w:rsidR="004A3B4E" w:rsidRPr="00F27E5A">
        <w:t xml:space="preserve"> design</w:t>
      </w:r>
      <w:r w:rsidR="004D1F27" w:rsidRPr="00F27E5A">
        <w:t xml:space="preserve"> issues in general rate cases,</w:t>
      </w:r>
      <w:r w:rsidRPr="00F27E5A">
        <w:t xml:space="preserve"> accounting petitions, and other tarif</w:t>
      </w:r>
      <w:r w:rsidR="004A3B4E" w:rsidRPr="00F27E5A">
        <w:t>f filings</w:t>
      </w:r>
      <w:r w:rsidR="00AB30D3" w:rsidRPr="00F27E5A">
        <w:t>,</w:t>
      </w:r>
      <w:r w:rsidR="004A3B4E" w:rsidRPr="00F27E5A">
        <w:t xml:space="preserve"> as they pertain to </w:t>
      </w:r>
      <w:r w:rsidR="00233A3C" w:rsidRPr="00F27E5A">
        <w:t xml:space="preserve">the </w:t>
      </w:r>
      <w:r w:rsidR="004A3B4E" w:rsidRPr="00F27E5A">
        <w:t>electric and natural gas companies</w:t>
      </w:r>
      <w:r w:rsidRPr="00F27E5A">
        <w:t xml:space="preserve"> under the jurisdiction of this Commission.</w:t>
      </w:r>
    </w:p>
    <w:p w:rsidR="00464A47" w:rsidRPr="00F27E5A" w:rsidRDefault="00464A47" w:rsidP="00464A47">
      <w:pPr>
        <w:spacing w:line="480" w:lineRule="auto"/>
        <w:ind w:left="720" w:hanging="720"/>
      </w:pPr>
    </w:p>
    <w:p w:rsidR="00464A47" w:rsidRPr="00F27E5A" w:rsidRDefault="00464A47" w:rsidP="00464A47">
      <w:pPr>
        <w:pStyle w:val="Question-Testimony"/>
      </w:pPr>
      <w:r w:rsidRPr="00F27E5A">
        <w:t>Q.</w:t>
      </w:r>
      <w:r w:rsidRPr="00F27E5A">
        <w:tab/>
        <w:t>How long have you been employed by the Commission?</w:t>
      </w:r>
    </w:p>
    <w:p w:rsidR="00464A47" w:rsidRPr="00F27E5A" w:rsidRDefault="00464A47" w:rsidP="00464A47">
      <w:pPr>
        <w:pStyle w:val="Answer-Testimony"/>
      </w:pPr>
      <w:r w:rsidRPr="00F27E5A">
        <w:t>A.</w:t>
      </w:r>
      <w:r w:rsidRPr="00F27E5A">
        <w:tab/>
        <w:t>I have been employed by the Commission since June 2007.</w:t>
      </w:r>
    </w:p>
    <w:p w:rsidR="00464A47" w:rsidRPr="00F27E5A" w:rsidRDefault="00464A47" w:rsidP="00464A47">
      <w:pPr>
        <w:tabs>
          <w:tab w:val="left" w:pos="-1440"/>
        </w:tabs>
        <w:spacing w:line="480" w:lineRule="auto"/>
      </w:pPr>
    </w:p>
    <w:p w:rsidR="00464A47" w:rsidRPr="00F27E5A" w:rsidRDefault="00464A47" w:rsidP="00464A47">
      <w:pPr>
        <w:pStyle w:val="Question-Testimony"/>
      </w:pPr>
      <w:r w:rsidRPr="00F27E5A">
        <w:t>Q.</w:t>
      </w:r>
      <w:r w:rsidRPr="00F27E5A">
        <w:tab/>
        <w:t>Would you please state your educational and professional background?</w:t>
      </w:r>
    </w:p>
    <w:p w:rsidR="00464A47" w:rsidRPr="00F27E5A" w:rsidRDefault="00464A47" w:rsidP="00382FF3">
      <w:pPr>
        <w:pStyle w:val="Answer-Testimony"/>
      </w:pPr>
      <w:r w:rsidRPr="00F27E5A">
        <w:t>A.</w:t>
      </w:r>
      <w:r w:rsidRPr="00F27E5A">
        <w:tab/>
        <w:t>I graduated from the University of Washington</w:t>
      </w:r>
      <w:r w:rsidR="0073589A">
        <w:t xml:space="preserve"> (</w:t>
      </w:r>
      <w:r w:rsidR="00382FF3">
        <w:t>UW)</w:t>
      </w:r>
      <w:r w:rsidRPr="00F27E5A">
        <w:t xml:space="preserve"> in 2002</w:t>
      </w:r>
      <w:r w:rsidR="00167B0D" w:rsidRPr="00F27E5A">
        <w:t>,</w:t>
      </w:r>
      <w:r w:rsidRPr="00F27E5A">
        <w:t xml:space="preserve"> receiving a Bachelor of Arts degree in Business Administration.  </w:t>
      </w:r>
      <w:r w:rsidR="00F04AD4">
        <w:t>While attending U</w:t>
      </w:r>
      <w:r w:rsidR="00382FF3">
        <w:t>W</w:t>
      </w:r>
      <w:r w:rsidR="00F04AD4">
        <w:t>, I perform</w:t>
      </w:r>
      <w:r w:rsidR="002D3658">
        <w:t>ed</w:t>
      </w:r>
      <w:r w:rsidR="00F04AD4">
        <w:t xml:space="preserve"> the duties of accounts payable and subcontracting</w:t>
      </w:r>
      <w:r w:rsidR="002D3658">
        <w:t xml:space="preserve"> accounting</w:t>
      </w:r>
      <w:r w:rsidR="00382FF3" w:rsidRPr="00382FF3">
        <w:t xml:space="preserve"> </w:t>
      </w:r>
      <w:r w:rsidR="00382FF3">
        <w:t>for Sellen Construction Company</w:t>
      </w:r>
      <w:r w:rsidR="00F04AD4">
        <w:t>.</w:t>
      </w:r>
      <w:r w:rsidR="00382FF3">
        <w:t xml:space="preserve">  </w:t>
      </w:r>
      <w:r w:rsidR="00E4676F">
        <w:t xml:space="preserve">In 2006, I </w:t>
      </w:r>
      <w:r w:rsidR="00EE6C45">
        <w:t xml:space="preserve">was employed as </w:t>
      </w:r>
      <w:r w:rsidR="00382FF3">
        <w:t xml:space="preserve">a fraud auditor </w:t>
      </w:r>
      <w:r w:rsidR="00E4676F">
        <w:t xml:space="preserve">for Washington State </w:t>
      </w:r>
      <w:r w:rsidR="00E4676F">
        <w:lastRenderedPageBreak/>
        <w:t xml:space="preserve">Department of Labor &amp; Industries.  </w:t>
      </w:r>
      <w:r w:rsidRPr="00F27E5A">
        <w:t>Since joining the Commission, I have attended several regulatory courses, including the 49th Annual National Association of Regulatory Utility Commissioners Regulatory Studies Program held at Michigan State University in East Lansing, Michigan.</w:t>
      </w:r>
    </w:p>
    <w:p w:rsidR="00464A47" w:rsidRPr="00F27E5A" w:rsidRDefault="00D1368A" w:rsidP="003C172E">
      <w:pPr>
        <w:pStyle w:val="Answer-Testimony"/>
      </w:pPr>
      <w:r w:rsidRPr="00F27E5A">
        <w:tab/>
      </w:r>
      <w:r w:rsidRPr="00F27E5A">
        <w:tab/>
      </w:r>
      <w:r w:rsidR="003C172E">
        <w:t xml:space="preserve">I </w:t>
      </w:r>
      <w:r w:rsidR="00D2406B">
        <w:t xml:space="preserve">filed </w:t>
      </w:r>
      <w:r w:rsidR="003C172E">
        <w:t>testi</w:t>
      </w:r>
      <w:r w:rsidR="00D2406B">
        <w:t xml:space="preserve">mony </w:t>
      </w:r>
      <w:r w:rsidR="003C172E">
        <w:t xml:space="preserve">on uncollectible expenses, net-to-gross conversion factor, </w:t>
      </w:r>
      <w:r w:rsidR="003C172E" w:rsidRPr="00F27E5A">
        <w:t>electric cost of services, revenue allocation</w:t>
      </w:r>
      <w:r w:rsidR="003C172E">
        <w:t xml:space="preserve">, </w:t>
      </w:r>
      <w:r w:rsidR="003C172E" w:rsidRPr="00F27E5A">
        <w:t>rate design</w:t>
      </w:r>
      <w:r w:rsidR="003C172E">
        <w:t xml:space="preserve">, and service charges in </w:t>
      </w:r>
      <w:r w:rsidR="003C172E" w:rsidRPr="00F27E5A">
        <w:t>Pacific Power &amp; Light Company, d/b/a PacifiCorp</w:t>
      </w:r>
      <w:r w:rsidR="003D060D">
        <w:t>’s</w:t>
      </w:r>
      <w:r w:rsidR="003C172E" w:rsidRPr="00F27E5A">
        <w:t xml:space="preserve"> (PacifiCorp)</w:t>
      </w:r>
      <w:r w:rsidR="003C172E">
        <w:t xml:space="preserve"> </w:t>
      </w:r>
      <w:r w:rsidR="003C172E" w:rsidRPr="00F27E5A">
        <w:t>general rate case</w:t>
      </w:r>
      <w:r w:rsidR="003C172E">
        <w:t xml:space="preserve"> (GRC)</w:t>
      </w:r>
      <w:r w:rsidR="003C172E" w:rsidRPr="00F27E5A">
        <w:t>,</w:t>
      </w:r>
      <w:r w:rsidR="003C172E">
        <w:t xml:space="preserve"> Docket UE-130043.  Furthermore, </w:t>
      </w:r>
      <w:r w:rsidR="00DE7D41">
        <w:t xml:space="preserve">I </w:t>
      </w:r>
      <w:r w:rsidR="00D2406B">
        <w:t xml:space="preserve">filed testimony </w:t>
      </w:r>
      <w:r w:rsidRPr="00F27E5A">
        <w:t>on Aldyl-A pipe replacement</w:t>
      </w:r>
      <w:r w:rsidR="00D2406B">
        <w:t xml:space="preserve"> accounting treatment</w:t>
      </w:r>
      <w:r w:rsidRPr="00F27E5A">
        <w:t>, electric and natural gas cost of services, revenue allocations and rate designs in Avista Corporation’s</w:t>
      </w:r>
      <w:r w:rsidR="00233A3C" w:rsidRPr="00F27E5A">
        <w:t xml:space="preserve"> (Avista)</w:t>
      </w:r>
      <w:r w:rsidRPr="00F27E5A">
        <w:t xml:space="preserve"> </w:t>
      </w:r>
      <w:r w:rsidR="00251FAD">
        <w:t>GRC</w:t>
      </w:r>
      <w:r w:rsidRPr="00F27E5A">
        <w:t xml:space="preserve">, Dockets UE-120436 and UG-120437.  In addition, I </w:t>
      </w:r>
      <w:r w:rsidR="00D2406B">
        <w:t xml:space="preserve">filed testimony </w:t>
      </w:r>
      <w:r w:rsidRPr="00F27E5A">
        <w:t xml:space="preserve">on </w:t>
      </w:r>
      <w:r w:rsidR="008D1A1E" w:rsidRPr="00F27E5A">
        <w:t>natural gas revenue requirement, revenue allocation and rate design in Puget Sound Energy</w:t>
      </w:r>
      <w:r w:rsidR="00233A3C" w:rsidRPr="00F27E5A">
        <w:t>, Inc.</w:t>
      </w:r>
      <w:r w:rsidR="008D1A1E" w:rsidRPr="00F27E5A">
        <w:t>’s</w:t>
      </w:r>
      <w:r w:rsidR="00CE2D7A">
        <w:t xml:space="preserve"> (PSE or the Company)</w:t>
      </w:r>
      <w:r w:rsidR="00233A3C" w:rsidRPr="00F27E5A">
        <w:t xml:space="preserve"> </w:t>
      </w:r>
      <w:r w:rsidR="00251FAD">
        <w:t>GRC</w:t>
      </w:r>
      <w:r w:rsidR="008D1A1E" w:rsidRPr="00F27E5A">
        <w:t xml:space="preserve">, Docket UE-111048 and UG-111049.  </w:t>
      </w:r>
      <w:r w:rsidR="00464A47" w:rsidRPr="00F27E5A">
        <w:t>I was the lead analyst in numerous</w:t>
      </w:r>
      <w:r w:rsidR="004A3B4E" w:rsidRPr="00F27E5A">
        <w:t xml:space="preserve"> other</w:t>
      </w:r>
      <w:r w:rsidR="00464A47" w:rsidRPr="00F27E5A">
        <w:t xml:space="preserve"> tariff applications</w:t>
      </w:r>
      <w:r w:rsidR="004A3B4E" w:rsidRPr="00F27E5A">
        <w:t xml:space="preserve">, </w:t>
      </w:r>
      <w:r w:rsidR="00464A47" w:rsidRPr="00F27E5A">
        <w:t>includ</w:t>
      </w:r>
      <w:r w:rsidR="004A3B4E" w:rsidRPr="00F27E5A">
        <w:t>ing</w:t>
      </w:r>
      <w:r w:rsidR="00464A47" w:rsidRPr="00F27E5A">
        <w:t xml:space="preserve"> </w:t>
      </w:r>
      <w:r w:rsidR="00251FAD">
        <w:t>GRCs</w:t>
      </w:r>
      <w:r w:rsidR="00464A47" w:rsidRPr="00F27E5A">
        <w:t xml:space="preserve"> of Murrey’s Disposal Company, Inc., Docket TG-090097; American Disposal Company, Inc., Docket TG-090098; Washington Water Service Company, Docket UW-090733; and Waste Management of Washington, Inc., Dockets TG-091933 and TG-101080.</w:t>
      </w:r>
    </w:p>
    <w:p w:rsidR="00464A47" w:rsidRPr="00F27E5A" w:rsidRDefault="00464A47" w:rsidP="00464A47">
      <w:pPr>
        <w:pStyle w:val="Answer-Testimony"/>
        <w:ind w:firstLine="720"/>
      </w:pPr>
      <w:r w:rsidRPr="00F27E5A">
        <w:t>I have participated in the development of Commission rules, prepared detailed statistical studies for use by commissioners and other Commission employees, and examined utility and transportation company reports for compliance with Commission regulations.  I have also presented</w:t>
      </w:r>
      <w:r w:rsidR="00B077C8" w:rsidRPr="00F27E5A">
        <w:t xml:space="preserve"> </w:t>
      </w:r>
      <w:r w:rsidRPr="00F27E5A">
        <w:t>Staff recommendations at numerous open public meetings.</w:t>
      </w:r>
    </w:p>
    <w:p w:rsidR="00DC40BC" w:rsidRPr="00F27E5A" w:rsidRDefault="00DC40BC" w:rsidP="00FD5B3E">
      <w:pPr>
        <w:pStyle w:val="BodyTextIndent"/>
      </w:pPr>
    </w:p>
    <w:p w:rsidR="00DC40BC" w:rsidRPr="00F27E5A" w:rsidRDefault="000679A2" w:rsidP="008304C3">
      <w:pPr>
        <w:pStyle w:val="Heading1"/>
      </w:pPr>
      <w:bookmarkStart w:id="2" w:name="_Toc364231276"/>
      <w:r>
        <w:lastRenderedPageBreak/>
        <w:t>SCOPE AND SUMMARY OF TESTIMONY</w:t>
      </w:r>
      <w:bookmarkEnd w:id="2"/>
    </w:p>
    <w:p w:rsidR="00A17616" w:rsidRPr="00F27E5A" w:rsidRDefault="00A17616" w:rsidP="002079C0">
      <w:pPr>
        <w:spacing w:line="480" w:lineRule="auto"/>
      </w:pPr>
    </w:p>
    <w:p w:rsidR="004D3E3B" w:rsidRPr="00F27E5A" w:rsidRDefault="00EB4706" w:rsidP="00B44F4A">
      <w:pPr>
        <w:pStyle w:val="Question-Testimony"/>
      </w:pPr>
      <w:r w:rsidRPr="00F27E5A">
        <w:t>Q.</w:t>
      </w:r>
      <w:r w:rsidRPr="00F27E5A">
        <w:tab/>
      </w:r>
      <w:r w:rsidR="00660396" w:rsidRPr="00F27E5A">
        <w:t xml:space="preserve">What is the </w:t>
      </w:r>
      <w:r w:rsidR="004D3E3B" w:rsidRPr="00F27E5A">
        <w:t>purpose of your testimony</w:t>
      </w:r>
      <w:r w:rsidR="00660396" w:rsidRPr="00F27E5A">
        <w:t>?</w:t>
      </w:r>
    </w:p>
    <w:p w:rsidR="00CE2D7A" w:rsidRDefault="004D3E3B" w:rsidP="00E9446E">
      <w:pPr>
        <w:pStyle w:val="Answer-Testimony"/>
      </w:pPr>
      <w:r w:rsidRPr="00F27E5A">
        <w:t>A.</w:t>
      </w:r>
      <w:r w:rsidRPr="00F27E5A">
        <w:tab/>
      </w:r>
      <w:r w:rsidR="004A3B4E" w:rsidRPr="00F27E5A">
        <w:t xml:space="preserve">I present Staff’s </w:t>
      </w:r>
      <w:r w:rsidR="00CE2D7A">
        <w:t xml:space="preserve">overall </w:t>
      </w:r>
      <w:r w:rsidR="004A3B4E" w:rsidRPr="00F27E5A">
        <w:t>recommendations</w:t>
      </w:r>
      <w:r w:rsidR="00CE2D7A">
        <w:t xml:space="preserve"> in this case, based on my analysis and the analyses of other Staff assigned to this case.  I calculate the Power Cost Rate and I am responsible for revenue allocation and rate design.</w:t>
      </w:r>
      <w:r w:rsidR="00FD6757">
        <w:t xml:space="preserve">  I make recommendations regarding the following:  (1) appropriate handling of assets and expenses for the rate year compared to the test year or last GRC; (</w:t>
      </w:r>
      <w:r w:rsidR="00C67EC2">
        <w:t>2</w:t>
      </w:r>
      <w:r w:rsidR="00FD6757">
        <w:t xml:space="preserve">) treatment of planned major </w:t>
      </w:r>
      <w:r w:rsidR="00FD6757" w:rsidRPr="00413A7E">
        <w:rPr>
          <w:rFonts w:eastAsia="Calibri"/>
        </w:rPr>
        <w:t>maintenance</w:t>
      </w:r>
      <w:r w:rsidR="009F1E3E">
        <w:rPr>
          <w:rFonts w:eastAsia="Calibri"/>
        </w:rPr>
        <w:t xml:space="preserve"> pertaining to the accounting petition in Docket UE-130583</w:t>
      </w:r>
      <w:r w:rsidR="00FD6757" w:rsidRPr="0019115F">
        <w:rPr>
          <w:rFonts w:eastAsia="Calibri"/>
        </w:rPr>
        <w:t>;</w:t>
      </w:r>
      <w:r w:rsidR="00FD6757" w:rsidRPr="0019115F">
        <w:t xml:space="preserve"> (</w:t>
      </w:r>
      <w:r w:rsidR="00C67EC2">
        <w:t>3</w:t>
      </w:r>
      <w:r w:rsidR="00FD6757" w:rsidRPr="0019115F">
        <w:t>) treatment of hydro production operations and maintenance (O&amp;M)</w:t>
      </w:r>
      <w:r w:rsidR="00FD6757">
        <w:rPr>
          <w:rFonts w:eastAsia="Calibri"/>
        </w:rPr>
        <w:t>; and (</w:t>
      </w:r>
      <w:r w:rsidR="00C67EC2">
        <w:rPr>
          <w:rFonts w:eastAsia="Calibri"/>
        </w:rPr>
        <w:t>4</w:t>
      </w:r>
      <w:r w:rsidR="00FD6757" w:rsidRPr="0019115F">
        <w:rPr>
          <w:rFonts w:eastAsia="Calibri"/>
        </w:rPr>
        <w:t xml:space="preserve">) proper </w:t>
      </w:r>
      <w:r w:rsidR="00FD6757" w:rsidRPr="00413A7E">
        <w:rPr>
          <w:rFonts w:eastAsia="Calibri"/>
        </w:rPr>
        <w:t xml:space="preserve">treatment of </w:t>
      </w:r>
      <w:r w:rsidR="00FD6757">
        <w:rPr>
          <w:rFonts w:eastAsia="Calibri"/>
        </w:rPr>
        <w:t xml:space="preserve">the </w:t>
      </w:r>
      <w:r w:rsidR="00FD6757">
        <w:t xml:space="preserve">United States Department of the Treasury (Treasury) </w:t>
      </w:r>
      <w:r w:rsidR="00FD6757" w:rsidRPr="002B3012">
        <w:t>Grant</w:t>
      </w:r>
      <w:r w:rsidR="00FD6757">
        <w:t>s</w:t>
      </w:r>
      <w:r w:rsidR="00C67EC2">
        <w:t xml:space="preserve"> for </w:t>
      </w:r>
      <w:r w:rsidR="00C67EC2" w:rsidRPr="002D7AF0">
        <w:t>Snoqualmie Falls Hydroelectric Redevelopment Project (Snoqualmie Project)</w:t>
      </w:r>
      <w:r w:rsidR="00C67EC2">
        <w:rPr>
          <w:rStyle w:val="FootnoteReference"/>
        </w:rPr>
        <w:footnoteReference w:id="1"/>
      </w:r>
      <w:r w:rsidR="00C67EC2">
        <w:t xml:space="preserve"> and Lower </w:t>
      </w:r>
      <w:r w:rsidR="00C67EC2" w:rsidRPr="002D7AF0">
        <w:t>Baker River Hydroelectric Project (Baker Project).</w:t>
      </w:r>
      <w:r w:rsidR="00C67EC2" w:rsidRPr="002D7AF0">
        <w:rPr>
          <w:rStyle w:val="FootnoteReference"/>
        </w:rPr>
        <w:footnoteReference w:id="2"/>
      </w:r>
    </w:p>
    <w:p w:rsidR="00ED2C66" w:rsidRPr="00F27E5A" w:rsidRDefault="00706ECB" w:rsidP="005161B7">
      <w:pPr>
        <w:pStyle w:val="Answer-Testimony"/>
        <w:ind w:firstLine="720"/>
      </w:pPr>
      <w:r>
        <w:t>I also i</w:t>
      </w:r>
      <w:r w:rsidR="00ED2C66">
        <w:t>ntroduce the remaining witnesses that provide testimony in this proceeding on behalf of Commission Staff</w:t>
      </w:r>
      <w:r w:rsidR="00B04DB2">
        <w:t xml:space="preserve"> and briefly summarize Staff’s position in each of the dockets</w:t>
      </w:r>
      <w:r w:rsidR="00ED2C66">
        <w:t>.</w:t>
      </w:r>
    </w:p>
    <w:p w:rsidR="000E7FDD" w:rsidRDefault="000E7FDD" w:rsidP="00E01C3C">
      <w:pPr>
        <w:pStyle w:val="Answer-Testimony"/>
      </w:pPr>
    </w:p>
    <w:p w:rsidR="00E01C3C" w:rsidRDefault="00E01C3C" w:rsidP="00E01C3C">
      <w:pPr>
        <w:pStyle w:val="Question-Testimony"/>
      </w:pPr>
      <w:r>
        <w:t>Q.</w:t>
      </w:r>
      <w:r>
        <w:tab/>
        <w:t>Please introduce the other Staff witnesses testifying in this proceeding and the</w:t>
      </w:r>
      <w:r w:rsidR="00C12EBD">
        <w:t xml:space="preserve"> </w:t>
      </w:r>
      <w:r>
        <w:t>subjects</w:t>
      </w:r>
      <w:r w:rsidR="00C12EBD">
        <w:t xml:space="preserve"> of their testimony</w:t>
      </w:r>
      <w:r>
        <w:t>.</w:t>
      </w:r>
    </w:p>
    <w:p w:rsidR="00E01C3C" w:rsidRDefault="00E01C3C" w:rsidP="00E01C3C">
      <w:pPr>
        <w:pStyle w:val="Answer-Testimony"/>
      </w:pPr>
      <w:r>
        <w:t>A.</w:t>
      </w:r>
      <w:r>
        <w:tab/>
        <w:t xml:space="preserve">The following witnesses present testimony and exhibits for </w:t>
      </w:r>
      <w:r w:rsidRPr="003A2606">
        <w:t>Staff</w:t>
      </w:r>
      <w:r>
        <w:t>:</w:t>
      </w:r>
    </w:p>
    <w:p w:rsidR="00E01C3C" w:rsidRPr="00F35E49" w:rsidRDefault="005161B7" w:rsidP="00B40253">
      <w:pPr>
        <w:pStyle w:val="Answer-Testimony"/>
        <w:numPr>
          <w:ilvl w:val="0"/>
          <w:numId w:val="6"/>
        </w:numPr>
      </w:pPr>
      <w:r w:rsidRPr="00A60640">
        <w:t>Mr. Edward J. Keating</w:t>
      </w:r>
      <w:r w:rsidR="00E01C3C" w:rsidRPr="00A60640">
        <w:t xml:space="preserve"> recommends</w:t>
      </w:r>
      <w:r w:rsidR="00A60640" w:rsidRPr="00A60640">
        <w:t xml:space="preserve"> a reduction in power supply expense of approximately $</w:t>
      </w:r>
      <w:r w:rsidR="00434894">
        <w:t>1.984</w:t>
      </w:r>
      <w:r w:rsidR="00A60640" w:rsidRPr="00A60640">
        <w:t xml:space="preserve"> million based on the removal of costs associated with the </w:t>
      </w:r>
      <w:r w:rsidR="00A60640" w:rsidRPr="00F35E49">
        <w:lastRenderedPageBreak/>
        <w:t xml:space="preserve">purchase of biogas from the Cedar Hills </w:t>
      </w:r>
      <w:r w:rsidR="00BF19CA">
        <w:t xml:space="preserve">Regional </w:t>
      </w:r>
      <w:r w:rsidR="00550B58">
        <w:t>Landfill F</w:t>
      </w:r>
      <w:r w:rsidR="00A60640" w:rsidRPr="00F35E49">
        <w:t>acility</w:t>
      </w:r>
      <w:r w:rsidR="00BF19CA">
        <w:t xml:space="preserve"> (Cedar Hills)</w:t>
      </w:r>
      <w:r w:rsidR="00A60640" w:rsidRPr="00F35E49">
        <w:t xml:space="preserve">. </w:t>
      </w:r>
      <w:r w:rsidR="00E01C3C" w:rsidRPr="00F35E49">
        <w:t xml:space="preserve"> He responds to Company witness </w:t>
      </w:r>
      <w:r w:rsidR="00A60640" w:rsidRPr="00F35E49">
        <w:t>David E. Mills</w:t>
      </w:r>
      <w:r w:rsidR="00E01C3C" w:rsidRPr="00F35E49">
        <w:t>.</w:t>
      </w:r>
    </w:p>
    <w:p w:rsidR="00F35E49" w:rsidRDefault="00E01C3C" w:rsidP="00F35E49">
      <w:pPr>
        <w:pStyle w:val="Answer-Testimony"/>
        <w:numPr>
          <w:ilvl w:val="0"/>
          <w:numId w:val="6"/>
        </w:numPr>
      </w:pPr>
      <w:r w:rsidRPr="00F35E49">
        <w:t xml:space="preserve">Ms. Juliana M. Williams </w:t>
      </w:r>
      <w:r w:rsidR="00F35E49" w:rsidRPr="00F35E49">
        <w:t xml:space="preserve">addresses the appropriate ratemaking treatment of pro forma rate base additions and prudence </w:t>
      </w:r>
      <w:r w:rsidR="00F35E49">
        <w:t xml:space="preserve">determination regarding PSE’s acquisition of the </w:t>
      </w:r>
      <w:r w:rsidR="00F35E49" w:rsidRPr="0022371F">
        <w:t>Ferndale Generating Station (Ferndale</w:t>
      </w:r>
      <w:r w:rsidR="00DE7D41">
        <w:t xml:space="preserve"> Plant</w:t>
      </w:r>
      <w:r w:rsidR="00F35E49" w:rsidRPr="0022371F">
        <w:t>)</w:t>
      </w:r>
      <w:r w:rsidR="00F35E49">
        <w:t xml:space="preserve">; upgrades to the </w:t>
      </w:r>
      <w:r w:rsidR="00496E06" w:rsidRPr="002D7AF0">
        <w:t>Snoqualmie Project</w:t>
      </w:r>
      <w:r w:rsidR="00496E06">
        <w:t>;</w:t>
      </w:r>
      <w:r w:rsidR="00F35E49">
        <w:t xml:space="preserve"> and </w:t>
      </w:r>
      <w:r w:rsidR="00F35E49" w:rsidRPr="0022371F">
        <w:t xml:space="preserve">the </w:t>
      </w:r>
      <w:r w:rsidR="00F35E49">
        <w:t>addition of a generator and other equipment for the</w:t>
      </w:r>
      <w:r w:rsidR="00C67EC2">
        <w:t xml:space="preserve"> </w:t>
      </w:r>
      <w:r w:rsidR="00496E06" w:rsidRPr="002D7AF0">
        <w:t>Baker Project.</w:t>
      </w:r>
      <w:r w:rsidR="00496E06" w:rsidRPr="002D7AF0">
        <w:rPr>
          <w:rStyle w:val="FootnoteReference"/>
        </w:rPr>
        <w:footnoteReference w:id="3"/>
      </w:r>
      <w:r w:rsidR="00F35E49">
        <w:t xml:space="preserve">  She responds to Company’s </w:t>
      </w:r>
      <w:r w:rsidR="00F35E49" w:rsidRPr="00955499">
        <w:t>witnesses</w:t>
      </w:r>
      <w:r w:rsidR="007E1217">
        <w:t xml:space="preserve"> </w:t>
      </w:r>
      <w:r w:rsidR="00F35E49" w:rsidRPr="00955499">
        <w:t>David E. Mills, Roger Garratt, Michael Mullally, Aliza Seelig</w:t>
      </w:r>
      <w:r w:rsidR="007E1217">
        <w:t>,</w:t>
      </w:r>
      <w:r w:rsidR="00F35E49" w:rsidRPr="00955499">
        <w:t xml:space="preserve"> Roger Garratt, Paul K. Wetherbee, Douglas S. Loreen, and Katherine J. Barnard.</w:t>
      </w:r>
    </w:p>
    <w:p w:rsidR="00E01C3C" w:rsidRPr="001807F5" w:rsidRDefault="00E01C3C" w:rsidP="001807F5">
      <w:pPr>
        <w:pStyle w:val="Answer-Testimony"/>
        <w:numPr>
          <w:ilvl w:val="0"/>
          <w:numId w:val="6"/>
        </w:numPr>
      </w:pPr>
      <w:r w:rsidRPr="001807F5">
        <w:t xml:space="preserve">Mr. David C. Gomez presents recommendations on the treatment of net power costs including adjustments related to </w:t>
      </w:r>
      <w:r w:rsidR="00647E7F" w:rsidRPr="001807F5">
        <w:t>purchase</w:t>
      </w:r>
      <w:r w:rsidRPr="001807F5">
        <w:t xml:space="preserve"> power</w:t>
      </w:r>
      <w:r w:rsidR="001807F5" w:rsidRPr="001807F5">
        <w:t xml:space="preserve"> that removes the costs associated with the Electron PPA and replaces it with AURORA modeled Mid-C Flat prices.  </w:t>
      </w:r>
      <w:r w:rsidRPr="001807F5">
        <w:t xml:space="preserve">He also recommends that the </w:t>
      </w:r>
      <w:r w:rsidR="001807F5" w:rsidRPr="001807F5">
        <w:t>Commission approve the sale and transfer of the Electron project to Electron Hydro LLC,</w:t>
      </w:r>
      <w:r w:rsidR="0070133D">
        <w:rPr>
          <w:rStyle w:val="FootnoteReference"/>
        </w:rPr>
        <w:footnoteReference w:id="4"/>
      </w:r>
      <w:r w:rsidR="001807F5" w:rsidRPr="001807F5">
        <w:t xml:space="preserve"> with conditions</w:t>
      </w:r>
      <w:r w:rsidR="008D0A38">
        <w:t>.  H</w:t>
      </w:r>
      <w:r w:rsidR="001807F5" w:rsidRPr="001807F5">
        <w:t>e does not support the Company’s proposed ratemaking and accounting treatment as the sale has not closed and a decision on such treatment is premature</w:t>
      </w:r>
      <w:r w:rsidR="00DE7D41">
        <w:t>.  I</w:t>
      </w:r>
      <w:r w:rsidR="008D0A38">
        <w:t>nstead</w:t>
      </w:r>
      <w:r w:rsidR="00DE7D41">
        <w:t>,</w:t>
      </w:r>
      <w:r w:rsidR="008D0A38">
        <w:t xml:space="preserve"> he recommends that the Electron plant stay in rate base until the sale is formalized</w:t>
      </w:r>
      <w:r w:rsidR="001807F5" w:rsidRPr="001807F5">
        <w:t xml:space="preserve">.  </w:t>
      </w:r>
      <w:r w:rsidRPr="001807F5">
        <w:t>His testimony responds to Company witness</w:t>
      </w:r>
      <w:r w:rsidR="001807F5">
        <w:t xml:space="preserve">es Tom </w:t>
      </w:r>
      <w:r w:rsidR="00F05806">
        <w:t xml:space="preserve">A. </w:t>
      </w:r>
      <w:r w:rsidR="001807F5">
        <w:t xml:space="preserve">DeBoer, David </w:t>
      </w:r>
      <w:r w:rsidR="00F05806">
        <w:t xml:space="preserve">E. </w:t>
      </w:r>
      <w:r w:rsidR="001807F5">
        <w:t xml:space="preserve">Mills, </w:t>
      </w:r>
      <w:r w:rsidR="001807F5" w:rsidRPr="00955499">
        <w:t>Paul K. Wetherbee</w:t>
      </w:r>
      <w:r w:rsidR="001807F5">
        <w:t>, and Matthew</w:t>
      </w:r>
      <w:r w:rsidR="00F05806">
        <w:t xml:space="preserve"> D.</w:t>
      </w:r>
      <w:r w:rsidR="001807F5">
        <w:t xml:space="preserve"> Rarity.</w:t>
      </w:r>
    </w:p>
    <w:p w:rsidR="00F87D75" w:rsidRPr="00647E7F" w:rsidRDefault="00F87D75" w:rsidP="00B40253">
      <w:pPr>
        <w:pStyle w:val="Answer-Testimony"/>
        <w:numPr>
          <w:ilvl w:val="0"/>
          <w:numId w:val="6"/>
        </w:numPr>
      </w:pPr>
      <w:r w:rsidRPr="00647E7F">
        <w:t>Ms. Joanna Huang presents testimony</w:t>
      </w:r>
      <w:r w:rsidR="00CE0669" w:rsidRPr="00647E7F">
        <w:t xml:space="preserve"> and a recommendation</w:t>
      </w:r>
      <w:r w:rsidRPr="00647E7F">
        <w:t xml:space="preserve"> </w:t>
      </w:r>
      <w:r w:rsidR="00280138" w:rsidRPr="00647E7F">
        <w:t xml:space="preserve">in response to the Company’s </w:t>
      </w:r>
      <w:r w:rsidR="000737AF" w:rsidRPr="00647E7F">
        <w:t xml:space="preserve">petition asking for an order authorizing the transfer of the purchased </w:t>
      </w:r>
      <w:r w:rsidR="000737AF" w:rsidRPr="00647E7F">
        <w:lastRenderedPageBreak/>
        <w:t xml:space="preserve">assets and its </w:t>
      </w:r>
      <w:r w:rsidR="00280138" w:rsidRPr="00647E7F">
        <w:t>accounting treatment for the balance of the regulatory asset associated with the BPA substation loan that was assigned to</w:t>
      </w:r>
      <w:r w:rsidR="007C3E31">
        <w:t xml:space="preserve"> Phase 2 of the</w:t>
      </w:r>
      <w:r w:rsidR="00280138" w:rsidRPr="00647E7F">
        <w:t xml:space="preserve"> </w:t>
      </w:r>
      <w:r w:rsidR="00CE0669" w:rsidRPr="00647E7F">
        <w:t>Lower Snake River</w:t>
      </w:r>
      <w:r w:rsidR="007C3E31">
        <w:t xml:space="preserve"> Wind Project (LSR Phase 2)</w:t>
      </w:r>
      <w:r w:rsidRPr="00647E7F">
        <w:t>.</w:t>
      </w:r>
      <w:r w:rsidR="000737AF" w:rsidRPr="00647E7F">
        <w:rPr>
          <w:rStyle w:val="FootnoteReference"/>
        </w:rPr>
        <w:footnoteReference w:id="5"/>
      </w:r>
    </w:p>
    <w:p w:rsidR="00E01C3C" w:rsidRPr="00647E7F" w:rsidRDefault="00E01C3C" w:rsidP="00A956B6">
      <w:pPr>
        <w:pStyle w:val="Answer-Testimony"/>
      </w:pPr>
    </w:p>
    <w:p w:rsidR="00A956B6" w:rsidRPr="00F27E5A" w:rsidRDefault="00A956B6" w:rsidP="00A956B6">
      <w:pPr>
        <w:pStyle w:val="Question-Testimony"/>
      </w:pPr>
      <w:r w:rsidRPr="00F27E5A">
        <w:t>Q.</w:t>
      </w:r>
      <w:r w:rsidRPr="00F27E5A">
        <w:tab/>
        <w:t xml:space="preserve">Please </w:t>
      </w:r>
      <w:r w:rsidR="00C12EBD">
        <w:t xml:space="preserve">briefly describe the Power Cost Rate and </w:t>
      </w:r>
      <w:r w:rsidR="007C0C65">
        <w:t>its</w:t>
      </w:r>
      <w:r w:rsidR="00C12EBD">
        <w:t xml:space="preserve"> role in setting rates</w:t>
      </w:r>
      <w:r w:rsidRPr="00F27E5A">
        <w:t>.</w:t>
      </w:r>
    </w:p>
    <w:p w:rsidR="008C0C3A" w:rsidRPr="00B04DB2" w:rsidRDefault="00A956B6" w:rsidP="009C5027">
      <w:pPr>
        <w:pStyle w:val="Answer-Testimony"/>
      </w:pPr>
      <w:r w:rsidRPr="00F27E5A">
        <w:t>A.</w:t>
      </w:r>
      <w:r w:rsidRPr="00F27E5A">
        <w:tab/>
      </w:r>
      <w:r w:rsidR="00A51A1A" w:rsidRPr="00265113">
        <w:t xml:space="preserve">The </w:t>
      </w:r>
      <w:r w:rsidR="007C0C65">
        <w:t xml:space="preserve">Power Cost Rate </w:t>
      </w:r>
      <w:r w:rsidR="00A51A1A" w:rsidRPr="00265113">
        <w:t xml:space="preserve">is </w:t>
      </w:r>
      <w:r w:rsidR="002700B0">
        <w:t>a</w:t>
      </w:r>
      <w:r w:rsidR="00A51A1A" w:rsidRPr="00265113">
        <w:t xml:space="preserve"> product of PSE’s 2001 </w:t>
      </w:r>
      <w:r w:rsidR="00F320E8">
        <w:t>GRC</w:t>
      </w:r>
      <w:r w:rsidR="003D098D">
        <w:t xml:space="preserve">, </w:t>
      </w:r>
      <w:r w:rsidR="00C12EBD">
        <w:t xml:space="preserve">in </w:t>
      </w:r>
      <w:r w:rsidR="005101C0">
        <w:t xml:space="preserve">which </w:t>
      </w:r>
      <w:r w:rsidR="00C12EBD">
        <w:t xml:space="preserve">the Commission </w:t>
      </w:r>
      <w:r w:rsidR="003D098D" w:rsidRPr="00265113">
        <w:t xml:space="preserve">approved the parties’ </w:t>
      </w:r>
      <w:r w:rsidR="003D098D" w:rsidRPr="005101C0">
        <w:rPr>
          <w:i/>
        </w:rPr>
        <w:t>Settlement Stipulation for Electric and Common Issues</w:t>
      </w:r>
      <w:r w:rsidR="003D098D">
        <w:t xml:space="preserve"> </w:t>
      </w:r>
      <w:r w:rsidR="003D098D" w:rsidRPr="00265113">
        <w:t>(Settlement Stipulation)</w:t>
      </w:r>
      <w:r w:rsidR="00C12EBD">
        <w:t>.</w:t>
      </w:r>
      <w:r w:rsidR="005101C0">
        <w:rPr>
          <w:rStyle w:val="FootnoteReference"/>
        </w:rPr>
        <w:footnoteReference w:id="6"/>
      </w:r>
      <w:r w:rsidR="005101C0">
        <w:t xml:space="preserve"> </w:t>
      </w:r>
      <w:r w:rsidR="00C12EBD">
        <w:t xml:space="preserve"> </w:t>
      </w:r>
      <w:r w:rsidR="002700B0">
        <w:t xml:space="preserve">In that case, </w:t>
      </w:r>
      <w:r w:rsidR="00C12EBD">
        <w:t>the Commission</w:t>
      </w:r>
      <w:r w:rsidR="005101C0">
        <w:t xml:space="preserve"> </w:t>
      </w:r>
      <w:r w:rsidR="005101C0" w:rsidRPr="00265113">
        <w:t xml:space="preserve">authorized the use of a Power Cost Adjustment Mechanism (PCA) as a method for adjusting PSE’s power </w:t>
      </w:r>
      <w:r w:rsidR="005101C0" w:rsidRPr="00B04DB2">
        <w:t>costs.</w:t>
      </w:r>
      <w:r w:rsidR="00C12EBD" w:rsidRPr="00B04DB2">
        <w:t xml:space="preserve">  The </w:t>
      </w:r>
      <w:r w:rsidR="007C0C65" w:rsidRPr="00B04DB2">
        <w:t>Power Cost Rate</w:t>
      </w:r>
      <w:r w:rsidR="00C12EBD" w:rsidRPr="00B04DB2">
        <w:t xml:space="preserve"> is </w:t>
      </w:r>
      <w:r w:rsidR="002700B0" w:rsidRPr="00B04DB2">
        <w:t xml:space="preserve">the </w:t>
      </w:r>
      <w:r w:rsidR="006B68B7" w:rsidRPr="00B04DB2">
        <w:t xml:space="preserve">baseline rate </w:t>
      </w:r>
      <w:r w:rsidR="002700B0" w:rsidRPr="00B04DB2">
        <w:t xml:space="preserve">used </w:t>
      </w:r>
      <w:r w:rsidR="006B68B7" w:rsidRPr="00B04DB2">
        <w:t>to determine the deferrals under the PCA</w:t>
      </w:r>
      <w:r w:rsidR="00C12EBD" w:rsidRPr="00B04DB2">
        <w:t>.</w:t>
      </w:r>
    </w:p>
    <w:p w:rsidR="008E1705" w:rsidRPr="00B04DB2" w:rsidRDefault="008E1705" w:rsidP="008E1705">
      <w:pPr>
        <w:pStyle w:val="Answer-Testimony"/>
      </w:pPr>
    </w:p>
    <w:p w:rsidR="008E1705" w:rsidRPr="00D701B0" w:rsidRDefault="008E1705" w:rsidP="008E1705">
      <w:pPr>
        <w:pStyle w:val="Question-Testimony"/>
      </w:pPr>
      <w:r w:rsidRPr="00B04DB2">
        <w:t>Q.</w:t>
      </w:r>
      <w:r w:rsidRPr="00B04DB2">
        <w:tab/>
        <w:t>Please briefly summarize Staff’s position in Docket UE-130</w:t>
      </w:r>
      <w:r>
        <w:t>617</w:t>
      </w:r>
      <w:r w:rsidRPr="00B04DB2">
        <w:t xml:space="preserve">, PSE’s </w:t>
      </w:r>
      <w:r w:rsidR="002440EA">
        <w:t xml:space="preserve">Power Cost </w:t>
      </w:r>
      <w:r w:rsidR="002440EA" w:rsidRPr="00D701B0">
        <w:t>Only Rate Case (</w:t>
      </w:r>
      <w:r w:rsidRPr="00D701B0">
        <w:t>PCORC</w:t>
      </w:r>
      <w:r w:rsidR="002440EA" w:rsidRPr="00D701B0">
        <w:t>)</w:t>
      </w:r>
      <w:r w:rsidRPr="00D701B0">
        <w:t>.</w:t>
      </w:r>
    </w:p>
    <w:p w:rsidR="006A25EC" w:rsidRPr="00D701B0" w:rsidRDefault="008E1705" w:rsidP="008E1705">
      <w:pPr>
        <w:pStyle w:val="Answer-Testimony"/>
      </w:pPr>
      <w:r w:rsidRPr="00D701B0">
        <w:t>A.</w:t>
      </w:r>
      <w:r w:rsidRPr="00D701B0">
        <w:tab/>
        <w:t>Staff’s position</w:t>
      </w:r>
      <w:r w:rsidR="002440EA" w:rsidRPr="00D701B0">
        <w:t>, reflects the known and available information, results in a decrease in revenue requirement by $</w:t>
      </w:r>
      <w:r w:rsidR="00C67EC2">
        <w:t>15,775</w:t>
      </w:r>
      <w:r w:rsidR="002440EA" w:rsidRPr="00D701B0">
        <w:t>,</w:t>
      </w:r>
      <w:r w:rsidR="00C67EC2">
        <w:t>123</w:t>
      </w:r>
      <w:r w:rsidR="002440EA" w:rsidRPr="00D701B0">
        <w:t>, resulting in a decrease in the Power Cost Rate from $64.099 to $6</w:t>
      </w:r>
      <w:r w:rsidR="00C67EC2">
        <w:t>3</w:t>
      </w:r>
      <w:r w:rsidR="002440EA" w:rsidRPr="00D701B0">
        <w:t>.</w:t>
      </w:r>
      <w:r w:rsidR="00C67EC2">
        <w:t>345</w:t>
      </w:r>
      <w:r w:rsidR="002440EA" w:rsidRPr="00D701B0">
        <w:t xml:space="preserve"> per MWh.  This change in rates results in an average decrease of approximately </w:t>
      </w:r>
      <w:r w:rsidR="00C67EC2">
        <w:t>0</w:t>
      </w:r>
      <w:r w:rsidR="002440EA" w:rsidRPr="00D701B0">
        <w:t>.</w:t>
      </w:r>
      <w:r w:rsidR="00C67EC2">
        <w:t>7</w:t>
      </w:r>
      <w:r w:rsidR="00ED6552" w:rsidRPr="00D701B0">
        <w:t>7</w:t>
      </w:r>
      <w:r w:rsidR="002440EA" w:rsidRPr="00D701B0">
        <w:t>%.</w:t>
      </w:r>
    </w:p>
    <w:p w:rsidR="008E1705" w:rsidRPr="00D701B0" w:rsidRDefault="008E1705" w:rsidP="008E1705">
      <w:pPr>
        <w:pStyle w:val="Answer-Testimony"/>
      </w:pPr>
    </w:p>
    <w:p w:rsidR="006A25EC" w:rsidRPr="00B04DB2" w:rsidRDefault="006A25EC" w:rsidP="006A25EC">
      <w:pPr>
        <w:pStyle w:val="Question-Testimony"/>
      </w:pPr>
      <w:r w:rsidRPr="00B04DB2">
        <w:t>Q.</w:t>
      </w:r>
      <w:r w:rsidRPr="00B04DB2">
        <w:tab/>
        <w:t>Please briefly</w:t>
      </w:r>
      <w:r w:rsidR="00E521AC" w:rsidRPr="00B04DB2">
        <w:t xml:space="preserve"> summarize Staff’s position in Docket UE-130583</w:t>
      </w:r>
      <w:r w:rsidR="00B04DB2" w:rsidRPr="00B04DB2">
        <w:t>, PSE’s petition for an accounting order regarding major maintenance</w:t>
      </w:r>
      <w:r w:rsidRPr="00B04DB2">
        <w:t>.</w:t>
      </w:r>
    </w:p>
    <w:p w:rsidR="006A25EC" w:rsidRPr="00B04DB2" w:rsidRDefault="006A25EC" w:rsidP="006A25EC">
      <w:pPr>
        <w:pStyle w:val="Answer-Testimony"/>
      </w:pPr>
      <w:r w:rsidRPr="00B04DB2">
        <w:lastRenderedPageBreak/>
        <w:t>A.</w:t>
      </w:r>
      <w:r w:rsidRPr="00B04DB2">
        <w:tab/>
      </w:r>
      <w:r w:rsidR="00B04DB2" w:rsidRPr="00B04DB2">
        <w:t>Staff’s position i</w:t>
      </w:r>
      <w:r w:rsidR="000A353A">
        <w:t>s</w:t>
      </w:r>
      <w:r w:rsidR="00B04DB2" w:rsidRPr="00B04DB2">
        <w:t xml:space="preserve"> that the Commission should deny the Company’s petition and require PSE to follow an acceptable method of accounting under GAAP, such as amortize the costs of a major maintenance event over the three years following the time of that event.  I testify to Staff’s position on this issue in Section I</w:t>
      </w:r>
      <w:r w:rsidR="00C67EC2">
        <w:t>II</w:t>
      </w:r>
      <w:r w:rsidR="00B04DB2" w:rsidRPr="00B04DB2">
        <w:t>.B.</w:t>
      </w:r>
    </w:p>
    <w:p w:rsidR="006A25EC" w:rsidRPr="00EF5F3D" w:rsidRDefault="006A25EC" w:rsidP="006A25EC">
      <w:pPr>
        <w:pStyle w:val="Answer-Testimony"/>
      </w:pPr>
    </w:p>
    <w:p w:rsidR="006A25EC" w:rsidRPr="00EF5F3D" w:rsidRDefault="006A25EC" w:rsidP="006A25EC">
      <w:pPr>
        <w:pStyle w:val="Question-Testimony"/>
      </w:pPr>
      <w:r w:rsidRPr="00EF5F3D">
        <w:t>Q.</w:t>
      </w:r>
      <w:r w:rsidRPr="00EF5F3D">
        <w:tab/>
        <w:t xml:space="preserve">Please briefly </w:t>
      </w:r>
      <w:r w:rsidR="00E521AC" w:rsidRPr="00EF5F3D">
        <w:t>summarize Staff’s position in Docket UE-</w:t>
      </w:r>
      <w:r w:rsidR="003B2B97" w:rsidRPr="00EF5F3D">
        <w:t>131099</w:t>
      </w:r>
      <w:r w:rsidR="00E521AC" w:rsidRPr="00EF5F3D">
        <w:t>, PSE’s petition regarding the sale of the Electron Project.</w:t>
      </w:r>
    </w:p>
    <w:p w:rsidR="006A25EC" w:rsidRPr="00EF5F3D" w:rsidRDefault="006A25EC" w:rsidP="006A25EC">
      <w:pPr>
        <w:pStyle w:val="Answer-Testimony"/>
      </w:pPr>
      <w:r w:rsidRPr="00EF5F3D">
        <w:t>A.</w:t>
      </w:r>
      <w:r w:rsidRPr="00EF5F3D">
        <w:tab/>
      </w:r>
      <w:r w:rsidR="00E521AC" w:rsidRPr="00EF5F3D">
        <w:t>Staff’s position is that the Commission should approve the transfer of property as in the public interest</w:t>
      </w:r>
      <w:r w:rsidR="004E343E">
        <w:t>, but only if the sale is consummated according to the terms of the Asset Purchase Agreement as filed by the Company in its application.</w:t>
      </w:r>
      <w:r w:rsidR="00E521AC" w:rsidRPr="00E521AC">
        <w:rPr>
          <w:color w:val="FF0000"/>
        </w:rPr>
        <w:t xml:space="preserve">  </w:t>
      </w:r>
      <w:r w:rsidR="00E521AC" w:rsidRPr="00EF5F3D">
        <w:t>Mr. Gomez testifies to Staff’s position on this issue</w:t>
      </w:r>
      <w:r w:rsidR="003B2B97" w:rsidRPr="00EF5F3D">
        <w:t xml:space="preserve"> and explains how the sale is in the public interest.</w:t>
      </w:r>
    </w:p>
    <w:p w:rsidR="006A25EC" w:rsidRPr="00EF5F3D" w:rsidRDefault="006A25EC" w:rsidP="006A25EC">
      <w:pPr>
        <w:pStyle w:val="Answer-Testimony"/>
      </w:pPr>
    </w:p>
    <w:p w:rsidR="006A25EC" w:rsidRPr="00F27E5A" w:rsidRDefault="006A25EC" w:rsidP="006A25EC">
      <w:pPr>
        <w:pStyle w:val="Question-Testimony"/>
      </w:pPr>
      <w:r w:rsidRPr="00F27E5A">
        <w:t>Q.</w:t>
      </w:r>
      <w:r w:rsidRPr="00F27E5A">
        <w:tab/>
        <w:t xml:space="preserve">Please </w:t>
      </w:r>
      <w:r>
        <w:t>briefly summarize Staff’s position in Docket UE-131230, regarding the accounting and ratemaking treatment of PSE’s sale of Bonneville Power Administration (BPA) Transmission Service Credits to Portland General Electric (PGE)</w:t>
      </w:r>
      <w:r w:rsidRPr="00F27E5A">
        <w:t>.</w:t>
      </w:r>
    </w:p>
    <w:p w:rsidR="006A25EC" w:rsidRDefault="006A25EC" w:rsidP="006A25EC">
      <w:pPr>
        <w:pStyle w:val="Answer-Testimony"/>
      </w:pPr>
      <w:r w:rsidRPr="00F27E5A">
        <w:t>A.</w:t>
      </w:r>
      <w:r w:rsidRPr="00F27E5A">
        <w:tab/>
      </w:r>
      <w:r>
        <w:t xml:space="preserve">Staff’s position is that the Commission should reduce the principal balance of </w:t>
      </w:r>
      <w:r w:rsidR="000A353A">
        <w:t xml:space="preserve">PSE’s </w:t>
      </w:r>
      <w:r>
        <w:t xml:space="preserve">$99.8 million </w:t>
      </w:r>
      <w:r w:rsidR="000A353A">
        <w:t xml:space="preserve">regulatory asset associated with a prepayment to BPA </w:t>
      </w:r>
      <w:r>
        <w:t xml:space="preserve">by $20.5 million, and reduce the balance of </w:t>
      </w:r>
      <w:r w:rsidR="000A353A">
        <w:t xml:space="preserve">PSE’s regulatory asset associated with </w:t>
      </w:r>
      <w:r>
        <w:t xml:space="preserve">accrued carrying charges </w:t>
      </w:r>
      <w:r w:rsidR="000A353A">
        <w:t xml:space="preserve">on that $99.8 million prepayment </w:t>
      </w:r>
      <w:r>
        <w:t xml:space="preserve">by approximately $3.566 million.  Ms. Huang testifies to Staff’s position on this issue and explains </w:t>
      </w:r>
      <w:r w:rsidR="003B2B97">
        <w:t>t</w:t>
      </w:r>
      <w:r w:rsidR="00A97DF1">
        <w:t xml:space="preserve">hese </w:t>
      </w:r>
      <w:r w:rsidR="003B2B97">
        <w:t>reductions</w:t>
      </w:r>
      <w:r w:rsidR="00A97DF1">
        <w:t>.</w:t>
      </w:r>
    </w:p>
    <w:p w:rsidR="006A25EC" w:rsidRDefault="006A25EC" w:rsidP="006A25EC">
      <w:pPr>
        <w:pStyle w:val="Answer-Testimony"/>
      </w:pPr>
    </w:p>
    <w:p w:rsidR="00C12EBD" w:rsidRPr="00F27E5A" w:rsidRDefault="00C12EBD" w:rsidP="00C12EBD">
      <w:pPr>
        <w:pStyle w:val="Question-Testimony"/>
      </w:pPr>
      <w:r w:rsidRPr="00F27E5A">
        <w:lastRenderedPageBreak/>
        <w:t>Q.</w:t>
      </w:r>
      <w:r w:rsidRPr="00F27E5A">
        <w:tab/>
        <w:t xml:space="preserve">Please </w:t>
      </w:r>
      <w:r w:rsidR="00F64191">
        <w:t>explain how the rest of your testimony is organized</w:t>
      </w:r>
      <w:r w:rsidRPr="00F27E5A">
        <w:t>.</w:t>
      </w:r>
    </w:p>
    <w:p w:rsidR="0073589A" w:rsidRDefault="00C12EBD" w:rsidP="00FB0CB3">
      <w:pPr>
        <w:pStyle w:val="Answer-Testimony"/>
      </w:pPr>
      <w:r>
        <w:t>A.</w:t>
      </w:r>
      <w:r>
        <w:tab/>
      </w:r>
      <w:r w:rsidR="00093E0F">
        <w:t xml:space="preserve">In Section III of my testimony, </w:t>
      </w:r>
      <w:r w:rsidR="0073589A">
        <w:t xml:space="preserve">I discuss issues that affect the various ratemaking adjustments </w:t>
      </w:r>
      <w:r w:rsidR="002B6696">
        <w:t>presented</w:t>
      </w:r>
      <w:r w:rsidR="0073589A">
        <w:t xml:space="preserve"> in Section </w:t>
      </w:r>
      <w:r w:rsidR="00C67EC2">
        <w:t>I</w:t>
      </w:r>
      <w:r w:rsidR="0073589A">
        <w:t xml:space="preserve">V.  Those issues include:  (1) appropriate handling of assets and expenses for the rate year compared to the test year or last GRC; (2) treatment of planned major </w:t>
      </w:r>
      <w:r w:rsidR="0073589A" w:rsidRPr="00413A7E">
        <w:rPr>
          <w:rFonts w:eastAsia="Calibri"/>
        </w:rPr>
        <w:t>maintenance</w:t>
      </w:r>
      <w:r w:rsidR="0073589A" w:rsidRPr="0019115F">
        <w:rPr>
          <w:rFonts w:eastAsia="Calibri"/>
        </w:rPr>
        <w:t>;</w:t>
      </w:r>
      <w:r w:rsidR="0073589A" w:rsidRPr="0019115F">
        <w:t xml:space="preserve"> (</w:t>
      </w:r>
      <w:r w:rsidR="0073589A">
        <w:t>3</w:t>
      </w:r>
      <w:r w:rsidR="0073589A" w:rsidRPr="0019115F">
        <w:t>) treatment of hydro production O&amp;M</w:t>
      </w:r>
      <w:r w:rsidR="0073589A">
        <w:rPr>
          <w:rFonts w:eastAsia="Calibri"/>
        </w:rPr>
        <w:t>; and (4</w:t>
      </w:r>
      <w:r w:rsidR="0073589A" w:rsidRPr="0019115F">
        <w:rPr>
          <w:rFonts w:eastAsia="Calibri"/>
        </w:rPr>
        <w:t xml:space="preserve">) proper </w:t>
      </w:r>
      <w:r w:rsidR="0073589A" w:rsidRPr="00413A7E">
        <w:rPr>
          <w:rFonts w:eastAsia="Calibri"/>
        </w:rPr>
        <w:t xml:space="preserve">treatment of </w:t>
      </w:r>
      <w:r w:rsidR="0073589A">
        <w:rPr>
          <w:rFonts w:eastAsia="Calibri"/>
        </w:rPr>
        <w:t xml:space="preserve">the </w:t>
      </w:r>
      <w:r w:rsidR="0073589A">
        <w:t xml:space="preserve">Treasury </w:t>
      </w:r>
      <w:r w:rsidR="0073589A" w:rsidRPr="002B3012">
        <w:t>Grant</w:t>
      </w:r>
      <w:r w:rsidR="0073589A">
        <w:t>s</w:t>
      </w:r>
      <w:r w:rsidR="00C67EC2">
        <w:t xml:space="preserve"> for </w:t>
      </w:r>
      <w:r w:rsidR="00C67EC2" w:rsidRPr="002D7AF0">
        <w:t>Snoqualmie Project</w:t>
      </w:r>
      <w:r w:rsidR="00C67EC2">
        <w:t xml:space="preserve"> and Baker Project</w:t>
      </w:r>
      <w:r w:rsidR="0073589A">
        <w:t>.</w:t>
      </w:r>
    </w:p>
    <w:p w:rsidR="00420C37" w:rsidRDefault="00093E0F" w:rsidP="00A51A1A">
      <w:pPr>
        <w:pStyle w:val="Answer-Testimony"/>
        <w:ind w:firstLine="720"/>
        <w:rPr>
          <w:color w:val="FF0000"/>
        </w:rPr>
      </w:pPr>
      <w:r w:rsidRPr="00EF2A23">
        <w:t xml:space="preserve">In Section </w:t>
      </w:r>
      <w:r w:rsidR="00C67EC2">
        <w:t>I</w:t>
      </w:r>
      <w:r w:rsidRPr="00EF2A23">
        <w:t xml:space="preserve">V, I </w:t>
      </w:r>
      <w:r w:rsidR="001500E4" w:rsidRPr="00EF2A23">
        <w:t>present</w:t>
      </w:r>
      <w:r w:rsidRPr="00EF2A23">
        <w:t xml:space="preserve"> </w:t>
      </w:r>
      <w:r w:rsidR="00DA5FEE">
        <w:t xml:space="preserve">the uncontested and contested </w:t>
      </w:r>
      <w:r w:rsidRPr="00EF2A23">
        <w:t xml:space="preserve">ratemaking adjustments recommended by Staff to develop the </w:t>
      </w:r>
      <w:r w:rsidR="007C0C65">
        <w:t>Power Cost Rate</w:t>
      </w:r>
      <w:r w:rsidRPr="00EF2A23">
        <w:t>.</w:t>
      </w:r>
    </w:p>
    <w:p w:rsidR="008C0C3A" w:rsidRDefault="008C0C3A" w:rsidP="00A51A1A">
      <w:pPr>
        <w:pStyle w:val="Answer-Testimony"/>
        <w:ind w:firstLine="720"/>
      </w:pPr>
      <w:r w:rsidRPr="00EF2A23">
        <w:t xml:space="preserve">In Section V, I </w:t>
      </w:r>
      <w:r w:rsidR="00BF0E7E">
        <w:t xml:space="preserve">describe the </w:t>
      </w:r>
      <w:r w:rsidRPr="00EF2A23">
        <w:t>impact of the adjustments in Sections I</w:t>
      </w:r>
      <w:r w:rsidR="00C67EC2">
        <w:t>II</w:t>
      </w:r>
      <w:r w:rsidRPr="00EF2A23">
        <w:t xml:space="preserve"> and </w:t>
      </w:r>
      <w:r w:rsidR="00C67EC2">
        <w:t>I</w:t>
      </w:r>
      <w:r w:rsidRPr="00EF2A23">
        <w:t xml:space="preserve">V on the Power Cost Rate.  </w:t>
      </w:r>
      <w:r w:rsidR="00BF0E7E">
        <w:t xml:space="preserve">I </w:t>
      </w:r>
      <w:r w:rsidR="00003705">
        <w:t xml:space="preserve">also </w:t>
      </w:r>
      <w:r w:rsidR="00BF0E7E">
        <w:t xml:space="preserve">allocate the </w:t>
      </w:r>
      <w:r w:rsidRPr="00EF2A23">
        <w:t xml:space="preserve">costs between </w:t>
      </w:r>
      <w:r w:rsidRPr="003965AB">
        <w:t>fixed and variable, and the total costs are adjusted for revenue sensitive items.</w:t>
      </w:r>
    </w:p>
    <w:p w:rsidR="006437EC" w:rsidRDefault="00B94B95" w:rsidP="00EF2A23">
      <w:pPr>
        <w:pStyle w:val="Answer-Testimony"/>
        <w:ind w:firstLine="720"/>
      </w:pPr>
      <w:r>
        <w:t xml:space="preserve">In </w:t>
      </w:r>
      <w:r w:rsidR="00EF2A23">
        <w:t xml:space="preserve">Section VI, </w:t>
      </w:r>
      <w:r w:rsidR="00F2746B">
        <w:t xml:space="preserve">I provide </w:t>
      </w:r>
      <w:r w:rsidR="00782819">
        <w:t xml:space="preserve">Staff’s recommendation for both </w:t>
      </w:r>
      <w:r w:rsidR="006437EC" w:rsidRPr="00F27E5A">
        <w:t>r</w:t>
      </w:r>
      <w:r w:rsidR="007B06B2" w:rsidRPr="00F27E5A">
        <w:t xml:space="preserve">evenue </w:t>
      </w:r>
      <w:r w:rsidR="00601A03" w:rsidRPr="00F27E5A">
        <w:t>allocation</w:t>
      </w:r>
      <w:r w:rsidR="00782819">
        <w:t xml:space="preserve"> and rate design are</w:t>
      </w:r>
      <w:r w:rsidR="00601A03" w:rsidRPr="00F27E5A">
        <w:t xml:space="preserve"> c</w:t>
      </w:r>
      <w:r w:rsidR="006437EC" w:rsidRPr="00F27E5A">
        <w:t xml:space="preserve">onsistent </w:t>
      </w:r>
      <w:r w:rsidR="0051706A" w:rsidRPr="00F27E5A">
        <w:t>with</w:t>
      </w:r>
      <w:r w:rsidR="00323672">
        <w:t xml:space="preserve"> the</w:t>
      </w:r>
      <w:r w:rsidR="0051706A" w:rsidRPr="00F27E5A">
        <w:t xml:space="preserve"> </w:t>
      </w:r>
      <w:r w:rsidR="005101C0">
        <w:t>S</w:t>
      </w:r>
      <w:r w:rsidR="00C41504">
        <w:t xml:space="preserve">ettlement </w:t>
      </w:r>
      <w:r w:rsidR="005101C0">
        <w:t>Stipulations</w:t>
      </w:r>
      <w:r w:rsidR="00A55A37" w:rsidRPr="00F27E5A">
        <w:t>.</w:t>
      </w:r>
      <w:r w:rsidR="006437EC" w:rsidRPr="00F27E5A">
        <w:t xml:space="preserve">  </w:t>
      </w:r>
      <w:r w:rsidR="00461071">
        <w:t xml:space="preserve">The difference between </w:t>
      </w:r>
      <w:r w:rsidR="004C09CF" w:rsidRPr="00F27E5A">
        <w:t>Staff</w:t>
      </w:r>
      <w:r w:rsidR="00461071">
        <w:t xml:space="preserve"> and PSE</w:t>
      </w:r>
      <w:r w:rsidR="004C09CF" w:rsidRPr="00F27E5A">
        <w:t xml:space="preserve"> </w:t>
      </w:r>
      <w:r w:rsidR="009A6F72" w:rsidRPr="00F27E5A">
        <w:t>r</w:t>
      </w:r>
      <w:r w:rsidR="007B06B2" w:rsidRPr="00F27E5A">
        <w:t>evenue</w:t>
      </w:r>
      <w:r w:rsidR="009A6F72" w:rsidRPr="00F27E5A">
        <w:t xml:space="preserve"> allocation</w:t>
      </w:r>
      <w:r w:rsidR="00782819">
        <w:t xml:space="preserve"> and rate design</w:t>
      </w:r>
      <w:r w:rsidR="009A6F72" w:rsidRPr="00F27E5A">
        <w:t xml:space="preserve"> </w:t>
      </w:r>
      <w:r w:rsidR="00461071">
        <w:t xml:space="preserve">is due only to the difference in </w:t>
      </w:r>
      <w:r w:rsidR="00E1477D" w:rsidRPr="003A3E0D">
        <w:t>revenue requir</w:t>
      </w:r>
      <w:r w:rsidR="00765E66" w:rsidRPr="003A3E0D">
        <w:t>e</w:t>
      </w:r>
      <w:r w:rsidR="00E1477D" w:rsidRPr="003A3E0D">
        <w:t>ment</w:t>
      </w:r>
      <w:r w:rsidR="009A6F72" w:rsidRPr="003A3E0D">
        <w:t>.</w:t>
      </w:r>
    </w:p>
    <w:p w:rsidR="008F0532" w:rsidRPr="00F27E5A" w:rsidRDefault="008F0532" w:rsidP="00757F0D">
      <w:pPr>
        <w:pStyle w:val="Answer-Testimony"/>
      </w:pPr>
    </w:p>
    <w:p w:rsidR="00757F0D" w:rsidRPr="00F27E5A" w:rsidRDefault="00757F0D" w:rsidP="00BD36B5">
      <w:pPr>
        <w:pStyle w:val="Question-Testimony"/>
        <w:keepNext/>
      </w:pPr>
      <w:r w:rsidRPr="00F27E5A">
        <w:t>Q.</w:t>
      </w:r>
      <w:r w:rsidRPr="00F27E5A">
        <w:tab/>
        <w:t>Do you sponsor any exhibits?</w:t>
      </w:r>
    </w:p>
    <w:p w:rsidR="00757F0D" w:rsidRPr="00F27E5A" w:rsidRDefault="00757F0D" w:rsidP="00757F0D">
      <w:pPr>
        <w:pStyle w:val="Answer-Testimony"/>
      </w:pPr>
      <w:r w:rsidRPr="00F27E5A">
        <w:t>A.</w:t>
      </w:r>
      <w:r w:rsidRPr="00F27E5A">
        <w:tab/>
        <w:t>Yes, I sponsor the following exhibits:</w:t>
      </w:r>
    </w:p>
    <w:p w:rsidR="001E1863" w:rsidRPr="00F27E5A" w:rsidRDefault="001E1863" w:rsidP="002B3012">
      <w:pPr>
        <w:pStyle w:val="Answer-Testimony"/>
        <w:numPr>
          <w:ilvl w:val="0"/>
          <w:numId w:val="2"/>
        </w:numPr>
      </w:pPr>
      <w:r w:rsidRPr="00F27E5A">
        <w:t>Exhibit No.</w:t>
      </w:r>
      <w:r w:rsidR="00940838" w:rsidRPr="00F27E5A">
        <w:t xml:space="preserve"> </w:t>
      </w:r>
      <w:r w:rsidR="00E75CCC" w:rsidRPr="00F27E5A">
        <w:t>CTM-</w:t>
      </w:r>
      <w:r w:rsidR="00E242F6" w:rsidRPr="00F27E5A">
        <w:t>2</w:t>
      </w:r>
      <w:r w:rsidRPr="00F27E5A">
        <w:t xml:space="preserve">, </w:t>
      </w:r>
      <w:r w:rsidR="00B15BA7">
        <w:t>Power Cost Rate Adjustments</w:t>
      </w:r>
    </w:p>
    <w:p w:rsidR="004E747D" w:rsidRPr="00F27E5A" w:rsidRDefault="004E747D" w:rsidP="002B3012">
      <w:pPr>
        <w:pStyle w:val="Answer-Testimony"/>
        <w:numPr>
          <w:ilvl w:val="0"/>
          <w:numId w:val="2"/>
        </w:numPr>
      </w:pPr>
      <w:r w:rsidRPr="00F27E5A">
        <w:t xml:space="preserve">Exhibit No. </w:t>
      </w:r>
      <w:r w:rsidR="00E75CCC" w:rsidRPr="00F27E5A">
        <w:t>CTM-</w:t>
      </w:r>
      <w:r w:rsidR="00E242F6" w:rsidRPr="00F27E5A">
        <w:t>3</w:t>
      </w:r>
      <w:r w:rsidRPr="00F27E5A">
        <w:t xml:space="preserve">, </w:t>
      </w:r>
      <w:r w:rsidR="00B15BA7">
        <w:t>Power Cost Rate</w:t>
      </w:r>
    </w:p>
    <w:p w:rsidR="004E747D" w:rsidRDefault="00844409" w:rsidP="002B3012">
      <w:pPr>
        <w:pStyle w:val="Answer-Testimony"/>
        <w:numPr>
          <w:ilvl w:val="0"/>
          <w:numId w:val="2"/>
        </w:numPr>
      </w:pPr>
      <w:r>
        <w:t xml:space="preserve">Exhibit No. </w:t>
      </w:r>
      <w:r w:rsidR="00E75CCC" w:rsidRPr="00F27E5A">
        <w:t>CTM-</w:t>
      </w:r>
      <w:r w:rsidR="00E242F6" w:rsidRPr="00F27E5A">
        <w:t>4</w:t>
      </w:r>
      <w:r w:rsidR="004E747D" w:rsidRPr="00F27E5A">
        <w:t xml:space="preserve">, </w:t>
      </w:r>
      <w:r w:rsidR="00B15BA7">
        <w:t xml:space="preserve">Revenue </w:t>
      </w:r>
      <w:r w:rsidR="003A3E0D">
        <w:t>Requirement</w:t>
      </w:r>
    </w:p>
    <w:p w:rsidR="001E1863" w:rsidRDefault="001E1863" w:rsidP="002B3012">
      <w:pPr>
        <w:pStyle w:val="Answer-Testimony"/>
        <w:numPr>
          <w:ilvl w:val="0"/>
          <w:numId w:val="2"/>
        </w:numPr>
      </w:pPr>
      <w:r w:rsidRPr="00F27E5A">
        <w:t>Exhibit No.</w:t>
      </w:r>
      <w:r w:rsidR="00844409">
        <w:t xml:space="preserve"> </w:t>
      </w:r>
      <w:r w:rsidR="00E75CCC" w:rsidRPr="00F27E5A">
        <w:t>CTM-</w:t>
      </w:r>
      <w:r w:rsidR="00B15BA7">
        <w:t>5</w:t>
      </w:r>
      <w:r w:rsidRPr="00F27E5A">
        <w:t xml:space="preserve">, </w:t>
      </w:r>
      <w:r w:rsidR="00A472FD" w:rsidRPr="00F27E5A">
        <w:t>Electric Revenue Allocation and Rate Design</w:t>
      </w:r>
    </w:p>
    <w:p w:rsidR="00310176" w:rsidRPr="00F27E5A" w:rsidRDefault="00310176" w:rsidP="002B3012">
      <w:pPr>
        <w:pStyle w:val="Answer-Testimony"/>
        <w:numPr>
          <w:ilvl w:val="0"/>
          <w:numId w:val="2"/>
        </w:numPr>
      </w:pPr>
      <w:r>
        <w:lastRenderedPageBreak/>
        <w:t>Exhibit No. CTM-</w:t>
      </w:r>
      <w:r w:rsidR="00C67EC2">
        <w:t>6</w:t>
      </w:r>
      <w:r>
        <w:t>, U.S. Department of Treasury’s Program Guidance</w:t>
      </w:r>
    </w:p>
    <w:p w:rsidR="000679A2" w:rsidRPr="00F27E5A" w:rsidRDefault="000679A2" w:rsidP="000679A2">
      <w:pPr>
        <w:pStyle w:val="Answer-Testimony"/>
      </w:pPr>
    </w:p>
    <w:p w:rsidR="00C341DA" w:rsidRPr="00F44292" w:rsidRDefault="0073589A" w:rsidP="003E77EB">
      <w:pPr>
        <w:pStyle w:val="Heading1"/>
        <w:ind w:left="0"/>
        <w:jc w:val="center"/>
      </w:pPr>
      <w:bookmarkStart w:id="3" w:name="_Toc364231277"/>
      <w:r>
        <w:t xml:space="preserve">POWER COST </w:t>
      </w:r>
      <w:r w:rsidR="000A353A">
        <w:t>ISSUES</w:t>
      </w:r>
      <w:bookmarkEnd w:id="3"/>
    </w:p>
    <w:p w:rsidR="00757A83" w:rsidRDefault="00757A83" w:rsidP="00757A83">
      <w:pPr>
        <w:pStyle w:val="Question-Testimony"/>
      </w:pPr>
    </w:p>
    <w:p w:rsidR="00757A83" w:rsidRDefault="00C341DA" w:rsidP="00757A83">
      <w:pPr>
        <w:pStyle w:val="Question-Testimony"/>
      </w:pPr>
      <w:r>
        <w:t>Q.</w:t>
      </w:r>
      <w:r>
        <w:tab/>
        <w:t>What issues do you address in this section of your testimony?</w:t>
      </w:r>
    </w:p>
    <w:p w:rsidR="00C341DA" w:rsidRPr="00FB0CB3" w:rsidRDefault="00C341DA" w:rsidP="00757A83">
      <w:pPr>
        <w:pStyle w:val="Question-Testimony"/>
        <w:rPr>
          <w:rStyle w:val="Answer-TestimonyChar"/>
          <w:b w:val="0"/>
        </w:rPr>
      </w:pPr>
      <w:r w:rsidRPr="00C341DA">
        <w:rPr>
          <w:b w:val="0"/>
        </w:rPr>
        <w:t>A.</w:t>
      </w:r>
      <w:r w:rsidRPr="00C341DA">
        <w:rPr>
          <w:b w:val="0"/>
        </w:rPr>
        <w:tab/>
        <w:t>I address the following issues:  1</w:t>
      </w:r>
      <w:r w:rsidRPr="00C341DA">
        <w:rPr>
          <w:rFonts w:eastAsia="Calibri"/>
          <w:b w:val="0"/>
        </w:rPr>
        <w:t>)</w:t>
      </w:r>
      <w:r w:rsidRPr="00C341DA">
        <w:rPr>
          <w:b w:val="0"/>
        </w:rPr>
        <w:t xml:space="preserve"> the appropriate rate year; (2) proper treatment of planned major </w:t>
      </w:r>
      <w:r w:rsidRPr="00C341DA">
        <w:rPr>
          <w:rFonts w:eastAsia="Calibri"/>
          <w:b w:val="0"/>
        </w:rPr>
        <w:t xml:space="preserve">maintenance </w:t>
      </w:r>
      <w:r w:rsidR="00092811">
        <w:rPr>
          <w:rFonts w:eastAsia="Calibri"/>
          <w:b w:val="0"/>
        </w:rPr>
        <w:t>activities</w:t>
      </w:r>
      <w:r w:rsidR="0031785D" w:rsidRPr="00C341DA">
        <w:rPr>
          <w:rFonts w:eastAsia="Calibri"/>
          <w:b w:val="0"/>
        </w:rPr>
        <w:t xml:space="preserve">; </w:t>
      </w:r>
      <w:r w:rsidR="0031785D" w:rsidRPr="00C341DA">
        <w:rPr>
          <w:b w:val="0"/>
        </w:rPr>
        <w:t>(</w:t>
      </w:r>
      <w:r w:rsidRPr="00C341DA">
        <w:rPr>
          <w:b w:val="0"/>
        </w:rPr>
        <w:t xml:space="preserve">3) proper treatment of hydro production O&amp;M; and (4) </w:t>
      </w:r>
      <w:r w:rsidRPr="00C341DA">
        <w:rPr>
          <w:rFonts w:eastAsia="Calibri"/>
          <w:b w:val="0"/>
        </w:rPr>
        <w:t xml:space="preserve">proper treatment of </w:t>
      </w:r>
      <w:r w:rsidRPr="00FB0CB3">
        <w:rPr>
          <w:rStyle w:val="Answer-TestimonyChar"/>
          <w:rFonts w:eastAsia="Calibri"/>
        </w:rPr>
        <w:t xml:space="preserve">the </w:t>
      </w:r>
      <w:r w:rsidRPr="00FB0CB3">
        <w:rPr>
          <w:rStyle w:val="Answer-TestimonyChar"/>
        </w:rPr>
        <w:t>Treasury Grants</w:t>
      </w:r>
      <w:r w:rsidR="00C67EC2" w:rsidRPr="00FB0CB3">
        <w:rPr>
          <w:rStyle w:val="Answer-TestimonyChar"/>
        </w:rPr>
        <w:t xml:space="preserve"> for </w:t>
      </w:r>
      <w:r w:rsidR="002637EB">
        <w:rPr>
          <w:rStyle w:val="Answer-TestimonyChar"/>
        </w:rPr>
        <w:t xml:space="preserve">the </w:t>
      </w:r>
      <w:r w:rsidR="00C67EC2" w:rsidRPr="00FB0CB3">
        <w:rPr>
          <w:rStyle w:val="Answer-TestimonyChar"/>
        </w:rPr>
        <w:t>Snoqualmie Project and Baker Project</w:t>
      </w:r>
      <w:r w:rsidRPr="00FB0CB3">
        <w:rPr>
          <w:rStyle w:val="Answer-TestimonyChar"/>
          <w:rFonts w:eastAsia="Calibri"/>
        </w:rPr>
        <w:t>.</w:t>
      </w:r>
    </w:p>
    <w:p w:rsidR="00C341DA" w:rsidRDefault="00C341DA" w:rsidP="00C341DA">
      <w:pPr>
        <w:pStyle w:val="Answer-Testimony"/>
      </w:pPr>
    </w:p>
    <w:p w:rsidR="003D6F24" w:rsidRPr="0073589A" w:rsidRDefault="003D6F24" w:rsidP="00757A83">
      <w:pPr>
        <w:pStyle w:val="Heading3"/>
        <w:ind w:left="720"/>
        <w:rPr>
          <w:rFonts w:eastAsia="Calibri"/>
        </w:rPr>
      </w:pPr>
      <w:bookmarkStart w:id="4" w:name="_Toc364231278"/>
      <w:r w:rsidRPr="00757A83">
        <w:t>Test Year Compared to Rate Year</w:t>
      </w:r>
      <w:bookmarkEnd w:id="4"/>
    </w:p>
    <w:p w:rsidR="003D6F24" w:rsidRDefault="003D6F24" w:rsidP="003D6F24">
      <w:pPr>
        <w:pStyle w:val="Question-Testimony"/>
      </w:pPr>
    </w:p>
    <w:p w:rsidR="004961F8" w:rsidRPr="0068385B" w:rsidRDefault="004961F8" w:rsidP="004961F8">
      <w:pPr>
        <w:pStyle w:val="Question-Testimony"/>
      </w:pPr>
      <w:r w:rsidRPr="0068385B">
        <w:t>Q.</w:t>
      </w:r>
      <w:r w:rsidRPr="0068385B">
        <w:tab/>
      </w:r>
      <w:r w:rsidRPr="00F27E5A">
        <w:t xml:space="preserve">Please </w:t>
      </w:r>
      <w:r w:rsidR="007A24A3">
        <w:t xml:space="preserve">explain </w:t>
      </w:r>
      <w:r>
        <w:t>“test year” and “rate year” as those terms are used in this case.</w:t>
      </w:r>
    </w:p>
    <w:p w:rsidR="003E6CDB" w:rsidRDefault="004961F8" w:rsidP="004961F8">
      <w:pPr>
        <w:pStyle w:val="Answer-Testimony"/>
      </w:pPr>
      <w:r w:rsidRPr="00E72479">
        <w:t>A.</w:t>
      </w:r>
      <w:r w:rsidRPr="00E72479">
        <w:tab/>
      </w:r>
      <w:r>
        <w:t>The test year is a historical twelve</w:t>
      </w:r>
      <w:r w:rsidR="003E6CDB">
        <w:t>-</w:t>
      </w:r>
      <w:r>
        <w:t xml:space="preserve">month </w:t>
      </w:r>
      <w:r w:rsidR="003E6CDB">
        <w:t xml:space="preserve">period; in this case, it is </w:t>
      </w:r>
      <w:r w:rsidR="003E6CDB" w:rsidRPr="004468C0">
        <w:t>October 1, 2011</w:t>
      </w:r>
      <w:r w:rsidR="007A24A3">
        <w:t>,</w:t>
      </w:r>
      <w:r w:rsidR="003E6CDB" w:rsidRPr="004468C0">
        <w:t xml:space="preserve"> through September 30, 2012 (test year)</w:t>
      </w:r>
      <w:r w:rsidR="003E6CDB">
        <w:t>.  The rate year refers to a future twelve-month period, in which the costs and timing of rate</w:t>
      </w:r>
      <w:r w:rsidR="005121BC">
        <w:t xml:space="preserve"> collection </w:t>
      </w:r>
      <w:r w:rsidR="003E6CDB">
        <w:t>are the same time period.</w:t>
      </w:r>
    </w:p>
    <w:p w:rsidR="004961F8" w:rsidRDefault="004961F8" w:rsidP="003E6CDB">
      <w:pPr>
        <w:pStyle w:val="Answer-Testimony"/>
        <w:ind w:firstLine="720"/>
      </w:pPr>
      <w:r>
        <w:t>T</w:t>
      </w:r>
      <w:r w:rsidRPr="00E72479">
        <w:t>h</w:t>
      </w:r>
      <w:r>
        <w:t xml:space="preserve">e rate year </w:t>
      </w:r>
      <w:r w:rsidRPr="00E72479">
        <w:t>method has a well-documented history</w:t>
      </w:r>
      <w:r>
        <w:t xml:space="preserve"> of use with the C</w:t>
      </w:r>
      <w:r w:rsidRPr="00E72479">
        <w:t xml:space="preserve">ommission and is supported in </w:t>
      </w:r>
      <w:r>
        <w:t>Ms. Barnard’s di</w:t>
      </w:r>
      <w:r w:rsidRPr="00E72479">
        <w:t>rect testimony</w:t>
      </w:r>
      <w:r>
        <w:t>, stating “[i]n both a general rate case and a PCORC, the Company uses a future rate year to determine certain power costs and then pro forms those cost back to the test year.”</w:t>
      </w:r>
      <w:r>
        <w:rPr>
          <w:rStyle w:val="FootnoteReference"/>
        </w:rPr>
        <w:footnoteReference w:id="7"/>
      </w:r>
    </w:p>
    <w:p w:rsidR="004961F8" w:rsidRDefault="004961F8" w:rsidP="004961F8">
      <w:pPr>
        <w:pStyle w:val="Answer-Testimony"/>
      </w:pPr>
    </w:p>
    <w:p w:rsidR="003D6F24" w:rsidRPr="0068385B" w:rsidRDefault="003D6F24" w:rsidP="00174697">
      <w:pPr>
        <w:pStyle w:val="Question-Testimony"/>
        <w:keepNext/>
      </w:pPr>
      <w:r w:rsidRPr="0068385B">
        <w:lastRenderedPageBreak/>
        <w:t>Q.</w:t>
      </w:r>
      <w:r w:rsidRPr="0068385B">
        <w:tab/>
      </w:r>
      <w:r w:rsidR="004961F8">
        <w:t xml:space="preserve">What test year and rate year is </w:t>
      </w:r>
      <w:r w:rsidR="00D6228F">
        <w:t xml:space="preserve">Staff </w:t>
      </w:r>
      <w:r w:rsidR="004961F8">
        <w:t>using in this case?</w:t>
      </w:r>
    </w:p>
    <w:p w:rsidR="003D6F24" w:rsidRDefault="003D6F24" w:rsidP="00E72479">
      <w:pPr>
        <w:pStyle w:val="Answer-Testimony"/>
      </w:pPr>
      <w:r w:rsidRPr="00E72479">
        <w:t>A.</w:t>
      </w:r>
      <w:r w:rsidRPr="00E72479">
        <w:tab/>
        <w:t xml:space="preserve">Staff </w:t>
      </w:r>
      <w:r w:rsidR="007A24A3">
        <w:t>uses a</w:t>
      </w:r>
      <w:r w:rsidR="004961F8" w:rsidRPr="00A25E39">
        <w:t xml:space="preserve"> test year</w:t>
      </w:r>
      <w:r w:rsidR="007A24A3">
        <w:t xml:space="preserve"> of </w:t>
      </w:r>
      <w:r w:rsidR="007A24A3" w:rsidRPr="004468C0">
        <w:t>October 1, 2011</w:t>
      </w:r>
      <w:r w:rsidR="007A24A3">
        <w:t>,</w:t>
      </w:r>
      <w:r w:rsidR="007A24A3" w:rsidRPr="004468C0">
        <w:t xml:space="preserve"> through September 30, </w:t>
      </w:r>
      <w:r w:rsidR="0031785D" w:rsidRPr="004468C0">
        <w:t>2012</w:t>
      </w:r>
      <w:r w:rsidR="003E6CDB">
        <w:t xml:space="preserve">.  </w:t>
      </w:r>
      <w:r w:rsidR="007A24A3">
        <w:t xml:space="preserve">Staff </w:t>
      </w:r>
      <w:r w:rsidR="003E6CDB">
        <w:t>uses a rate year of</w:t>
      </w:r>
      <w:r w:rsidR="004961F8">
        <w:t xml:space="preserve"> </w:t>
      </w:r>
      <w:r w:rsidR="00D6228F">
        <w:t>December</w:t>
      </w:r>
      <w:r w:rsidR="00D6228F" w:rsidRPr="00A25E39">
        <w:t xml:space="preserve"> </w:t>
      </w:r>
      <w:r w:rsidR="00D6228F">
        <w:t xml:space="preserve">1, </w:t>
      </w:r>
      <w:r w:rsidR="00D6228F" w:rsidRPr="00A25E39">
        <w:t xml:space="preserve">2013 through </w:t>
      </w:r>
      <w:r w:rsidR="00D6228F">
        <w:t>November</w:t>
      </w:r>
      <w:r w:rsidR="00D6228F" w:rsidRPr="00A25E39">
        <w:t xml:space="preserve"> </w:t>
      </w:r>
      <w:r w:rsidR="00D6228F">
        <w:t xml:space="preserve">30, </w:t>
      </w:r>
      <w:r w:rsidR="00D6228F" w:rsidRPr="00A25E39">
        <w:t>2014</w:t>
      </w:r>
      <w:r w:rsidR="00D6228F">
        <w:t xml:space="preserve"> (rate year)</w:t>
      </w:r>
      <w:r w:rsidR="004961F8">
        <w:t>.</w:t>
      </w:r>
    </w:p>
    <w:p w:rsidR="004961F8" w:rsidRPr="00E72479" w:rsidRDefault="004961F8" w:rsidP="004961F8">
      <w:pPr>
        <w:pStyle w:val="Answer-Testimony"/>
      </w:pPr>
    </w:p>
    <w:p w:rsidR="004961F8" w:rsidRDefault="004961F8" w:rsidP="004961F8">
      <w:pPr>
        <w:pStyle w:val="Answer-Testimony"/>
        <w:rPr>
          <w:b/>
        </w:rPr>
      </w:pPr>
      <w:r w:rsidRPr="0068385B">
        <w:rPr>
          <w:b/>
        </w:rPr>
        <w:t>Q.</w:t>
      </w:r>
      <w:r w:rsidRPr="0068385B">
        <w:rPr>
          <w:b/>
        </w:rPr>
        <w:tab/>
      </w:r>
      <w:r w:rsidRPr="00506632">
        <w:rPr>
          <w:b/>
        </w:rPr>
        <w:t>Wh</w:t>
      </w:r>
      <w:r w:rsidR="003E6CDB">
        <w:rPr>
          <w:b/>
        </w:rPr>
        <w:t xml:space="preserve">at </w:t>
      </w:r>
      <w:r w:rsidR="007A24A3">
        <w:rPr>
          <w:b/>
        </w:rPr>
        <w:t xml:space="preserve">test year and </w:t>
      </w:r>
      <w:r>
        <w:rPr>
          <w:b/>
        </w:rPr>
        <w:t xml:space="preserve">rate year </w:t>
      </w:r>
      <w:r w:rsidR="007A24A3">
        <w:rPr>
          <w:b/>
        </w:rPr>
        <w:t>is</w:t>
      </w:r>
      <w:r>
        <w:rPr>
          <w:b/>
        </w:rPr>
        <w:t xml:space="preserve"> PSE us</w:t>
      </w:r>
      <w:r w:rsidR="007A24A3">
        <w:rPr>
          <w:b/>
        </w:rPr>
        <w:t>ing</w:t>
      </w:r>
      <w:r>
        <w:rPr>
          <w:b/>
        </w:rPr>
        <w:t xml:space="preserve"> in this case?</w:t>
      </w:r>
    </w:p>
    <w:p w:rsidR="004961F8" w:rsidRDefault="004961F8" w:rsidP="004961F8">
      <w:pPr>
        <w:pStyle w:val="Answer-Testimony"/>
      </w:pPr>
      <w:r>
        <w:t>A.</w:t>
      </w:r>
      <w:r>
        <w:tab/>
      </w:r>
      <w:r w:rsidR="007A24A3">
        <w:t xml:space="preserve">PSE </w:t>
      </w:r>
      <w:r w:rsidR="00AD0FE5">
        <w:t>uses</w:t>
      </w:r>
      <w:r w:rsidR="003E6CDB">
        <w:t xml:space="preserve"> </w:t>
      </w:r>
      <w:r w:rsidR="007A24A3">
        <w:t xml:space="preserve">the same test year as Staff, but the Company uses a </w:t>
      </w:r>
      <w:r w:rsidR="003E6CDB">
        <w:t xml:space="preserve">rate year </w:t>
      </w:r>
      <w:r w:rsidR="007A24A3">
        <w:t xml:space="preserve">beginning one month earlier: </w:t>
      </w:r>
      <w:r w:rsidR="00AD0FE5">
        <w:t xml:space="preserve"> November 1, </w:t>
      </w:r>
      <w:r w:rsidR="00AD0FE5" w:rsidRPr="00A25E39">
        <w:t xml:space="preserve">2013 through </w:t>
      </w:r>
      <w:r w:rsidR="00AD0FE5">
        <w:t xml:space="preserve">October 31, </w:t>
      </w:r>
      <w:r w:rsidR="00AD0FE5" w:rsidRPr="00A25E39">
        <w:t>2014</w:t>
      </w:r>
      <w:r w:rsidR="008962F4">
        <w:t>, with one exception</w:t>
      </w:r>
      <w:r w:rsidR="00AD0FE5">
        <w:t>.</w:t>
      </w:r>
    </w:p>
    <w:p w:rsidR="004961F8" w:rsidRDefault="004961F8" w:rsidP="004961F8">
      <w:pPr>
        <w:pStyle w:val="Answer-Testimony"/>
      </w:pPr>
    </w:p>
    <w:p w:rsidR="008962F4" w:rsidRDefault="008962F4" w:rsidP="008962F4">
      <w:pPr>
        <w:pStyle w:val="Answer-Testimony"/>
        <w:rPr>
          <w:b/>
        </w:rPr>
      </w:pPr>
      <w:r w:rsidRPr="0068385B">
        <w:rPr>
          <w:b/>
        </w:rPr>
        <w:t>Q.</w:t>
      </w:r>
      <w:r w:rsidRPr="0068385B">
        <w:rPr>
          <w:b/>
        </w:rPr>
        <w:tab/>
      </w:r>
      <w:r w:rsidRPr="00506632">
        <w:rPr>
          <w:b/>
        </w:rPr>
        <w:t>Wh</w:t>
      </w:r>
      <w:r>
        <w:rPr>
          <w:b/>
        </w:rPr>
        <w:t xml:space="preserve">at is the </w:t>
      </w:r>
      <w:r w:rsidR="007A24A3">
        <w:rPr>
          <w:b/>
        </w:rPr>
        <w:t xml:space="preserve">one </w:t>
      </w:r>
      <w:r>
        <w:rPr>
          <w:b/>
        </w:rPr>
        <w:t xml:space="preserve">exception </w:t>
      </w:r>
      <w:r w:rsidR="007A24A3">
        <w:rPr>
          <w:b/>
        </w:rPr>
        <w:t xml:space="preserve">in which </w:t>
      </w:r>
      <w:r>
        <w:rPr>
          <w:b/>
        </w:rPr>
        <w:t>PSE</w:t>
      </w:r>
      <w:r w:rsidR="007A24A3">
        <w:rPr>
          <w:b/>
        </w:rPr>
        <w:t xml:space="preserve"> does not use a </w:t>
      </w:r>
      <w:r>
        <w:rPr>
          <w:b/>
        </w:rPr>
        <w:t>rate year</w:t>
      </w:r>
      <w:r w:rsidR="007A24A3">
        <w:rPr>
          <w:b/>
        </w:rPr>
        <w:t xml:space="preserve"> beginning November 1, 2013</w:t>
      </w:r>
      <w:r>
        <w:rPr>
          <w:b/>
        </w:rPr>
        <w:t>?</w:t>
      </w:r>
    </w:p>
    <w:p w:rsidR="008962F4" w:rsidRPr="00854996" w:rsidRDefault="008962F4" w:rsidP="008962F4">
      <w:pPr>
        <w:pStyle w:val="Answer-Testimony"/>
      </w:pPr>
      <w:r>
        <w:t>A.</w:t>
      </w:r>
      <w:r>
        <w:tab/>
      </w:r>
      <w:r w:rsidR="003E3159">
        <w:t>The exception is</w:t>
      </w:r>
      <w:r w:rsidR="00832EFE">
        <w:t xml:space="preserve"> </w:t>
      </w:r>
      <w:r w:rsidR="007A24A3">
        <w:t xml:space="preserve">PSE’s </w:t>
      </w:r>
      <w:r w:rsidR="00832EFE">
        <w:t xml:space="preserve">LSR </w:t>
      </w:r>
      <w:r w:rsidR="007A24A3">
        <w:t xml:space="preserve">Adjustment </w:t>
      </w:r>
      <w:r w:rsidR="00832EFE">
        <w:t>(Adjustment 3)</w:t>
      </w:r>
      <w:r w:rsidR="007A24A3">
        <w:t>.  In that adjustment</w:t>
      </w:r>
      <w:r w:rsidR="00832EFE">
        <w:t>,</w:t>
      </w:r>
      <w:r w:rsidR="003E3159">
        <w:t xml:space="preserve"> PSE uses </w:t>
      </w:r>
      <w:r w:rsidR="00854996">
        <w:t xml:space="preserve">what the Company calls </w:t>
      </w:r>
      <w:r w:rsidR="003E3159">
        <w:t xml:space="preserve">an </w:t>
      </w:r>
      <w:r w:rsidR="003E3159" w:rsidRPr="003E3159">
        <w:t>“adjusted test year”</w:t>
      </w:r>
      <w:r w:rsidR="003E3159" w:rsidRPr="003E3159">
        <w:rPr>
          <w:rStyle w:val="FootnoteReference"/>
        </w:rPr>
        <w:t xml:space="preserve"> </w:t>
      </w:r>
      <w:r w:rsidR="003E3159" w:rsidRPr="003E3159">
        <w:rPr>
          <w:rStyle w:val="FootnoteReference"/>
        </w:rPr>
        <w:footnoteReference w:id="8"/>
      </w:r>
      <w:r w:rsidR="003E3159" w:rsidRPr="003E3159">
        <w:t xml:space="preserve"> period </w:t>
      </w:r>
      <w:r w:rsidR="003E3159" w:rsidRPr="00854996">
        <w:t xml:space="preserve">of </w:t>
      </w:r>
      <w:r w:rsidR="00832EFE" w:rsidRPr="00854996">
        <w:t>March</w:t>
      </w:r>
      <w:r w:rsidR="003E3159" w:rsidRPr="00854996">
        <w:t xml:space="preserve"> 1, 2012, to February 28, 2013.</w:t>
      </w:r>
    </w:p>
    <w:p w:rsidR="008962F4" w:rsidRPr="00854996" w:rsidRDefault="008962F4" w:rsidP="008962F4">
      <w:pPr>
        <w:pStyle w:val="Answer-Testimony"/>
      </w:pPr>
    </w:p>
    <w:p w:rsidR="003D6F24" w:rsidRDefault="003D6F24" w:rsidP="003D6F24">
      <w:pPr>
        <w:pStyle w:val="Answer-Testimony"/>
        <w:rPr>
          <w:b/>
        </w:rPr>
      </w:pPr>
      <w:r w:rsidRPr="0068385B">
        <w:rPr>
          <w:b/>
        </w:rPr>
        <w:t>Q.</w:t>
      </w:r>
      <w:r w:rsidRPr="0068385B">
        <w:rPr>
          <w:b/>
        </w:rPr>
        <w:tab/>
      </w:r>
      <w:r w:rsidR="008962F4">
        <w:rPr>
          <w:b/>
        </w:rPr>
        <w:t>H</w:t>
      </w:r>
      <w:r>
        <w:rPr>
          <w:b/>
        </w:rPr>
        <w:t>as</w:t>
      </w:r>
      <w:r w:rsidR="008962F4">
        <w:rPr>
          <w:b/>
        </w:rPr>
        <w:t xml:space="preserve"> the Commission </w:t>
      </w:r>
      <w:r w:rsidR="007A4628">
        <w:rPr>
          <w:b/>
        </w:rPr>
        <w:t xml:space="preserve">consistently </w:t>
      </w:r>
      <w:r w:rsidR="008962F4">
        <w:rPr>
          <w:b/>
        </w:rPr>
        <w:t>used</w:t>
      </w:r>
      <w:r>
        <w:rPr>
          <w:b/>
        </w:rPr>
        <w:t xml:space="preserve"> </w:t>
      </w:r>
      <w:r w:rsidR="00403864">
        <w:rPr>
          <w:b/>
        </w:rPr>
        <w:t xml:space="preserve">the </w:t>
      </w:r>
      <w:r>
        <w:rPr>
          <w:b/>
        </w:rPr>
        <w:t>rate year</w:t>
      </w:r>
      <w:r w:rsidR="008962F4">
        <w:rPr>
          <w:b/>
        </w:rPr>
        <w:t xml:space="preserve"> method </w:t>
      </w:r>
      <w:r>
        <w:rPr>
          <w:b/>
        </w:rPr>
        <w:t>to calculate costs</w:t>
      </w:r>
      <w:r w:rsidR="008962F4">
        <w:rPr>
          <w:b/>
        </w:rPr>
        <w:t xml:space="preserve"> for the PCA</w:t>
      </w:r>
      <w:r>
        <w:rPr>
          <w:b/>
        </w:rPr>
        <w:t>?</w:t>
      </w:r>
    </w:p>
    <w:p w:rsidR="002C7E6F" w:rsidRDefault="003D6F24" w:rsidP="00BE49D9">
      <w:pPr>
        <w:pStyle w:val="Answer-Testimony"/>
      </w:pPr>
      <w:r>
        <w:t>A.</w:t>
      </w:r>
      <w:r>
        <w:tab/>
      </w:r>
      <w:r w:rsidR="008962F4">
        <w:t xml:space="preserve">Yes.  </w:t>
      </w:r>
      <w:r w:rsidR="00DE247C">
        <w:t>The</w:t>
      </w:r>
      <w:r w:rsidR="008962F4">
        <w:t xml:space="preserve"> Commission has used the</w:t>
      </w:r>
      <w:r w:rsidR="00DE247C">
        <w:t xml:space="preserve"> rate year method since the inception of </w:t>
      </w:r>
      <w:r w:rsidR="00583B33">
        <w:t>PSE’s</w:t>
      </w:r>
      <w:r w:rsidR="00DE247C">
        <w:t xml:space="preserve"> PCA</w:t>
      </w:r>
      <w:r w:rsidR="0041466B">
        <w:t xml:space="preserve">.  </w:t>
      </w:r>
      <w:r w:rsidR="008962F4">
        <w:t xml:space="preserve">Under the </w:t>
      </w:r>
      <w:r w:rsidR="00C3379B">
        <w:t xml:space="preserve">terms of the </w:t>
      </w:r>
      <w:r w:rsidR="00F22DE4">
        <w:t>Settlement Stipulation</w:t>
      </w:r>
      <w:r w:rsidR="002C7E6F">
        <w:t xml:space="preserve">, </w:t>
      </w:r>
      <w:r w:rsidR="00C3379B">
        <w:t xml:space="preserve">fixed rate components </w:t>
      </w:r>
      <w:r w:rsidR="00DE247C">
        <w:t xml:space="preserve">that </w:t>
      </w:r>
      <w:r w:rsidR="00C3379B">
        <w:t>are eligible for recovery</w:t>
      </w:r>
      <w:r w:rsidR="002C7E6F">
        <w:t xml:space="preserve"> under the PCA were</w:t>
      </w:r>
      <w:r w:rsidR="00403864">
        <w:t xml:space="preserve"> to be</w:t>
      </w:r>
      <w:r w:rsidR="00792DAC">
        <w:t xml:space="preserve"> </w:t>
      </w:r>
      <w:r w:rsidR="00C3379B">
        <w:t>“at the last general rate case or PCA resource case revenue levels.”</w:t>
      </w:r>
      <w:r w:rsidR="00C3379B">
        <w:rPr>
          <w:rStyle w:val="FootnoteReference"/>
        </w:rPr>
        <w:footnoteReference w:id="9"/>
      </w:r>
    </w:p>
    <w:p w:rsidR="00E72479" w:rsidRDefault="002C7E6F" w:rsidP="00BE49D9">
      <w:pPr>
        <w:pStyle w:val="Answer-Testimony"/>
      </w:pPr>
      <w:r>
        <w:tab/>
      </w:r>
      <w:r>
        <w:tab/>
      </w:r>
      <w:r w:rsidR="00C3379B">
        <w:t xml:space="preserve">The </w:t>
      </w:r>
      <w:r w:rsidR="00403864">
        <w:t>“</w:t>
      </w:r>
      <w:r w:rsidR="00C3379B">
        <w:t>PCA resource case revenue levels</w:t>
      </w:r>
      <w:r w:rsidR="00403864">
        <w:t>”</w:t>
      </w:r>
      <w:r w:rsidR="00C3379B">
        <w:t xml:space="preserve"> </w:t>
      </w:r>
      <w:r w:rsidR="00403864">
        <w:t xml:space="preserve">is the same as the </w:t>
      </w:r>
      <w:r w:rsidR="00C3379B">
        <w:t>rate period</w:t>
      </w:r>
      <w:r w:rsidR="00403864">
        <w:t xml:space="preserve">; the period </w:t>
      </w:r>
      <w:r w:rsidR="00DE1CD5">
        <w:t xml:space="preserve">in </w:t>
      </w:r>
      <w:r w:rsidR="00C3379B">
        <w:t>which costs are to be recovered</w:t>
      </w:r>
      <w:r w:rsidR="0041466B">
        <w:t xml:space="preserve">.  </w:t>
      </w:r>
      <w:r w:rsidR="0031785D">
        <w:t xml:space="preserve">This is supported by testimony from PSE </w:t>
      </w:r>
      <w:r w:rsidR="0031785D">
        <w:lastRenderedPageBreak/>
        <w:t>witness Mr. John H. Story in an earlier PCORC, when he stated: “[i]n a general rate case, the Company uses a future rate year to determine certain power costs and then pro forms those costs back to the test year.”</w:t>
      </w:r>
      <w:r w:rsidR="0031785D">
        <w:rPr>
          <w:rStyle w:val="FootnoteReference"/>
        </w:rPr>
        <w:footnoteReference w:id="10"/>
      </w:r>
      <w:r w:rsidR="0031785D">
        <w:t xml:space="preserve">  </w:t>
      </w:r>
      <w:r w:rsidR="00BE49D9">
        <w:t xml:space="preserve">Ms. Bernard’s </w:t>
      </w:r>
      <w:r w:rsidR="00451E5F">
        <w:t>testimony in this case is essentially the same,</w:t>
      </w:r>
      <w:r w:rsidR="00451E5F">
        <w:rPr>
          <w:rStyle w:val="FootnoteReference"/>
        </w:rPr>
        <w:footnoteReference w:id="11"/>
      </w:r>
      <w:r w:rsidR="00451E5F">
        <w:t xml:space="preserve"> which </w:t>
      </w:r>
      <w:r w:rsidR="00BE49D9">
        <w:t>highlight</w:t>
      </w:r>
      <w:r w:rsidR="00451E5F">
        <w:t>s</w:t>
      </w:r>
      <w:r w:rsidR="00BE49D9">
        <w:t xml:space="preserve"> </w:t>
      </w:r>
      <w:r w:rsidR="00C3379B">
        <w:t>the consistency of this practice</w:t>
      </w:r>
      <w:r w:rsidR="00BE49D9">
        <w:t>.</w:t>
      </w:r>
    </w:p>
    <w:p w:rsidR="0059006C" w:rsidRDefault="0059006C" w:rsidP="00BE49D9">
      <w:pPr>
        <w:pStyle w:val="Answer-Testimony"/>
      </w:pPr>
      <w:r>
        <w:tab/>
      </w:r>
      <w:r>
        <w:tab/>
        <w:t xml:space="preserve">In addition, the Commission has stated </w:t>
      </w:r>
      <w:r w:rsidR="00CB0E0F">
        <w:t>it’s “goal has been to set the baseline as close as practicable to what is likely to be experienced during the rate year”</w:t>
      </w:r>
      <w:r w:rsidR="00CB0E0F">
        <w:rPr>
          <w:rStyle w:val="FootnoteReference"/>
        </w:rPr>
        <w:footnoteReference w:id="12"/>
      </w:r>
      <w:r w:rsidR="00CB0E0F">
        <w:t xml:space="preserve"> and repeated a similar statement that “[t]he Commission’s </w:t>
      </w:r>
      <w:r>
        <w:t>goal is to set the Power Cost Baseline Rate as close as possible to what is expected to be experienced in the rate year and expect this to continue going forward.”</w:t>
      </w:r>
      <w:r>
        <w:rPr>
          <w:rStyle w:val="FootnoteReference"/>
        </w:rPr>
        <w:footnoteReference w:id="13"/>
      </w:r>
    </w:p>
    <w:p w:rsidR="00B25AE7" w:rsidRPr="00E72479" w:rsidRDefault="00B25AE7" w:rsidP="00B25AE7">
      <w:pPr>
        <w:pStyle w:val="Answer-Testimony"/>
      </w:pPr>
    </w:p>
    <w:p w:rsidR="00B25AE7" w:rsidRDefault="00B25AE7" w:rsidP="00B25AE7">
      <w:pPr>
        <w:pStyle w:val="Question-Testimony"/>
      </w:pPr>
      <w:r>
        <w:t>Q.</w:t>
      </w:r>
      <w:r>
        <w:tab/>
        <w:t>Why is Staff using a different rate period than PSE?</w:t>
      </w:r>
    </w:p>
    <w:p w:rsidR="00B25AE7" w:rsidRPr="00B25AE7" w:rsidRDefault="00B25AE7" w:rsidP="00B25AE7">
      <w:pPr>
        <w:pStyle w:val="Answer-Testimony"/>
      </w:pPr>
      <w:r w:rsidRPr="00B25AE7">
        <w:t>A.</w:t>
      </w:r>
      <w:r w:rsidRPr="00B25AE7">
        <w:tab/>
      </w:r>
      <w:r w:rsidR="001F0913">
        <w:t>The procedural schedule in this case</w:t>
      </w:r>
      <w:r w:rsidR="007A24A3">
        <w:t xml:space="preserve"> will </w:t>
      </w:r>
      <w:r w:rsidR="001F0913">
        <w:t xml:space="preserve">implement new rates as of December 1, 2013; therefore, </w:t>
      </w:r>
      <w:r w:rsidR="0041715A">
        <w:t>to be consistent with the procedural schedule</w:t>
      </w:r>
      <w:r w:rsidR="007A24A3">
        <w:t>,</w:t>
      </w:r>
      <w:r w:rsidR="0041715A">
        <w:t xml:space="preserve"> </w:t>
      </w:r>
      <w:r w:rsidR="001F0913">
        <w:t xml:space="preserve">Staff reflects the </w:t>
      </w:r>
      <w:r w:rsidR="0041715A">
        <w:t xml:space="preserve">same </w:t>
      </w:r>
      <w:r w:rsidR="001F0913">
        <w:t>rate year</w:t>
      </w:r>
      <w:r w:rsidR="007A24A3">
        <w:t>:  December 1, 2013 through November 30, 2014</w:t>
      </w:r>
      <w:r w:rsidR="0041715A">
        <w:t>.</w:t>
      </w:r>
    </w:p>
    <w:p w:rsidR="00403864" w:rsidRPr="00E72479" w:rsidRDefault="00403864" w:rsidP="00F22DE4">
      <w:pPr>
        <w:pStyle w:val="Answer-Testimony"/>
      </w:pPr>
    </w:p>
    <w:p w:rsidR="00F22DE4" w:rsidRDefault="00F22DE4" w:rsidP="00F22DE4">
      <w:pPr>
        <w:pStyle w:val="Answer-Testimony"/>
        <w:rPr>
          <w:b/>
        </w:rPr>
      </w:pPr>
      <w:r w:rsidRPr="0068385B">
        <w:rPr>
          <w:b/>
        </w:rPr>
        <w:t>Q.</w:t>
      </w:r>
      <w:r w:rsidRPr="0068385B">
        <w:rPr>
          <w:b/>
        </w:rPr>
        <w:tab/>
      </w:r>
      <w:r>
        <w:rPr>
          <w:b/>
        </w:rPr>
        <w:t>I</w:t>
      </w:r>
      <w:r w:rsidR="00BD1D85">
        <w:rPr>
          <w:b/>
        </w:rPr>
        <w:t>s the Company’s use of an “adjusted test year” period of March 1, 2012, to February 28, 2013</w:t>
      </w:r>
      <w:r w:rsidR="007A4628">
        <w:rPr>
          <w:b/>
        </w:rPr>
        <w:t>,</w:t>
      </w:r>
      <w:r w:rsidR="00BD1D85">
        <w:rPr>
          <w:b/>
        </w:rPr>
        <w:t xml:space="preserve"> for </w:t>
      </w:r>
      <w:r w:rsidR="007A24A3">
        <w:rPr>
          <w:b/>
        </w:rPr>
        <w:t xml:space="preserve">the </w:t>
      </w:r>
      <w:r w:rsidR="00BD1D85">
        <w:rPr>
          <w:b/>
        </w:rPr>
        <w:t xml:space="preserve">LSR </w:t>
      </w:r>
      <w:r w:rsidR="007A24A3">
        <w:rPr>
          <w:b/>
        </w:rPr>
        <w:t xml:space="preserve">Adjustment </w:t>
      </w:r>
      <w:r w:rsidR="00BD1D85">
        <w:rPr>
          <w:b/>
        </w:rPr>
        <w:t>consistent with the rate year method</w:t>
      </w:r>
      <w:r>
        <w:rPr>
          <w:b/>
        </w:rPr>
        <w:t>?</w:t>
      </w:r>
    </w:p>
    <w:p w:rsidR="00397EF6" w:rsidRDefault="00BE49D9" w:rsidP="00F22DE4">
      <w:pPr>
        <w:pStyle w:val="Answer-Testimony"/>
      </w:pPr>
      <w:r>
        <w:t>A.</w:t>
      </w:r>
      <w:r>
        <w:tab/>
      </w:r>
      <w:r w:rsidR="003E3159">
        <w:t xml:space="preserve">No.  </w:t>
      </w:r>
      <w:r w:rsidR="00520123">
        <w:t>This</w:t>
      </w:r>
      <w:r w:rsidR="00470BA8">
        <w:t xml:space="preserve"> </w:t>
      </w:r>
      <w:r w:rsidR="00BD1D85">
        <w:t xml:space="preserve">“adjusted test year” </w:t>
      </w:r>
      <w:r w:rsidR="00470BA8">
        <w:t>is neither the last GRC period, nor the current PCORC’s test year, nor the current PCORC’s rate year</w:t>
      </w:r>
      <w:r w:rsidR="003E3159">
        <w:t xml:space="preserve">, nor the PCA resource case </w:t>
      </w:r>
      <w:r w:rsidR="003E3159">
        <w:lastRenderedPageBreak/>
        <w:t>revenue levels</w:t>
      </w:r>
      <w:r w:rsidR="00470BA8">
        <w:t xml:space="preserve">; and therefore, </w:t>
      </w:r>
      <w:r w:rsidR="003E3159">
        <w:t xml:space="preserve">it </w:t>
      </w:r>
      <w:r w:rsidR="00470BA8">
        <w:t>does</w:t>
      </w:r>
      <w:r w:rsidR="003E3159">
        <w:t xml:space="preserve"> not conform to </w:t>
      </w:r>
      <w:r w:rsidR="00470BA8">
        <w:t>the Settlement Stipulations and past p</w:t>
      </w:r>
      <w:r w:rsidR="003E3159">
        <w:t>ractice</w:t>
      </w:r>
      <w:r w:rsidR="00BD1D85">
        <w:t xml:space="preserve"> in prior PCORCs</w:t>
      </w:r>
      <w:r w:rsidR="00470BA8">
        <w:t>.</w:t>
      </w:r>
    </w:p>
    <w:p w:rsidR="00BD1D85" w:rsidRPr="00E72479" w:rsidRDefault="00BD1D85" w:rsidP="00BD1D85">
      <w:pPr>
        <w:pStyle w:val="Answer-Testimony"/>
      </w:pPr>
    </w:p>
    <w:p w:rsidR="00BD1D85" w:rsidRDefault="00BD1D85" w:rsidP="00BD1D85">
      <w:pPr>
        <w:pStyle w:val="Question-Testimony"/>
      </w:pPr>
      <w:r>
        <w:t>Q.</w:t>
      </w:r>
      <w:r>
        <w:tab/>
        <w:t xml:space="preserve">Why is the Company using a different </w:t>
      </w:r>
      <w:r w:rsidR="007A24A3">
        <w:t xml:space="preserve">rate </w:t>
      </w:r>
      <w:r>
        <w:t>period for one asset?</w:t>
      </w:r>
    </w:p>
    <w:p w:rsidR="00F22DE4" w:rsidRDefault="00BD1D85" w:rsidP="00BD1D85">
      <w:pPr>
        <w:pStyle w:val="Answer-Testimony"/>
      </w:pPr>
      <w:r>
        <w:t>A.</w:t>
      </w:r>
      <w:r>
        <w:tab/>
      </w:r>
      <w:r w:rsidR="00470BA8">
        <w:t xml:space="preserve">Staff </w:t>
      </w:r>
      <w:r>
        <w:t xml:space="preserve">assumes </w:t>
      </w:r>
      <w:r w:rsidR="00470BA8">
        <w:t>the Company chose</w:t>
      </w:r>
      <w:r>
        <w:t xml:space="preserve"> to depart from </w:t>
      </w:r>
      <w:r w:rsidR="00470BA8">
        <w:t>past practice due to the</w:t>
      </w:r>
      <w:r w:rsidR="00397EF6">
        <w:t xml:space="preserve"> effect </w:t>
      </w:r>
      <w:r w:rsidR="00470BA8">
        <w:t xml:space="preserve">deferred income tax liability and accumulated depreciation would </w:t>
      </w:r>
      <w:r w:rsidR="00397EF6">
        <w:t xml:space="preserve">have on </w:t>
      </w:r>
      <w:r w:rsidR="00470BA8">
        <w:t xml:space="preserve">the additional plant balance that the Company </w:t>
      </w:r>
      <w:r w:rsidR="00397EF6">
        <w:t xml:space="preserve">brings in </w:t>
      </w:r>
      <w:r w:rsidR="00470BA8">
        <w:t xml:space="preserve">by picking </w:t>
      </w:r>
      <w:r w:rsidR="00C0743B">
        <w:t>its</w:t>
      </w:r>
      <w:r w:rsidR="00470BA8">
        <w:t xml:space="preserve"> “adjusted test year” period.</w:t>
      </w:r>
    </w:p>
    <w:p w:rsidR="00F22DE4" w:rsidRDefault="00F22DE4" w:rsidP="00C3379B">
      <w:pPr>
        <w:pStyle w:val="Answer-Testimony"/>
      </w:pPr>
    </w:p>
    <w:p w:rsidR="003D6F24" w:rsidRDefault="003D6F24" w:rsidP="003D6F24">
      <w:pPr>
        <w:pStyle w:val="Answer-Testimony"/>
        <w:rPr>
          <w:b/>
        </w:rPr>
      </w:pPr>
      <w:r>
        <w:rPr>
          <w:b/>
        </w:rPr>
        <w:t>Q.</w:t>
      </w:r>
      <w:r>
        <w:rPr>
          <w:b/>
        </w:rPr>
        <w:tab/>
        <w:t xml:space="preserve">How does </w:t>
      </w:r>
      <w:r w:rsidR="00BD1D85">
        <w:rPr>
          <w:b/>
        </w:rPr>
        <w:t>Staff’s use of a different rate year th</w:t>
      </w:r>
      <w:r w:rsidR="007A4628">
        <w:rPr>
          <w:b/>
        </w:rPr>
        <w:t>a</w:t>
      </w:r>
      <w:r w:rsidR="00BD1D85">
        <w:rPr>
          <w:b/>
        </w:rPr>
        <w:t xml:space="preserve">n PSE </w:t>
      </w:r>
      <w:r w:rsidRPr="003B136E">
        <w:rPr>
          <w:rStyle w:val="Question-TestimonyChar"/>
        </w:rPr>
        <w:t xml:space="preserve">affect the adjustments </w:t>
      </w:r>
      <w:r w:rsidR="00635258" w:rsidRPr="003B136E">
        <w:rPr>
          <w:rStyle w:val="Question-TestimonyChar"/>
        </w:rPr>
        <w:t xml:space="preserve">Staff is </w:t>
      </w:r>
      <w:r w:rsidRPr="003B136E">
        <w:rPr>
          <w:rStyle w:val="Question-TestimonyChar"/>
        </w:rPr>
        <w:t>presen</w:t>
      </w:r>
      <w:r>
        <w:rPr>
          <w:b/>
        </w:rPr>
        <w:t>ting?</w:t>
      </w:r>
    </w:p>
    <w:p w:rsidR="00E72479" w:rsidRPr="009A21F7" w:rsidRDefault="003D6F24" w:rsidP="003D6F24">
      <w:pPr>
        <w:pStyle w:val="Answer-Testimony"/>
      </w:pPr>
      <w:r>
        <w:t>A.</w:t>
      </w:r>
      <w:r>
        <w:tab/>
      </w:r>
      <w:r w:rsidR="00635258">
        <w:t>Staff chang</w:t>
      </w:r>
      <w:r w:rsidR="00BD1D85">
        <w:t>ing</w:t>
      </w:r>
      <w:r w:rsidR="00635258">
        <w:t xml:space="preserve"> </w:t>
      </w:r>
      <w:r w:rsidR="00AF0D21">
        <w:t xml:space="preserve">the </w:t>
      </w:r>
      <w:r w:rsidR="00635258">
        <w:t>Company</w:t>
      </w:r>
      <w:r w:rsidR="00AF0D21">
        <w:t>’s</w:t>
      </w:r>
      <w:r w:rsidR="00635258">
        <w:t xml:space="preserve"> </w:t>
      </w:r>
      <w:r w:rsidR="00AF0D21">
        <w:t>A</w:t>
      </w:r>
      <w:r w:rsidR="00C3379B">
        <w:t>djustment</w:t>
      </w:r>
      <w:r w:rsidR="00AF0D21">
        <w:t xml:space="preserve"> 3</w:t>
      </w:r>
      <w:r w:rsidR="007A4628">
        <w:t>,</w:t>
      </w:r>
      <w:r w:rsidR="00C3379B">
        <w:t xml:space="preserve"> which used an</w:t>
      </w:r>
      <w:r w:rsidR="006F5CC8">
        <w:t xml:space="preserve"> “adjusted test year</w:t>
      </w:r>
      <w:r w:rsidR="00844409">
        <w:t>,</w:t>
      </w:r>
      <w:r w:rsidR="006F5CC8">
        <w:t>”</w:t>
      </w:r>
      <w:r w:rsidR="00844409">
        <w:t xml:space="preserve"> to reflect the rate year</w:t>
      </w:r>
      <w:r w:rsidR="006F5CC8">
        <w:t xml:space="preserve"> </w:t>
      </w:r>
      <w:r w:rsidR="00C3379B">
        <w:t>for calculation of average of monthly averages (AMA)</w:t>
      </w:r>
      <w:r w:rsidR="00470BA8">
        <w:t xml:space="preserve"> of plant balance</w:t>
      </w:r>
      <w:r w:rsidR="006F5CC8">
        <w:t>, deferred income tax liability</w:t>
      </w:r>
      <w:r w:rsidR="00FB1820">
        <w:t>, accumulated depreciation, and operating expenses</w:t>
      </w:r>
      <w:r w:rsidR="00FB1820" w:rsidRPr="003965AB">
        <w:t xml:space="preserve"> </w:t>
      </w:r>
      <w:r w:rsidR="00FB1820">
        <w:t>amounts.</w:t>
      </w:r>
      <w:r w:rsidR="00A07432">
        <w:t xml:space="preserve"> </w:t>
      </w:r>
      <w:r w:rsidR="003550D7">
        <w:t xml:space="preserve"> </w:t>
      </w:r>
      <w:r w:rsidR="00BD1D85">
        <w:t xml:space="preserve">In addition, </w:t>
      </w:r>
      <w:r w:rsidR="00A07432">
        <w:t xml:space="preserve">Staff </w:t>
      </w:r>
      <w:r w:rsidR="00635258">
        <w:t>“</w:t>
      </w:r>
      <w:r w:rsidR="00A07432">
        <w:t>push</w:t>
      </w:r>
      <w:r w:rsidR="007A24A3">
        <w:t>es</w:t>
      </w:r>
      <w:r w:rsidR="00A07432">
        <w:t xml:space="preserve"> forward</w:t>
      </w:r>
      <w:r w:rsidR="00635258">
        <w:t>”</w:t>
      </w:r>
      <w:r w:rsidR="00A07432">
        <w:t xml:space="preserve"> all other adjustments</w:t>
      </w:r>
      <w:r w:rsidR="000D269B">
        <w:t>, if the information was available,</w:t>
      </w:r>
      <w:r w:rsidR="00A07432">
        <w:t xml:space="preserve"> to reflect the </w:t>
      </w:r>
      <w:r w:rsidR="0067278A">
        <w:t xml:space="preserve">rate </w:t>
      </w:r>
      <w:r w:rsidR="00A07432">
        <w:t>year</w:t>
      </w:r>
      <w:r w:rsidR="00B73E38">
        <w:t xml:space="preserve"> consistent with </w:t>
      </w:r>
      <w:r w:rsidR="00A07432">
        <w:t>the procedural schedule</w:t>
      </w:r>
      <w:r w:rsidR="00B73E38">
        <w:t xml:space="preserve"> in </w:t>
      </w:r>
      <w:r w:rsidR="00B73E38" w:rsidRPr="009A21F7">
        <w:t xml:space="preserve">this case, which will </w:t>
      </w:r>
      <w:r w:rsidR="005300CF" w:rsidRPr="009A21F7">
        <w:t>implement new rates as of December 1, 2013</w:t>
      </w:r>
      <w:r w:rsidR="00A07432" w:rsidRPr="009A21F7">
        <w:t>.</w:t>
      </w:r>
      <w:r w:rsidR="00BD1D85" w:rsidRPr="009A21F7">
        <w:t xml:space="preserve">  </w:t>
      </w:r>
      <w:r w:rsidR="007A24A3" w:rsidRPr="009A21F7">
        <w:t xml:space="preserve">Therefore, the rate year difference </w:t>
      </w:r>
      <w:r w:rsidR="0060388F" w:rsidRPr="009A21F7">
        <w:t>affects all adjustments that are discussed</w:t>
      </w:r>
      <w:r w:rsidR="00AF0D21" w:rsidRPr="009A21F7">
        <w:t xml:space="preserve"> in my testimony under Section </w:t>
      </w:r>
      <w:r w:rsidR="00E43FA1">
        <w:t>I</w:t>
      </w:r>
      <w:r w:rsidR="0060388F" w:rsidRPr="009A21F7">
        <w:t>V</w:t>
      </w:r>
      <w:r w:rsidR="007A24A3" w:rsidRPr="009A21F7">
        <w:t>,</w:t>
      </w:r>
      <w:r w:rsidR="0060388F" w:rsidRPr="009A21F7">
        <w:t xml:space="preserve"> subtopics B and C.</w:t>
      </w:r>
    </w:p>
    <w:p w:rsidR="00C3379B" w:rsidRPr="00C3379B" w:rsidRDefault="00C3379B" w:rsidP="00C3379B">
      <w:pPr>
        <w:pStyle w:val="Answer-Testimony"/>
      </w:pPr>
    </w:p>
    <w:p w:rsidR="003D6F24" w:rsidRPr="004719A9" w:rsidRDefault="003D6F24" w:rsidP="00E72479">
      <w:pPr>
        <w:pStyle w:val="Question-Testimony"/>
      </w:pPr>
      <w:r>
        <w:t>Q.</w:t>
      </w:r>
      <w:r>
        <w:tab/>
        <w:t xml:space="preserve">What adjustments </w:t>
      </w:r>
      <w:r w:rsidR="0067278A">
        <w:t xml:space="preserve">are </w:t>
      </w:r>
      <w:r>
        <w:t>affected by</w:t>
      </w:r>
      <w:r w:rsidR="00BD1D85">
        <w:t xml:space="preserve"> Staff</w:t>
      </w:r>
      <w:r>
        <w:t xml:space="preserve"> us</w:t>
      </w:r>
      <w:r w:rsidR="00847F91">
        <w:t xml:space="preserve">ing the </w:t>
      </w:r>
      <w:r>
        <w:t>rate year</w:t>
      </w:r>
      <w:r w:rsidR="0067278A">
        <w:t xml:space="preserve"> </w:t>
      </w:r>
      <w:r w:rsidR="003B136E">
        <w:t>December 1, 2013</w:t>
      </w:r>
      <w:r w:rsidR="007A4628">
        <w:t>,</w:t>
      </w:r>
      <w:r w:rsidR="003B136E">
        <w:t xml:space="preserve"> to November 30, 2014</w:t>
      </w:r>
      <w:r w:rsidR="007A24A3">
        <w:t>,</w:t>
      </w:r>
      <w:r w:rsidR="00BD1D85">
        <w:t xml:space="preserve"> rather than the Company’s rate year</w:t>
      </w:r>
      <w:r>
        <w:t>?</w:t>
      </w:r>
    </w:p>
    <w:p w:rsidR="001F449E" w:rsidRDefault="003D6F24" w:rsidP="00FB1820">
      <w:pPr>
        <w:pStyle w:val="Answer-Testimony"/>
      </w:pPr>
      <w:r w:rsidRPr="004719A9">
        <w:lastRenderedPageBreak/>
        <w:t>A.</w:t>
      </w:r>
      <w:r w:rsidRPr="004719A9">
        <w:tab/>
      </w:r>
      <w:r w:rsidR="00BD1D85">
        <w:t xml:space="preserve">The different rate year affects </w:t>
      </w:r>
      <w:r w:rsidR="003550D7">
        <w:t>a</w:t>
      </w:r>
      <w:r w:rsidR="008A3CE9">
        <w:t>ll adjustments</w:t>
      </w:r>
      <w:r w:rsidR="00F41D5A">
        <w:t xml:space="preserve">, with the exception of </w:t>
      </w:r>
      <w:r w:rsidR="00BD1D85">
        <w:t>those listed as uncontested adjustments, which I discuss later in my testimony</w:t>
      </w:r>
      <w:r w:rsidR="00FC530D">
        <w:t>.</w:t>
      </w:r>
      <w:r w:rsidR="00295E38">
        <w:t xml:space="preserve">  However, </w:t>
      </w:r>
      <w:r w:rsidR="0031785D">
        <w:t>Staff’s</w:t>
      </w:r>
      <w:r w:rsidR="00295E38">
        <w:t xml:space="preserve"> Adjustment 3 for LSR is also </w:t>
      </w:r>
      <w:r w:rsidR="00C0743B">
        <w:t xml:space="preserve">affected </w:t>
      </w:r>
      <w:r w:rsidR="002B0E3C">
        <w:t>for the additional reason that the Company is using an i</w:t>
      </w:r>
      <w:r w:rsidR="006A518A">
        <w:t>nappropriate</w:t>
      </w:r>
      <w:r w:rsidR="002B0E3C">
        <w:t xml:space="preserve"> “adjusted test year.”  This </w:t>
      </w:r>
      <w:r w:rsidR="00FC530D">
        <w:t xml:space="preserve">changes the </w:t>
      </w:r>
      <w:r w:rsidR="001F449E">
        <w:t xml:space="preserve">AMA amounts for </w:t>
      </w:r>
      <w:r w:rsidR="00295E38">
        <w:t>LSR as follows</w:t>
      </w:r>
      <w:r w:rsidR="001F449E">
        <w:t>:</w:t>
      </w:r>
    </w:p>
    <w:p w:rsidR="001F449E" w:rsidRDefault="001F449E" w:rsidP="00B40253">
      <w:pPr>
        <w:pStyle w:val="Answer-Testimony"/>
        <w:numPr>
          <w:ilvl w:val="0"/>
          <w:numId w:val="10"/>
        </w:numPr>
      </w:pPr>
      <w:r>
        <w:t>P</w:t>
      </w:r>
      <w:r w:rsidR="00FC530D">
        <w:t>lant balance</w:t>
      </w:r>
      <w:r>
        <w:t xml:space="preserve"> from $</w:t>
      </w:r>
      <w:r w:rsidR="009A1BA3">
        <w:t>689,560,142</w:t>
      </w:r>
      <w:r>
        <w:t xml:space="preserve"> to $</w:t>
      </w:r>
      <w:r w:rsidR="009A1BA3">
        <w:t>691,417,400</w:t>
      </w:r>
      <w:r>
        <w:t>.</w:t>
      </w:r>
    </w:p>
    <w:p w:rsidR="001F449E" w:rsidRDefault="001F449E" w:rsidP="00B40253">
      <w:pPr>
        <w:pStyle w:val="Answer-Testimony"/>
        <w:numPr>
          <w:ilvl w:val="0"/>
          <w:numId w:val="10"/>
        </w:numPr>
      </w:pPr>
      <w:r>
        <w:t>D</w:t>
      </w:r>
      <w:r w:rsidR="00FC530D">
        <w:t>eferred income tax liability</w:t>
      </w:r>
      <w:r>
        <w:t xml:space="preserve"> from $</w:t>
      </w:r>
      <w:r w:rsidR="009A1BA3">
        <w:t>49,545,868</w:t>
      </w:r>
      <w:r>
        <w:t xml:space="preserve"> to $</w:t>
      </w:r>
      <w:r w:rsidR="009A1BA3">
        <w:t>140,245,736</w:t>
      </w:r>
      <w:r>
        <w:t>.</w:t>
      </w:r>
    </w:p>
    <w:p w:rsidR="001F449E" w:rsidRDefault="001F449E" w:rsidP="00B40253">
      <w:pPr>
        <w:pStyle w:val="Answer-Testimony"/>
        <w:numPr>
          <w:ilvl w:val="0"/>
          <w:numId w:val="10"/>
        </w:numPr>
      </w:pPr>
      <w:r>
        <w:t>A</w:t>
      </w:r>
      <w:r w:rsidR="00FC530D">
        <w:t>ccumulated depreciation</w:t>
      </w:r>
      <w:r>
        <w:t xml:space="preserve"> from $</w:t>
      </w:r>
      <w:r w:rsidR="009A1BA3">
        <w:t>14,380,018</w:t>
      </w:r>
      <w:r>
        <w:t xml:space="preserve"> to $</w:t>
      </w:r>
      <w:r w:rsidR="009A1BA3">
        <w:t>55,936,982</w:t>
      </w:r>
      <w:r>
        <w:t>.</w:t>
      </w:r>
    </w:p>
    <w:p w:rsidR="00295E38" w:rsidRDefault="00341C31" w:rsidP="00295E38">
      <w:pPr>
        <w:pStyle w:val="Answer-Testimony"/>
        <w:numPr>
          <w:ilvl w:val="0"/>
          <w:numId w:val="10"/>
        </w:numPr>
      </w:pPr>
      <w:r>
        <w:t>O</w:t>
      </w:r>
      <w:r w:rsidR="00FC530D">
        <w:t>perating expenses</w:t>
      </w:r>
      <w:r w:rsidR="001F449E">
        <w:t xml:space="preserve"> from $</w:t>
      </w:r>
      <w:r w:rsidR="009A1BA3">
        <w:t>28,651,</w:t>
      </w:r>
      <w:r w:rsidR="009A1BA3" w:rsidRPr="007C0308">
        <w:t>131</w:t>
      </w:r>
      <w:r w:rsidR="001F449E" w:rsidRPr="007C0308">
        <w:t xml:space="preserve"> to $</w:t>
      </w:r>
      <w:r w:rsidR="009A1BA3" w:rsidRPr="007C0308">
        <w:t>29,062,357</w:t>
      </w:r>
      <w:r w:rsidR="00FC530D" w:rsidRPr="007C0308">
        <w:t>.</w:t>
      </w:r>
    </w:p>
    <w:p w:rsidR="00092811" w:rsidRDefault="00092811" w:rsidP="00092811">
      <w:pPr>
        <w:pStyle w:val="Answer-Testimony"/>
        <w:ind w:left="0" w:firstLine="0"/>
      </w:pPr>
    </w:p>
    <w:p w:rsidR="00092811" w:rsidRDefault="00295E38" w:rsidP="00092811">
      <w:pPr>
        <w:pStyle w:val="Answer-Testimony"/>
        <w:ind w:left="0" w:firstLine="0"/>
        <w:rPr>
          <w:b/>
        </w:rPr>
      </w:pPr>
      <w:r>
        <w:rPr>
          <w:b/>
        </w:rPr>
        <w:t>Q.</w:t>
      </w:r>
      <w:r>
        <w:rPr>
          <w:b/>
        </w:rPr>
        <w:tab/>
        <w:t>What is Staff’s conclusion on the rate year issue?</w:t>
      </w:r>
    </w:p>
    <w:p w:rsidR="00092811" w:rsidRPr="00092811" w:rsidRDefault="00295E38" w:rsidP="00092811">
      <w:pPr>
        <w:pStyle w:val="Answer-Testimony"/>
        <w:rPr>
          <w:b/>
        </w:rPr>
      </w:pPr>
      <w:r>
        <w:t>A.</w:t>
      </w:r>
      <w:r>
        <w:tab/>
      </w:r>
      <w:r w:rsidR="00F15343">
        <w:t>For the reasons set forth above, the Commission should adopt Staff</w:t>
      </w:r>
      <w:r w:rsidR="00A65245">
        <w:t xml:space="preserve">’s rate year and </w:t>
      </w:r>
      <w:r>
        <w:t xml:space="preserve">also </w:t>
      </w:r>
      <w:r w:rsidR="00A65245">
        <w:t>reject the Company’s use of a</w:t>
      </w:r>
      <w:r>
        <w:t xml:space="preserve"> special</w:t>
      </w:r>
      <w:r w:rsidR="00A65245">
        <w:t xml:space="preserve"> “adjusted test period” for a single asset: LSR.</w:t>
      </w:r>
      <w:r w:rsidR="00F15343">
        <w:t xml:space="preserve">  Staff’s recommendation is consistent with the Settlement Stipulation, the matching principle, and past practice.</w:t>
      </w:r>
    </w:p>
    <w:p w:rsidR="00092811" w:rsidRDefault="00092811" w:rsidP="00092811">
      <w:pPr>
        <w:pStyle w:val="Answer-Testimony"/>
      </w:pPr>
    </w:p>
    <w:p w:rsidR="00D74087" w:rsidRPr="00757A83" w:rsidRDefault="00D74087" w:rsidP="00757A83">
      <w:pPr>
        <w:pStyle w:val="Heading3"/>
        <w:ind w:left="720"/>
      </w:pPr>
      <w:bookmarkStart w:id="5" w:name="_Toc364231279"/>
      <w:r w:rsidRPr="00757A83">
        <w:t>Major Maintenance Activities</w:t>
      </w:r>
      <w:r w:rsidR="003B056D">
        <w:t xml:space="preserve"> (Docket UE-130583)</w:t>
      </w:r>
      <w:bookmarkEnd w:id="5"/>
    </w:p>
    <w:p w:rsidR="00D74087" w:rsidRDefault="00D74087" w:rsidP="00D74087">
      <w:pPr>
        <w:pStyle w:val="Answer-Testimony"/>
        <w:keepNext/>
      </w:pPr>
    </w:p>
    <w:p w:rsidR="00C40463" w:rsidRPr="00F27E5A" w:rsidRDefault="00C40463" w:rsidP="00C40463">
      <w:pPr>
        <w:pStyle w:val="Question-Testimony"/>
      </w:pPr>
      <w:r w:rsidRPr="00F27E5A">
        <w:t>Q.</w:t>
      </w:r>
      <w:r w:rsidRPr="00F27E5A">
        <w:tab/>
      </w:r>
      <w:r>
        <w:t xml:space="preserve">What are </w:t>
      </w:r>
      <w:r w:rsidR="003D67B6">
        <w:t>m</w:t>
      </w:r>
      <w:r>
        <w:t xml:space="preserve">ajor </w:t>
      </w:r>
      <w:r w:rsidR="003D67B6">
        <w:t>m</w:t>
      </w:r>
      <w:r>
        <w:t xml:space="preserve">aintenance </w:t>
      </w:r>
      <w:r w:rsidR="003D67B6">
        <w:t>a</w:t>
      </w:r>
      <w:r>
        <w:t>ctivities?</w:t>
      </w:r>
    </w:p>
    <w:p w:rsidR="00295E38" w:rsidRDefault="00C40463" w:rsidP="00295E38">
      <w:pPr>
        <w:pStyle w:val="Answer-Testimony"/>
      </w:pPr>
      <w:r w:rsidRPr="000C0378">
        <w:t>A.</w:t>
      </w:r>
      <w:r w:rsidRPr="000C0378">
        <w:tab/>
        <w:t xml:space="preserve">Major maintenance activities </w:t>
      </w:r>
      <w:r w:rsidR="00295E38">
        <w:t xml:space="preserve">typically </w:t>
      </w:r>
      <w:r w:rsidR="00434E05">
        <w:t xml:space="preserve">occur when PSE </w:t>
      </w:r>
      <w:r w:rsidR="000C0378" w:rsidRPr="000C0378">
        <w:t xml:space="preserve">overhauls </w:t>
      </w:r>
      <w:r w:rsidR="00434E05">
        <w:t xml:space="preserve">or substantially </w:t>
      </w:r>
      <w:r w:rsidR="000C0378" w:rsidRPr="000C0378">
        <w:t>upgrad</w:t>
      </w:r>
      <w:r w:rsidR="00434E05">
        <w:t>es</w:t>
      </w:r>
      <w:r w:rsidR="000C0378" w:rsidRPr="000C0378">
        <w:t xml:space="preserve"> various systems and equipment </w:t>
      </w:r>
      <w:r w:rsidR="00434E05">
        <w:t xml:space="preserve">for purposes of maintenance or </w:t>
      </w:r>
      <w:r w:rsidR="000C0378" w:rsidRPr="000C0378">
        <w:t>moderniz</w:t>
      </w:r>
      <w:r w:rsidR="00434E05">
        <w:t>ation</w:t>
      </w:r>
      <w:r w:rsidR="00295E38">
        <w:t>, on a scheduled basis</w:t>
      </w:r>
      <w:r w:rsidR="000C0378" w:rsidRPr="000C0378">
        <w:t xml:space="preserve">.  </w:t>
      </w:r>
      <w:r w:rsidR="00295E38">
        <w:t>Extensive testing is usually conducted as part of this activity.</w:t>
      </w:r>
    </w:p>
    <w:p w:rsidR="00C40463" w:rsidRPr="000C0378" w:rsidRDefault="00295E38" w:rsidP="00295E38">
      <w:pPr>
        <w:pStyle w:val="Answer-Testimony"/>
      </w:pPr>
      <w:r>
        <w:lastRenderedPageBreak/>
        <w:tab/>
      </w:r>
      <w:r>
        <w:tab/>
      </w:r>
      <w:r w:rsidR="000C0378" w:rsidRPr="000C0378">
        <w:t xml:space="preserve">For example, replacing old analog electrical equipment with new digital electronic equipment in a power plant most likely </w:t>
      </w:r>
      <w:r w:rsidR="00434E05">
        <w:t xml:space="preserve">would </w:t>
      </w:r>
      <w:r w:rsidR="000C0378" w:rsidRPr="000C0378">
        <w:t>be considered major maintenance.</w:t>
      </w:r>
      <w:r>
        <w:t xml:space="preserve">  </w:t>
      </w:r>
      <w:r w:rsidR="00434E05">
        <w:t xml:space="preserve">Typically, </w:t>
      </w:r>
      <w:r>
        <w:t xml:space="preserve">this sort of </w:t>
      </w:r>
      <w:r w:rsidR="00434E05">
        <w:t xml:space="preserve">major maintenance </w:t>
      </w:r>
      <w:r w:rsidR="000C0378" w:rsidRPr="000C0378">
        <w:t xml:space="preserve">is planned by </w:t>
      </w:r>
      <w:r>
        <w:t xml:space="preserve">utility </w:t>
      </w:r>
      <w:r w:rsidR="000C0378" w:rsidRPr="000C0378">
        <w:t>engineers</w:t>
      </w:r>
      <w:r w:rsidR="007C0308">
        <w:t xml:space="preserve">, </w:t>
      </w:r>
      <w:r>
        <w:t xml:space="preserve">who </w:t>
      </w:r>
      <w:r w:rsidR="007C0308">
        <w:t>schedule</w:t>
      </w:r>
      <w:r>
        <w:t xml:space="preserve"> the maintenance</w:t>
      </w:r>
      <w:r w:rsidR="007C0308">
        <w:t xml:space="preserve"> </w:t>
      </w:r>
      <w:r w:rsidR="000C0378" w:rsidRPr="000C0378">
        <w:t>well in advance</w:t>
      </w:r>
      <w:r>
        <w:t>.</w:t>
      </w:r>
    </w:p>
    <w:p w:rsidR="00C40463" w:rsidRPr="000C0378" w:rsidRDefault="00C40463" w:rsidP="000C0378">
      <w:pPr>
        <w:pStyle w:val="Answer-Testimony"/>
      </w:pPr>
    </w:p>
    <w:p w:rsidR="00670B12" w:rsidRPr="00F27E5A" w:rsidRDefault="00670B12" w:rsidP="00670B12">
      <w:pPr>
        <w:pStyle w:val="Question-Testimony"/>
      </w:pPr>
      <w:r w:rsidRPr="00F27E5A">
        <w:t>Q.</w:t>
      </w:r>
      <w:r w:rsidRPr="00F27E5A">
        <w:tab/>
      </w:r>
      <w:r>
        <w:t>How is this issue presented in this case?</w:t>
      </w:r>
    </w:p>
    <w:p w:rsidR="007A4628" w:rsidRDefault="00670B12" w:rsidP="00670B12">
      <w:pPr>
        <w:pStyle w:val="Answer-Testimony"/>
      </w:pPr>
      <w:r w:rsidRPr="00F27E5A">
        <w:t>A.</w:t>
      </w:r>
      <w:r w:rsidRPr="00F27E5A">
        <w:tab/>
      </w:r>
      <w:r>
        <w:t xml:space="preserve">This issue is presented in the Company’s direct case in </w:t>
      </w:r>
      <w:r w:rsidR="007A4628">
        <w:t xml:space="preserve">the PCORC in </w:t>
      </w:r>
      <w:r>
        <w:t>PSE Adjustment 20</w:t>
      </w:r>
      <w:r w:rsidR="00377943">
        <w:t>.</w:t>
      </w:r>
      <w:r w:rsidR="00377943">
        <w:rPr>
          <w:rStyle w:val="FootnoteReference"/>
        </w:rPr>
        <w:footnoteReference w:id="14"/>
      </w:r>
      <w:r>
        <w:t xml:space="preserve">  In addition, the Commission consolidated the Company’s major maintenance accounting petition (Docket UE-130583)</w:t>
      </w:r>
      <w:r>
        <w:rPr>
          <w:rStyle w:val="FootnoteReference"/>
        </w:rPr>
        <w:footnoteReference w:id="15"/>
      </w:r>
      <w:r>
        <w:t xml:space="preserve"> with the PCORC docket.  In that petition, </w:t>
      </w:r>
      <w:r w:rsidR="007A4628">
        <w:t xml:space="preserve">PSE </w:t>
      </w:r>
      <w:r>
        <w:t xml:space="preserve">asks for authorization of “accounting treatment for payments made under an existing Long Term Service Agreement (“LTSA”) with General Electric </w:t>
      </w:r>
      <w:r w:rsidRPr="008353F9">
        <w:t>International, Inc. (“GE”) for Mint Farm Combined Cycle Generating Station (“Mint Farm Facility”)</w:t>
      </w:r>
      <w:r>
        <w:t>.</w:t>
      </w:r>
      <w:r w:rsidRPr="008353F9">
        <w:t>”</w:t>
      </w:r>
      <w:r w:rsidRPr="008353F9">
        <w:rPr>
          <w:rStyle w:val="FootnoteReference"/>
        </w:rPr>
        <w:footnoteReference w:id="16"/>
      </w:r>
      <w:r w:rsidR="00F84344">
        <w:t xml:space="preserve">  </w:t>
      </w:r>
    </w:p>
    <w:p w:rsidR="00670B12" w:rsidRPr="00670B12" w:rsidRDefault="007A4628" w:rsidP="00670B12">
      <w:pPr>
        <w:pStyle w:val="Answer-Testimony"/>
        <w:rPr>
          <w:rFonts w:eastAsia="Calibri"/>
        </w:rPr>
      </w:pPr>
      <w:r>
        <w:tab/>
      </w:r>
      <w:r>
        <w:tab/>
      </w:r>
      <w:r w:rsidR="00F84344">
        <w:t xml:space="preserve">The accounting treatment the Company seeks in </w:t>
      </w:r>
      <w:r>
        <w:t xml:space="preserve">its accounting </w:t>
      </w:r>
      <w:r w:rsidR="00F84344">
        <w:t>petition is the same as the accounting treatment reflected in Company Adjustment 20.</w:t>
      </w:r>
    </w:p>
    <w:p w:rsidR="00670B12" w:rsidRDefault="00670B12" w:rsidP="00C40463">
      <w:pPr>
        <w:pStyle w:val="Answer-Testimony"/>
        <w:keepNext/>
      </w:pPr>
    </w:p>
    <w:p w:rsidR="008353F9" w:rsidRPr="00F27E5A" w:rsidRDefault="008353F9" w:rsidP="008353F9">
      <w:pPr>
        <w:pStyle w:val="Question-Testimony"/>
      </w:pPr>
      <w:r w:rsidRPr="00F27E5A">
        <w:t>Q.</w:t>
      </w:r>
      <w:r w:rsidRPr="00F27E5A">
        <w:tab/>
      </w:r>
      <w:r w:rsidR="00295E38">
        <w:t xml:space="preserve">What is the appropriate accounting for </w:t>
      </w:r>
      <w:r>
        <w:t xml:space="preserve">major maintenance </w:t>
      </w:r>
      <w:r w:rsidR="00295E38">
        <w:t>costs?</w:t>
      </w:r>
    </w:p>
    <w:p w:rsidR="00D74087" w:rsidRDefault="008353F9" w:rsidP="00FB6BBC">
      <w:pPr>
        <w:pStyle w:val="Answer-Testimony"/>
      </w:pPr>
      <w:r w:rsidRPr="00F27E5A">
        <w:t>A.</w:t>
      </w:r>
      <w:r w:rsidRPr="00F27E5A">
        <w:tab/>
      </w:r>
      <w:r w:rsidR="00295E38">
        <w:t>The appropriate accounting for major maintenance is to</w:t>
      </w:r>
      <w:r w:rsidRPr="008353F9">
        <w:t xml:space="preserve"> amortize the</w:t>
      </w:r>
      <w:r w:rsidR="00DF4215">
        <w:t>se</w:t>
      </w:r>
      <w:r w:rsidRPr="008353F9">
        <w:t xml:space="preserve"> </w:t>
      </w:r>
      <w:r w:rsidR="00377943">
        <w:t>m</w:t>
      </w:r>
      <w:r w:rsidR="00DF4215">
        <w:t xml:space="preserve">ajor </w:t>
      </w:r>
      <w:r w:rsidR="00377943">
        <w:t>m</w:t>
      </w:r>
      <w:r w:rsidR="00DF4215">
        <w:t xml:space="preserve">aintenance </w:t>
      </w:r>
      <w:r w:rsidRPr="008353F9">
        <w:t>costs following the time of the</w:t>
      </w:r>
      <w:r w:rsidR="00F84344">
        <w:t xml:space="preserve"> major maintenance</w:t>
      </w:r>
      <w:r w:rsidRPr="008353F9">
        <w:t xml:space="preserve"> event</w:t>
      </w:r>
      <w:r w:rsidR="00DD31FD">
        <w:t xml:space="preserve"> until the next</w:t>
      </w:r>
      <w:r w:rsidR="00F84344">
        <w:t xml:space="preserve"> major maintenance</w:t>
      </w:r>
      <w:r w:rsidR="00DD31FD">
        <w:t xml:space="preserve"> event</w:t>
      </w:r>
      <w:r w:rsidR="00DF4215">
        <w:t>,</w:t>
      </w:r>
      <w:r w:rsidRPr="008353F9">
        <w:t xml:space="preserve"> without ea</w:t>
      </w:r>
      <w:r>
        <w:t xml:space="preserve">rning a return on the </w:t>
      </w:r>
      <w:r w:rsidR="00295E38">
        <w:t xml:space="preserve">unamortized balance for the </w:t>
      </w:r>
      <w:r>
        <w:t>expense</w:t>
      </w:r>
      <w:r w:rsidR="00295E38">
        <w:t>.  This is an acceptable method under generally accepted accounting principles (GAAP).</w:t>
      </w:r>
    </w:p>
    <w:p w:rsidR="00DF4215" w:rsidRPr="008353F9" w:rsidRDefault="00DF4215" w:rsidP="008353F9">
      <w:pPr>
        <w:pStyle w:val="Answer-Testimony"/>
        <w:keepNext/>
      </w:pPr>
      <w:r>
        <w:lastRenderedPageBreak/>
        <w:tab/>
      </w:r>
      <w:r>
        <w:tab/>
      </w:r>
      <w:r w:rsidR="00BD253C">
        <w:t xml:space="preserve">In other words, the Commission should not allow PSE to create a regulatory asset for major maintenance.  </w:t>
      </w:r>
      <w:r>
        <w:t>The Commission should deny the Compan</w:t>
      </w:r>
      <w:r w:rsidRPr="00DF4215">
        <w:t>y</w:t>
      </w:r>
      <w:r>
        <w:t>’</w:t>
      </w:r>
      <w:r w:rsidRPr="00DF4215">
        <w:t>s</w:t>
      </w:r>
      <w:r>
        <w:t xml:space="preserve"> accounting petition that asks for authority to create a regulatory asset.</w:t>
      </w:r>
    </w:p>
    <w:p w:rsidR="00D74087" w:rsidRPr="007148CF" w:rsidRDefault="00D74087" w:rsidP="006C37D4">
      <w:pPr>
        <w:spacing w:line="480" w:lineRule="auto"/>
        <w:ind w:left="720" w:hanging="720"/>
        <w:rPr>
          <w:b/>
        </w:rPr>
      </w:pPr>
    </w:p>
    <w:p w:rsidR="00D74087" w:rsidRPr="007148CF" w:rsidRDefault="00D74087" w:rsidP="00D74087">
      <w:pPr>
        <w:spacing w:line="480" w:lineRule="auto"/>
        <w:ind w:left="720" w:hanging="720"/>
        <w:rPr>
          <w:b/>
        </w:rPr>
      </w:pPr>
      <w:r w:rsidRPr="007148CF">
        <w:rPr>
          <w:b/>
        </w:rPr>
        <w:t>Q.</w:t>
      </w:r>
      <w:r w:rsidRPr="007148CF">
        <w:rPr>
          <w:b/>
        </w:rPr>
        <w:tab/>
      </w:r>
      <w:r w:rsidR="00022908">
        <w:rPr>
          <w:b/>
        </w:rPr>
        <w:t xml:space="preserve">What </w:t>
      </w:r>
      <w:r w:rsidR="009B76F3">
        <w:rPr>
          <w:b/>
        </w:rPr>
        <w:t xml:space="preserve">major maintenance </w:t>
      </w:r>
      <w:r w:rsidR="00022908">
        <w:rPr>
          <w:b/>
        </w:rPr>
        <w:t>deferral amounts does PSE reflect in</w:t>
      </w:r>
      <w:r w:rsidR="00F84344">
        <w:rPr>
          <w:b/>
        </w:rPr>
        <w:t xml:space="preserve"> </w:t>
      </w:r>
      <w:r w:rsidR="00BD253C">
        <w:rPr>
          <w:b/>
        </w:rPr>
        <w:t>Company</w:t>
      </w:r>
      <w:r w:rsidR="00F84344">
        <w:rPr>
          <w:b/>
        </w:rPr>
        <w:t xml:space="preserve"> </w:t>
      </w:r>
      <w:r w:rsidR="00022908">
        <w:rPr>
          <w:b/>
        </w:rPr>
        <w:t>Adjustment 20?</w:t>
      </w:r>
    </w:p>
    <w:p w:rsidR="00D74087" w:rsidRDefault="00D74087" w:rsidP="004812AA">
      <w:pPr>
        <w:spacing w:line="480" w:lineRule="auto"/>
        <w:ind w:left="720" w:hanging="720"/>
      </w:pPr>
      <w:r w:rsidRPr="007148CF">
        <w:t>A.</w:t>
      </w:r>
      <w:r w:rsidRPr="007148CF">
        <w:tab/>
      </w:r>
      <w:r w:rsidR="006411C3">
        <w:t>PSE</w:t>
      </w:r>
      <w:r>
        <w:t xml:space="preserve">’s Adjustment </w:t>
      </w:r>
      <w:r w:rsidR="006411C3">
        <w:t>20</w:t>
      </w:r>
      <w:r>
        <w:t xml:space="preserve"> applies a deferral </w:t>
      </w:r>
      <w:r w:rsidR="004812AA">
        <w:t>for prepaid assets related to major maintenance; PSE</w:t>
      </w:r>
      <w:r w:rsidR="00CC2C13">
        <w:t>’s</w:t>
      </w:r>
      <w:r w:rsidR="004812AA">
        <w:t xml:space="preserve"> witness Katherine J. Barnard confirms this in her direct testimony</w:t>
      </w:r>
      <w:r w:rsidR="004812AA">
        <w:rPr>
          <w:rFonts w:ascii="Times" w:hAnsi="Times"/>
        </w:rPr>
        <w:t>.</w:t>
      </w:r>
      <w:r w:rsidR="004812AA">
        <w:rPr>
          <w:rStyle w:val="FootnoteReference"/>
          <w:rFonts w:ascii="Times" w:eastAsiaTheme="majorEastAsia" w:hAnsi="Times"/>
        </w:rPr>
        <w:footnoteReference w:id="17"/>
      </w:r>
      <w:r w:rsidR="004812AA">
        <w:t xml:space="preserve">  The amounts to be deferr</w:t>
      </w:r>
      <w:r w:rsidR="003C0208">
        <w:t xml:space="preserve">ed </w:t>
      </w:r>
      <w:r w:rsidR="004812AA">
        <w:t>result in a regulatory asset amortization expense of $634,721</w:t>
      </w:r>
      <w:r w:rsidR="007C0E3E">
        <w:t>,</w:t>
      </w:r>
      <w:r w:rsidR="004812AA">
        <w:t xml:space="preserve"> to </w:t>
      </w:r>
      <w:r>
        <w:t xml:space="preserve">be amortized over </w:t>
      </w:r>
      <w:r w:rsidR="004812AA">
        <w:t>thirty</w:t>
      </w:r>
      <w:r w:rsidR="00ED023C">
        <w:t>-six</w:t>
      </w:r>
      <w:r w:rsidR="004812AA">
        <w:t xml:space="preserve"> months</w:t>
      </w:r>
      <w:r w:rsidR="007C0E3E">
        <w:t xml:space="preserve">.  The unamortized balance would </w:t>
      </w:r>
      <w:r>
        <w:t>accrue carrying charg</w:t>
      </w:r>
      <w:r w:rsidR="004812AA">
        <w:t>es</w:t>
      </w:r>
      <w:r w:rsidR="009B76F3">
        <w:t>,</w:t>
      </w:r>
      <w:r w:rsidR="004812AA">
        <w:t xml:space="preserve"> or otherwise earn a return.</w:t>
      </w:r>
    </w:p>
    <w:p w:rsidR="00D74087" w:rsidRDefault="00D74087" w:rsidP="00D74087">
      <w:pPr>
        <w:pStyle w:val="Answer-Testimony"/>
      </w:pPr>
    </w:p>
    <w:p w:rsidR="00D74087" w:rsidRDefault="00D74087" w:rsidP="00D74087">
      <w:pPr>
        <w:pStyle w:val="Question-Testimony"/>
      </w:pPr>
      <w:r>
        <w:t>Q.</w:t>
      </w:r>
      <w:r>
        <w:tab/>
        <w:t xml:space="preserve">Is </w:t>
      </w:r>
      <w:r w:rsidR="003D67B6">
        <w:t>m</w:t>
      </w:r>
      <w:r>
        <w:t xml:space="preserve">ajor </w:t>
      </w:r>
      <w:r w:rsidR="003D67B6">
        <w:t>m</w:t>
      </w:r>
      <w:r>
        <w:t>aintenance expense an unusual expense for an electric utility company?</w:t>
      </w:r>
    </w:p>
    <w:p w:rsidR="00D74087" w:rsidRDefault="00D74087" w:rsidP="00D74087">
      <w:pPr>
        <w:pStyle w:val="Answer-Testimony"/>
      </w:pPr>
      <w:r>
        <w:t>A.</w:t>
      </w:r>
      <w:r>
        <w:tab/>
        <w:t xml:space="preserve">No.  Major </w:t>
      </w:r>
      <w:r w:rsidR="003D67B6">
        <w:t>m</w:t>
      </w:r>
      <w:r>
        <w:t>aintenance expense is an ongoing, substantial portion of an electric utility company’s operating expenses.  As with any ongoing expense, major maintenance expense could fluctuate over time, and therefore an adjustment may be included in the test period to normalize</w:t>
      </w:r>
      <w:r>
        <w:rPr>
          <w:rStyle w:val="FootnoteReference"/>
        </w:rPr>
        <w:footnoteReference w:id="18"/>
      </w:r>
      <w:r>
        <w:t xml:space="preserve"> the expense.</w:t>
      </w:r>
    </w:p>
    <w:p w:rsidR="00E72479" w:rsidRDefault="00E72479" w:rsidP="00D74087">
      <w:pPr>
        <w:pStyle w:val="Answer-Testimony"/>
      </w:pPr>
    </w:p>
    <w:p w:rsidR="00D74087" w:rsidRDefault="00D74087" w:rsidP="00D74087">
      <w:pPr>
        <w:pStyle w:val="Question-Testimony"/>
      </w:pPr>
      <w:r>
        <w:t xml:space="preserve">Q.  </w:t>
      </w:r>
      <w:r>
        <w:tab/>
        <w:t>Is the practice of normalization always appropriate?</w:t>
      </w:r>
    </w:p>
    <w:p w:rsidR="00D74087" w:rsidRDefault="00D74087" w:rsidP="00D74087">
      <w:pPr>
        <w:pStyle w:val="Answer-Testimony"/>
      </w:pPr>
      <w:r>
        <w:t>A.</w:t>
      </w:r>
      <w:r>
        <w:tab/>
        <w:t>No</w:t>
      </w:r>
      <w:r w:rsidR="00DC5650">
        <w:t>t necessarily</w:t>
      </w:r>
      <w:r>
        <w:t>.  Normalization is appropriate only if the utility can prove the test period level of expense is unrepresentative</w:t>
      </w:r>
      <w:r w:rsidR="00DC5650">
        <w:t xml:space="preserve"> of the rate year</w:t>
      </w:r>
      <w:r>
        <w:t xml:space="preserve">.  </w:t>
      </w:r>
      <w:r w:rsidR="00DC5650">
        <w:t>For example, i</w:t>
      </w:r>
      <w:r>
        <w:t xml:space="preserve">n PSE’s </w:t>
      </w:r>
      <w:r>
        <w:lastRenderedPageBreak/>
        <w:t xml:space="preserve">last GRC, the Commission used the current test period expense for </w:t>
      </w:r>
      <w:r w:rsidR="00DC5650">
        <w:t>M</w:t>
      </w:r>
      <w:r>
        <w:t xml:space="preserve">ajor </w:t>
      </w:r>
      <w:r w:rsidR="00DC5650">
        <w:t>M</w:t>
      </w:r>
      <w:r>
        <w:t xml:space="preserve">aintenance rather than </w:t>
      </w:r>
      <w:r w:rsidR="00295E38">
        <w:t xml:space="preserve">use </w:t>
      </w:r>
      <w:r>
        <w:t>a five-year average</w:t>
      </w:r>
      <w:r w:rsidR="00295E38">
        <w:t xml:space="preserve"> to normalize the expense</w:t>
      </w:r>
      <w:r>
        <w:t>.</w:t>
      </w:r>
      <w:r>
        <w:rPr>
          <w:rStyle w:val="FootnoteReference"/>
          <w:rFonts w:eastAsiaTheme="majorEastAsia"/>
        </w:rPr>
        <w:footnoteReference w:id="19"/>
      </w:r>
    </w:p>
    <w:p w:rsidR="001B3CD3" w:rsidRDefault="001B3CD3" w:rsidP="001B3CD3">
      <w:pPr>
        <w:pStyle w:val="Answer-Testimony"/>
      </w:pPr>
    </w:p>
    <w:p w:rsidR="001B3CD3" w:rsidRDefault="001B3CD3" w:rsidP="001B3CD3">
      <w:pPr>
        <w:pStyle w:val="Question-Testimony"/>
      </w:pPr>
      <w:r>
        <w:t xml:space="preserve">Q.  </w:t>
      </w:r>
      <w:r>
        <w:tab/>
        <w:t>How</w:t>
      </w:r>
      <w:r w:rsidR="00F84344">
        <w:t xml:space="preserve"> often</w:t>
      </w:r>
      <w:r>
        <w:t xml:space="preserve"> do major maintenance events occur and </w:t>
      </w:r>
      <w:r w:rsidR="00C0743B">
        <w:t xml:space="preserve">how are </w:t>
      </w:r>
      <w:r>
        <w:t>th</w:t>
      </w:r>
      <w:r w:rsidR="00295E38">
        <w:t>e related</w:t>
      </w:r>
      <w:r>
        <w:t xml:space="preserve"> expenses recorded?</w:t>
      </w:r>
    </w:p>
    <w:p w:rsidR="00842A10" w:rsidRPr="00F84344" w:rsidRDefault="00C0743B" w:rsidP="001B3CD3">
      <w:pPr>
        <w:pStyle w:val="Answer-Testimony"/>
      </w:pPr>
      <w:r>
        <w:t>A.</w:t>
      </w:r>
      <w:r>
        <w:tab/>
      </w:r>
      <w:r w:rsidR="00156A6B">
        <w:t>For facilities such as Mint Farm, a</w:t>
      </w:r>
      <w:r>
        <w:t xml:space="preserve"> </w:t>
      </w:r>
      <w:r w:rsidR="006867FB">
        <w:t>m</w:t>
      </w:r>
      <w:r>
        <w:t xml:space="preserve">ajor </w:t>
      </w:r>
      <w:r w:rsidR="006867FB">
        <w:t>m</w:t>
      </w:r>
      <w:r>
        <w:t>aintenance event</w:t>
      </w:r>
      <w:r w:rsidR="001B3CD3">
        <w:t xml:space="preserve"> happen</w:t>
      </w:r>
      <w:r w:rsidR="00156A6B">
        <w:t>s</w:t>
      </w:r>
      <w:r w:rsidR="001B3CD3">
        <w:t xml:space="preserve"> approximately every 12,000 hours</w:t>
      </w:r>
      <w:r w:rsidR="00156A6B">
        <w:t xml:space="preserve"> of use,</w:t>
      </w:r>
      <w:r w:rsidR="001B3CD3">
        <w:t xml:space="preserve"> based upon actual timing of the facilities capacity factor (hours run</w:t>
      </w:r>
      <w:r w:rsidR="00F84344">
        <w:t xml:space="preserve"> ÷ </w:t>
      </w:r>
      <w:r w:rsidR="001B3CD3">
        <w:t xml:space="preserve">hours in </w:t>
      </w:r>
      <w:r w:rsidR="00F84344">
        <w:t xml:space="preserve">the </w:t>
      </w:r>
      <w:r w:rsidR="001B3CD3">
        <w:t>period).</w:t>
      </w:r>
      <w:r w:rsidR="001B3CD3">
        <w:rPr>
          <w:rStyle w:val="FootnoteReference"/>
        </w:rPr>
        <w:footnoteReference w:id="20"/>
      </w:r>
      <w:r w:rsidR="00156A6B">
        <w:t xml:space="preserve">  Major </w:t>
      </w:r>
      <w:r w:rsidR="006867FB">
        <w:t>m</w:t>
      </w:r>
      <w:r w:rsidR="001B3CD3">
        <w:t>aintenance expenses are</w:t>
      </w:r>
      <w:r w:rsidR="00842A10">
        <w:t xml:space="preserve"> often</w:t>
      </w:r>
      <w:r w:rsidR="001B3CD3">
        <w:t xml:space="preserve"> prepaid, </w:t>
      </w:r>
      <w:r w:rsidR="00102609">
        <w:t xml:space="preserve">but are trued up in following </w:t>
      </w:r>
      <w:r w:rsidR="002E3C19">
        <w:t>quarters</w:t>
      </w:r>
      <w:r w:rsidR="00102609">
        <w:t xml:space="preserve"> b</w:t>
      </w:r>
      <w:r w:rsidR="001B3CD3">
        <w:t xml:space="preserve">ased </w:t>
      </w:r>
      <w:r w:rsidR="00102609">
        <w:t xml:space="preserve">on the actual </w:t>
      </w:r>
      <w:r w:rsidR="001B3CD3">
        <w:t>hours the plant was run during the quarter</w:t>
      </w:r>
      <w:r w:rsidR="00842A10" w:rsidRPr="00F84344">
        <w:t>,</w:t>
      </w:r>
      <w:r w:rsidR="00102609" w:rsidRPr="00F84344">
        <w:t xml:space="preserve"> compared to the billed run hours in the quarter</w:t>
      </w:r>
      <w:r w:rsidR="001B3CD3" w:rsidRPr="00F84344">
        <w:t>.</w:t>
      </w:r>
      <w:r w:rsidR="00102609" w:rsidRPr="00F84344">
        <w:rPr>
          <w:rStyle w:val="FootnoteReference"/>
        </w:rPr>
        <w:footnoteReference w:id="21"/>
      </w:r>
    </w:p>
    <w:p w:rsidR="001B3CD3" w:rsidRPr="00F84344" w:rsidRDefault="00842A10" w:rsidP="001B3CD3">
      <w:pPr>
        <w:pStyle w:val="Answer-Testimony"/>
      </w:pPr>
      <w:r w:rsidRPr="00F84344">
        <w:tab/>
      </w:r>
      <w:r w:rsidRPr="00F84344">
        <w:tab/>
      </w:r>
      <w:r w:rsidR="00102609" w:rsidRPr="00F84344">
        <w:t>Typically,</w:t>
      </w:r>
      <w:r w:rsidRPr="00F84344">
        <w:t xml:space="preserve"> a utility records</w:t>
      </w:r>
      <w:r w:rsidR="00102609" w:rsidRPr="00F84344">
        <w:t xml:space="preserve"> </w:t>
      </w:r>
      <w:r w:rsidR="001B3CD3" w:rsidRPr="00F84344">
        <w:t xml:space="preserve">prepaid </w:t>
      </w:r>
      <w:r w:rsidR="00102609" w:rsidRPr="00F84344">
        <w:t xml:space="preserve">expenses </w:t>
      </w:r>
      <w:r w:rsidRPr="00F84344">
        <w:t>at t</w:t>
      </w:r>
      <w:r w:rsidR="009B76F3" w:rsidRPr="00F84344">
        <w:t xml:space="preserve">he time of </w:t>
      </w:r>
      <w:r w:rsidRPr="00F84344">
        <w:t xml:space="preserve">maintenance </w:t>
      </w:r>
      <w:r w:rsidR="009B76F3" w:rsidRPr="00F84344">
        <w:t>event.</w:t>
      </w:r>
    </w:p>
    <w:p w:rsidR="00C2633F" w:rsidRPr="00F84344" w:rsidRDefault="00C2633F" w:rsidP="00C2633F">
      <w:pPr>
        <w:pStyle w:val="Answer-Testimony"/>
      </w:pPr>
    </w:p>
    <w:p w:rsidR="00C2633F" w:rsidRDefault="00C2633F" w:rsidP="00C2633F">
      <w:pPr>
        <w:pStyle w:val="Question-Testimony"/>
      </w:pPr>
      <w:r>
        <w:t xml:space="preserve">Q.  </w:t>
      </w:r>
      <w:r>
        <w:tab/>
        <w:t>Is there any</w:t>
      </w:r>
      <w:r w:rsidR="00F84344">
        <w:t xml:space="preserve"> accounting</w:t>
      </w:r>
      <w:r>
        <w:t xml:space="preserve"> guidance or treatment for major maintenance</w:t>
      </w:r>
      <w:r w:rsidR="009B76F3">
        <w:t xml:space="preserve"> as it pertains to the utility industry</w:t>
      </w:r>
      <w:r>
        <w:t>?</w:t>
      </w:r>
    </w:p>
    <w:p w:rsidR="00332642" w:rsidRDefault="002D3724" w:rsidP="002D3724">
      <w:pPr>
        <w:pStyle w:val="Answer-Testimony"/>
      </w:pPr>
      <w:r>
        <w:t>A.</w:t>
      </w:r>
      <w:r>
        <w:tab/>
      </w:r>
      <w:r w:rsidR="00770B6A">
        <w:t>Yes</w:t>
      </w:r>
      <w:r w:rsidR="009B76F3">
        <w:t>.</w:t>
      </w:r>
      <w:r w:rsidR="00E562A9">
        <w:t xml:space="preserve"> </w:t>
      </w:r>
      <w:r w:rsidR="00770B6A">
        <w:t xml:space="preserve"> </w:t>
      </w:r>
      <w:r w:rsidR="00F84344">
        <w:t>Accounting g</w:t>
      </w:r>
      <w:r w:rsidR="00C66625">
        <w:t>uidance for treatment of m</w:t>
      </w:r>
      <w:r w:rsidR="00CD6B22">
        <w:t>ajor</w:t>
      </w:r>
      <w:r w:rsidR="006C5A3A">
        <w:t xml:space="preserve"> overhaul</w:t>
      </w:r>
      <w:r w:rsidR="00C66625">
        <w:t>s</w:t>
      </w:r>
      <w:r w:rsidR="006C5A3A">
        <w:t xml:space="preserve"> and</w:t>
      </w:r>
      <w:r w:rsidR="00CD6B22">
        <w:t xml:space="preserve"> maintenance</w:t>
      </w:r>
      <w:r w:rsidR="00C66625">
        <w:t xml:space="preserve"> is provided by </w:t>
      </w:r>
      <w:r w:rsidR="00CD6B22">
        <w:t>Acc</w:t>
      </w:r>
      <w:r w:rsidR="00227AB4">
        <w:t>ounting Standard Codification (</w:t>
      </w:r>
      <w:r w:rsidR="00CD6B22">
        <w:t>ASC) 908-360</w:t>
      </w:r>
      <w:r w:rsidR="00332642">
        <w:t>-</w:t>
      </w:r>
      <w:r w:rsidR="00CD6B22">
        <w:t>25</w:t>
      </w:r>
      <w:r w:rsidR="00332642">
        <w:t xml:space="preserve"> and Financial </w:t>
      </w:r>
      <w:r w:rsidR="00332642">
        <w:lastRenderedPageBreak/>
        <w:t>Accounting Stand</w:t>
      </w:r>
      <w:r w:rsidR="00227AB4">
        <w:t>ards Board’s (FASB</w:t>
      </w:r>
      <w:r w:rsidR="00332642">
        <w:t>)</w:t>
      </w:r>
      <w:r w:rsidR="00CD6B22">
        <w:t xml:space="preserve"> Staff Position, No. AUG AIR-1</w:t>
      </w:r>
      <w:r w:rsidR="00227AB4">
        <w:t xml:space="preserve"> (</w:t>
      </w:r>
      <w:r w:rsidR="00C66625">
        <w:t>FS</w:t>
      </w:r>
      <w:r w:rsidR="00BE705B">
        <w:t>P</w:t>
      </w:r>
      <w:r w:rsidR="00227AB4">
        <w:t xml:space="preserve"> AIR-1</w:t>
      </w:r>
      <w:r w:rsidR="00C66625">
        <w:t>)</w:t>
      </w:r>
      <w:r w:rsidR="00332642">
        <w:t>.</w:t>
      </w:r>
    </w:p>
    <w:p w:rsidR="00C66625" w:rsidRDefault="00C66625" w:rsidP="002D3724">
      <w:pPr>
        <w:pStyle w:val="Answer-Testimony"/>
      </w:pPr>
    </w:p>
    <w:p w:rsidR="00C66625" w:rsidRDefault="00C66625" w:rsidP="00C66625">
      <w:pPr>
        <w:pStyle w:val="Question-Testimony"/>
      </w:pPr>
      <w:r>
        <w:t xml:space="preserve">Q.  </w:t>
      </w:r>
      <w:r>
        <w:tab/>
        <w:t>What guidance is provided by the Financial Accounting Standards Board in FSB AIR-1 regarding accounting for major maintenance?</w:t>
      </w:r>
    </w:p>
    <w:p w:rsidR="00CD6B22" w:rsidRDefault="00C66625" w:rsidP="00C66625">
      <w:pPr>
        <w:pStyle w:val="Answer-Testimony"/>
      </w:pPr>
      <w:r>
        <w:t>A.</w:t>
      </w:r>
      <w:r>
        <w:tab/>
      </w:r>
      <w:r w:rsidR="002C1555">
        <w:t xml:space="preserve">FSP AIR-1 </w:t>
      </w:r>
      <w:r>
        <w:t>permits three methods of accounting for major maintenance-type costs:  (1) direct expense; (2) built-in overhaul; and (3) deferral.  However, it prohibits the “</w:t>
      </w:r>
      <w:r w:rsidR="002C1555">
        <w:t>accrue-in-advance</w:t>
      </w:r>
      <w:r>
        <w:t>”</w:t>
      </w:r>
      <w:r w:rsidR="002C1555">
        <w:t xml:space="preserve"> method</w:t>
      </w:r>
      <w:r>
        <w:t>.</w:t>
      </w:r>
      <w:r w:rsidRPr="00C66625">
        <w:rPr>
          <w:rStyle w:val="FootnoteReference"/>
        </w:rPr>
        <w:t xml:space="preserve"> </w:t>
      </w:r>
      <w:r>
        <w:rPr>
          <w:rStyle w:val="FootnoteReference"/>
        </w:rPr>
        <w:footnoteReference w:id="22"/>
      </w:r>
      <w:r w:rsidR="002C1555">
        <w:t xml:space="preserve"> </w:t>
      </w:r>
      <w:r>
        <w:t xml:space="preserve"> Furthermore, </w:t>
      </w:r>
      <w:r w:rsidR="00F84344">
        <w:t>FSP AIR-1</w:t>
      </w:r>
      <w:r>
        <w:t xml:space="preserve"> </w:t>
      </w:r>
      <w:r w:rsidR="002C1555">
        <w:t>changes the guidance on accounting for planned major maintenance activities</w:t>
      </w:r>
      <w:r w:rsidR="00F84344">
        <w:t xml:space="preserve"> found</w:t>
      </w:r>
      <w:r w:rsidR="002C1555">
        <w:t xml:space="preserve"> in the American Institute of Certified Public Accountants (AICPA) guide on audits of airlines, which companies in other industries have applied by analogy to their own circumstances.</w:t>
      </w:r>
      <w:r w:rsidR="002C1555">
        <w:rPr>
          <w:rStyle w:val="FootnoteReference"/>
        </w:rPr>
        <w:footnoteReference w:id="23"/>
      </w:r>
    </w:p>
    <w:p w:rsidR="00C66625" w:rsidRDefault="00C66625" w:rsidP="00C66625">
      <w:pPr>
        <w:pStyle w:val="Answer-Testimony"/>
      </w:pPr>
    </w:p>
    <w:p w:rsidR="00C66625" w:rsidRDefault="00C66625" w:rsidP="00C66625">
      <w:pPr>
        <w:pStyle w:val="Question-Testimony"/>
      </w:pPr>
      <w:r>
        <w:t xml:space="preserve">Q.  </w:t>
      </w:r>
      <w:r>
        <w:tab/>
        <w:t xml:space="preserve">What guidance is provided by the </w:t>
      </w:r>
      <w:r w:rsidR="000E089D">
        <w:t>Accounting Standard Codification in ASC 908-360-25</w:t>
      </w:r>
      <w:r>
        <w:t>?</w:t>
      </w:r>
    </w:p>
    <w:p w:rsidR="000E089D" w:rsidRDefault="00C66625" w:rsidP="00C66625">
      <w:pPr>
        <w:pStyle w:val="Answer-Testimony"/>
      </w:pPr>
      <w:r>
        <w:t>A.</w:t>
      </w:r>
      <w:r>
        <w:tab/>
      </w:r>
      <w:r w:rsidR="00215EAC">
        <w:t>ASC 908-360-25 states “</w:t>
      </w:r>
      <w:r w:rsidR="006C5A3A">
        <w:t>[t]</w:t>
      </w:r>
      <w:r w:rsidR="001344C9">
        <w:t>he following accounting methods are permitted:  a) the direct expensing method, addressed in subtopic 908-720 (see paragraph 908-720-25-3); b) the built-in overhaul method; and c) the deferral me</w:t>
      </w:r>
      <w:r w:rsidR="00946C63">
        <w:t>thod</w:t>
      </w:r>
      <w:r w:rsidR="001344C9">
        <w:t>.”</w:t>
      </w:r>
      <w:r w:rsidR="00946C63">
        <w:t xml:space="preserve">  </w:t>
      </w:r>
      <w:r w:rsidR="00CD6B22">
        <w:t>ASC 908</w:t>
      </w:r>
      <w:r w:rsidR="00215EAC">
        <w:t>-25-3</w:t>
      </w:r>
      <w:r w:rsidR="00CD6B22">
        <w:t xml:space="preserve"> </w:t>
      </w:r>
      <w:r w:rsidR="00F84344">
        <w:t xml:space="preserve">also </w:t>
      </w:r>
      <w:r w:rsidR="00946C63">
        <w:t>states</w:t>
      </w:r>
      <w:r w:rsidR="00215EAC">
        <w:t xml:space="preserve"> “</w:t>
      </w:r>
      <w:r w:rsidR="00946C63">
        <w:t xml:space="preserve">paragraph </w:t>
      </w:r>
      <w:r w:rsidR="00215EAC">
        <w:t>908-360-25-2 provides guidance on accounting methods for overhaul expenses.  Most carriers recognize the cost of overhauls as expenses as they are incurred because, in the case of carriers with large fleets, such costs are relatively constant from period to period.”</w:t>
      </w:r>
      <w:r w:rsidR="00215EAC">
        <w:rPr>
          <w:rStyle w:val="FootnoteReference"/>
        </w:rPr>
        <w:footnoteReference w:id="24"/>
      </w:r>
    </w:p>
    <w:p w:rsidR="000E089D" w:rsidRDefault="000E089D" w:rsidP="00C66625">
      <w:pPr>
        <w:pStyle w:val="Answer-Testimony"/>
      </w:pPr>
    </w:p>
    <w:p w:rsidR="000E089D" w:rsidRDefault="000E089D" w:rsidP="000E089D">
      <w:pPr>
        <w:pStyle w:val="Question-Testimony"/>
      </w:pPr>
      <w:r>
        <w:t xml:space="preserve">Q.  </w:t>
      </w:r>
      <w:r>
        <w:tab/>
        <w:t>What does Staff understand from this guidance?</w:t>
      </w:r>
    </w:p>
    <w:p w:rsidR="00215EAC" w:rsidRDefault="000E089D" w:rsidP="00C66625">
      <w:pPr>
        <w:pStyle w:val="Answer-Testimony"/>
      </w:pPr>
      <w:r>
        <w:t>A.</w:t>
      </w:r>
      <w:r>
        <w:tab/>
        <w:t xml:space="preserve">This guidance </w:t>
      </w:r>
      <w:r w:rsidR="001947C3">
        <w:t>s</w:t>
      </w:r>
      <w:r w:rsidR="00946C63">
        <w:t>how</w:t>
      </w:r>
      <w:r w:rsidR="001947C3">
        <w:t xml:space="preserve">s that </w:t>
      </w:r>
      <w:r w:rsidR="00946C63">
        <w:t xml:space="preserve">it is common </w:t>
      </w:r>
      <w:r w:rsidR="00F84344">
        <w:t xml:space="preserve">for companies </w:t>
      </w:r>
      <w:r w:rsidR="00946C63">
        <w:t>t</w:t>
      </w:r>
      <w:r w:rsidR="006C5A3A">
        <w:t xml:space="preserve">o defer </w:t>
      </w:r>
      <w:r w:rsidR="00F84344">
        <w:t xml:space="preserve">and amortize </w:t>
      </w:r>
      <w:r w:rsidR="006C5A3A">
        <w:t xml:space="preserve">these types of </w:t>
      </w:r>
      <w:r w:rsidR="00E94B19">
        <w:t>expenses</w:t>
      </w:r>
      <w:r>
        <w:t>.</w:t>
      </w:r>
    </w:p>
    <w:p w:rsidR="000E089D" w:rsidRDefault="000E089D" w:rsidP="000E089D">
      <w:pPr>
        <w:pStyle w:val="Answer-Testimony"/>
      </w:pPr>
    </w:p>
    <w:p w:rsidR="000E089D" w:rsidRDefault="000E089D" w:rsidP="000E089D">
      <w:pPr>
        <w:pStyle w:val="Question-Testimony"/>
      </w:pPr>
      <w:r>
        <w:t xml:space="preserve">Q.  </w:t>
      </w:r>
      <w:r>
        <w:tab/>
        <w:t xml:space="preserve">What accounting guidance does PSE say it follows </w:t>
      </w:r>
      <w:r w:rsidR="00F84344">
        <w:t>m</w:t>
      </w:r>
      <w:r>
        <w:t xml:space="preserve">ajor </w:t>
      </w:r>
      <w:r w:rsidR="00F84344">
        <w:t>m</w:t>
      </w:r>
      <w:r>
        <w:t>aintenance</w:t>
      </w:r>
      <w:r w:rsidR="00F84344">
        <w:t xml:space="preserve"> expenses</w:t>
      </w:r>
      <w:r>
        <w:t>?</w:t>
      </w:r>
    </w:p>
    <w:p w:rsidR="000E089D" w:rsidRDefault="000E089D" w:rsidP="000E089D">
      <w:pPr>
        <w:pStyle w:val="Answer-Testimony"/>
      </w:pPr>
      <w:r>
        <w:t>A.</w:t>
      </w:r>
      <w:r>
        <w:tab/>
        <w:t xml:space="preserve">PSE says it follows </w:t>
      </w:r>
      <w:r w:rsidR="00495AAF">
        <w:t>ASC 980</w:t>
      </w:r>
      <w:r w:rsidR="006867FB">
        <w:t>-360</w:t>
      </w:r>
      <w:r w:rsidR="00495AAF">
        <w:t xml:space="preserve"> (</w:t>
      </w:r>
      <w:r w:rsidR="00946C63">
        <w:t>regulated operations</w:t>
      </w:r>
      <w:r w:rsidR="00495AAF">
        <w:t>)</w:t>
      </w:r>
      <w:r>
        <w:t xml:space="preserve"> </w:t>
      </w:r>
      <w:r w:rsidR="00946C63">
        <w:t xml:space="preserve">when accounting for its </w:t>
      </w:r>
      <w:r w:rsidR="006867FB">
        <w:t>m</w:t>
      </w:r>
      <w:r w:rsidR="00946C63">
        <w:t xml:space="preserve">ajor </w:t>
      </w:r>
      <w:r w:rsidR="006867FB">
        <w:t>m</w:t>
      </w:r>
      <w:r w:rsidR="00946C63">
        <w:t>aintenance</w:t>
      </w:r>
      <w:r>
        <w:t>.</w:t>
      </w:r>
      <w:r w:rsidR="00946C63">
        <w:rPr>
          <w:rStyle w:val="FootnoteReference"/>
        </w:rPr>
        <w:footnoteReference w:id="25"/>
      </w:r>
    </w:p>
    <w:p w:rsidR="000E089D" w:rsidRDefault="000E089D" w:rsidP="000E089D">
      <w:pPr>
        <w:pStyle w:val="Answer-Testimony"/>
      </w:pPr>
    </w:p>
    <w:p w:rsidR="000E089D" w:rsidRDefault="000E089D" w:rsidP="000E089D">
      <w:pPr>
        <w:pStyle w:val="Question-Testimony"/>
      </w:pPr>
      <w:r>
        <w:t xml:space="preserve">Q.  </w:t>
      </w:r>
      <w:r>
        <w:tab/>
      </w:r>
      <w:r w:rsidR="00F84344">
        <w:t xml:space="preserve">Does </w:t>
      </w:r>
      <w:r>
        <w:t>ASC 980</w:t>
      </w:r>
      <w:r w:rsidR="006867FB">
        <w:t>-360</w:t>
      </w:r>
      <w:r>
        <w:t xml:space="preserve"> appl</w:t>
      </w:r>
      <w:r w:rsidR="00F84344">
        <w:t xml:space="preserve">y </w:t>
      </w:r>
      <w:r>
        <w:t xml:space="preserve">to </w:t>
      </w:r>
      <w:r w:rsidR="00F84344">
        <w:t>m</w:t>
      </w:r>
      <w:r>
        <w:t xml:space="preserve">ajor </w:t>
      </w:r>
      <w:r w:rsidR="00F84344">
        <w:t>m</w:t>
      </w:r>
      <w:r>
        <w:t>aintenance</w:t>
      </w:r>
      <w:r w:rsidR="00F84344">
        <w:t xml:space="preserve"> expenses</w:t>
      </w:r>
      <w:r>
        <w:t>?</w:t>
      </w:r>
    </w:p>
    <w:p w:rsidR="005C20FB" w:rsidRDefault="000E089D" w:rsidP="000E089D">
      <w:pPr>
        <w:pStyle w:val="Answer-Testimony"/>
      </w:pPr>
      <w:r>
        <w:t>A.</w:t>
      </w:r>
      <w:r>
        <w:tab/>
        <w:t xml:space="preserve">No.  </w:t>
      </w:r>
      <w:r w:rsidR="00F84344">
        <w:t xml:space="preserve">By its terms, </w:t>
      </w:r>
      <w:r>
        <w:t>ASC 980</w:t>
      </w:r>
      <w:r w:rsidR="006867FB">
        <w:t>-360</w:t>
      </w:r>
      <w:r>
        <w:t xml:space="preserve"> </w:t>
      </w:r>
      <w:r w:rsidR="00F84344">
        <w:t xml:space="preserve">provides </w:t>
      </w:r>
      <w:r w:rsidR="00CF0BAB">
        <w:t>“</w:t>
      </w:r>
      <w:r w:rsidR="00946C63">
        <w:t>guidance for plant abandonments and disallowances of costs of recently completed plants, as well as for the capitalization of an allowance for funds used during construction.</w:t>
      </w:r>
      <w:r w:rsidR="00CF0BAB">
        <w:t>”</w:t>
      </w:r>
      <w:r w:rsidR="00CF0BAB">
        <w:rPr>
          <w:rStyle w:val="FootnoteReference"/>
        </w:rPr>
        <w:footnoteReference w:id="26"/>
      </w:r>
      <w:r w:rsidR="00332642">
        <w:t xml:space="preserve">  </w:t>
      </w:r>
      <w:r>
        <w:t xml:space="preserve">In other words, </w:t>
      </w:r>
      <w:r w:rsidR="00E94B19">
        <w:t>ASC 980</w:t>
      </w:r>
      <w:r w:rsidR="006867FB">
        <w:t>-360</w:t>
      </w:r>
      <w:r w:rsidR="00E94B19">
        <w:t xml:space="preserve"> </w:t>
      </w:r>
      <w:r>
        <w:t>has nothing to do</w:t>
      </w:r>
      <w:r w:rsidR="00E94B19">
        <w:t xml:space="preserve"> with major maintenance.</w:t>
      </w:r>
    </w:p>
    <w:p w:rsidR="00C47F2D" w:rsidRDefault="00C47F2D" w:rsidP="002D3724">
      <w:pPr>
        <w:pStyle w:val="Answer-Testimony"/>
      </w:pPr>
    </w:p>
    <w:p w:rsidR="00D74087" w:rsidRDefault="00D74087" w:rsidP="00D74087">
      <w:pPr>
        <w:pStyle w:val="Question-Testimony"/>
      </w:pPr>
      <w:r>
        <w:t>Q.</w:t>
      </w:r>
      <w:r>
        <w:tab/>
      </w:r>
      <w:r w:rsidR="00E36DD2">
        <w:t>Please describe S</w:t>
      </w:r>
      <w:r>
        <w:t>taff</w:t>
      </w:r>
      <w:r w:rsidR="00E36DD2">
        <w:t xml:space="preserve">'s Adjustment 20 </w:t>
      </w:r>
      <w:r w:rsidR="002E4830">
        <w:t>related to m</w:t>
      </w:r>
      <w:r>
        <w:t xml:space="preserve">ajor </w:t>
      </w:r>
      <w:r w:rsidR="002E4830">
        <w:t>m</w:t>
      </w:r>
      <w:r>
        <w:t>aintenance expense</w:t>
      </w:r>
      <w:r w:rsidR="00E36DD2">
        <w:t xml:space="preserve"> in this case.</w:t>
      </w:r>
    </w:p>
    <w:p w:rsidR="00D74087" w:rsidRDefault="00D74087" w:rsidP="00D74087">
      <w:pPr>
        <w:pStyle w:val="Answer-Testimony"/>
      </w:pPr>
      <w:r>
        <w:t>A.</w:t>
      </w:r>
      <w:r>
        <w:tab/>
        <w:t>Staff</w:t>
      </w:r>
      <w:r w:rsidR="00F84344">
        <w:t>’s Adjustment 20</w:t>
      </w:r>
      <w:r>
        <w:t xml:space="preserve"> </w:t>
      </w:r>
      <w:r w:rsidR="003C0208" w:rsidRPr="008353F9">
        <w:t>a</w:t>
      </w:r>
      <w:r w:rsidR="00BE705B">
        <w:t xml:space="preserve">llows recovery of the amortization expense by </w:t>
      </w:r>
      <w:r w:rsidR="00E36DD2">
        <w:t>beginning</w:t>
      </w:r>
      <w:r w:rsidR="00BE705B">
        <w:t xml:space="preserve"> amortization of the prepaid expense </w:t>
      </w:r>
      <w:r w:rsidR="00E36DD2">
        <w:t xml:space="preserve">at </w:t>
      </w:r>
      <w:r w:rsidR="003C0208" w:rsidRPr="008353F9">
        <w:t xml:space="preserve">the time of the </w:t>
      </w:r>
      <w:r w:rsidR="00E36DD2">
        <w:t xml:space="preserve">major maintenance </w:t>
      </w:r>
      <w:r w:rsidR="003C0208" w:rsidRPr="008353F9">
        <w:t>event</w:t>
      </w:r>
      <w:r w:rsidR="00E36DD2">
        <w:t xml:space="preserve"> and ending at the time of </w:t>
      </w:r>
      <w:r w:rsidR="003C0208">
        <w:t xml:space="preserve">the next </w:t>
      </w:r>
      <w:r w:rsidR="00E36DD2">
        <w:t xml:space="preserve">major maintenance </w:t>
      </w:r>
      <w:r w:rsidR="003C0208">
        <w:t>event (approximately 36 months)</w:t>
      </w:r>
      <w:r w:rsidR="00E36DD2">
        <w:t>.</w:t>
      </w:r>
      <w:r w:rsidR="003C0208">
        <w:rPr>
          <w:rStyle w:val="FootnoteReference"/>
        </w:rPr>
        <w:footnoteReference w:id="27"/>
      </w:r>
      <w:r w:rsidR="00E36DD2">
        <w:t xml:space="preserve">  </w:t>
      </w:r>
      <w:r w:rsidR="00E36DD2">
        <w:lastRenderedPageBreak/>
        <w:t>Staff</w:t>
      </w:r>
      <w:r w:rsidR="00F84344">
        <w:t>’s adjustment</w:t>
      </w:r>
      <w:r w:rsidR="00E36DD2">
        <w:t xml:space="preserve"> </w:t>
      </w:r>
      <w:r w:rsidR="003C0208">
        <w:t>remove</w:t>
      </w:r>
      <w:r w:rsidR="00F84344">
        <w:t>s</w:t>
      </w:r>
      <w:r w:rsidR="003C0208">
        <w:t xml:space="preserve"> the regulatory asset and </w:t>
      </w:r>
      <w:r w:rsidR="00E36DD2">
        <w:t xml:space="preserve">the </w:t>
      </w:r>
      <w:r w:rsidR="003C0208">
        <w:t>return on</w:t>
      </w:r>
      <w:r w:rsidR="00E36DD2">
        <w:t xml:space="preserve"> that asset</w:t>
      </w:r>
      <w:r w:rsidR="00F84344">
        <w:t xml:space="preserve"> that PSE had included</w:t>
      </w:r>
      <w:r>
        <w:t>.</w:t>
      </w:r>
    </w:p>
    <w:p w:rsidR="00D74087" w:rsidRDefault="00D74087" w:rsidP="00D74087">
      <w:pPr>
        <w:pStyle w:val="Answer-Testimony"/>
      </w:pPr>
    </w:p>
    <w:p w:rsidR="00D74087" w:rsidRDefault="00D74087" w:rsidP="00D74087">
      <w:pPr>
        <w:pStyle w:val="Question-Testimony"/>
      </w:pPr>
      <w:r w:rsidRPr="005A76AB">
        <w:t>Q</w:t>
      </w:r>
      <w:r>
        <w:t>.</w:t>
      </w:r>
      <w:r>
        <w:tab/>
      </w:r>
      <w:r w:rsidR="001F267E">
        <w:t>S</w:t>
      </w:r>
      <w:r w:rsidR="00AF0422">
        <w:t xml:space="preserve">hould </w:t>
      </w:r>
      <w:r w:rsidR="005E617A">
        <w:t xml:space="preserve">the Commission </w:t>
      </w:r>
      <w:r w:rsidR="00AF0422">
        <w:t>permit</w:t>
      </w:r>
      <w:r w:rsidR="005E617A">
        <w:t xml:space="preserve"> PSE</w:t>
      </w:r>
      <w:r w:rsidR="00AF0422">
        <w:t xml:space="preserve"> to create a regulatory asset for major maintenance</w:t>
      </w:r>
      <w:r>
        <w:t>?</w:t>
      </w:r>
    </w:p>
    <w:p w:rsidR="005E617A" w:rsidDel="005E617A" w:rsidRDefault="00D74087" w:rsidP="005E617A">
      <w:pPr>
        <w:pStyle w:val="Answer-Testimony"/>
      </w:pPr>
      <w:r>
        <w:t>A.</w:t>
      </w:r>
      <w:r>
        <w:tab/>
      </w:r>
      <w:r w:rsidR="001F267E">
        <w:t xml:space="preserve">No, not for regularly occurring maintenance expenses.  If </w:t>
      </w:r>
      <w:r w:rsidR="00C426E4">
        <w:t>th</w:t>
      </w:r>
      <w:r w:rsidR="00F84344">
        <w:t>e</w:t>
      </w:r>
      <w:r w:rsidR="00C426E4">
        <w:t xml:space="preserve"> </w:t>
      </w:r>
      <w:r w:rsidR="001F267E">
        <w:t xml:space="preserve">maintenance </w:t>
      </w:r>
      <w:r w:rsidR="00C426E4">
        <w:t>expenses</w:t>
      </w:r>
      <w:r w:rsidR="001F267E">
        <w:t xml:space="preserve"> were</w:t>
      </w:r>
      <w:r w:rsidR="00C426E4">
        <w:t xml:space="preserve"> </w:t>
      </w:r>
      <w:r>
        <w:t xml:space="preserve">truly extraordinary, </w:t>
      </w:r>
      <w:r w:rsidR="001F267E">
        <w:t xml:space="preserve">the Commission could approve a regulatory asset, but, if </w:t>
      </w:r>
      <w:r>
        <w:t>and only</w:t>
      </w:r>
      <w:r w:rsidR="001F267E">
        <w:t xml:space="preserve"> if,</w:t>
      </w:r>
      <w:r>
        <w:t xml:space="preserve"> normalization or </w:t>
      </w:r>
      <w:r w:rsidR="00F4126A">
        <w:t>pro forma methods</w:t>
      </w:r>
      <w:r>
        <w:t xml:space="preserve"> </w:t>
      </w:r>
      <w:r w:rsidR="001F267E">
        <w:t>are</w:t>
      </w:r>
      <w:r>
        <w:t xml:space="preserve"> not practical or appropriate.</w:t>
      </w:r>
      <w:r w:rsidR="005E617A">
        <w:t xml:space="preserve">  In this instance, PSE has not demonstrated that its major maintenance is extraordinary, or that normalization or pro forma methods are not practical or appropriate.</w:t>
      </w:r>
    </w:p>
    <w:p w:rsidR="00F84344" w:rsidRDefault="00F84344" w:rsidP="00F84344">
      <w:pPr>
        <w:pStyle w:val="Answer-Testimony"/>
      </w:pPr>
    </w:p>
    <w:p w:rsidR="00F84344" w:rsidRDefault="00F84344" w:rsidP="00F84344">
      <w:pPr>
        <w:pStyle w:val="Question-Testimony"/>
      </w:pPr>
      <w:r w:rsidRPr="005A76AB">
        <w:t>Q</w:t>
      </w:r>
      <w:r>
        <w:t>.</w:t>
      </w:r>
      <w:r>
        <w:tab/>
        <w:t xml:space="preserve">Has PSE </w:t>
      </w:r>
      <w:r w:rsidR="005E617A">
        <w:t xml:space="preserve">provided any other reason that </w:t>
      </w:r>
      <w:r>
        <w:t>justifie</w:t>
      </w:r>
      <w:r w:rsidR="005E617A">
        <w:t>s</w:t>
      </w:r>
      <w:r>
        <w:t xml:space="preserve"> the creation of a regulatory asset for major maintenance?</w:t>
      </w:r>
    </w:p>
    <w:p w:rsidR="00F84344" w:rsidRDefault="00F84344" w:rsidP="00F84344">
      <w:pPr>
        <w:pStyle w:val="Answer-Testimony"/>
      </w:pPr>
      <w:r>
        <w:t>A.</w:t>
      </w:r>
      <w:r>
        <w:tab/>
        <w:t>No.</w:t>
      </w:r>
    </w:p>
    <w:p w:rsidR="00C426E4" w:rsidRDefault="00C426E4" w:rsidP="00D74087">
      <w:pPr>
        <w:pStyle w:val="Answer-Testimony"/>
      </w:pPr>
    </w:p>
    <w:p w:rsidR="00C426E4" w:rsidRDefault="00C426E4" w:rsidP="00C426E4">
      <w:pPr>
        <w:pStyle w:val="Question-Testimony"/>
      </w:pPr>
      <w:r>
        <w:t xml:space="preserve">Q.  </w:t>
      </w:r>
      <w:r>
        <w:tab/>
        <w:t xml:space="preserve">Please summarize Staff's recommendation for Adjustment 20 related to </w:t>
      </w:r>
      <w:r w:rsidR="002E4830">
        <w:t>major m</w:t>
      </w:r>
      <w:r>
        <w:t>aintenance.</w:t>
      </w:r>
    </w:p>
    <w:p w:rsidR="00D74087" w:rsidRDefault="00C426E4" w:rsidP="00DD1381">
      <w:pPr>
        <w:pStyle w:val="Answer-Testimony"/>
      </w:pPr>
      <w:r>
        <w:t>A.</w:t>
      </w:r>
      <w:r>
        <w:tab/>
      </w:r>
      <w:r w:rsidR="00E3517C">
        <w:t xml:space="preserve">The Commission should </w:t>
      </w:r>
      <w:r w:rsidR="00F84344">
        <w:t>require</w:t>
      </w:r>
      <w:r w:rsidR="00E3517C">
        <w:t xml:space="preserve"> </w:t>
      </w:r>
      <w:r w:rsidR="00D74087" w:rsidRPr="003C0208">
        <w:t xml:space="preserve">PSE </w:t>
      </w:r>
      <w:r w:rsidR="00E3517C">
        <w:t>to</w:t>
      </w:r>
      <w:r w:rsidR="00685924">
        <w:t xml:space="preserve"> follow an acceptable method </w:t>
      </w:r>
      <w:r w:rsidR="00F84344">
        <w:t xml:space="preserve">of accounting </w:t>
      </w:r>
      <w:r w:rsidR="00685924">
        <w:t>under GAAP, such as</w:t>
      </w:r>
      <w:r w:rsidR="00E3517C">
        <w:t xml:space="preserve"> </w:t>
      </w:r>
      <w:r w:rsidR="00D74087" w:rsidRPr="003C0208">
        <w:t>amortize the costs</w:t>
      </w:r>
      <w:r w:rsidR="00E3517C">
        <w:t xml:space="preserve"> of a major maintenance event over the three years following the time of that event.  Staff Adjustment 20 reflects this treatment.  T</w:t>
      </w:r>
      <w:r w:rsidR="00BA752D">
        <w:t>he Commission should reject</w:t>
      </w:r>
      <w:r w:rsidR="00F4126A">
        <w:t xml:space="preserve"> in full</w:t>
      </w:r>
      <w:r w:rsidR="00BA752D">
        <w:t xml:space="preserve"> the Company’s accounting petition </w:t>
      </w:r>
      <w:r w:rsidR="00F84344">
        <w:t>in</w:t>
      </w:r>
      <w:r w:rsidR="00576BEC">
        <w:t xml:space="preserve"> Docket </w:t>
      </w:r>
      <w:r w:rsidR="00F84344">
        <w:t>UE-</w:t>
      </w:r>
      <w:r w:rsidR="00576BEC">
        <w:t>130583</w:t>
      </w:r>
      <w:r w:rsidR="00E3517C">
        <w:t>.</w:t>
      </w:r>
    </w:p>
    <w:p w:rsidR="00DD1381" w:rsidRDefault="00DD1381" w:rsidP="00DD1381">
      <w:pPr>
        <w:pStyle w:val="Answer-Testimony"/>
      </w:pPr>
    </w:p>
    <w:p w:rsidR="00450268" w:rsidRPr="00F27E5A" w:rsidRDefault="00450268" w:rsidP="00DD1381">
      <w:pPr>
        <w:pStyle w:val="Heading3"/>
        <w:ind w:left="720"/>
      </w:pPr>
      <w:bookmarkStart w:id="6" w:name="_Toc364231280"/>
      <w:r>
        <w:lastRenderedPageBreak/>
        <w:t>Hydro Production Operati</w:t>
      </w:r>
      <w:r w:rsidR="000F292C">
        <w:t>ons</w:t>
      </w:r>
      <w:r>
        <w:t xml:space="preserve"> and Maintenance</w:t>
      </w:r>
      <w:bookmarkEnd w:id="6"/>
    </w:p>
    <w:p w:rsidR="00450268" w:rsidRDefault="00450268" w:rsidP="00DD1381">
      <w:pPr>
        <w:pStyle w:val="Answer-Testimony"/>
      </w:pPr>
    </w:p>
    <w:p w:rsidR="00450268" w:rsidRDefault="00450268" w:rsidP="00450268">
      <w:pPr>
        <w:spacing w:line="480" w:lineRule="auto"/>
        <w:ind w:left="720" w:hanging="720"/>
      </w:pPr>
      <w:r>
        <w:rPr>
          <w:b/>
        </w:rPr>
        <w:t xml:space="preserve">Q. </w:t>
      </w:r>
      <w:r>
        <w:rPr>
          <w:b/>
        </w:rPr>
        <w:tab/>
        <w:t>What is the nature of the adjustments PSE has made to test year hydro production O&amp;M expense?</w:t>
      </w:r>
    </w:p>
    <w:p w:rsidR="00450268" w:rsidRDefault="00450268" w:rsidP="00450268">
      <w:pPr>
        <w:spacing w:line="480" w:lineRule="auto"/>
        <w:ind w:left="720" w:hanging="720"/>
      </w:pPr>
      <w:r>
        <w:t xml:space="preserve">A. </w:t>
      </w:r>
      <w:r>
        <w:tab/>
        <w:t>PSE has made several adjustments to test year hydro production O&amp;M as discussed by Company witness Paul K. Wetherbee.</w:t>
      </w:r>
      <w:r>
        <w:rPr>
          <w:rStyle w:val="FootnoteReference"/>
        </w:rPr>
        <w:footnoteReference w:id="28"/>
      </w:r>
    </w:p>
    <w:p w:rsidR="00450268" w:rsidRDefault="00450268" w:rsidP="00450268">
      <w:pPr>
        <w:spacing w:line="480" w:lineRule="auto"/>
      </w:pPr>
    </w:p>
    <w:p w:rsidR="00450268" w:rsidRDefault="00450268" w:rsidP="00450268">
      <w:pPr>
        <w:spacing w:line="480" w:lineRule="auto"/>
      </w:pPr>
      <w:r>
        <w:rPr>
          <w:b/>
        </w:rPr>
        <w:t xml:space="preserve">Q. </w:t>
      </w:r>
      <w:r>
        <w:rPr>
          <w:b/>
        </w:rPr>
        <w:tab/>
        <w:t xml:space="preserve">Does Staff object to any of </w:t>
      </w:r>
      <w:r w:rsidR="00C7665D">
        <w:rPr>
          <w:b/>
        </w:rPr>
        <w:t>PSE’s</w:t>
      </w:r>
      <w:r>
        <w:rPr>
          <w:b/>
        </w:rPr>
        <w:t xml:space="preserve"> adjustments to hydro O&amp;M expense?</w:t>
      </w:r>
    </w:p>
    <w:p w:rsidR="00450268" w:rsidRDefault="00450268" w:rsidP="00450268">
      <w:pPr>
        <w:spacing w:line="480" w:lineRule="auto"/>
        <w:ind w:left="720" w:hanging="720"/>
      </w:pPr>
      <w:r>
        <w:t xml:space="preserve">A. </w:t>
      </w:r>
      <w:r>
        <w:tab/>
        <w:t>Yes.</w:t>
      </w:r>
      <w:r w:rsidR="007D4E78">
        <w:t xml:space="preserve"> </w:t>
      </w:r>
      <w:r>
        <w:t xml:space="preserve"> Staff objects to two adjustments the Company is proposing. </w:t>
      </w:r>
      <w:r w:rsidR="00BD253C">
        <w:t xml:space="preserve"> </w:t>
      </w:r>
      <w:r>
        <w:t>First, Staff objects to the addition of $0.2 million to test year O&amp;M to reflect the addition of two hydro journey worker positions at the Lower Baker Generation Station.</w:t>
      </w:r>
      <w:r>
        <w:rPr>
          <w:rStyle w:val="FootnoteReference"/>
        </w:rPr>
        <w:footnoteReference w:id="29"/>
      </w:r>
      <w:r>
        <w:t xml:space="preserve">  Second, Staff objects to the addition of $0.1 million to test year O&amp;M to reflect labor cost associated with the instrument, controls &amp; electrical technician position to support the new generation at Snoqualmie Falls.</w:t>
      </w:r>
      <w:r>
        <w:rPr>
          <w:rStyle w:val="FootnoteReference"/>
        </w:rPr>
        <w:footnoteReference w:id="30"/>
      </w:r>
    </w:p>
    <w:p w:rsidR="00450268" w:rsidRDefault="00450268" w:rsidP="00450268">
      <w:pPr>
        <w:spacing w:line="480" w:lineRule="auto"/>
        <w:ind w:left="720" w:hanging="720"/>
      </w:pPr>
    </w:p>
    <w:p w:rsidR="00450268" w:rsidRDefault="00450268" w:rsidP="00450268">
      <w:pPr>
        <w:spacing w:line="480" w:lineRule="auto"/>
        <w:ind w:left="720" w:hanging="720"/>
      </w:pPr>
      <w:r>
        <w:rPr>
          <w:b/>
        </w:rPr>
        <w:t xml:space="preserve">Q. </w:t>
      </w:r>
      <w:r>
        <w:rPr>
          <w:b/>
        </w:rPr>
        <w:tab/>
        <w:t>What is the basis for Staff’s objection to these pro forma adjustments to O&amp;M?</w:t>
      </w:r>
    </w:p>
    <w:p w:rsidR="00450268" w:rsidRDefault="00450268" w:rsidP="00450268">
      <w:pPr>
        <w:spacing w:line="480" w:lineRule="auto"/>
        <w:ind w:left="720" w:hanging="720"/>
      </w:pPr>
      <w:r>
        <w:t xml:space="preserve">A. </w:t>
      </w:r>
      <w:r>
        <w:tab/>
        <w:t xml:space="preserve">Historical test year ratemaking is premised on the “matching principle” of accounting, where the relationship of revenues, expenses, and rate base is established. </w:t>
      </w:r>
      <w:r w:rsidR="00BD253C">
        <w:t xml:space="preserve"> </w:t>
      </w:r>
      <w:r>
        <w:t>Pro forma adjustments are made to the test year for known and measurable changes with no offsetting effects,</w:t>
      </w:r>
      <w:r>
        <w:rPr>
          <w:rStyle w:val="FootnoteReference"/>
        </w:rPr>
        <w:footnoteReference w:id="31"/>
      </w:r>
      <w:r>
        <w:t xml:space="preserve"> thus maintaining the historical test </w:t>
      </w:r>
      <w:r>
        <w:lastRenderedPageBreak/>
        <w:t xml:space="preserve">year matching principle. </w:t>
      </w:r>
      <w:r w:rsidR="00BD253C">
        <w:t xml:space="preserve"> </w:t>
      </w:r>
      <w:r w:rsidR="00C7665D">
        <w:t>The Company’s p</w:t>
      </w:r>
      <w:r>
        <w:t xml:space="preserve">rospective adjustments to staffing level violate this matching principle. </w:t>
      </w:r>
    </w:p>
    <w:p w:rsidR="00450268" w:rsidRDefault="00450268" w:rsidP="00450268">
      <w:pPr>
        <w:spacing w:line="480" w:lineRule="auto"/>
        <w:ind w:left="720" w:hanging="720"/>
      </w:pPr>
    </w:p>
    <w:p w:rsidR="00450268" w:rsidRDefault="00450268" w:rsidP="00450268">
      <w:pPr>
        <w:spacing w:line="480" w:lineRule="auto"/>
        <w:ind w:left="720" w:hanging="720"/>
        <w:rPr>
          <w:b/>
        </w:rPr>
      </w:pPr>
      <w:r>
        <w:rPr>
          <w:b/>
        </w:rPr>
        <w:t xml:space="preserve">Q. </w:t>
      </w:r>
      <w:r>
        <w:rPr>
          <w:b/>
        </w:rPr>
        <w:tab/>
        <w:t xml:space="preserve">Will pro forma adjustments to O&amp;M </w:t>
      </w:r>
      <w:r>
        <w:rPr>
          <w:b/>
          <w:i/>
        </w:rPr>
        <w:t>always</w:t>
      </w:r>
      <w:r>
        <w:rPr>
          <w:b/>
        </w:rPr>
        <w:t xml:space="preserve"> violate the matching principle?</w:t>
      </w:r>
    </w:p>
    <w:p w:rsidR="00450268" w:rsidRDefault="00450268" w:rsidP="00450268">
      <w:pPr>
        <w:spacing w:line="480" w:lineRule="auto"/>
        <w:ind w:left="720" w:hanging="720"/>
      </w:pPr>
      <w:r>
        <w:t xml:space="preserve">A. </w:t>
      </w:r>
      <w:r>
        <w:tab/>
        <w:t xml:space="preserve">No. </w:t>
      </w:r>
      <w:r w:rsidR="007D4E78">
        <w:t xml:space="preserve"> </w:t>
      </w:r>
      <w:r>
        <w:t xml:space="preserve">A known </w:t>
      </w:r>
      <w:r w:rsidR="00092811">
        <w:t>and</w:t>
      </w:r>
      <w:r>
        <w:t xml:space="preserve"> measurable change in </w:t>
      </w:r>
      <w:r w:rsidR="00C7665D">
        <w:t xml:space="preserve">a cost </w:t>
      </w:r>
      <w:r>
        <w:t>rate, such as a known change in</w:t>
      </w:r>
      <w:r w:rsidR="00C7665D">
        <w:t xml:space="preserve"> the </w:t>
      </w:r>
      <w:r>
        <w:t>postage rate or</w:t>
      </w:r>
      <w:r w:rsidR="00C7665D">
        <w:t xml:space="preserve"> a</w:t>
      </w:r>
      <w:r>
        <w:t xml:space="preserve"> contracted wage level, </w:t>
      </w:r>
      <w:r w:rsidR="00C7665D">
        <w:t xml:space="preserve">when </w:t>
      </w:r>
      <w:r>
        <w:t>applied to the test year level of units</w:t>
      </w:r>
      <w:r w:rsidR="008D4CD9">
        <w:t>,</w:t>
      </w:r>
      <w:r>
        <w:t xml:space="preserve"> generally </w:t>
      </w:r>
      <w:r w:rsidR="008D4CD9">
        <w:t xml:space="preserve">will </w:t>
      </w:r>
      <w:r>
        <w:t xml:space="preserve">not violate the matching principle. </w:t>
      </w:r>
      <w:r w:rsidR="008D4CD9">
        <w:t xml:space="preserve"> However, a</w:t>
      </w:r>
      <w:r>
        <w:t xml:space="preserve">n adjustment to the test year level of units, such as prospectively adjusting </w:t>
      </w:r>
      <w:r w:rsidR="008D4CD9">
        <w:t>the number of employees</w:t>
      </w:r>
      <w:r>
        <w:t>, will</w:t>
      </w:r>
      <w:r w:rsidR="008D4CD9">
        <w:t xml:space="preserve"> violate the matching principle</w:t>
      </w:r>
      <w:r>
        <w:t>.</w:t>
      </w:r>
      <w:r w:rsidR="008D4CD9">
        <w:t xml:space="preserve">  PSE’s adjustments fall in this latter category.</w:t>
      </w:r>
    </w:p>
    <w:p w:rsidR="00450268" w:rsidRDefault="00450268" w:rsidP="00450268">
      <w:pPr>
        <w:spacing w:line="480" w:lineRule="auto"/>
        <w:ind w:left="720" w:hanging="720"/>
      </w:pPr>
    </w:p>
    <w:p w:rsidR="00450268" w:rsidRDefault="00450268" w:rsidP="00450268">
      <w:pPr>
        <w:spacing w:line="480" w:lineRule="auto"/>
        <w:ind w:left="720" w:hanging="720"/>
      </w:pPr>
      <w:r>
        <w:rPr>
          <w:b/>
        </w:rPr>
        <w:t xml:space="preserve">Q. </w:t>
      </w:r>
      <w:r>
        <w:rPr>
          <w:b/>
        </w:rPr>
        <w:tab/>
        <w:t xml:space="preserve">Please further </w:t>
      </w:r>
      <w:r w:rsidR="008D4CD9">
        <w:rPr>
          <w:b/>
        </w:rPr>
        <w:t xml:space="preserve">explain </w:t>
      </w:r>
      <w:r>
        <w:rPr>
          <w:b/>
        </w:rPr>
        <w:t>“known and measurable” c</w:t>
      </w:r>
      <w:r w:rsidR="008D4CD9">
        <w:rPr>
          <w:b/>
        </w:rPr>
        <w:t>oncept</w:t>
      </w:r>
      <w:r>
        <w:rPr>
          <w:b/>
        </w:rPr>
        <w:t>.</w:t>
      </w:r>
    </w:p>
    <w:p w:rsidR="00450268" w:rsidRPr="00BD6C84" w:rsidRDefault="00450268" w:rsidP="00450268">
      <w:pPr>
        <w:spacing w:line="480" w:lineRule="auto"/>
        <w:ind w:left="720" w:hanging="720"/>
      </w:pPr>
      <w:r>
        <w:t xml:space="preserve">A. </w:t>
      </w:r>
      <w:r>
        <w:tab/>
        <w:t xml:space="preserve">The known and measurable concept requires that the event that causes a change in revenue, expense or rate base must be </w:t>
      </w:r>
      <w:r>
        <w:rPr>
          <w:i/>
        </w:rPr>
        <w:t>known</w:t>
      </w:r>
      <w:r>
        <w:t xml:space="preserve"> to have occurred during or after the historical 12 months of actual results of operations.</w:t>
      </w:r>
      <w:r>
        <w:rPr>
          <w:rStyle w:val="FootnoteReference"/>
        </w:rPr>
        <w:footnoteReference w:id="32"/>
      </w:r>
      <w:r>
        <w:t xml:space="preserve">  The actual amount of the change must also be </w:t>
      </w:r>
      <w:r>
        <w:rPr>
          <w:i/>
        </w:rPr>
        <w:t>measurable</w:t>
      </w:r>
      <w:r>
        <w:t>.  Costs that are documented by actual expenditure, invoice, contract, or other specific obligation usually meet this test.  Amounts that will not meet this test are estimates or amounts that are the product of a projection, budget forecast, or some similar exercise of judgment concerning future revenue, expense or rate base.</w:t>
      </w:r>
      <w:r>
        <w:rPr>
          <w:rStyle w:val="FootnoteReference"/>
        </w:rPr>
        <w:footnoteReference w:id="33"/>
      </w:r>
      <w:r>
        <w:t xml:space="preserve">  </w:t>
      </w:r>
    </w:p>
    <w:p w:rsidR="00450268" w:rsidRDefault="00450268" w:rsidP="00450268">
      <w:pPr>
        <w:spacing w:line="480" w:lineRule="auto"/>
      </w:pPr>
    </w:p>
    <w:p w:rsidR="00450268" w:rsidRDefault="00450268" w:rsidP="00FB6BBC">
      <w:pPr>
        <w:keepNext/>
        <w:spacing w:line="480" w:lineRule="auto"/>
        <w:rPr>
          <w:b/>
        </w:rPr>
      </w:pPr>
      <w:r>
        <w:rPr>
          <w:b/>
        </w:rPr>
        <w:lastRenderedPageBreak/>
        <w:t>Q.</w:t>
      </w:r>
      <w:r>
        <w:rPr>
          <w:b/>
        </w:rPr>
        <w:tab/>
        <w:t>Do the Company’s proposed adjustments to O&amp;M conform to this concept?</w:t>
      </w:r>
    </w:p>
    <w:p w:rsidR="00450268" w:rsidRDefault="00450268" w:rsidP="00450268">
      <w:pPr>
        <w:spacing w:line="480" w:lineRule="auto"/>
        <w:ind w:left="720" w:hanging="720"/>
      </w:pPr>
      <w:r>
        <w:t xml:space="preserve">A. </w:t>
      </w:r>
      <w:r>
        <w:tab/>
        <w:t xml:space="preserve">No. </w:t>
      </w:r>
      <w:r w:rsidR="007D4E78">
        <w:t xml:space="preserve"> </w:t>
      </w:r>
      <w:r>
        <w:t xml:space="preserve">The two pro forma adjustments described above are not reflected in the test year and are derived completely from expectations of future staffing level. </w:t>
      </w:r>
      <w:r w:rsidR="00BD253C">
        <w:t xml:space="preserve"> </w:t>
      </w:r>
      <w:r>
        <w:t xml:space="preserve">Both of the proposed adjustments are associated with facilities (Snoqualmie </w:t>
      </w:r>
      <w:r w:rsidR="00227AB4">
        <w:t>Project</w:t>
      </w:r>
      <w:r>
        <w:t xml:space="preserve"> and Baker</w:t>
      </w:r>
      <w:r w:rsidR="00227AB4">
        <w:t xml:space="preserve"> Project </w:t>
      </w:r>
      <w:r w:rsidR="002B6696">
        <w:t>–</w:t>
      </w:r>
      <w:r w:rsidR="00227AB4">
        <w:t xml:space="preserve"> Powerhouse</w:t>
      </w:r>
      <w:r>
        <w:t xml:space="preserve">) </w:t>
      </w:r>
      <w:r w:rsidR="00BD253C">
        <w:t xml:space="preserve">PSE did </w:t>
      </w:r>
      <w:r>
        <w:t xml:space="preserve">not expect to place into service until well after the filing date of this rate case. </w:t>
      </w:r>
      <w:r w:rsidR="008D4CD9">
        <w:t xml:space="preserve"> </w:t>
      </w:r>
      <w:r>
        <w:t>Given that the change</w:t>
      </w:r>
      <w:r w:rsidR="00BD253C">
        <w:t>s</w:t>
      </w:r>
      <w:r>
        <w:t xml:space="preserve"> in O&amp;M expenses for these projects are derived from expectations of future Company actions and projections of future expenditures, Staff does not recommend recovery at this time.</w:t>
      </w:r>
      <w:r w:rsidR="00577CF2">
        <w:t xml:space="preserve">  If these expenditures </w:t>
      </w:r>
      <w:r w:rsidR="00BD253C">
        <w:t>become known and measureable</w:t>
      </w:r>
      <w:r w:rsidR="00577CF2">
        <w:t>, then they will be reflected in the next required PCORC filing in 2014.</w:t>
      </w:r>
      <w:r w:rsidR="00577CF2">
        <w:rPr>
          <w:rStyle w:val="FootnoteReference"/>
        </w:rPr>
        <w:footnoteReference w:id="34"/>
      </w:r>
    </w:p>
    <w:p w:rsidR="00450268" w:rsidRDefault="00450268" w:rsidP="00450268">
      <w:pPr>
        <w:spacing w:line="480" w:lineRule="auto"/>
        <w:ind w:left="720" w:hanging="720"/>
      </w:pPr>
    </w:p>
    <w:p w:rsidR="00450268" w:rsidRDefault="00450268" w:rsidP="00450268">
      <w:pPr>
        <w:spacing w:line="480" w:lineRule="auto"/>
        <w:rPr>
          <w:b/>
        </w:rPr>
      </w:pPr>
      <w:r>
        <w:rPr>
          <w:b/>
        </w:rPr>
        <w:t>Q.</w:t>
      </w:r>
      <w:r>
        <w:rPr>
          <w:b/>
        </w:rPr>
        <w:tab/>
        <w:t>What is the impact of Staff’s recommendation?</w:t>
      </w:r>
    </w:p>
    <w:p w:rsidR="00450268" w:rsidRPr="006D7DE4" w:rsidRDefault="00450268" w:rsidP="00450268">
      <w:pPr>
        <w:spacing w:line="480" w:lineRule="auto"/>
      </w:pPr>
      <w:r>
        <w:t>A.</w:t>
      </w:r>
      <w:r>
        <w:tab/>
        <w:t>Staff’s recommendation reduces hydro O&amp;M expense by $0.3 million.</w:t>
      </w:r>
    </w:p>
    <w:p w:rsidR="00450268" w:rsidRPr="00F27E5A" w:rsidRDefault="00450268" w:rsidP="008C0C3A">
      <w:pPr>
        <w:pStyle w:val="Answer-Testimony"/>
      </w:pPr>
    </w:p>
    <w:p w:rsidR="00A635AE" w:rsidRPr="002D7AF0" w:rsidRDefault="00092811" w:rsidP="00092811">
      <w:pPr>
        <w:pStyle w:val="Heading3"/>
        <w:numPr>
          <w:ilvl w:val="0"/>
          <w:numId w:val="0"/>
        </w:numPr>
        <w:ind w:left="1440" w:hanging="720"/>
      </w:pPr>
      <w:bookmarkStart w:id="7" w:name="_Toc364231281"/>
      <w:r>
        <w:t>D.</w:t>
      </w:r>
      <w:r>
        <w:tab/>
      </w:r>
      <w:r w:rsidR="00A635AE" w:rsidRPr="002D7AF0">
        <w:t>Treasury Grants</w:t>
      </w:r>
      <w:bookmarkEnd w:id="7"/>
    </w:p>
    <w:p w:rsidR="009B1D4F" w:rsidRDefault="009B1D4F">
      <w:pPr>
        <w:pStyle w:val="Heading6"/>
      </w:pPr>
      <w:bookmarkStart w:id="8" w:name="_Toc364231282"/>
      <w:r>
        <w:t>Overview</w:t>
      </w:r>
      <w:bookmarkEnd w:id="8"/>
    </w:p>
    <w:p w:rsidR="00FB6BBC" w:rsidRPr="00FB6BBC" w:rsidRDefault="00FB6BBC" w:rsidP="00FB6BBC"/>
    <w:p w:rsidR="00A635AE" w:rsidRPr="00B004CC" w:rsidRDefault="00A635AE" w:rsidP="00A635AE">
      <w:pPr>
        <w:pStyle w:val="Question-Testimony"/>
      </w:pPr>
      <w:r w:rsidRPr="00B004CC">
        <w:t>Q.</w:t>
      </w:r>
      <w:r w:rsidRPr="00B004CC">
        <w:tab/>
      </w:r>
      <w:r>
        <w:t>What is a Treasury Grant?</w:t>
      </w:r>
    </w:p>
    <w:p w:rsidR="00A635AE" w:rsidRDefault="00A635AE" w:rsidP="00A635AE">
      <w:pPr>
        <w:pStyle w:val="Answer-Testimony"/>
      </w:pPr>
      <w:r w:rsidRPr="003965AB">
        <w:t xml:space="preserve">A. </w:t>
      </w:r>
      <w:r>
        <w:tab/>
        <w:t xml:space="preserve">A </w:t>
      </w:r>
      <w:r w:rsidRPr="003965AB">
        <w:t xml:space="preserve">Treasury Grant </w:t>
      </w:r>
      <w:r>
        <w:t xml:space="preserve">is money paid by </w:t>
      </w:r>
      <w:r w:rsidRPr="003965AB">
        <w:t xml:space="preserve">the </w:t>
      </w:r>
      <w:r>
        <w:t xml:space="preserve">Treasury to utilities such as PSE, pursuant to </w:t>
      </w:r>
      <w:r w:rsidRPr="002B3012">
        <w:t>Section 1603 of the American Recovery and Re</w:t>
      </w:r>
      <w:r w:rsidR="005437F3">
        <w:t>investment Act of 2009 (</w:t>
      </w:r>
      <w:r w:rsidRPr="002B3012">
        <w:t>ARRA)</w:t>
      </w:r>
      <w:r>
        <w:t>.</w:t>
      </w:r>
      <w:r>
        <w:rPr>
          <w:rStyle w:val="FootnoteReference"/>
        </w:rPr>
        <w:footnoteReference w:id="35"/>
      </w:r>
      <w:r>
        <w:t xml:space="preserve">   These payments subsidize certain eligible </w:t>
      </w:r>
      <w:r w:rsidRPr="003965AB">
        <w:t>renewable energy projects</w:t>
      </w:r>
      <w:r>
        <w:t xml:space="preserve"> and f</w:t>
      </w:r>
      <w:r w:rsidRPr="003965AB">
        <w:t xml:space="preserve">or </w:t>
      </w:r>
      <w:r w:rsidRPr="003965AB">
        <w:lastRenderedPageBreak/>
        <w:t>hydroelectric projects</w:t>
      </w:r>
      <w:r>
        <w:t xml:space="preserve"> that</w:t>
      </w:r>
      <w:r w:rsidRPr="003965AB">
        <w:t xml:space="preserve"> provid</w:t>
      </w:r>
      <w:r>
        <w:t xml:space="preserve">e </w:t>
      </w:r>
      <w:r w:rsidRPr="003965AB">
        <w:t>incremental generation due to improvements as defined by the Internal Revenue Service</w:t>
      </w:r>
      <w:r>
        <w:t xml:space="preserve"> </w:t>
      </w:r>
      <w:r w:rsidRPr="003965AB">
        <w:t>Code</w:t>
      </w:r>
      <w:r>
        <w:t xml:space="preserve"> (IRC)</w:t>
      </w:r>
      <w:r w:rsidRPr="003965AB">
        <w:t xml:space="preserve"> Section 45</w:t>
      </w:r>
      <w:r>
        <w:t>.</w:t>
      </w:r>
    </w:p>
    <w:p w:rsidR="00A635AE" w:rsidRDefault="00A635AE" w:rsidP="00A635AE">
      <w:pPr>
        <w:pStyle w:val="Answer-Testimony"/>
        <w:ind w:firstLine="720"/>
      </w:pPr>
      <w:r w:rsidRPr="003965AB">
        <w:t>Treasury Grant</w:t>
      </w:r>
      <w:r w:rsidR="00092811">
        <w:t>s are</w:t>
      </w:r>
      <w:r w:rsidRPr="003965AB">
        <w:t xml:space="preserve"> an alternative to </w:t>
      </w:r>
      <w:r>
        <w:t>Production Tax Credits (PTCs)</w:t>
      </w:r>
      <w:r w:rsidRPr="003965AB">
        <w:t>, which some companies have not been ab</w:t>
      </w:r>
      <w:r>
        <w:t>le to use in a timely fashion.</w:t>
      </w:r>
    </w:p>
    <w:p w:rsidR="00A635AE" w:rsidRDefault="00A635AE" w:rsidP="00A635AE">
      <w:pPr>
        <w:pStyle w:val="Answer-Testimony"/>
        <w:ind w:firstLine="720"/>
      </w:pPr>
      <w:r>
        <w:t>Formerly, ARRA required the Treasury to provide non-taxable cash grants of thirty percent (30%) of the eligible cost of a qualifying renewable investment</w:t>
      </w:r>
      <w:r>
        <w:rPr>
          <w:rStyle w:val="FootnoteReference"/>
        </w:rPr>
        <w:footnoteReference w:id="36"/>
      </w:r>
      <w:r>
        <w:t xml:space="preserve"> and </w:t>
      </w:r>
      <w:r w:rsidRPr="003965AB">
        <w:t xml:space="preserve">the tax basis for accelerated tax depreciation </w:t>
      </w:r>
      <w:r>
        <w:t xml:space="preserve">was reduced </w:t>
      </w:r>
      <w:r w:rsidRPr="003965AB">
        <w:t xml:space="preserve">by one half of the grant </w:t>
      </w:r>
      <w:r>
        <w:t>received</w:t>
      </w:r>
      <w:r w:rsidRPr="003965AB">
        <w:t>.</w:t>
      </w:r>
      <w:r w:rsidRPr="003A0F65">
        <w:rPr>
          <w:rStyle w:val="FootnoteReference"/>
        </w:rPr>
        <w:footnoteReference w:id="37"/>
      </w:r>
    </w:p>
    <w:p w:rsidR="00A635AE" w:rsidRDefault="00A635AE" w:rsidP="00A635AE">
      <w:pPr>
        <w:pStyle w:val="Answer-Testimony"/>
      </w:pPr>
    </w:p>
    <w:p w:rsidR="00A635AE" w:rsidRPr="00B004CC" w:rsidRDefault="00A635AE" w:rsidP="00A635AE">
      <w:pPr>
        <w:pStyle w:val="Question-Testimony"/>
      </w:pPr>
      <w:r w:rsidRPr="00B004CC">
        <w:t>Q.</w:t>
      </w:r>
      <w:r w:rsidRPr="00B004CC">
        <w:tab/>
      </w:r>
      <w:r>
        <w:t>Has PSE received Treasury Grant money?</w:t>
      </w:r>
    </w:p>
    <w:p w:rsidR="00A635AE" w:rsidRDefault="00A635AE" w:rsidP="00A635AE">
      <w:pPr>
        <w:pStyle w:val="Answer-Testimony"/>
      </w:pPr>
      <w:r w:rsidRPr="003965AB">
        <w:t xml:space="preserve">A. </w:t>
      </w:r>
      <w:r>
        <w:tab/>
      </w:r>
      <w:r w:rsidR="00175F64">
        <w:t>Yes</w:t>
      </w:r>
      <w:r w:rsidR="00173C75">
        <w:t xml:space="preserve">.  </w:t>
      </w:r>
      <w:r w:rsidR="00175F64">
        <w:t>PSE received treasury grant monies for the White Horse Expansion (WHE) and Lower Snake River Phase 1 (LSR Phase 1) projects.  T</w:t>
      </w:r>
      <w:r w:rsidR="00173C75">
        <w:t xml:space="preserve">he Company </w:t>
      </w:r>
      <w:r w:rsidR="00175F64">
        <w:t>also expects to</w:t>
      </w:r>
      <w:r w:rsidR="00173C75">
        <w:t xml:space="preserve"> receive </w:t>
      </w:r>
      <w:r w:rsidR="00173C75" w:rsidRPr="00703E72">
        <w:rPr>
          <w:rStyle w:val="Answer-TestimonyChar"/>
        </w:rPr>
        <w:t>Treasury Grants for Snoqualmie Project and Baker Project</w:t>
      </w:r>
      <w:r w:rsidR="00173C75">
        <w:t xml:space="preserve"> in the near future.</w:t>
      </w:r>
    </w:p>
    <w:p w:rsidR="00A635AE" w:rsidRPr="00CF2F9F" w:rsidRDefault="00A635AE" w:rsidP="00A635AE">
      <w:pPr>
        <w:pStyle w:val="Answer-Testimony"/>
      </w:pPr>
    </w:p>
    <w:p w:rsidR="00A635AE" w:rsidRPr="00B004CC" w:rsidRDefault="00A635AE" w:rsidP="00A635AE">
      <w:pPr>
        <w:pStyle w:val="Question-Testimony"/>
      </w:pPr>
      <w:r w:rsidRPr="00B004CC">
        <w:t>Q.</w:t>
      </w:r>
      <w:r w:rsidRPr="00B004CC">
        <w:tab/>
      </w:r>
      <w:r>
        <w:t>How does PSE currently treat this money for ratemaking purposes?</w:t>
      </w:r>
    </w:p>
    <w:p w:rsidR="00A635AE" w:rsidRDefault="00A635AE" w:rsidP="00A635AE">
      <w:pPr>
        <w:pStyle w:val="Answer-Testimony"/>
      </w:pPr>
      <w:r w:rsidRPr="003965AB">
        <w:t xml:space="preserve">A. </w:t>
      </w:r>
      <w:r>
        <w:tab/>
        <w:t xml:space="preserve">Currently, </w:t>
      </w:r>
      <w:r w:rsidRPr="003965AB">
        <w:t>PSE</w:t>
      </w:r>
      <w:r>
        <w:t xml:space="preserve"> passes</w:t>
      </w:r>
      <w:r w:rsidRPr="003965AB">
        <w:t xml:space="preserve"> Treasury Grant</w:t>
      </w:r>
      <w:r>
        <w:t xml:space="preserve"> monies</w:t>
      </w:r>
      <w:r w:rsidRPr="003965AB">
        <w:t xml:space="preserve"> </w:t>
      </w:r>
      <w:r w:rsidR="00175F64">
        <w:t xml:space="preserve">for the WHE and LSR Phase 1 projects </w:t>
      </w:r>
      <w:r w:rsidRPr="003965AB">
        <w:t xml:space="preserve">back to customers </w:t>
      </w:r>
      <w:r>
        <w:t xml:space="preserve">through a credit </w:t>
      </w:r>
      <w:r w:rsidRPr="003965AB">
        <w:t>in Tariff Schedule 95</w:t>
      </w:r>
      <w:r w:rsidR="005437F3">
        <w:t>A</w:t>
      </w:r>
      <w:r>
        <w:t xml:space="preserve">.  </w:t>
      </w:r>
      <w:r w:rsidR="00175F64">
        <w:t>Therefore</w:t>
      </w:r>
      <w:r w:rsidRPr="003965AB">
        <w:t>, the Treasury Grant</w:t>
      </w:r>
      <w:r>
        <w:t>s</w:t>
      </w:r>
      <w:r w:rsidRPr="003965AB">
        <w:t xml:space="preserve"> </w:t>
      </w:r>
      <w:r w:rsidR="00175F64">
        <w:t>are</w:t>
      </w:r>
      <w:r w:rsidR="00175F64" w:rsidRPr="003965AB">
        <w:t xml:space="preserve"> </w:t>
      </w:r>
      <w:r w:rsidRPr="003965AB">
        <w:t xml:space="preserve">not </w:t>
      </w:r>
      <w:r>
        <w:t xml:space="preserve">reflected </w:t>
      </w:r>
      <w:r w:rsidRPr="003965AB">
        <w:t>in th</w:t>
      </w:r>
      <w:r>
        <w:t>e</w:t>
      </w:r>
      <w:r w:rsidRPr="003965AB">
        <w:t xml:space="preserve"> </w:t>
      </w:r>
      <w:r>
        <w:t xml:space="preserve">PCORC, </w:t>
      </w:r>
      <w:r w:rsidRPr="003965AB">
        <w:t>other than to include the impact of the tax basis reduction in the determination of tax depreciation expense.</w:t>
      </w:r>
    </w:p>
    <w:p w:rsidR="00A635AE" w:rsidRPr="00F27E5A" w:rsidRDefault="00A635AE" w:rsidP="00A635AE">
      <w:pPr>
        <w:pStyle w:val="Question-Testimony"/>
      </w:pPr>
    </w:p>
    <w:p w:rsidR="00A635AE" w:rsidRPr="00F27E5A" w:rsidRDefault="00A635AE" w:rsidP="00FB6BBC">
      <w:pPr>
        <w:pStyle w:val="Question-Testimony"/>
        <w:keepNext/>
      </w:pPr>
      <w:r w:rsidRPr="00F27E5A">
        <w:lastRenderedPageBreak/>
        <w:t>Q.</w:t>
      </w:r>
      <w:r w:rsidRPr="00F27E5A">
        <w:tab/>
      </w:r>
      <w:r>
        <w:t>How should the Commission treat Treasury Grants for PSE?</w:t>
      </w:r>
    </w:p>
    <w:p w:rsidR="00A635AE" w:rsidRDefault="00A635AE" w:rsidP="00A635AE">
      <w:pPr>
        <w:pStyle w:val="Answer-Testimony"/>
      </w:pPr>
      <w:r>
        <w:t>A.</w:t>
      </w:r>
      <w:r>
        <w:tab/>
        <w:t>The Commission should order PSE to:  (1) D</w:t>
      </w:r>
      <w:r w:rsidRPr="003D4F8B">
        <w:t>iscontinue the practice of using Schedule 95</w:t>
      </w:r>
      <w:r>
        <w:t>A</w:t>
      </w:r>
      <w:r w:rsidRPr="003D4F8B">
        <w:t xml:space="preserve"> for pass</w:t>
      </w:r>
      <w:r>
        <w:t>ing</w:t>
      </w:r>
      <w:r w:rsidRPr="003D4F8B">
        <w:t xml:space="preserve"> back Treasury </w:t>
      </w:r>
      <w:r>
        <w:t>G</w:t>
      </w:r>
      <w:r w:rsidRPr="003D4F8B">
        <w:t>rants to customers in the form of rate credits</w:t>
      </w:r>
      <w:r w:rsidR="00173C75">
        <w:t xml:space="preserve"> </w:t>
      </w:r>
      <w:r w:rsidR="00173C75" w:rsidRPr="002B3012">
        <w:t>for the WH</w:t>
      </w:r>
      <w:r w:rsidR="00173C75">
        <w:t>E</w:t>
      </w:r>
      <w:r w:rsidR="00173C75" w:rsidRPr="002B3012">
        <w:t xml:space="preserve"> and </w:t>
      </w:r>
      <w:r w:rsidR="00175F64">
        <w:t xml:space="preserve">LSR </w:t>
      </w:r>
      <w:r w:rsidR="00173C75">
        <w:t xml:space="preserve">Phase 1 </w:t>
      </w:r>
      <w:r>
        <w:t xml:space="preserve"> </w:t>
      </w:r>
      <w:r w:rsidR="00173C75">
        <w:t>once they are fully amortized</w:t>
      </w:r>
      <w:r>
        <w:t xml:space="preserve">; </w:t>
      </w:r>
      <w:r w:rsidR="00173C75">
        <w:t xml:space="preserve">and </w:t>
      </w:r>
      <w:r>
        <w:t>(2) D</w:t>
      </w:r>
      <w:r w:rsidRPr="00CF2F9F">
        <w:t xml:space="preserve">efer </w:t>
      </w:r>
      <w:r>
        <w:t xml:space="preserve">all future Treasury Grant </w:t>
      </w:r>
      <w:r w:rsidRPr="00CF2F9F">
        <w:t>amount</w:t>
      </w:r>
      <w:r>
        <w:t>s</w:t>
      </w:r>
      <w:r w:rsidRPr="00CF2F9F">
        <w:t xml:space="preserve"> as a regulatory liability and accrue interest at the </w:t>
      </w:r>
      <w:r>
        <w:t>C</w:t>
      </w:r>
      <w:r w:rsidRPr="00CF2F9F">
        <w:t>ompany’s authorized rate of return</w:t>
      </w:r>
      <w:r w:rsidR="0041086C">
        <w:t xml:space="preserve"> until</w:t>
      </w:r>
      <w:r>
        <w:t xml:space="preserve"> the next </w:t>
      </w:r>
      <w:r w:rsidR="0041086C">
        <w:t xml:space="preserve">available </w:t>
      </w:r>
      <w:r>
        <w:t>GRC or PCORC</w:t>
      </w:r>
      <w:r w:rsidR="0041086C">
        <w:t>.  In that GRC or PCORC the accrued balance should be credited</w:t>
      </w:r>
      <w:r w:rsidR="0041086C" w:rsidRPr="0041086C">
        <w:t xml:space="preserve"> </w:t>
      </w:r>
      <w:r w:rsidR="0041086C">
        <w:t>to rate base</w:t>
      </w:r>
      <w:r>
        <w:t xml:space="preserve"> as a direct reduction to the associated plant balance</w:t>
      </w:r>
      <w:r w:rsidR="0041086C">
        <w:t>.  Staff recommends this treatment</w:t>
      </w:r>
      <w:r>
        <w:t xml:space="preserve"> </w:t>
      </w:r>
      <w:r w:rsidR="00173C75">
        <w:t xml:space="preserve">for </w:t>
      </w:r>
      <w:r w:rsidR="0041086C">
        <w:t xml:space="preserve">the </w:t>
      </w:r>
      <w:r w:rsidR="00173C75" w:rsidRPr="00703E72">
        <w:rPr>
          <w:rStyle w:val="Answer-TestimonyChar"/>
        </w:rPr>
        <w:t>Snoqualmie and Baker Project</w:t>
      </w:r>
      <w:r w:rsidR="0041086C">
        <w:rPr>
          <w:rStyle w:val="Answer-TestimonyChar"/>
        </w:rPr>
        <w:t>s</w:t>
      </w:r>
      <w:r>
        <w:t>.</w:t>
      </w:r>
    </w:p>
    <w:p w:rsidR="00A635AE" w:rsidRPr="00F27E5A" w:rsidRDefault="00A635AE" w:rsidP="00A635AE">
      <w:pPr>
        <w:pStyle w:val="Question-Testimony"/>
      </w:pPr>
    </w:p>
    <w:p w:rsidR="00A635AE" w:rsidRPr="00F27E5A" w:rsidRDefault="00A635AE" w:rsidP="00A635AE">
      <w:pPr>
        <w:pStyle w:val="Question-Testimony"/>
      </w:pPr>
      <w:r w:rsidRPr="00F27E5A">
        <w:t>Q.</w:t>
      </w:r>
      <w:r w:rsidRPr="00F27E5A">
        <w:tab/>
      </w:r>
      <w:r w:rsidR="00092811">
        <w:t>Please list the reasons w</w:t>
      </w:r>
      <w:r>
        <w:t>hy Staff propose</w:t>
      </w:r>
      <w:r w:rsidR="00092811">
        <w:t>s</w:t>
      </w:r>
      <w:r>
        <w:t xml:space="preserve"> to change the use of Treasury Grant dollars </w:t>
      </w:r>
      <w:r w:rsidR="00092811">
        <w:t xml:space="preserve">from a rate credit to </w:t>
      </w:r>
      <w:r>
        <w:t>a direct reduction to plant in service</w:t>
      </w:r>
      <w:r w:rsidR="00092811">
        <w:t>.</w:t>
      </w:r>
    </w:p>
    <w:p w:rsidR="00A635AE" w:rsidRDefault="00A635AE" w:rsidP="00A635AE">
      <w:pPr>
        <w:pStyle w:val="Answer-Testimony"/>
      </w:pPr>
      <w:r>
        <w:t>A.</w:t>
      </w:r>
      <w:r>
        <w:tab/>
        <w:t>Staff proposes rate base treatment for the following reasons:</w:t>
      </w:r>
    </w:p>
    <w:p w:rsidR="00A635AE" w:rsidRDefault="00A635AE" w:rsidP="00A635AE">
      <w:pPr>
        <w:pStyle w:val="Answer-Testimony"/>
        <w:numPr>
          <w:ilvl w:val="0"/>
          <w:numId w:val="9"/>
        </w:numPr>
      </w:pPr>
      <w:r>
        <w:t xml:space="preserve">This treatment for Treasury Grant monies is now allowed due to an amendment to the ARRA, under the </w:t>
      </w:r>
      <w:r w:rsidRPr="002B3012">
        <w:t>National Defense Authoriza</w:t>
      </w:r>
      <w:r w:rsidR="005437F3">
        <w:t>tion Act for Fiscal Year 2012 (</w:t>
      </w:r>
      <w:r w:rsidRPr="002B3012">
        <w:t>NDAA)</w:t>
      </w:r>
      <w:r>
        <w:t>.</w:t>
      </w:r>
      <w:r>
        <w:rPr>
          <w:rStyle w:val="FootnoteReference"/>
        </w:rPr>
        <w:footnoteReference w:id="38"/>
      </w:r>
    </w:p>
    <w:p w:rsidR="00A635AE" w:rsidRDefault="00A635AE" w:rsidP="00A635AE">
      <w:pPr>
        <w:pStyle w:val="Answer-Testimony"/>
        <w:numPr>
          <w:ilvl w:val="0"/>
          <w:numId w:val="9"/>
        </w:numPr>
      </w:pPr>
      <w:r>
        <w:t xml:space="preserve">Staff’s recommendation is consistent with the understanding that the Treasury Grants were meant to reduce the cost of the plants, and it is consistent with Staff’s and the Company’s prudency recommendation for </w:t>
      </w:r>
      <w:r w:rsidR="00173C75" w:rsidRPr="00703E72">
        <w:rPr>
          <w:rStyle w:val="Answer-TestimonyChar"/>
        </w:rPr>
        <w:t>Snoqualmie Project and Baker Project</w:t>
      </w:r>
      <w:r>
        <w:t>.</w:t>
      </w:r>
    </w:p>
    <w:p w:rsidR="00A635AE" w:rsidRDefault="00A635AE" w:rsidP="00A635AE">
      <w:pPr>
        <w:pStyle w:val="Answer-Testimony"/>
        <w:numPr>
          <w:ilvl w:val="0"/>
          <w:numId w:val="9"/>
        </w:numPr>
      </w:pPr>
      <w:r w:rsidRPr="00972840">
        <w:t>Staff’s proposed treatment properly matches the life</w:t>
      </w:r>
      <w:r>
        <w:t xml:space="preserve"> of the Treasury Grant </w:t>
      </w:r>
      <w:r w:rsidRPr="00972840">
        <w:t>with the life</w:t>
      </w:r>
      <w:r>
        <w:t xml:space="preserve"> of the associated plant.</w:t>
      </w:r>
    </w:p>
    <w:p w:rsidR="00A635AE" w:rsidRDefault="00A635AE" w:rsidP="00A635AE">
      <w:pPr>
        <w:pStyle w:val="Answer-Testimony"/>
        <w:numPr>
          <w:ilvl w:val="0"/>
          <w:numId w:val="9"/>
        </w:numPr>
      </w:pPr>
      <w:r>
        <w:lastRenderedPageBreak/>
        <w:t xml:space="preserve">The current treatment of Treasury Grants </w:t>
      </w:r>
      <w:r w:rsidR="00092811">
        <w:t xml:space="preserve">creates intergenerational inequity by </w:t>
      </w:r>
      <w:r>
        <w:t>pass</w:t>
      </w:r>
      <w:r w:rsidR="00092811">
        <w:t>ing back</w:t>
      </w:r>
      <w:r>
        <w:t xml:space="preserve"> the value of the Treasury Grant to ratepayers faster than the associated tax treatment.</w:t>
      </w:r>
    </w:p>
    <w:p w:rsidR="00A635AE" w:rsidRDefault="00092811" w:rsidP="00A635AE">
      <w:pPr>
        <w:pStyle w:val="Answer-Testimony"/>
        <w:numPr>
          <w:ilvl w:val="0"/>
          <w:numId w:val="9"/>
        </w:numPr>
      </w:pPr>
      <w:r>
        <w:t xml:space="preserve">Staff’s proposal to use Treasury Grants to offset </w:t>
      </w:r>
      <w:r w:rsidR="00A635AE">
        <w:t>rate base on the Company’s books eliminates the administrative burden associated with annual tracker filings</w:t>
      </w:r>
      <w:r w:rsidR="00173C75">
        <w:t xml:space="preserve"> </w:t>
      </w:r>
      <w:r w:rsidR="00A635AE">
        <w:t>in the future.</w:t>
      </w:r>
    </w:p>
    <w:p w:rsidR="00B555D3" w:rsidRDefault="00A635AE">
      <w:pPr>
        <w:pStyle w:val="Answer-Testimony"/>
        <w:numPr>
          <w:ilvl w:val="0"/>
          <w:numId w:val="9"/>
        </w:numPr>
      </w:pPr>
      <w:r>
        <w:t>P</w:t>
      </w:r>
      <w:r w:rsidRPr="00F27E5A">
        <w:t xml:space="preserve">roblems involving the </w:t>
      </w:r>
      <w:r>
        <w:t xml:space="preserve">alignment of costs and benefits </w:t>
      </w:r>
      <w:r w:rsidRPr="00F27E5A">
        <w:t>arise</w:t>
      </w:r>
      <w:r>
        <w:t xml:space="preserve"> from </w:t>
      </w:r>
      <w:r w:rsidRPr="00F27E5A">
        <w:t>the Commission choos</w:t>
      </w:r>
      <w:r>
        <w:t>ing</w:t>
      </w:r>
      <w:r w:rsidRPr="00F27E5A">
        <w:t xml:space="preserve"> to pass back a grant through a separate tracker.  </w:t>
      </w:r>
      <w:r>
        <w:t>Because PTCs accumulate with every megawatt-hour of generation, a tracking mechanism was appropriate to accommodate the variation that might occur over time.  The ensuing credits are used to offset the taxes of the utility and can be taken for up to ten years.  The only problem with PTCs is that a company would need to have taxable income to take advantage of the tax credits.</w:t>
      </w:r>
      <w:r w:rsidR="00571C21">
        <w:t xml:space="preserve">  In addition, </w:t>
      </w:r>
      <w:r w:rsidRPr="00F27E5A">
        <w:t>is the way costs are collected</w:t>
      </w:r>
      <w:r>
        <w:t>,</w:t>
      </w:r>
      <w:r w:rsidRPr="00F27E5A">
        <w:t xml:space="preserve"> in part from demand charges and in part from energy charges, while the benefits in a tracker are given back strictly through energy charges.  Thus, larger energy users receive a larger portion of tracker benefits compared to the actual costs they pay.  </w:t>
      </w:r>
      <w:r>
        <w:t>Allocating</w:t>
      </w:r>
      <w:r w:rsidRPr="00F27E5A">
        <w:t xml:space="preserve"> solar and wind resources and related expenses</w:t>
      </w:r>
      <w:r>
        <w:t xml:space="preserve"> on an energy-only basis</w:t>
      </w:r>
      <w:r w:rsidRPr="00F27E5A">
        <w:t xml:space="preserve"> cures this problem by </w:t>
      </w:r>
      <w:r>
        <w:t>removing</w:t>
      </w:r>
      <w:r w:rsidRPr="00F27E5A">
        <w:t xml:space="preserve"> the costs being collected through a demand allocation; thus, </w:t>
      </w:r>
      <w:r>
        <w:t>ensur</w:t>
      </w:r>
      <w:r w:rsidRPr="00F27E5A">
        <w:t xml:space="preserve">ing that costs are collected and benefits are received </w:t>
      </w:r>
      <w:r>
        <w:t xml:space="preserve">in the same manner, </w:t>
      </w:r>
      <w:r w:rsidRPr="00F27E5A">
        <w:t>through energy charges.</w:t>
      </w:r>
    </w:p>
    <w:p w:rsidR="00A635AE" w:rsidRDefault="00A635AE" w:rsidP="00A635AE">
      <w:pPr>
        <w:pStyle w:val="Answer-Testimony"/>
      </w:pPr>
    </w:p>
    <w:p w:rsidR="0018319A" w:rsidRDefault="0018319A">
      <w:pPr>
        <w:pStyle w:val="Heading6"/>
      </w:pPr>
      <w:bookmarkStart w:id="9" w:name="_Toc364231283"/>
      <w:r>
        <w:lastRenderedPageBreak/>
        <w:t>Current Status and Treatment of Treasury Grants</w:t>
      </w:r>
      <w:bookmarkEnd w:id="9"/>
    </w:p>
    <w:p w:rsidR="00092811" w:rsidRDefault="00092811" w:rsidP="00FB6BBC">
      <w:pPr>
        <w:pStyle w:val="Answer-Testimony"/>
        <w:keepNext/>
      </w:pPr>
    </w:p>
    <w:p w:rsidR="00A635AE" w:rsidRDefault="00A635AE" w:rsidP="00A635AE">
      <w:pPr>
        <w:pStyle w:val="Question-Testimony"/>
      </w:pPr>
      <w:r>
        <w:t>Q.</w:t>
      </w:r>
      <w:r>
        <w:tab/>
        <w:t>What Treasury Grants has the Company applied for?</w:t>
      </w:r>
    </w:p>
    <w:p w:rsidR="00A635AE" w:rsidRDefault="00A635AE" w:rsidP="00A635AE">
      <w:pPr>
        <w:pStyle w:val="Answer-Testimony"/>
      </w:pPr>
      <w:r>
        <w:t>A.</w:t>
      </w:r>
      <w:r>
        <w:tab/>
      </w:r>
      <w:r w:rsidR="00BD253C">
        <w:t xml:space="preserve">To date, </w:t>
      </w:r>
      <w:r w:rsidRPr="00EF1644">
        <w:t xml:space="preserve">PSE </w:t>
      </w:r>
      <w:r w:rsidR="00BD253C">
        <w:t xml:space="preserve">has </w:t>
      </w:r>
      <w:r w:rsidRPr="00EF1644">
        <w:t xml:space="preserve">applied for </w:t>
      </w:r>
      <w:r w:rsidR="0041086C">
        <w:t xml:space="preserve">and received </w:t>
      </w:r>
      <w:r>
        <w:t xml:space="preserve">two </w:t>
      </w:r>
      <w:r w:rsidRPr="00EF1644">
        <w:t>Treasury Grants</w:t>
      </w:r>
      <w:r>
        <w:t>, for WHE and LSR</w:t>
      </w:r>
      <w:r w:rsidR="005437F3">
        <w:t xml:space="preserve"> Phase 1</w:t>
      </w:r>
      <w:r>
        <w:t xml:space="preserve">.  </w:t>
      </w:r>
      <w:r w:rsidR="0041086C">
        <w:t>I</w:t>
      </w:r>
      <w:r>
        <w:t xml:space="preserve">n the near future, the Company will be applying for more Treasury Grants </w:t>
      </w:r>
      <w:r w:rsidR="0041086C">
        <w:t>for the</w:t>
      </w:r>
      <w:r>
        <w:t xml:space="preserve"> Snoqualmie and </w:t>
      </w:r>
      <w:r w:rsidRPr="003965AB">
        <w:t>Baker Project</w:t>
      </w:r>
      <w:r w:rsidR="0041086C">
        <w:t>s</w:t>
      </w:r>
      <w:r>
        <w:t>.</w:t>
      </w:r>
    </w:p>
    <w:p w:rsidR="00A635AE" w:rsidRDefault="00A635AE" w:rsidP="00A635AE">
      <w:pPr>
        <w:pStyle w:val="Answer-Testimony"/>
      </w:pPr>
    </w:p>
    <w:p w:rsidR="00A635AE" w:rsidRDefault="00A635AE" w:rsidP="00A635AE">
      <w:pPr>
        <w:pStyle w:val="Question-Testimony"/>
      </w:pPr>
      <w:r>
        <w:t>Q.</w:t>
      </w:r>
      <w:r>
        <w:tab/>
      </w:r>
      <w:r w:rsidR="00472BCC">
        <w:t xml:space="preserve">Please explain the Commission’s treatment of </w:t>
      </w:r>
      <w:r>
        <w:t>Treasury Grants</w:t>
      </w:r>
      <w:r w:rsidR="00BD253C">
        <w:t>.</w:t>
      </w:r>
    </w:p>
    <w:p w:rsidR="00A635AE" w:rsidRDefault="00A635AE" w:rsidP="00A635AE">
      <w:pPr>
        <w:pStyle w:val="Answer-Testimony"/>
      </w:pPr>
      <w:r>
        <w:t>A.</w:t>
      </w:r>
      <w:r>
        <w:tab/>
        <w:t>The treatment of Treasury Grants was discussed in Dockets UE-111048 and UG-111049,</w:t>
      </w:r>
      <w:r w:rsidRPr="00EB6D47">
        <w:rPr>
          <w:rStyle w:val="FootnoteReference"/>
        </w:rPr>
        <w:t xml:space="preserve"> </w:t>
      </w:r>
      <w:r>
        <w:rPr>
          <w:rStyle w:val="FootnoteReference"/>
        </w:rPr>
        <w:footnoteReference w:id="39"/>
      </w:r>
      <w:r>
        <w:t xml:space="preserve"> and Docket UE-122001.</w:t>
      </w:r>
    </w:p>
    <w:p w:rsidR="00A635AE" w:rsidRDefault="00A635AE" w:rsidP="00A635AE">
      <w:pPr>
        <w:pStyle w:val="Answer-Testimony"/>
        <w:ind w:firstLine="720"/>
      </w:pPr>
      <w:r>
        <w:t>In Dockets UE-111048 and UG-111049, the Commission did not determine the appropriate treatment of Treasury Grants because PSE had not yet received the monies related to its investment in LSR</w:t>
      </w:r>
      <w:r w:rsidR="00472BCC">
        <w:t>.  However,</w:t>
      </w:r>
      <w:r>
        <w:t xml:space="preserve"> the Commission determined that </w:t>
      </w:r>
      <w:r w:rsidR="00472BCC">
        <w:t xml:space="preserve">PSE’s </w:t>
      </w:r>
      <w:r>
        <w:t xml:space="preserve">next Schedule 95A filing would be the proper </w:t>
      </w:r>
      <w:r w:rsidR="00472BCC">
        <w:t>proceeding</w:t>
      </w:r>
      <w:r>
        <w:t xml:space="preserve"> to address the treatment of Treasury Grants.</w:t>
      </w:r>
      <w:r>
        <w:rPr>
          <w:rStyle w:val="FootnoteReference"/>
        </w:rPr>
        <w:footnoteReference w:id="40"/>
      </w:r>
    </w:p>
    <w:p w:rsidR="00A635AE" w:rsidRDefault="00A635AE" w:rsidP="00A635AE">
      <w:pPr>
        <w:pStyle w:val="Answer-Testimony"/>
      </w:pPr>
      <w:r>
        <w:tab/>
      </w:r>
      <w:r>
        <w:tab/>
        <w:t xml:space="preserve">PSE’s next Schedule 95A filing was Docket UE-122001, in which the Commission decided to use </w:t>
      </w:r>
      <w:r w:rsidRPr="00B33F86">
        <w:t xml:space="preserve">Schedule 95A </w:t>
      </w:r>
      <w:r>
        <w:t xml:space="preserve">to </w:t>
      </w:r>
      <w:r w:rsidRPr="00B33F86">
        <w:t xml:space="preserve">pass back the Treasury Grant monies </w:t>
      </w:r>
      <w:r>
        <w:t xml:space="preserve">that PSE </w:t>
      </w:r>
      <w:r w:rsidRPr="00B33F86">
        <w:t>receive</w:t>
      </w:r>
      <w:r>
        <w:t>d</w:t>
      </w:r>
      <w:r w:rsidRPr="00B33F86">
        <w:t xml:space="preserve"> through rate credits over</w:t>
      </w:r>
      <w:r>
        <w:t xml:space="preserve"> a ten (10) year amortization period for WHE and LSR.</w:t>
      </w:r>
    </w:p>
    <w:p w:rsidR="00A635AE" w:rsidRDefault="00A635AE" w:rsidP="00A635AE">
      <w:pPr>
        <w:pStyle w:val="Answer-Testimony"/>
      </w:pPr>
    </w:p>
    <w:p w:rsidR="0018319A" w:rsidRDefault="0018319A">
      <w:pPr>
        <w:pStyle w:val="Heading6"/>
      </w:pPr>
      <w:bookmarkStart w:id="10" w:name="_Toc364231284"/>
      <w:r>
        <w:lastRenderedPageBreak/>
        <w:t>The Matching Issue and Intergenerational Inequity</w:t>
      </w:r>
      <w:bookmarkEnd w:id="10"/>
    </w:p>
    <w:p w:rsidR="00472BCC" w:rsidRDefault="00472BCC" w:rsidP="00A635AE">
      <w:pPr>
        <w:pStyle w:val="Answer-Testimony"/>
      </w:pPr>
    </w:p>
    <w:p w:rsidR="00A635AE" w:rsidRPr="00F55E1F" w:rsidRDefault="00A635AE" w:rsidP="00A635AE">
      <w:pPr>
        <w:pStyle w:val="Answer-Testimony"/>
        <w:rPr>
          <w:b/>
        </w:rPr>
      </w:pPr>
      <w:r w:rsidRPr="00F55E1F">
        <w:rPr>
          <w:b/>
        </w:rPr>
        <w:t>Q.</w:t>
      </w:r>
      <w:r w:rsidRPr="00F55E1F">
        <w:rPr>
          <w:b/>
        </w:rPr>
        <w:tab/>
        <w:t xml:space="preserve">Does the current </w:t>
      </w:r>
      <w:r w:rsidR="00472BCC">
        <w:rPr>
          <w:b/>
        </w:rPr>
        <w:t xml:space="preserve">rate credit </w:t>
      </w:r>
      <w:r w:rsidRPr="00F55E1F">
        <w:rPr>
          <w:b/>
        </w:rPr>
        <w:t xml:space="preserve">mechanism for refunding </w:t>
      </w:r>
      <w:r>
        <w:rPr>
          <w:b/>
        </w:rPr>
        <w:t>T</w:t>
      </w:r>
      <w:r w:rsidRPr="00F55E1F">
        <w:rPr>
          <w:b/>
        </w:rPr>
        <w:t xml:space="preserve">reasury </w:t>
      </w:r>
      <w:r>
        <w:rPr>
          <w:b/>
        </w:rPr>
        <w:t>G</w:t>
      </w:r>
      <w:r w:rsidRPr="00F55E1F">
        <w:rPr>
          <w:b/>
        </w:rPr>
        <w:t>rants</w:t>
      </w:r>
      <w:r>
        <w:rPr>
          <w:b/>
        </w:rPr>
        <w:t xml:space="preserve"> in Schedule 95A</w:t>
      </w:r>
      <w:r w:rsidRPr="00F55E1F">
        <w:rPr>
          <w:b/>
        </w:rPr>
        <w:t xml:space="preserve"> match </w:t>
      </w:r>
      <w:r>
        <w:rPr>
          <w:b/>
        </w:rPr>
        <w:t xml:space="preserve">relative </w:t>
      </w:r>
      <w:r w:rsidRPr="00F55E1F">
        <w:rPr>
          <w:b/>
        </w:rPr>
        <w:t xml:space="preserve">costs </w:t>
      </w:r>
      <w:r>
        <w:rPr>
          <w:b/>
        </w:rPr>
        <w:t xml:space="preserve">and </w:t>
      </w:r>
      <w:r w:rsidRPr="00F55E1F">
        <w:rPr>
          <w:b/>
        </w:rPr>
        <w:t>benefits?</w:t>
      </w:r>
    </w:p>
    <w:p w:rsidR="00A635AE" w:rsidRDefault="00A635AE" w:rsidP="00A635AE">
      <w:pPr>
        <w:pStyle w:val="Answer-Testimony"/>
      </w:pPr>
      <w:r>
        <w:t>A.</w:t>
      </w:r>
      <w:r>
        <w:tab/>
        <w:t xml:space="preserve">No.  Schedule 95A returns Treasury Grant money through energy charges, while the fixed costs of the related assets are collected by the Company largely through demand charges.  </w:t>
      </w:r>
      <w:r w:rsidRPr="00F27E5A">
        <w:t>Thus, larger energy users receive a larger portion of</w:t>
      </w:r>
      <w:r>
        <w:t xml:space="preserve"> the</w:t>
      </w:r>
      <w:r w:rsidRPr="00F27E5A">
        <w:t xml:space="preserve"> tracker</w:t>
      </w:r>
      <w:r>
        <w:t xml:space="preserve">, and correspondingly a larger portion of the Treasury Grant monies compared to </w:t>
      </w:r>
      <w:r w:rsidRPr="00F27E5A">
        <w:t>the actual costs they pay</w:t>
      </w:r>
      <w:r>
        <w:t xml:space="preserve"> in rates</w:t>
      </w:r>
      <w:r w:rsidRPr="00F27E5A">
        <w:t>.</w:t>
      </w:r>
    </w:p>
    <w:p w:rsidR="00A635AE" w:rsidRDefault="00A635AE" w:rsidP="00A635AE">
      <w:pPr>
        <w:pStyle w:val="Answer-Testimony"/>
      </w:pPr>
    </w:p>
    <w:p w:rsidR="00A635AE" w:rsidRDefault="00A635AE" w:rsidP="00A635AE">
      <w:pPr>
        <w:pStyle w:val="Question-Testimony"/>
      </w:pPr>
      <w:r>
        <w:t>Q.</w:t>
      </w:r>
      <w:r>
        <w:tab/>
      </w:r>
      <w:r w:rsidR="00BD253C">
        <w:t xml:space="preserve">Does </w:t>
      </w:r>
      <w:r>
        <w:t xml:space="preserve">Staff’s proposed treatment of Treasury Grants </w:t>
      </w:r>
      <w:r w:rsidR="00BD253C">
        <w:t>(</w:t>
      </w:r>
      <w:r>
        <w:t>us</w:t>
      </w:r>
      <w:r w:rsidR="00BD253C">
        <w:t>ing</w:t>
      </w:r>
      <w:r>
        <w:t xml:space="preserve"> that money as a direct offset to the plant balances the </w:t>
      </w:r>
      <w:r w:rsidR="00472BCC">
        <w:t>G</w:t>
      </w:r>
      <w:r>
        <w:t>rants are associated with</w:t>
      </w:r>
      <w:r w:rsidR="00BD253C">
        <w:t>)</w:t>
      </w:r>
      <w:r>
        <w:t xml:space="preserve"> more accurately align costs with their appropriate benefits?</w:t>
      </w:r>
    </w:p>
    <w:p w:rsidR="00A635AE" w:rsidRPr="0032327B" w:rsidRDefault="00A635AE" w:rsidP="00A635AE">
      <w:pPr>
        <w:pStyle w:val="Answer-Testimony"/>
      </w:pPr>
      <w:r>
        <w:t>A.</w:t>
      </w:r>
      <w:r>
        <w:tab/>
        <w:t>Yes.  Staff’s proposal passes the entire Treasury Grant back to all customers in the form of reduced depreciation expense and fixed asset recovery, return of and return on rate base respectively.  Furthermore, Staff’s proposal eliminates inequities in allocation of this benefit, compared to the costs, because the reduction in expenses is based upon the allocation factor established in the Company’s last GRC.</w:t>
      </w:r>
    </w:p>
    <w:p w:rsidR="00A635AE" w:rsidRDefault="00A635AE" w:rsidP="00A635AE">
      <w:pPr>
        <w:pStyle w:val="Answer-Testimony"/>
        <w:ind w:left="0" w:firstLine="0"/>
      </w:pPr>
    </w:p>
    <w:p w:rsidR="00A635AE" w:rsidRPr="00F55E1F" w:rsidRDefault="00A635AE" w:rsidP="00A635AE">
      <w:pPr>
        <w:pStyle w:val="Question-Testimony"/>
      </w:pPr>
      <w:r w:rsidRPr="00781ACF">
        <w:t>Q.</w:t>
      </w:r>
      <w:r w:rsidRPr="00781ACF">
        <w:tab/>
        <w:t xml:space="preserve">Does the current mechanism for refunding </w:t>
      </w:r>
      <w:r w:rsidRPr="006D7009">
        <w:t>Treasury Grants</w:t>
      </w:r>
      <w:r>
        <w:t xml:space="preserve"> in</w:t>
      </w:r>
      <w:r w:rsidRPr="006D7009">
        <w:t xml:space="preserve"> Schedule 95A, appropriately match the timing of expenses to reven</w:t>
      </w:r>
      <w:r w:rsidRPr="00781ACF">
        <w:t>ues?</w:t>
      </w:r>
    </w:p>
    <w:p w:rsidR="00A635AE" w:rsidRDefault="00A635AE" w:rsidP="00A635AE">
      <w:pPr>
        <w:pStyle w:val="Answer-Testimony"/>
      </w:pPr>
      <w:r>
        <w:t>A.</w:t>
      </w:r>
      <w:r>
        <w:tab/>
        <w:t xml:space="preserve">No.  </w:t>
      </w:r>
      <w:r w:rsidR="00472BCC">
        <w:t xml:space="preserve">As I explained earlier, </w:t>
      </w:r>
      <w:r>
        <w:t xml:space="preserve">Schedule 95A was set up to return </w:t>
      </w:r>
      <w:r w:rsidR="00472BCC">
        <w:t xml:space="preserve">to ratepayers the benefits of </w:t>
      </w:r>
      <w:r>
        <w:t xml:space="preserve">PTCs received by the Company.  </w:t>
      </w:r>
      <w:r w:rsidR="00472BCC">
        <w:t xml:space="preserve">Because </w:t>
      </w:r>
      <w:r>
        <w:t xml:space="preserve">PTCs accumulate with every </w:t>
      </w:r>
      <w:r>
        <w:lastRenderedPageBreak/>
        <w:t xml:space="preserve">megawatt-hour of generation, a tracking mechanism </w:t>
      </w:r>
      <w:r w:rsidR="00472BCC">
        <w:t>is</w:t>
      </w:r>
      <w:r>
        <w:t xml:space="preserve"> appropriate to accommodate the variation that might occur over time.  The ensuing credits are used to offset the Federal Income Tax (FIT) of the utility and can be taken for up to twenty (20) years after the year in which PTCs were produced.</w:t>
      </w:r>
      <w:r>
        <w:rPr>
          <w:rStyle w:val="FootnoteReference"/>
        </w:rPr>
        <w:footnoteReference w:id="41"/>
      </w:r>
      <w:r>
        <w:t xml:space="preserve">  The only problem with PTCs is that the Company would need to have taxable income to take advantage of the tax credits.</w:t>
      </w:r>
    </w:p>
    <w:p w:rsidR="00A635AE" w:rsidRDefault="00A635AE" w:rsidP="00A635AE">
      <w:pPr>
        <w:pStyle w:val="Answer-Testimony"/>
        <w:ind w:firstLine="720"/>
      </w:pPr>
      <w:r>
        <w:t>By contrast, Treasury Grants are a one-time cash payment from the U.S. government</w:t>
      </w:r>
      <w:r w:rsidR="00472BCC">
        <w:t>,</w:t>
      </w:r>
      <w:r>
        <w:t xml:space="preserve"> to encourage investment in specific categories of generating facilities assets.  A Treasury Grant is processed much more quickly after the utility incurs the cost, typically sixty (60) days from the receipt of the application, and after the plant is in service.</w:t>
      </w:r>
      <w:r>
        <w:rPr>
          <w:rStyle w:val="FootnoteReference"/>
        </w:rPr>
        <w:footnoteReference w:id="42"/>
      </w:r>
      <w:r>
        <w:t xml:space="preserve">  The Treasury Grants are presented in the form of liquid assets (i.e.</w:t>
      </w:r>
      <w:r w:rsidR="00BD253C">
        <w:t>,</w:t>
      </w:r>
      <w:r>
        <w:t xml:space="preserve"> cash or revenue) that serve as direct reimbursements of capital outlays.</w:t>
      </w:r>
    </w:p>
    <w:p w:rsidR="00A635AE" w:rsidRDefault="00A635AE" w:rsidP="00A635AE">
      <w:pPr>
        <w:pStyle w:val="Answer-Testimony"/>
        <w:ind w:firstLine="720"/>
      </w:pPr>
      <w:r>
        <w:t>It is important to emphasize that the Treasury Grant program requires that the project be completed (i.e.</w:t>
      </w:r>
      <w:r w:rsidR="00BD253C">
        <w:t>,</w:t>
      </w:r>
      <w:r>
        <w:t xml:space="preserve"> all of the costs incurred) before any reimbursement may take place.  In short, PT</w:t>
      </w:r>
      <w:r w:rsidR="005437F3">
        <w:t>Cs and Investment Tax Credits (</w:t>
      </w:r>
      <w:r>
        <w:t xml:space="preserve">ITCs) differ greatly from Treasury Grants due to their timing requirements for eligibility, and a different </w:t>
      </w:r>
      <w:r w:rsidR="00472BCC">
        <w:t xml:space="preserve">regulatory </w:t>
      </w:r>
      <w:r>
        <w:t>treatment is therefore warranted.</w:t>
      </w:r>
    </w:p>
    <w:p w:rsidR="00A635AE" w:rsidRDefault="00A635AE" w:rsidP="00A635AE">
      <w:pPr>
        <w:pStyle w:val="Answer-Testimony"/>
      </w:pPr>
    </w:p>
    <w:p w:rsidR="00A635AE" w:rsidRDefault="00A635AE" w:rsidP="00A635AE">
      <w:pPr>
        <w:pStyle w:val="Question-Testimony"/>
      </w:pPr>
      <w:r>
        <w:t>Q.</w:t>
      </w:r>
      <w:r>
        <w:tab/>
        <w:t>Does Staff’s proposed treatment of Treasury Grants more accurately match the timing of revenues with expenses?</w:t>
      </w:r>
    </w:p>
    <w:p w:rsidR="00A635AE" w:rsidRDefault="00A635AE" w:rsidP="00A635AE">
      <w:pPr>
        <w:pStyle w:val="Answer-Testimony"/>
      </w:pPr>
      <w:r>
        <w:lastRenderedPageBreak/>
        <w:t>A.</w:t>
      </w:r>
      <w:r>
        <w:tab/>
        <w:t>Yes.  Schedule 95A passes the value of the Treasury Grant back to ratepayers faster than the Company recovers the costs of the asset and the tax treatment of the asset; therefore, creating an intergenerational inequity</w:t>
      </w:r>
      <w:r w:rsidR="00472BCC">
        <w:t>.</w:t>
      </w:r>
    </w:p>
    <w:p w:rsidR="00A635AE" w:rsidRDefault="00A635AE" w:rsidP="00A635AE">
      <w:pPr>
        <w:pStyle w:val="Answer-Testimony"/>
      </w:pPr>
    </w:p>
    <w:p w:rsidR="0018319A" w:rsidRDefault="0018319A">
      <w:pPr>
        <w:pStyle w:val="Heading6"/>
      </w:pPr>
      <w:bookmarkStart w:id="11" w:name="_Toc364231285"/>
      <w:r>
        <w:t xml:space="preserve">Tax Treatment of PTCs and ITCs is </w:t>
      </w:r>
      <w:r w:rsidR="00FE0186">
        <w:t>D</w:t>
      </w:r>
      <w:r>
        <w:t>ifferent than Treasury</w:t>
      </w:r>
      <w:r w:rsidR="004176D0">
        <w:t xml:space="preserve"> </w:t>
      </w:r>
      <w:r>
        <w:t>Grants</w:t>
      </w:r>
      <w:bookmarkEnd w:id="11"/>
    </w:p>
    <w:p w:rsidR="00472BCC" w:rsidRDefault="00472BCC" w:rsidP="00A635AE">
      <w:pPr>
        <w:pStyle w:val="Answer-Testimony"/>
      </w:pPr>
    </w:p>
    <w:p w:rsidR="00A635AE" w:rsidRPr="00252E90" w:rsidRDefault="00A635AE" w:rsidP="00A635AE">
      <w:pPr>
        <w:pStyle w:val="Question-Testimony"/>
      </w:pPr>
      <w:r>
        <w:t>Q.</w:t>
      </w:r>
      <w:r>
        <w:tab/>
        <w:t>Are Treasury Grants treated differently on a tax basis from PTCs and ITCs</w:t>
      </w:r>
      <w:r w:rsidRPr="00252E90">
        <w:t>?</w:t>
      </w:r>
    </w:p>
    <w:p w:rsidR="00A635AE" w:rsidRDefault="00A635AE" w:rsidP="00A635AE">
      <w:pPr>
        <w:pStyle w:val="Answer-Testimony"/>
      </w:pPr>
      <w:r w:rsidRPr="003A0F65">
        <w:t>A.</w:t>
      </w:r>
      <w:r w:rsidRPr="003A0F65">
        <w:tab/>
      </w:r>
      <w:r>
        <w:t>Yes.  PTCs and ITCs are direct offsets to current and future FIT liabilities.  They may, or may not, be fully realized on the tax return of the year where the expense are actually incurred; this occurs if a company has too low of a tax liability to fully receive the complete credit.  PSE typically falls into this category.</w:t>
      </w:r>
      <w:r>
        <w:rPr>
          <w:rStyle w:val="FootnoteReference"/>
        </w:rPr>
        <w:footnoteReference w:id="43"/>
      </w:r>
    </w:p>
    <w:p w:rsidR="00A635AE" w:rsidRDefault="00A635AE" w:rsidP="00A635AE">
      <w:pPr>
        <w:pStyle w:val="Answer-Testimony"/>
        <w:ind w:firstLine="720"/>
      </w:pPr>
      <w:r>
        <w:t>By contrast, a Treasury Grant is an immediate percentage reimbursement of capital expenditures and it reduces the depreciable tax basis</w:t>
      </w:r>
      <w:r w:rsidRPr="003A0F65">
        <w:t xml:space="preserve"> </w:t>
      </w:r>
      <w:r>
        <w:t xml:space="preserve">of the plant </w:t>
      </w:r>
      <w:r w:rsidRPr="003A0F65">
        <w:t xml:space="preserve">by </w:t>
      </w:r>
      <w:r>
        <w:t>fifty (</w:t>
      </w:r>
      <w:r w:rsidRPr="003A0F65">
        <w:t>50</w:t>
      </w:r>
      <w:r>
        <w:t xml:space="preserve">) percent </w:t>
      </w:r>
      <w:r w:rsidRPr="003A0F65">
        <w:t xml:space="preserve">of </w:t>
      </w:r>
      <w:r>
        <w:t>the Treasury Grant’s</w:t>
      </w:r>
      <w:r w:rsidRPr="003A0F65">
        <w:t xml:space="preserve"> value</w:t>
      </w:r>
      <w:r>
        <w:t xml:space="preserve">.  Treasury Grants, however, </w:t>
      </w:r>
      <w:r w:rsidRPr="003A0F65">
        <w:t>are not treated as income for</w:t>
      </w:r>
      <w:r>
        <w:t xml:space="preserve"> FIT </w:t>
      </w:r>
      <w:r w:rsidRPr="003A0F65">
        <w:t>purposes and therefore only have implications</w:t>
      </w:r>
      <w:r>
        <w:t xml:space="preserve"> for</w:t>
      </w:r>
      <w:r w:rsidRPr="003A0F65">
        <w:t xml:space="preserve"> the depreciable </w:t>
      </w:r>
      <w:r>
        <w:t xml:space="preserve">base of the </w:t>
      </w:r>
      <w:r w:rsidRPr="007417B0">
        <w:t>plant</w:t>
      </w:r>
      <w:r>
        <w:t>.</w:t>
      </w:r>
    </w:p>
    <w:p w:rsidR="00A635AE" w:rsidRDefault="00A635AE" w:rsidP="00A635AE">
      <w:pPr>
        <w:pStyle w:val="Answer-Testimony"/>
        <w:ind w:firstLine="720"/>
      </w:pPr>
      <w:r w:rsidRPr="007417B0">
        <w:t xml:space="preserve">This basis reduction is accounted for </w:t>
      </w:r>
      <w:r>
        <w:t xml:space="preserve">within the Company’s workpapers under </w:t>
      </w:r>
      <w:r w:rsidRPr="007417B0">
        <w:t>“Adjustment for Flow-thru taxes</w:t>
      </w:r>
      <w:r>
        <w:t>;</w:t>
      </w:r>
      <w:r w:rsidRPr="007417B0">
        <w:t>”</w:t>
      </w:r>
      <w:r w:rsidRPr="007417B0">
        <w:rPr>
          <w:rStyle w:val="FootnoteReference"/>
        </w:rPr>
        <w:footnoteReference w:id="44"/>
      </w:r>
      <w:r w:rsidRPr="00FB4313">
        <w:rPr>
          <w:vertAlign w:val="superscript"/>
        </w:rPr>
        <w:t>,</w:t>
      </w:r>
      <w:r>
        <w:rPr>
          <w:rStyle w:val="FootnoteReference"/>
        </w:rPr>
        <w:footnoteReference w:id="45"/>
      </w:r>
      <w:r>
        <w:t xml:space="preserve"> t</w:t>
      </w:r>
      <w:r w:rsidRPr="007417B0">
        <w:t>herefore</w:t>
      </w:r>
      <w:r>
        <w:t>, ratepayers solely b</w:t>
      </w:r>
      <w:r w:rsidR="00FE0186">
        <w:t>ear</w:t>
      </w:r>
      <w:r>
        <w:t xml:space="preserve"> the cost of receiving the Treasury Grants in the form of a reduced plant basis eligible for depreciation.</w:t>
      </w:r>
    </w:p>
    <w:p w:rsidR="00A635AE" w:rsidRDefault="00A635AE" w:rsidP="00A635AE">
      <w:pPr>
        <w:pStyle w:val="Question-Testimony"/>
      </w:pPr>
    </w:p>
    <w:p w:rsidR="0018319A" w:rsidRDefault="0018319A">
      <w:pPr>
        <w:pStyle w:val="Heading6"/>
      </w:pPr>
      <w:bookmarkStart w:id="12" w:name="_Toc364231286"/>
      <w:r>
        <w:lastRenderedPageBreak/>
        <w:t>ARRA Permits Treasury Grants to be Used to Offset Rate Base</w:t>
      </w:r>
      <w:bookmarkEnd w:id="12"/>
    </w:p>
    <w:p w:rsidR="00472BCC" w:rsidRPr="0092013E" w:rsidRDefault="00472BCC" w:rsidP="00A635AE">
      <w:pPr>
        <w:pStyle w:val="Question-Testimony"/>
      </w:pPr>
    </w:p>
    <w:p w:rsidR="00A635AE" w:rsidRPr="0092013E" w:rsidRDefault="00A635AE" w:rsidP="00A635AE">
      <w:pPr>
        <w:pStyle w:val="Question-Testimony"/>
      </w:pPr>
      <w:r w:rsidRPr="0092013E">
        <w:t>Q.</w:t>
      </w:r>
      <w:r w:rsidRPr="0092013E">
        <w:tab/>
        <w:t>Are Treasury Grants subject to any other rules</w:t>
      </w:r>
      <w:r>
        <w:t>?</w:t>
      </w:r>
    </w:p>
    <w:p w:rsidR="00A635AE" w:rsidRDefault="00A635AE" w:rsidP="00A635AE">
      <w:pPr>
        <w:pStyle w:val="Answer-Testimony"/>
      </w:pPr>
      <w:r w:rsidRPr="00F27E5A">
        <w:t>A.</w:t>
      </w:r>
      <w:r w:rsidRPr="00F27E5A">
        <w:tab/>
      </w:r>
      <w:r>
        <w:t>Yes.  Through a series of provisions in ARRA and the IRC, plus guidance from the Treasury, the U</w:t>
      </w:r>
      <w:r w:rsidR="00FE0186">
        <w:t>nited States</w:t>
      </w:r>
      <w:r>
        <w:t xml:space="preserve"> government </w:t>
      </w:r>
      <w:r w:rsidR="00571C21">
        <w:t xml:space="preserve">initially </w:t>
      </w:r>
      <w:r>
        <w:t>require</w:t>
      </w:r>
      <w:r w:rsidR="00571C21">
        <w:t>d</w:t>
      </w:r>
      <w:r>
        <w:t xml:space="preserve"> utilities to normalize Treasury Grants received under ARRA.  Normalization allow</w:t>
      </w:r>
      <w:r w:rsidR="00FE0186">
        <w:t>ed</w:t>
      </w:r>
      <w:r>
        <w:t xml:space="preserve"> PSE to provide customers with one of the following:  (1) an offset to rate base for the unamortized balance of the Treasury Grant; or (2) the amortization of the Treasury Grant as a reduction to cost of service.</w:t>
      </w:r>
    </w:p>
    <w:p w:rsidR="00A635AE" w:rsidRDefault="00A635AE" w:rsidP="00A635AE">
      <w:pPr>
        <w:pStyle w:val="Answer-Testimony"/>
        <w:ind w:firstLine="720"/>
      </w:pPr>
      <w:r>
        <w:t>PSE chose the second method.  The Commission approved that treatment in December 2009 in Docket UE-091570</w:t>
      </w:r>
      <w:r>
        <w:rPr>
          <w:rStyle w:val="FootnoteReference"/>
        </w:rPr>
        <w:footnoteReference w:id="46"/>
      </w:r>
      <w:r>
        <w:t xml:space="preserve"> for WHE.  </w:t>
      </w:r>
      <w:r w:rsidR="00FE0186">
        <w:t>In doing so</w:t>
      </w:r>
      <w:r>
        <w:t>, the Commission stated:</w:t>
      </w:r>
    </w:p>
    <w:p w:rsidR="00A635AE" w:rsidRDefault="00A635AE" w:rsidP="00A635AE">
      <w:pPr>
        <w:pStyle w:val="Answer-Testimony"/>
        <w:spacing w:line="240" w:lineRule="auto"/>
        <w:ind w:left="1440" w:firstLine="0"/>
        <w:rPr>
          <w:rStyle w:val="Strong"/>
        </w:rPr>
      </w:pPr>
      <w:r w:rsidRPr="00DD6738">
        <w:rPr>
          <w:rStyle w:val="Strong"/>
        </w:rPr>
        <w:t>However, the Commission and its Staff reserve the right to provide alternative methodologies for the treatment of the Treasury grants in future proceedings that may differ from the Company’s proposed accounting and normalization treatment based on new analysis, new information becoming available, or based on new guidance being provided by the Internal Revenue Service or Treasury.</w:t>
      </w:r>
      <w:r>
        <w:rPr>
          <w:rStyle w:val="FootnoteReference"/>
        </w:rPr>
        <w:footnoteReference w:id="47"/>
      </w:r>
    </w:p>
    <w:p w:rsidR="00A635AE" w:rsidRDefault="00A635AE" w:rsidP="00A635AE">
      <w:pPr>
        <w:pStyle w:val="Answer-Testimony"/>
        <w:spacing w:line="240" w:lineRule="auto"/>
        <w:ind w:left="1440" w:firstLine="0"/>
        <w:rPr>
          <w:rStyle w:val="Strong"/>
        </w:rPr>
      </w:pPr>
    </w:p>
    <w:p w:rsidR="00A635AE" w:rsidRDefault="00A635AE" w:rsidP="00A635AE">
      <w:pPr>
        <w:pStyle w:val="Answer-Testimony"/>
        <w:ind w:firstLine="0"/>
      </w:pPr>
      <w:r w:rsidRPr="002B3012">
        <w:t>PSE lobbied</w:t>
      </w:r>
      <w:r>
        <w:rPr>
          <w:rStyle w:val="FootnoteReference"/>
        </w:rPr>
        <w:footnoteReference w:id="48"/>
      </w:r>
      <w:r w:rsidRPr="002B3012">
        <w:t xml:space="preserve"> </w:t>
      </w:r>
      <w:r>
        <w:t xml:space="preserve">for </w:t>
      </w:r>
      <w:r w:rsidRPr="002B3012">
        <w:t xml:space="preserve">changes within the NDAA, which amended ARRA to eliminate normalization requirements for the </w:t>
      </w:r>
      <w:r>
        <w:t xml:space="preserve">Treasury </w:t>
      </w:r>
      <w:r w:rsidRPr="002B3012">
        <w:t>Grant</w:t>
      </w:r>
      <w:r>
        <w:t>s</w:t>
      </w:r>
      <w:r w:rsidRPr="002B3012">
        <w:t>.</w:t>
      </w:r>
      <w:r>
        <w:t xml:space="preserve">  </w:t>
      </w:r>
      <w:r>
        <w:rPr>
          <w:color w:val="000000"/>
        </w:rPr>
        <w:t xml:space="preserve">According to PSE, the Company initiated a legislative effort to “correct” the law to eliminate normalization </w:t>
      </w:r>
      <w:r>
        <w:rPr>
          <w:color w:val="000000"/>
        </w:rPr>
        <w:lastRenderedPageBreak/>
        <w:t>requirements for ARRA Section 1603 grants and that “correction” was signed into law as Section 1096 of NDAA.</w:t>
      </w:r>
      <w:r>
        <w:rPr>
          <w:rStyle w:val="FootnoteReference"/>
          <w:color w:val="000000"/>
        </w:rPr>
        <w:footnoteReference w:id="49"/>
      </w:r>
    </w:p>
    <w:p w:rsidR="00A635AE" w:rsidRDefault="00A635AE" w:rsidP="00A635AE">
      <w:pPr>
        <w:pStyle w:val="Question-Testimony"/>
      </w:pPr>
    </w:p>
    <w:p w:rsidR="00A635AE" w:rsidRDefault="00A635AE" w:rsidP="00A635AE">
      <w:pPr>
        <w:pStyle w:val="Question-Testimony"/>
      </w:pPr>
      <w:r>
        <w:t>Q.</w:t>
      </w:r>
      <w:r>
        <w:tab/>
        <w:t xml:space="preserve">What is the </w:t>
      </w:r>
      <w:r w:rsidR="00472BCC">
        <w:t>l</w:t>
      </w:r>
      <w:r>
        <w:t>egislative intent for the Treasury Grants and these changes?</w:t>
      </w:r>
    </w:p>
    <w:p w:rsidR="00FE0186" w:rsidRDefault="00A635AE" w:rsidP="00A635AE">
      <w:pPr>
        <w:pStyle w:val="Answer-Testimony"/>
      </w:pPr>
      <w:r w:rsidRPr="003A0F65">
        <w:t>A.</w:t>
      </w:r>
      <w:r w:rsidRPr="003A0F65">
        <w:tab/>
        <w:t xml:space="preserve">The stated intent of the </w:t>
      </w:r>
      <w:r>
        <w:t>Treasury</w:t>
      </w:r>
      <w:r w:rsidRPr="003A0F65">
        <w:t xml:space="preserve"> Grants is to “reimburse eligible applicants for a portion of the expense of such [energy] property</w:t>
      </w:r>
      <w:r>
        <w:t>.</w:t>
      </w:r>
      <w:r w:rsidRPr="003A0F65">
        <w:t>”</w:t>
      </w:r>
      <w:r w:rsidRPr="003A0F65">
        <w:rPr>
          <w:rStyle w:val="FootnoteReference"/>
        </w:rPr>
        <w:footnoteReference w:id="50"/>
      </w:r>
      <w:r w:rsidRPr="003A0F65">
        <w:t xml:space="preserve">  Treasury Grants are specifically exempt from IRC 46(f) regulations</w:t>
      </w:r>
      <w:r w:rsidR="00FE0186">
        <w:t>,</w:t>
      </w:r>
      <w:r w:rsidRPr="003A0F65">
        <w:t xml:space="preserve"> which outline the rules of normalization.  </w:t>
      </w:r>
      <w:r w:rsidR="00FE0186">
        <w:t xml:space="preserve">In other words, normalization is no longer required.  </w:t>
      </w:r>
    </w:p>
    <w:p w:rsidR="00A635AE" w:rsidRPr="003A0F65" w:rsidRDefault="00FE0186" w:rsidP="00A635AE">
      <w:pPr>
        <w:pStyle w:val="Answer-Testimony"/>
      </w:pPr>
      <w:r>
        <w:tab/>
      </w:r>
      <w:r>
        <w:tab/>
      </w:r>
      <w:r w:rsidR="00A635AE">
        <w:t xml:space="preserve">Congress </w:t>
      </w:r>
      <w:r w:rsidR="00A635AE" w:rsidRPr="003A0F65">
        <w:t xml:space="preserve">therefore intended these </w:t>
      </w:r>
      <w:r w:rsidR="00A635AE">
        <w:t xml:space="preserve">Treasury </w:t>
      </w:r>
      <w:r w:rsidR="00A635AE" w:rsidRPr="003A0F65">
        <w:t xml:space="preserve">Grants to be one-time reimbursements of incurred capital expenditures. </w:t>
      </w:r>
      <w:r w:rsidR="00A635AE">
        <w:t xml:space="preserve"> </w:t>
      </w:r>
      <w:r w:rsidR="00A635AE" w:rsidRPr="003A0F65">
        <w:t>Additionally, the law outlines the use of Treasury Grants to be assigned to third-parties financial institutions.  This directly implies the use of Treasury Grants to be capital in-flows for construction purposes.</w:t>
      </w:r>
    </w:p>
    <w:p w:rsidR="00A635AE" w:rsidRDefault="00A635AE" w:rsidP="00A635AE">
      <w:pPr>
        <w:pStyle w:val="Answer-Testimony"/>
        <w:ind w:left="0" w:firstLine="0"/>
      </w:pPr>
    </w:p>
    <w:p w:rsidR="00A635AE" w:rsidRDefault="00A635AE" w:rsidP="00A635AE">
      <w:pPr>
        <w:pStyle w:val="Question-Testimony"/>
      </w:pPr>
      <w:r>
        <w:t xml:space="preserve">Q. </w:t>
      </w:r>
      <w:r>
        <w:tab/>
        <w:t>As you understand it, is Staff’s recommendation to use Treasury Grants as a reduction to the plant balance of the related plant permitted by NDAA?</w:t>
      </w:r>
    </w:p>
    <w:p w:rsidR="00A635AE" w:rsidRDefault="00A635AE" w:rsidP="00A635AE">
      <w:pPr>
        <w:pStyle w:val="Answer-Testimony"/>
      </w:pPr>
      <w:r>
        <w:t xml:space="preserve">A. </w:t>
      </w:r>
      <w:r>
        <w:tab/>
        <w:t>Yes.</w:t>
      </w:r>
      <w:r w:rsidRPr="00ED5C26">
        <w:t xml:space="preserve"> </w:t>
      </w:r>
      <w:r>
        <w:t xml:space="preserve"> Staff’s recommendation implements a provision in the NDAA that eliminated normalization requirements within ARRA.  The amendment stated:</w:t>
      </w:r>
    </w:p>
    <w:p w:rsidR="00A635AE" w:rsidRDefault="00A635AE" w:rsidP="00A635AE">
      <w:pPr>
        <w:pStyle w:val="Answer-Testimony"/>
        <w:numPr>
          <w:ilvl w:val="0"/>
          <w:numId w:val="5"/>
        </w:numPr>
      </w:pPr>
      <w:r>
        <w:t>In General – The first sentence of section 1603(f) of the American Recovery and Reinvestment Tax Act of 2009 is amended by inserting "other than subsection (d)(2) thereof" after "section 50 of the internal Revenue Code of 1986".</w:t>
      </w:r>
    </w:p>
    <w:p w:rsidR="00A635AE" w:rsidRDefault="00A635AE" w:rsidP="00A635AE">
      <w:pPr>
        <w:pStyle w:val="Answer-Testimony"/>
        <w:numPr>
          <w:ilvl w:val="0"/>
          <w:numId w:val="5"/>
        </w:numPr>
      </w:pPr>
      <w:r>
        <w:lastRenderedPageBreak/>
        <w:t xml:space="preserve">Effective Date – The amendment made by this section </w:t>
      </w:r>
      <w:r w:rsidRPr="00095AFF">
        <w:rPr>
          <w:i/>
        </w:rPr>
        <w:t>shall take effect as if included in section 1603 of the American Recovery and Reinvestment Tax Act of 2009</w:t>
      </w:r>
      <w:r>
        <w:t>.</w:t>
      </w:r>
      <w:r>
        <w:rPr>
          <w:rStyle w:val="FootnoteReference"/>
        </w:rPr>
        <w:footnoteReference w:id="51"/>
      </w:r>
      <w:r>
        <w:t xml:space="preserve"> (Emphasis added).</w:t>
      </w:r>
    </w:p>
    <w:p w:rsidR="00A635AE" w:rsidRDefault="00A635AE" w:rsidP="00A635AE">
      <w:pPr>
        <w:pStyle w:val="Answer-Testimony"/>
        <w:ind w:firstLine="720"/>
      </w:pPr>
      <w:r w:rsidRPr="004A212B">
        <w:t xml:space="preserve">Section 1096 of </w:t>
      </w:r>
      <w:r>
        <w:t xml:space="preserve">the </w:t>
      </w:r>
      <w:r w:rsidRPr="004A212B">
        <w:t xml:space="preserve">NDAA is supported by the legitimate and rational legislative purpose of eliminating normalization requirements </w:t>
      </w:r>
      <w:r>
        <w:t>of</w:t>
      </w:r>
      <w:r w:rsidRPr="004A212B">
        <w:t xml:space="preserve"> Treasury Grants</w:t>
      </w:r>
      <w:r>
        <w:t xml:space="preserve"> for ratepayer benefit</w:t>
      </w:r>
      <w:r w:rsidRPr="004A212B">
        <w:t>.</w:t>
      </w:r>
    </w:p>
    <w:p w:rsidR="00A635AE" w:rsidRDefault="00A635AE" w:rsidP="00A635AE">
      <w:pPr>
        <w:pStyle w:val="Answer-Testimony"/>
      </w:pPr>
    </w:p>
    <w:p w:rsidR="00A635AE" w:rsidRDefault="00A635AE" w:rsidP="00A635AE">
      <w:pPr>
        <w:pStyle w:val="Question-Testimony"/>
      </w:pPr>
      <w:r>
        <w:t>Q.</w:t>
      </w:r>
      <w:r>
        <w:tab/>
        <w:t xml:space="preserve">Does the Commission’s </w:t>
      </w:r>
      <w:r w:rsidRPr="00B549B8">
        <w:t xml:space="preserve">inclusion of </w:t>
      </w:r>
      <w:r w:rsidR="00B549B8" w:rsidRPr="00FB0CB3">
        <w:t xml:space="preserve">Snoqualmie Project and Baker Project </w:t>
      </w:r>
      <w:r w:rsidRPr="00B549B8">
        <w:t>facilities in rate</w:t>
      </w:r>
      <w:r w:rsidR="00FE0186" w:rsidRPr="00B549B8">
        <w:t xml:space="preserve"> base for rat</w:t>
      </w:r>
      <w:r w:rsidR="00FE0186">
        <w:t xml:space="preserve">emaking purposes </w:t>
      </w:r>
      <w:r>
        <w:t>justify Staff’s proposed treatment of the related Treasury Grants?</w:t>
      </w:r>
    </w:p>
    <w:p w:rsidR="00A635AE" w:rsidRDefault="00A635AE" w:rsidP="00A635AE">
      <w:pPr>
        <w:pStyle w:val="Answer-Testimony"/>
      </w:pPr>
      <w:r>
        <w:t>A.</w:t>
      </w:r>
      <w:r>
        <w:tab/>
        <w:t>Yes.  R</w:t>
      </w:r>
      <w:r w:rsidRPr="00A05B87">
        <w:t xml:space="preserve">atepayers </w:t>
      </w:r>
      <w:r w:rsidR="00B549B8">
        <w:t xml:space="preserve">will </w:t>
      </w:r>
      <w:r w:rsidRPr="00A05B87">
        <w:t xml:space="preserve">provided </w:t>
      </w:r>
      <w:r>
        <w:t xml:space="preserve">and are continuing to provide, </w:t>
      </w:r>
      <w:r w:rsidRPr="00A05B87">
        <w:t xml:space="preserve">all of the funds necessary for PSE to recover both the operating expenses of </w:t>
      </w:r>
      <w:r w:rsidR="007852DD">
        <w:t xml:space="preserve">the </w:t>
      </w:r>
      <w:r w:rsidR="00B549B8" w:rsidRPr="00703E72">
        <w:rPr>
          <w:rStyle w:val="Answer-TestimonyChar"/>
        </w:rPr>
        <w:t>Snoqualmie Project and Baker Project</w:t>
      </w:r>
      <w:r w:rsidRPr="00A05B87">
        <w:t xml:space="preserve">, and a return of and on </w:t>
      </w:r>
      <w:r>
        <w:t>the Company’s investment in those facilities</w:t>
      </w:r>
      <w:r w:rsidRPr="00A05B87">
        <w:t xml:space="preserve">.  Therefore, it is fair and reasonable for ratepayers to receive the full benefit of the Treasury Grant </w:t>
      </w:r>
      <w:r>
        <w:t>as a direct offset to the associated plant balances.  Staff’s method</w:t>
      </w:r>
      <w:r w:rsidRPr="00A05B87">
        <w:t xml:space="preserve"> matches costs and benefits in accordance with fundamental principles of ratemaking.</w:t>
      </w:r>
    </w:p>
    <w:p w:rsidR="00A635AE" w:rsidRDefault="00A635AE" w:rsidP="00A635AE">
      <w:pPr>
        <w:pStyle w:val="Answer-Testimony"/>
      </w:pPr>
    </w:p>
    <w:p w:rsidR="00A635AE" w:rsidRDefault="00A635AE" w:rsidP="00A635AE">
      <w:pPr>
        <w:pStyle w:val="Answer-Testimony"/>
        <w:rPr>
          <w:b/>
        </w:rPr>
      </w:pPr>
      <w:r w:rsidRPr="00BA0E83">
        <w:rPr>
          <w:b/>
        </w:rPr>
        <w:t>Q.</w:t>
      </w:r>
      <w:r>
        <w:rPr>
          <w:b/>
        </w:rPr>
        <w:tab/>
        <w:t xml:space="preserve">How should the Commission treat Treasury Grants PSE receives for </w:t>
      </w:r>
      <w:r w:rsidR="00B549B8">
        <w:rPr>
          <w:b/>
        </w:rPr>
        <w:t xml:space="preserve">these </w:t>
      </w:r>
      <w:r>
        <w:rPr>
          <w:b/>
        </w:rPr>
        <w:t>future eligible projects?</w:t>
      </w:r>
    </w:p>
    <w:p w:rsidR="00A635AE" w:rsidRDefault="00A635AE" w:rsidP="00A635AE">
      <w:pPr>
        <w:pStyle w:val="Answer-Testimony"/>
      </w:pPr>
      <w:r w:rsidRPr="007D6C4A">
        <w:t>A.</w:t>
      </w:r>
      <w:r w:rsidRPr="007D6C4A">
        <w:tab/>
      </w:r>
      <w:r w:rsidR="00B549B8">
        <w:t>T</w:t>
      </w:r>
      <w:r>
        <w:t xml:space="preserve">he Commission should </w:t>
      </w:r>
      <w:r w:rsidR="00FE0186">
        <w:t xml:space="preserve">direct PSE to </w:t>
      </w:r>
      <w:r>
        <w:t xml:space="preserve">use future Treasury Grant amounts as a direct rate base offset to the capital costs of the related asset.  In order to accomplish this </w:t>
      </w:r>
      <w:r>
        <w:lastRenderedPageBreak/>
        <w:t xml:space="preserve">rate base treatment for future Treasury Grants, PSE should be required to </w:t>
      </w:r>
      <w:r w:rsidRPr="00453F26">
        <w:t>defer</w:t>
      </w:r>
      <w:r>
        <w:t xml:space="preserve"> the amount</w:t>
      </w:r>
      <w:r w:rsidRPr="00453F26">
        <w:t xml:space="preserve"> </w:t>
      </w:r>
      <w:r>
        <w:t>under RCW 80.80.060(6) f</w:t>
      </w:r>
      <w:r w:rsidRPr="00453F26">
        <w:t>o</w:t>
      </w:r>
      <w:r>
        <w:t>r</w:t>
      </w:r>
      <w:r w:rsidRPr="00453F26">
        <w:t xml:space="preserve"> </w:t>
      </w:r>
      <w:r>
        <w:t>all T</w:t>
      </w:r>
      <w:r w:rsidRPr="00453F26">
        <w:t xml:space="preserve">reasury Grant as a regulatory liability, </w:t>
      </w:r>
      <w:r>
        <w:t>and</w:t>
      </w:r>
      <w:r w:rsidRPr="00453F26">
        <w:t xml:space="preserve"> accrue interest at the </w:t>
      </w:r>
      <w:r>
        <w:t>C</w:t>
      </w:r>
      <w:r w:rsidRPr="00453F26">
        <w:t>ompany’s authorized rate of return</w:t>
      </w:r>
      <w:r>
        <w:t xml:space="preserve"> until such treatment can be applied.  This deferred treatment is </w:t>
      </w:r>
      <w:r w:rsidRPr="00453F26">
        <w:t xml:space="preserve">consistent with </w:t>
      </w:r>
      <w:r>
        <w:t xml:space="preserve">prior </w:t>
      </w:r>
      <w:r w:rsidRPr="00453F26">
        <w:t xml:space="preserve">treatment given </w:t>
      </w:r>
      <w:r>
        <w:t xml:space="preserve">to the Company for </w:t>
      </w:r>
      <w:r w:rsidRPr="00453F26">
        <w:t>regulatory assets and fixed plant</w:t>
      </w:r>
      <w:r>
        <w:t>.  I note the Company has been willing to apply such treatment to Treasury Grants in the past</w:t>
      </w:r>
      <w:r w:rsidRPr="00453F26">
        <w:t>.</w:t>
      </w:r>
      <w:r w:rsidRPr="00453F26">
        <w:rPr>
          <w:rStyle w:val="FootnoteReference"/>
        </w:rPr>
        <w:footnoteReference w:id="52"/>
      </w:r>
    </w:p>
    <w:p w:rsidR="00A635AE" w:rsidRDefault="00A635AE" w:rsidP="00A635AE">
      <w:pPr>
        <w:pStyle w:val="Answer-Testimony"/>
      </w:pPr>
    </w:p>
    <w:p w:rsidR="0018319A" w:rsidRDefault="0018319A">
      <w:pPr>
        <w:pStyle w:val="Heading6"/>
      </w:pPr>
      <w:bookmarkStart w:id="13" w:name="_Toc364231287"/>
      <w:r>
        <w:t>Staff’s Proposed Treatment of Treasury Grants is Reasonable</w:t>
      </w:r>
      <w:bookmarkEnd w:id="13"/>
    </w:p>
    <w:p w:rsidR="00A635AE" w:rsidRDefault="00A635AE" w:rsidP="00A635AE">
      <w:pPr>
        <w:pStyle w:val="Answer-Testimony"/>
      </w:pPr>
    </w:p>
    <w:p w:rsidR="00A635AE" w:rsidRDefault="00A635AE" w:rsidP="00A635AE">
      <w:pPr>
        <w:pStyle w:val="Question-Testimony"/>
      </w:pPr>
      <w:r>
        <w:t>Q.</w:t>
      </w:r>
      <w:r>
        <w:tab/>
        <w:t>How would Staff’s approach affect the Company?</w:t>
      </w:r>
    </w:p>
    <w:p w:rsidR="00A635AE" w:rsidRDefault="00A635AE" w:rsidP="00A635AE">
      <w:pPr>
        <w:pStyle w:val="Answer-Testimony"/>
      </w:pPr>
      <w:r>
        <w:t>A.</w:t>
      </w:r>
      <w:r>
        <w:tab/>
      </w:r>
      <w:r w:rsidR="00FE0186">
        <w:t xml:space="preserve">Staff’s approach treats </w:t>
      </w:r>
      <w:r>
        <w:t>stockholders and ratepayers equal</w:t>
      </w:r>
      <w:r w:rsidR="00FE0186">
        <w:t>ly</w:t>
      </w:r>
      <w:r>
        <w:t xml:space="preserve">.  Currently, stockholders pay ratepayers interest on the Treasury Grants, while ratepayers pay interest to stockholders on the plant balance for </w:t>
      </w:r>
      <w:r w:rsidR="00B549B8" w:rsidRPr="00703E72">
        <w:rPr>
          <w:rStyle w:val="Answer-TestimonyChar"/>
        </w:rPr>
        <w:t>Snoqualmie Project and Baker Project</w:t>
      </w:r>
      <w:r>
        <w:t>.  Staff’s approach eliminates this passing back and forth of interest on a plant balances related to the Treasury Grants.</w:t>
      </w:r>
    </w:p>
    <w:p w:rsidR="006954D7" w:rsidRDefault="006954D7" w:rsidP="00A635AE">
      <w:pPr>
        <w:pStyle w:val="Answer-Testimony"/>
      </w:pPr>
    </w:p>
    <w:p w:rsidR="006954D7" w:rsidRDefault="006954D7" w:rsidP="006954D7">
      <w:pPr>
        <w:pStyle w:val="Question-Testimony"/>
      </w:pPr>
      <w:r>
        <w:t>Q.</w:t>
      </w:r>
      <w:r>
        <w:tab/>
        <w:t>Is the PCORC the appropriate forum for discussing the treatment of Treasury Grants?</w:t>
      </w:r>
    </w:p>
    <w:p w:rsidR="006954D7" w:rsidRDefault="006954D7" w:rsidP="006954D7">
      <w:pPr>
        <w:pStyle w:val="Answer-Testimony"/>
      </w:pPr>
      <w:r>
        <w:t>A.</w:t>
      </w:r>
      <w:r>
        <w:tab/>
        <w:t xml:space="preserve">Yes.  The accounting treatment of Treasury Grants has important impacts on the fixed components of power costs.  </w:t>
      </w:r>
      <w:r w:rsidR="00FE0186">
        <w:t xml:space="preserve">Staff’s </w:t>
      </w:r>
      <w:r>
        <w:t xml:space="preserve">recommendations are consistent with the PCORC’s treatment of all other fixed power costs.  Staff’s recommendation to use Treasury Grants as a direct </w:t>
      </w:r>
      <w:r w:rsidR="00E57FA2">
        <w:t>r</w:t>
      </w:r>
      <w:r>
        <w:t xml:space="preserve">ate </w:t>
      </w:r>
      <w:r w:rsidR="00E57FA2">
        <w:t>b</w:t>
      </w:r>
      <w:r>
        <w:t xml:space="preserve">ase offset to reduce plant balance, deferred income </w:t>
      </w:r>
      <w:r>
        <w:lastRenderedPageBreak/>
        <w:t xml:space="preserve">tax liability, accumulated depreciation, and operating expenses.  This is consistent with the PCORC’s required treatment of other fixed costs.  Furthermore, Treasury Grants are unequivocally related to their associated plants.  Based on the </w:t>
      </w:r>
      <w:r w:rsidR="00E57FA2">
        <w:t>m</w:t>
      </w:r>
      <w:r>
        <w:t>atching principle of accounting, it is necessary to keep the treatment of the benefits of an asset in the same proceeding as its costs.</w:t>
      </w:r>
    </w:p>
    <w:p w:rsidR="007E673F" w:rsidRDefault="007E673F" w:rsidP="007E673F">
      <w:pPr>
        <w:pStyle w:val="Answer-Testimony"/>
      </w:pPr>
    </w:p>
    <w:p w:rsidR="007E673F" w:rsidRPr="00B549B8" w:rsidRDefault="007E673F" w:rsidP="007E673F">
      <w:pPr>
        <w:pStyle w:val="Question-Testimony"/>
      </w:pPr>
      <w:r>
        <w:t>Q.</w:t>
      </w:r>
      <w:r>
        <w:tab/>
        <w:t xml:space="preserve">Has Staff </w:t>
      </w:r>
      <w:r w:rsidRPr="00B549B8">
        <w:t xml:space="preserve">included in its adjustments the proposed treatment of Treasury Grants for both </w:t>
      </w:r>
      <w:r w:rsidR="007852DD">
        <w:t xml:space="preserve">the </w:t>
      </w:r>
      <w:r w:rsidR="00B549B8" w:rsidRPr="00FB0CB3">
        <w:t>Snoqualmie Project and Baker Project</w:t>
      </w:r>
      <w:r w:rsidRPr="00B549B8">
        <w:t>?</w:t>
      </w:r>
    </w:p>
    <w:p w:rsidR="007E673F" w:rsidRDefault="007E673F" w:rsidP="007E673F">
      <w:pPr>
        <w:pStyle w:val="Answer-Testimony"/>
      </w:pPr>
      <w:r>
        <w:t>A.</w:t>
      </w:r>
      <w:r>
        <w:tab/>
        <w:t xml:space="preserve">No.  Staff has not included at this time an adjustment reflecting the expense and rate base reduction from the Treasury Grant associated with </w:t>
      </w:r>
      <w:r w:rsidR="007852DD">
        <w:t xml:space="preserve">the </w:t>
      </w:r>
      <w:r w:rsidR="00B549B8" w:rsidRPr="00703E72">
        <w:rPr>
          <w:rStyle w:val="Answer-TestimonyChar"/>
        </w:rPr>
        <w:t>Snoqualmie Project and Baker Project</w:t>
      </w:r>
      <w:r>
        <w:t>.</w:t>
      </w:r>
    </w:p>
    <w:p w:rsidR="007E673F" w:rsidRDefault="007E673F" w:rsidP="007E673F">
      <w:pPr>
        <w:pStyle w:val="Answer-Testimony"/>
      </w:pPr>
    </w:p>
    <w:p w:rsidR="007E673F" w:rsidRPr="00931714" w:rsidRDefault="007E673F" w:rsidP="007E673F">
      <w:pPr>
        <w:pStyle w:val="Answer-Testimony"/>
        <w:rPr>
          <w:b/>
        </w:rPr>
      </w:pPr>
      <w:r w:rsidRPr="00931714">
        <w:rPr>
          <w:b/>
        </w:rPr>
        <w:t>Q.</w:t>
      </w:r>
      <w:r w:rsidRPr="00931714">
        <w:rPr>
          <w:b/>
        </w:rPr>
        <w:tab/>
      </w:r>
      <w:r w:rsidR="007852DD">
        <w:rPr>
          <w:b/>
        </w:rPr>
        <w:t xml:space="preserve">Please summarize </w:t>
      </w:r>
      <w:r>
        <w:rPr>
          <w:b/>
        </w:rPr>
        <w:t xml:space="preserve">Staff’s recommendation </w:t>
      </w:r>
      <w:r w:rsidR="000A353A">
        <w:rPr>
          <w:b/>
        </w:rPr>
        <w:t xml:space="preserve">to the </w:t>
      </w:r>
      <w:r>
        <w:rPr>
          <w:b/>
        </w:rPr>
        <w:t>Commission</w:t>
      </w:r>
      <w:r w:rsidR="000A353A">
        <w:rPr>
          <w:b/>
        </w:rPr>
        <w:t xml:space="preserve"> regarding Treasury Grants</w:t>
      </w:r>
      <w:r w:rsidR="007852DD">
        <w:rPr>
          <w:b/>
        </w:rPr>
        <w:t>.</w:t>
      </w:r>
    </w:p>
    <w:p w:rsidR="00FE0186" w:rsidRDefault="007E673F" w:rsidP="00A635AE">
      <w:pPr>
        <w:pStyle w:val="Answer-Testimony"/>
      </w:pPr>
      <w:r>
        <w:t>A.</w:t>
      </w:r>
      <w:r>
        <w:tab/>
        <w:t xml:space="preserve">For the reasons set forth above, the Commission should adopt the Staff recommendation </w:t>
      </w:r>
      <w:r w:rsidR="000A353A">
        <w:t xml:space="preserve">that Treasury Grants </w:t>
      </w:r>
      <w:r w:rsidR="003E77EB">
        <w:t>as a direct rate base offset to reduce plant balance, accumulated depreciation, and operating expenses</w:t>
      </w:r>
      <w:r w:rsidRPr="008E39E4">
        <w:t>.  Staff’s recommendation is consistent with the NDAA and sound principles of ratemaking</w:t>
      </w:r>
      <w:r w:rsidR="000A353A">
        <w:t>, including the matching principle and intergenerational equity</w:t>
      </w:r>
      <w:r w:rsidRPr="008E39E4">
        <w:t>.</w:t>
      </w:r>
      <w:r>
        <w:t xml:space="preserve"> </w:t>
      </w:r>
    </w:p>
    <w:p w:rsidR="00A635AE" w:rsidRPr="008E39E4" w:rsidRDefault="00FE0186" w:rsidP="00A635AE">
      <w:pPr>
        <w:pStyle w:val="Answer-Testimony"/>
      </w:pPr>
      <w:r>
        <w:tab/>
      </w:r>
      <w:r>
        <w:tab/>
      </w:r>
      <w:r w:rsidR="007852DD">
        <w:t xml:space="preserve">The </w:t>
      </w:r>
      <w:r w:rsidR="007E673F">
        <w:t xml:space="preserve">Commission </w:t>
      </w:r>
      <w:r w:rsidR="007852DD">
        <w:t xml:space="preserve">should </w:t>
      </w:r>
      <w:r w:rsidR="007E673F">
        <w:t xml:space="preserve">direct the Company to </w:t>
      </w:r>
      <w:r w:rsidR="00CD00EE">
        <w:t xml:space="preserve">defer </w:t>
      </w:r>
      <w:r w:rsidR="007E673F">
        <w:t xml:space="preserve">the Treasury Grant associated with </w:t>
      </w:r>
      <w:r w:rsidR="007852DD">
        <w:t xml:space="preserve">the </w:t>
      </w:r>
      <w:r w:rsidR="00CD00EE" w:rsidRPr="00703E72">
        <w:rPr>
          <w:rStyle w:val="Answer-TestimonyChar"/>
        </w:rPr>
        <w:t>Snoqualmie Project and Baker Project</w:t>
      </w:r>
      <w:r w:rsidR="00CD00EE">
        <w:rPr>
          <w:rStyle w:val="Answer-TestimonyChar"/>
        </w:rPr>
        <w:t xml:space="preserve"> under RCW 80.80.060,</w:t>
      </w:r>
      <w:r w:rsidR="00CD00EE">
        <w:t xml:space="preserve"> and to </w:t>
      </w:r>
      <w:r w:rsidR="007E673F">
        <w:t>includ</w:t>
      </w:r>
      <w:r w:rsidR="007852DD">
        <w:t>e</w:t>
      </w:r>
      <w:r w:rsidR="007E673F">
        <w:t xml:space="preserve"> </w:t>
      </w:r>
      <w:r w:rsidR="00CD00EE">
        <w:t xml:space="preserve">them as a direct </w:t>
      </w:r>
      <w:r w:rsidR="007E673F">
        <w:t>rate base</w:t>
      </w:r>
      <w:r w:rsidR="00CD00EE">
        <w:t xml:space="preserve"> offset to reduce plant</w:t>
      </w:r>
      <w:r w:rsidR="007E673F">
        <w:t xml:space="preserve">, accumulated </w:t>
      </w:r>
      <w:r w:rsidR="007E673F">
        <w:lastRenderedPageBreak/>
        <w:t>depreciation, accumulated deferred income taxes, and depreciation expense</w:t>
      </w:r>
      <w:r w:rsidR="00CD00EE">
        <w:t xml:space="preserve"> in the Company’s next PCORC</w:t>
      </w:r>
      <w:r w:rsidR="007E673F">
        <w:t>.</w:t>
      </w:r>
    </w:p>
    <w:p w:rsidR="00A635AE" w:rsidRPr="008E39E4" w:rsidRDefault="00A635AE" w:rsidP="00A635AE">
      <w:pPr>
        <w:pStyle w:val="Answer-Testimony"/>
      </w:pPr>
    </w:p>
    <w:p w:rsidR="00980C24" w:rsidRPr="00F27E5A" w:rsidRDefault="007852DD" w:rsidP="00C4448F">
      <w:pPr>
        <w:pStyle w:val="Heading1"/>
      </w:pPr>
      <w:bookmarkStart w:id="14" w:name="_Toc364231288"/>
      <w:r>
        <w:t xml:space="preserve">CALCULATION OF </w:t>
      </w:r>
      <w:r w:rsidR="0072392C">
        <w:t xml:space="preserve">POWER COST </w:t>
      </w:r>
      <w:r>
        <w:t>RATE</w:t>
      </w:r>
      <w:bookmarkEnd w:id="14"/>
    </w:p>
    <w:p w:rsidR="00B15BA7" w:rsidRPr="00A25E39" w:rsidRDefault="00B15BA7" w:rsidP="00B15BA7">
      <w:pPr>
        <w:pStyle w:val="Answer-Testimony"/>
      </w:pPr>
    </w:p>
    <w:p w:rsidR="00B15BA7" w:rsidRPr="00A25E39" w:rsidRDefault="00B15BA7" w:rsidP="00B15BA7">
      <w:pPr>
        <w:pStyle w:val="Question-Testimony"/>
      </w:pPr>
      <w:r w:rsidRPr="00A25E39">
        <w:t>Q.</w:t>
      </w:r>
      <w:r w:rsidRPr="00A25E39">
        <w:tab/>
      </w:r>
      <w:r w:rsidR="00E37454">
        <w:t xml:space="preserve">Has Staff prepared an exhibit that identifies the </w:t>
      </w:r>
      <w:r w:rsidRPr="00A25E39">
        <w:t>adjustments used to determine the new Power Cost Rate?</w:t>
      </w:r>
    </w:p>
    <w:p w:rsidR="00E37454" w:rsidRDefault="00B15BA7" w:rsidP="00B15BA7">
      <w:pPr>
        <w:pStyle w:val="Answer-Testimony"/>
      </w:pPr>
      <w:r w:rsidRPr="00A25E39">
        <w:t>A.</w:t>
      </w:r>
      <w:r w:rsidRPr="00A25E39">
        <w:tab/>
      </w:r>
      <w:r>
        <w:t>Yes.  M</w:t>
      </w:r>
      <w:r w:rsidRPr="00A25E39">
        <w:t>y Exhibit No. </w:t>
      </w:r>
      <w:r>
        <w:t>CTM</w:t>
      </w:r>
      <w:r w:rsidRPr="00A25E39">
        <w:t>-</w:t>
      </w:r>
      <w:r>
        <w:t>2</w:t>
      </w:r>
      <w:r w:rsidRPr="00A25E39">
        <w:t xml:space="preserve"> </w:t>
      </w:r>
      <w:r w:rsidR="00E37454">
        <w:t xml:space="preserve">lists each adjustment used to determine the new </w:t>
      </w:r>
      <w:r w:rsidR="007C0C65">
        <w:t>Power Cost Rate</w:t>
      </w:r>
      <w:r w:rsidR="00E37454">
        <w:t>.  Th</w:t>
      </w:r>
      <w:r w:rsidR="00FE0186">
        <w:t>is</w:t>
      </w:r>
      <w:r w:rsidR="00E37454">
        <w:t xml:space="preserve"> exhibit </w:t>
      </w:r>
      <w:r w:rsidRPr="00A25E39">
        <w:t xml:space="preserve">summarizes </w:t>
      </w:r>
      <w:r w:rsidR="00301749">
        <w:t xml:space="preserve">and provides a breakdown of </w:t>
      </w:r>
      <w:r w:rsidR="00E37454">
        <w:t xml:space="preserve">each </w:t>
      </w:r>
      <w:r w:rsidR="00064BED" w:rsidRPr="00A25E39">
        <w:t>adjustment</w:t>
      </w:r>
      <w:r w:rsidR="00E37454">
        <w:t xml:space="preserve">.  The adjustments Staff </w:t>
      </w:r>
      <w:r w:rsidR="00064BED">
        <w:t>contests</w:t>
      </w:r>
      <w:r w:rsidR="00E37454">
        <w:t xml:space="preserve"> are identified on that exhibit as </w:t>
      </w:r>
      <w:r w:rsidR="00064BED">
        <w:t>italic</w:t>
      </w:r>
      <w:r w:rsidR="00095890">
        <w:t>ized</w:t>
      </w:r>
      <w:r w:rsidR="00064BED">
        <w:t xml:space="preserve"> numbers with shaded headers</w:t>
      </w:r>
      <w:r w:rsidR="00E37454">
        <w:t xml:space="preserve">.  </w:t>
      </w:r>
      <w:r w:rsidR="0072392C">
        <w:t>I</w:t>
      </w:r>
      <w:r w:rsidR="004E3B67">
        <w:t xml:space="preserve"> </w:t>
      </w:r>
      <w:r w:rsidR="0072392C">
        <w:t xml:space="preserve">discuss </w:t>
      </w:r>
      <w:r w:rsidR="004E3B67">
        <w:t xml:space="preserve">each </w:t>
      </w:r>
      <w:r w:rsidR="00E37454">
        <w:t xml:space="preserve">contested </w:t>
      </w:r>
      <w:r w:rsidR="004E3B67">
        <w:t xml:space="preserve">adjustment </w:t>
      </w:r>
      <w:r w:rsidR="0072392C">
        <w:t>later in my testimony</w:t>
      </w:r>
      <w:r w:rsidRPr="00A25E39">
        <w:t>.</w:t>
      </w:r>
    </w:p>
    <w:p w:rsidR="007F066A" w:rsidRDefault="007F066A" w:rsidP="00B15BA7">
      <w:pPr>
        <w:pStyle w:val="Answer-Testimony"/>
      </w:pPr>
    </w:p>
    <w:p w:rsidR="007F066A" w:rsidRDefault="007F066A" w:rsidP="007F066A">
      <w:pPr>
        <w:pStyle w:val="Question-Testimony"/>
      </w:pPr>
      <w:r>
        <w:t xml:space="preserve">Q.  </w:t>
      </w:r>
      <w:r>
        <w:tab/>
        <w:t>Please explain</w:t>
      </w:r>
      <w:r w:rsidRPr="007F066A">
        <w:t xml:space="preserve"> Staff’s </w:t>
      </w:r>
      <w:r>
        <w:t>general approach to determine power costs in this case.</w:t>
      </w:r>
    </w:p>
    <w:p w:rsidR="00422451" w:rsidRDefault="007F066A" w:rsidP="00422451">
      <w:pPr>
        <w:pStyle w:val="Answer-Testimony"/>
      </w:pPr>
      <w:r>
        <w:t>A.</w:t>
      </w:r>
      <w:r>
        <w:tab/>
      </w:r>
      <w:r w:rsidR="000C5398">
        <w:t xml:space="preserve">To determine power costs, Staff </w:t>
      </w:r>
      <w:r>
        <w:t>push</w:t>
      </w:r>
      <w:r w:rsidR="00422451">
        <w:t>es</w:t>
      </w:r>
      <w:r>
        <w:t xml:space="preserve"> forward</w:t>
      </w:r>
      <w:r w:rsidR="00B15BA7" w:rsidRPr="00A25E39">
        <w:t xml:space="preserve"> </w:t>
      </w:r>
      <w:r>
        <w:t xml:space="preserve">all </w:t>
      </w:r>
      <w:r w:rsidR="00422451">
        <w:t xml:space="preserve">of the Company’s adjustments as </w:t>
      </w:r>
      <w:r w:rsidR="003D0CEB">
        <w:t xml:space="preserve">I </w:t>
      </w:r>
      <w:r w:rsidR="00422451">
        <w:t>explain in Section I</w:t>
      </w:r>
      <w:r w:rsidR="00E43FA1">
        <w:t>II</w:t>
      </w:r>
      <w:r w:rsidR="00FE0186">
        <w:t>.A</w:t>
      </w:r>
      <w:r w:rsidR="00422451">
        <w:t xml:space="preserve"> of my testimony, if the information was available to do so, </w:t>
      </w:r>
      <w:r>
        <w:t xml:space="preserve">to the </w:t>
      </w:r>
      <w:r w:rsidR="00B15BA7" w:rsidRPr="00A25E39">
        <w:t xml:space="preserve">rate year and </w:t>
      </w:r>
      <w:r w:rsidR="00742F6E" w:rsidRPr="003965AB">
        <w:t>th</w:t>
      </w:r>
      <w:r w:rsidR="00EB1DF3">
        <w:t>en</w:t>
      </w:r>
      <w:r w:rsidR="00422451" w:rsidRPr="00422451">
        <w:t xml:space="preserve"> </w:t>
      </w:r>
      <w:r w:rsidR="00422451" w:rsidRPr="003965AB">
        <w:t>using the relationship of normalized test year delivered load to rate year delivered load (production factor)</w:t>
      </w:r>
      <w:r w:rsidR="00422451">
        <w:t xml:space="preserve"> to</w:t>
      </w:r>
      <w:r w:rsidR="00742F6E" w:rsidRPr="003965AB">
        <w:t xml:space="preserve"> </w:t>
      </w:r>
      <w:r w:rsidR="004E3B67">
        <w:t xml:space="preserve">restates those costs back to </w:t>
      </w:r>
      <w:r w:rsidR="00742F6E" w:rsidRPr="003965AB">
        <w:t>test year levels</w:t>
      </w:r>
      <w:r w:rsidR="00422451">
        <w:t xml:space="preserve">.  </w:t>
      </w:r>
      <w:r w:rsidR="001947C3">
        <w:t>This approach</w:t>
      </w:r>
      <w:r w:rsidR="000C5398">
        <w:t xml:space="preserve"> realign</w:t>
      </w:r>
      <w:r w:rsidR="001947C3">
        <w:t>s</w:t>
      </w:r>
      <w:r w:rsidR="000C5398">
        <w:t xml:space="preserve"> the rate year in accordance with the procedural schedule that </w:t>
      </w:r>
      <w:r w:rsidR="001947C3">
        <w:t xml:space="preserve">would </w:t>
      </w:r>
      <w:r w:rsidR="000C5398">
        <w:t>implement new rates as of December 1, 2013</w:t>
      </w:r>
      <w:r w:rsidR="001947C3">
        <w:t>.</w:t>
      </w:r>
    </w:p>
    <w:p w:rsidR="00B15BA7" w:rsidRPr="004468C0" w:rsidRDefault="00422451" w:rsidP="00422451">
      <w:pPr>
        <w:pStyle w:val="Answer-Testimony"/>
      </w:pPr>
      <w:r>
        <w:tab/>
      </w:r>
      <w:r>
        <w:tab/>
        <w:t xml:space="preserve">Because the Company used </w:t>
      </w:r>
      <w:r w:rsidR="003D0CEB">
        <w:t>a rate year ending one month earlier</w:t>
      </w:r>
      <w:r w:rsidR="00FE0186">
        <w:t xml:space="preserve"> than Staff’s rate year</w:t>
      </w:r>
      <w:r w:rsidR="003D0CEB">
        <w:t xml:space="preserve">, </w:t>
      </w:r>
      <w:r>
        <w:t>a</w:t>
      </w:r>
      <w:r w:rsidR="000C5398">
        <w:t>ll</w:t>
      </w:r>
      <w:r w:rsidR="001947C3">
        <w:t xml:space="preserve"> the adjustments are </w:t>
      </w:r>
      <w:r w:rsidR="000C5398">
        <w:t>contested</w:t>
      </w:r>
      <w:r>
        <w:t xml:space="preserve"> to the extent of that difference</w:t>
      </w:r>
      <w:r w:rsidR="000C5398">
        <w:t>.</w:t>
      </w:r>
      <w:r w:rsidR="00146221">
        <w:t xml:space="preserve">  In addition, certain adjustments will have </w:t>
      </w:r>
      <w:r>
        <w:t xml:space="preserve">other </w:t>
      </w:r>
      <w:r w:rsidR="00146221">
        <w:t>specific</w:t>
      </w:r>
      <w:r w:rsidR="00146221" w:rsidRPr="00146221">
        <w:t xml:space="preserve"> </w:t>
      </w:r>
      <w:r w:rsidR="00146221">
        <w:t>modifications that are</w:t>
      </w:r>
      <w:r w:rsidR="00732650">
        <w:t xml:space="preserve"> </w:t>
      </w:r>
      <w:r w:rsidR="001947C3">
        <w:t xml:space="preserve">addressed and </w:t>
      </w:r>
      <w:r w:rsidR="00146221">
        <w:t xml:space="preserve">explained </w:t>
      </w:r>
      <w:r w:rsidR="001947C3">
        <w:t xml:space="preserve">by </w:t>
      </w:r>
      <w:r w:rsidR="00336410">
        <w:t>other Staff witnesses</w:t>
      </w:r>
      <w:r w:rsidR="004468C0" w:rsidRPr="004468C0">
        <w:t>.</w:t>
      </w:r>
    </w:p>
    <w:p w:rsidR="00064BED" w:rsidRDefault="00064BED" w:rsidP="00064BED">
      <w:pPr>
        <w:pStyle w:val="Answer-Testimony"/>
      </w:pPr>
    </w:p>
    <w:p w:rsidR="00D53075" w:rsidRDefault="00D53075" w:rsidP="00506D4D">
      <w:pPr>
        <w:pStyle w:val="Heading3"/>
        <w:ind w:left="1440" w:hanging="720"/>
      </w:pPr>
      <w:bookmarkStart w:id="15" w:name="_Toc364231289"/>
      <w:r>
        <w:t>Uncontested Adjustments</w:t>
      </w:r>
      <w:bookmarkEnd w:id="15"/>
    </w:p>
    <w:p w:rsidR="00D53075" w:rsidRPr="004468C0" w:rsidRDefault="00D53075" w:rsidP="00064BED">
      <w:pPr>
        <w:pStyle w:val="Answer-Testimony"/>
      </w:pPr>
    </w:p>
    <w:p w:rsidR="00064BED" w:rsidRPr="003965AB" w:rsidRDefault="00064BED" w:rsidP="00064BED">
      <w:pPr>
        <w:pStyle w:val="Question-Testimony"/>
      </w:pPr>
      <w:r w:rsidRPr="003965AB">
        <w:t>Q.</w:t>
      </w:r>
      <w:r w:rsidRPr="003965AB">
        <w:tab/>
        <w:t xml:space="preserve">Please describe each of the </w:t>
      </w:r>
      <w:r>
        <w:t xml:space="preserve">uncontested </w:t>
      </w:r>
      <w:r w:rsidRPr="003965AB">
        <w:t>adjustments presented in Exhibit No. </w:t>
      </w:r>
      <w:r>
        <w:t>CTM-2</w:t>
      </w:r>
      <w:r w:rsidRPr="003965AB">
        <w:t>.</w:t>
      </w:r>
    </w:p>
    <w:p w:rsidR="00064BED" w:rsidRDefault="00064BED" w:rsidP="00064BED">
      <w:pPr>
        <w:pStyle w:val="Answer-Testimony"/>
      </w:pPr>
      <w:r w:rsidRPr="003965AB">
        <w:t>A.</w:t>
      </w:r>
      <w:r w:rsidRPr="003965AB">
        <w:tab/>
        <w:t>The adjustments are:</w:t>
      </w:r>
    </w:p>
    <w:p w:rsidR="00BB02CA" w:rsidRPr="00A57400" w:rsidRDefault="00BB02CA">
      <w:pPr>
        <w:pStyle w:val="Heading6"/>
        <w:numPr>
          <w:ilvl w:val="0"/>
          <w:numId w:val="32"/>
        </w:numPr>
      </w:pPr>
      <w:bookmarkStart w:id="16" w:name="_Toc364231290"/>
      <w:r w:rsidRPr="00A57400">
        <w:t>Remove Wild Horse Solar (Adjustment 10)</w:t>
      </w:r>
      <w:bookmarkEnd w:id="16"/>
    </w:p>
    <w:p w:rsidR="00BB02CA" w:rsidRDefault="00BB02CA" w:rsidP="00BB02CA">
      <w:pPr>
        <w:pStyle w:val="Answer-Testimony"/>
        <w:ind w:firstLine="0"/>
      </w:pPr>
      <w:r>
        <w:t xml:space="preserve">This adjustment </w:t>
      </w:r>
      <w:r w:rsidRPr="003965AB">
        <w:t xml:space="preserve">removes the effects of the solar project at Wild Horse.  This </w:t>
      </w:r>
      <w:r w:rsidRPr="00972AF2">
        <w:t>adjustment decreases rate base by $2,805,550 and expense by $</w:t>
      </w:r>
      <w:r>
        <w:t>492,352</w:t>
      </w:r>
      <w:r w:rsidRPr="00972AF2">
        <w:t>.</w:t>
      </w:r>
    </w:p>
    <w:p w:rsidR="00BB02CA" w:rsidRPr="00A57400" w:rsidRDefault="00BB02CA">
      <w:pPr>
        <w:pStyle w:val="Heading6"/>
      </w:pPr>
      <w:bookmarkStart w:id="17" w:name="_Toc364231291"/>
      <w:r w:rsidRPr="00A57400">
        <w:t>Remove Tenaska (Adjustment 11)</w:t>
      </w:r>
      <w:bookmarkEnd w:id="17"/>
    </w:p>
    <w:p w:rsidR="00BB02CA" w:rsidRPr="003965AB" w:rsidRDefault="00BB02CA" w:rsidP="00BB02CA">
      <w:pPr>
        <w:pStyle w:val="Answer-Testimony"/>
        <w:ind w:firstLine="0"/>
      </w:pPr>
      <w:r>
        <w:t xml:space="preserve">This adjustment </w:t>
      </w:r>
      <w:r w:rsidRPr="003965AB">
        <w:t>removes the amortization and rate base return that were included for three months of the test period associated with the Tenaska Regulatory Asset</w:t>
      </w:r>
      <w:r>
        <w:t>.</w:t>
      </w:r>
      <w:r>
        <w:rPr>
          <w:rStyle w:val="FootnoteReference"/>
        </w:rPr>
        <w:footnoteReference w:id="53"/>
      </w:r>
      <w:r>
        <w:t xml:space="preserve">  </w:t>
      </w:r>
      <w:r w:rsidRPr="00A57A4C">
        <w:t>This adjustment decreases rate base by $1,213,374 and expense by $10,281,888.</w:t>
      </w:r>
    </w:p>
    <w:p w:rsidR="00BB02CA" w:rsidRPr="00B9799F" w:rsidRDefault="00BB02CA">
      <w:pPr>
        <w:pStyle w:val="Heading6"/>
      </w:pPr>
      <w:bookmarkStart w:id="18" w:name="_Toc364231292"/>
      <w:r w:rsidRPr="00B9799F">
        <w:t>Property Taxes</w:t>
      </w:r>
      <w:r>
        <w:t xml:space="preserve"> (Adjustment </w:t>
      </w:r>
      <w:r w:rsidRPr="00B9799F">
        <w:t>13</w:t>
      </w:r>
      <w:r>
        <w:t>)</w:t>
      </w:r>
      <w:bookmarkEnd w:id="18"/>
    </w:p>
    <w:p w:rsidR="00BB02CA" w:rsidRPr="003965AB" w:rsidRDefault="00BB02CA" w:rsidP="00BB02CA">
      <w:pPr>
        <w:pStyle w:val="Answer-Testimony"/>
        <w:ind w:firstLine="0"/>
      </w:pPr>
      <w:r>
        <w:t xml:space="preserve">The Company had this adjustment as a place holder for </w:t>
      </w:r>
      <w:r w:rsidRPr="003965AB">
        <w:t>property tax</w:t>
      </w:r>
      <w:r>
        <w:t>.</w:t>
      </w:r>
    </w:p>
    <w:p w:rsidR="00BB02CA" w:rsidRPr="00055198" w:rsidRDefault="00BB02CA">
      <w:pPr>
        <w:pStyle w:val="Heading6"/>
      </w:pPr>
      <w:bookmarkStart w:id="19" w:name="_Toc364231293"/>
      <w:r w:rsidRPr="00055198">
        <w:t>Conversion Factor (Adjustment 25)</w:t>
      </w:r>
      <w:bookmarkEnd w:id="19"/>
    </w:p>
    <w:p w:rsidR="00BB02CA" w:rsidRPr="003965AB" w:rsidRDefault="00BB02CA" w:rsidP="00BB02CA">
      <w:pPr>
        <w:pStyle w:val="Answer-Testimony"/>
        <w:ind w:firstLine="0"/>
      </w:pPr>
      <w:r>
        <w:t xml:space="preserve">This adjustment </w:t>
      </w:r>
      <w:r w:rsidRPr="00F27E5A">
        <w:t xml:space="preserve">is </w:t>
      </w:r>
      <w:r w:rsidRPr="005A12A4">
        <w:t>used to adjust the net operating income deficiency or surplus for revenue sensitive items to determine the total revenue requirement.  The revenue sensitive items are the Washington State utility tax, the Commission’s annual filing fee, and bad debts.  The conversion factor used in this proce</w:t>
      </w:r>
      <w:r>
        <w:t>eding</w:t>
      </w:r>
      <w:r w:rsidRPr="005A12A4">
        <w:t xml:space="preserve"> is 95.4994 per</w:t>
      </w:r>
      <w:r>
        <w:t>cent</w:t>
      </w:r>
      <w:r w:rsidRPr="00667FE0">
        <w:t>.</w:t>
      </w:r>
    </w:p>
    <w:p w:rsidR="00D53075" w:rsidRDefault="00D53075" w:rsidP="00D53075">
      <w:pPr>
        <w:pStyle w:val="Answer-Testimony"/>
      </w:pPr>
    </w:p>
    <w:p w:rsidR="00D53075" w:rsidRDefault="00D53075" w:rsidP="00506D4D">
      <w:pPr>
        <w:pStyle w:val="Heading3"/>
        <w:ind w:left="1440" w:hanging="720"/>
      </w:pPr>
      <w:bookmarkStart w:id="20" w:name="_Toc364231294"/>
      <w:r>
        <w:lastRenderedPageBreak/>
        <w:t>Contested Adjustments Strictly Due to Rate Year</w:t>
      </w:r>
      <w:bookmarkEnd w:id="20"/>
    </w:p>
    <w:p w:rsidR="001A45B6" w:rsidRPr="004468C0" w:rsidRDefault="001A45B6" w:rsidP="00D53075">
      <w:pPr>
        <w:pStyle w:val="Answer-Testimony"/>
        <w:ind w:left="0" w:firstLine="0"/>
      </w:pPr>
    </w:p>
    <w:p w:rsidR="001A45B6" w:rsidRPr="003965AB" w:rsidRDefault="001A45B6" w:rsidP="001A45B6">
      <w:pPr>
        <w:pStyle w:val="Question-Testimony"/>
      </w:pPr>
      <w:r w:rsidRPr="003965AB">
        <w:t>Q.</w:t>
      </w:r>
      <w:r w:rsidRPr="003965AB">
        <w:tab/>
        <w:t xml:space="preserve">Please describe each of the </w:t>
      </w:r>
      <w:r>
        <w:t xml:space="preserve">contested </w:t>
      </w:r>
      <w:r w:rsidRPr="003965AB">
        <w:t>adjustments presented in Exhibit No. </w:t>
      </w:r>
      <w:r>
        <w:t xml:space="preserve">CTM-2 strictly due </w:t>
      </w:r>
      <w:r w:rsidR="003D0CEB">
        <w:t xml:space="preserve">Staff’s use of a rate year that is consistent with </w:t>
      </w:r>
      <w:r>
        <w:t>implement</w:t>
      </w:r>
      <w:r w:rsidR="003D0CEB">
        <w:t>ing</w:t>
      </w:r>
      <w:r>
        <w:t xml:space="preserve"> new rates as of December 1, 2013</w:t>
      </w:r>
      <w:r w:rsidRPr="003965AB">
        <w:t>.</w:t>
      </w:r>
    </w:p>
    <w:p w:rsidR="001A45B6" w:rsidRPr="00F27E5A" w:rsidRDefault="001A45B6" w:rsidP="001A45B6">
      <w:pPr>
        <w:pStyle w:val="Answer-Testimony"/>
      </w:pPr>
      <w:r w:rsidRPr="003965AB">
        <w:t>A.</w:t>
      </w:r>
      <w:r w:rsidRPr="003965AB">
        <w:tab/>
        <w:t>The adjustments are:</w:t>
      </w:r>
    </w:p>
    <w:p w:rsidR="00B310CF" w:rsidRDefault="00B310CF" w:rsidP="00FB0CB3">
      <w:pPr>
        <w:pStyle w:val="Heading6"/>
        <w:numPr>
          <w:ilvl w:val="0"/>
          <w:numId w:val="39"/>
        </w:numPr>
      </w:pPr>
      <w:bookmarkStart w:id="21" w:name="_Toc364231295"/>
      <w:r w:rsidRPr="00C876F0">
        <w:t>Montana Energy Tax</w:t>
      </w:r>
      <w:r>
        <w:t xml:space="preserve"> (</w:t>
      </w:r>
      <w:r w:rsidRPr="00C876F0">
        <w:t>Adjustment</w:t>
      </w:r>
      <w:r>
        <w:t xml:space="preserve"> </w:t>
      </w:r>
      <w:r w:rsidRPr="00C876F0">
        <w:t>2</w:t>
      </w:r>
      <w:r>
        <w:t>)</w:t>
      </w:r>
      <w:bookmarkEnd w:id="21"/>
    </w:p>
    <w:p w:rsidR="00B310CF" w:rsidRDefault="00B310CF" w:rsidP="00B310CF">
      <w:pPr>
        <w:pStyle w:val="Answer-Testimony"/>
        <w:ind w:firstLine="0"/>
      </w:pPr>
      <w:r w:rsidRPr="003965AB">
        <w:t xml:space="preserve">This adjustment compares the forecast generation of the Colstrip plants at the current Montana tax rate to </w:t>
      </w:r>
      <w:r w:rsidRPr="00453E0E">
        <w:t>the actua</w:t>
      </w:r>
      <w:r>
        <w:t>l tax expensed in the test year.</w:t>
      </w:r>
      <w:r w:rsidRPr="00453E0E">
        <w:t xml:space="preserve">  This adjustment increases expense by $918,</w:t>
      </w:r>
      <w:r>
        <w:t>448</w:t>
      </w:r>
      <w:r w:rsidRPr="00453E0E">
        <w:t>.</w:t>
      </w:r>
    </w:p>
    <w:p w:rsidR="00E43FA1" w:rsidRPr="00C876F0" w:rsidRDefault="00E43FA1" w:rsidP="00FB0CB3">
      <w:pPr>
        <w:pStyle w:val="Heading6"/>
      </w:pPr>
      <w:bookmarkStart w:id="22" w:name="_Toc364231296"/>
      <w:r w:rsidRPr="00C876F0">
        <w:t>Lower Snake River</w:t>
      </w:r>
      <w:r>
        <w:t xml:space="preserve"> Project</w:t>
      </w:r>
      <w:r w:rsidRPr="00C876F0">
        <w:t xml:space="preserve"> (Adjustment 3)</w:t>
      </w:r>
      <w:bookmarkEnd w:id="22"/>
      <w:r w:rsidRPr="00C876F0">
        <w:t xml:space="preserve"> </w:t>
      </w:r>
    </w:p>
    <w:p w:rsidR="00E43FA1" w:rsidRPr="00F05985" w:rsidRDefault="00E43FA1" w:rsidP="00E43FA1">
      <w:pPr>
        <w:pStyle w:val="Answer-Testimony"/>
        <w:ind w:firstLine="0"/>
      </w:pPr>
      <w:r w:rsidRPr="003965AB">
        <w:t xml:space="preserve">This adjustment </w:t>
      </w:r>
      <w:r>
        <w:t xml:space="preserve">restates </w:t>
      </w:r>
      <w:r w:rsidRPr="003965AB">
        <w:t xml:space="preserve">a full </w:t>
      </w:r>
      <w:r>
        <w:t xml:space="preserve">rate </w:t>
      </w:r>
      <w:r w:rsidRPr="003965AB">
        <w:t xml:space="preserve">year </w:t>
      </w:r>
      <w:r>
        <w:t>of plant balance, accumulated depreciation, deferred income tax liability, and operating expenses</w:t>
      </w:r>
      <w:r w:rsidRPr="003965AB">
        <w:t xml:space="preserve"> </w:t>
      </w:r>
      <w:r>
        <w:t>amounts</w:t>
      </w:r>
      <w:r w:rsidRPr="003965AB">
        <w:t xml:space="preserve"> </w:t>
      </w:r>
      <w:r>
        <w:t xml:space="preserve">to </w:t>
      </w:r>
      <w:r w:rsidRPr="003965AB">
        <w:t xml:space="preserve">properly recognized </w:t>
      </w:r>
      <w:r>
        <w:t xml:space="preserve">LSR </w:t>
      </w:r>
      <w:r w:rsidRPr="003965AB">
        <w:t>plant as allowed in the</w:t>
      </w:r>
      <w:r>
        <w:t xml:space="preserve"> Company’s most recent </w:t>
      </w:r>
      <w:r w:rsidRPr="003965AB">
        <w:t>GRC</w:t>
      </w:r>
      <w:r>
        <w:t>.</w:t>
      </w:r>
      <w:r>
        <w:rPr>
          <w:rStyle w:val="FootnoteReference"/>
        </w:rPr>
        <w:footnoteReference w:id="54"/>
      </w:r>
      <w:r>
        <w:t xml:space="preserve">  </w:t>
      </w:r>
      <w:r w:rsidRPr="003965AB">
        <w:t xml:space="preserve">This </w:t>
      </w:r>
      <w:r w:rsidRPr="00F05985">
        <w:t xml:space="preserve">adjustment </w:t>
      </w:r>
      <w:r>
        <w:t>in</w:t>
      </w:r>
      <w:r w:rsidRPr="00F05985">
        <w:t>creases rate base by $</w:t>
      </w:r>
      <w:r>
        <w:t>8</w:t>
      </w:r>
      <w:r w:rsidRPr="00F05985">
        <w:t>9,</w:t>
      </w:r>
      <w:r>
        <w:t>361</w:t>
      </w:r>
      <w:r w:rsidRPr="00F05985">
        <w:t>,</w:t>
      </w:r>
      <w:r>
        <w:t>374</w:t>
      </w:r>
      <w:r w:rsidRPr="00F05985">
        <w:t xml:space="preserve"> and expense by $</w:t>
      </w:r>
      <w:r>
        <w:t>21</w:t>
      </w:r>
      <w:r w:rsidRPr="00F05985">
        <w:t>,</w:t>
      </w:r>
      <w:r>
        <w:t>503</w:t>
      </w:r>
      <w:r w:rsidRPr="00F05985">
        <w:t>,</w:t>
      </w:r>
      <w:r>
        <w:t>819</w:t>
      </w:r>
      <w:r w:rsidRPr="00F05985">
        <w:t>.</w:t>
      </w:r>
    </w:p>
    <w:p w:rsidR="001A45B6" w:rsidRPr="00D53075" w:rsidRDefault="001A45B6">
      <w:pPr>
        <w:pStyle w:val="Heading6"/>
      </w:pPr>
      <w:bookmarkStart w:id="23" w:name="_Toc364231297"/>
      <w:r w:rsidRPr="00D53075">
        <w:t>Bonneville</w:t>
      </w:r>
      <w:r w:rsidRPr="002200C5">
        <w:t xml:space="preserve"> Exchange Power </w:t>
      </w:r>
      <w:r>
        <w:t>(</w:t>
      </w:r>
      <w:r w:rsidRPr="002200C5">
        <w:t>Adjustment</w:t>
      </w:r>
      <w:r>
        <w:t xml:space="preserve"> </w:t>
      </w:r>
      <w:r w:rsidRPr="002200C5">
        <w:t>15</w:t>
      </w:r>
      <w:r>
        <w:t>)</w:t>
      </w:r>
      <w:bookmarkEnd w:id="23"/>
    </w:p>
    <w:p w:rsidR="001A45B6" w:rsidRPr="00884641" w:rsidRDefault="001A45B6" w:rsidP="001A45B6">
      <w:pPr>
        <w:pStyle w:val="Answer-Testimony"/>
        <w:ind w:firstLine="0"/>
      </w:pPr>
      <w:r>
        <w:t xml:space="preserve">This adjustment </w:t>
      </w:r>
      <w:r w:rsidRPr="003965AB">
        <w:t xml:space="preserve">trues up the production related </w:t>
      </w:r>
      <w:r w:rsidR="00172902">
        <w:t xml:space="preserve">prepaid transmission </w:t>
      </w:r>
      <w:r w:rsidRPr="003965AB">
        <w:t>regulatory asset</w:t>
      </w:r>
      <w:r>
        <w:t>s</w:t>
      </w:r>
      <w:r w:rsidRPr="003965AB">
        <w:t xml:space="preserve">, net of deferred federal income taxes, to </w:t>
      </w:r>
      <w:r w:rsidRPr="00055B4A">
        <w:t>its projected rate year AMA balance.  This adjustment decreases rate base by $5,134</w:t>
      </w:r>
      <w:r>
        <w:t>,690 and expenses by $528,478</w:t>
      </w:r>
      <w:r w:rsidRPr="003965AB">
        <w:t>.</w:t>
      </w:r>
    </w:p>
    <w:p w:rsidR="001A45B6" w:rsidRPr="001A45B6" w:rsidRDefault="001A45B6">
      <w:pPr>
        <w:pStyle w:val="Heading6"/>
      </w:pPr>
      <w:bookmarkStart w:id="24" w:name="_Toc364231298"/>
      <w:r w:rsidRPr="00644D2C">
        <w:lastRenderedPageBreak/>
        <w:t>Regulatory Assets –</w:t>
      </w:r>
      <w:r>
        <w:t xml:space="preserve"> </w:t>
      </w:r>
      <w:r w:rsidRPr="00644D2C">
        <w:t>White River Project</w:t>
      </w:r>
      <w:r>
        <w:t xml:space="preserve"> (</w:t>
      </w:r>
      <w:r w:rsidRPr="00644D2C">
        <w:t>Adjustment</w:t>
      </w:r>
      <w:r>
        <w:t xml:space="preserve"> </w:t>
      </w:r>
      <w:r w:rsidRPr="003965AB">
        <w:t>16</w:t>
      </w:r>
      <w:r>
        <w:t>)</w:t>
      </w:r>
      <w:bookmarkEnd w:id="24"/>
    </w:p>
    <w:p w:rsidR="001A45B6" w:rsidRPr="003965AB" w:rsidRDefault="001A45B6" w:rsidP="001A45B6">
      <w:pPr>
        <w:pStyle w:val="Answer-Testimony"/>
        <w:ind w:firstLine="0"/>
      </w:pPr>
      <w:r>
        <w:t xml:space="preserve">This adjustment </w:t>
      </w:r>
      <w:r w:rsidRPr="003965AB">
        <w:t xml:space="preserve">trues up the production related regulatory assets, net of deferred federal income taxes, to </w:t>
      </w:r>
      <w:r>
        <w:t>i</w:t>
      </w:r>
      <w:r w:rsidRPr="003965AB">
        <w:t>t</w:t>
      </w:r>
      <w:r>
        <w:t>s</w:t>
      </w:r>
      <w:r w:rsidRPr="003965AB">
        <w:t xml:space="preserve"> projected rate year </w:t>
      </w:r>
      <w:r w:rsidRPr="00090857">
        <w:t>AMA balance.  This adjustment decreases rate base by $2,049,566</w:t>
      </w:r>
      <w:r>
        <w:t xml:space="preserve"> and expenses by $210,948</w:t>
      </w:r>
      <w:r w:rsidRPr="00090857">
        <w:t>.</w:t>
      </w:r>
    </w:p>
    <w:p w:rsidR="00F44292" w:rsidRPr="00644D2C" w:rsidRDefault="00F44292">
      <w:pPr>
        <w:pStyle w:val="Heading6"/>
      </w:pPr>
      <w:bookmarkStart w:id="25" w:name="_Toc364231299"/>
      <w:r w:rsidRPr="00644D2C">
        <w:t>Plant Deferrals</w:t>
      </w:r>
      <w:r>
        <w:t xml:space="preserve"> (Adjustment 17)</w:t>
      </w:r>
      <w:bookmarkEnd w:id="25"/>
    </w:p>
    <w:p w:rsidR="00F44292" w:rsidRPr="007E673F" w:rsidRDefault="00F44292" w:rsidP="00F44292">
      <w:pPr>
        <w:pStyle w:val="Answer-Testimony"/>
        <w:ind w:firstLine="0"/>
      </w:pPr>
      <w:r>
        <w:t xml:space="preserve">This adjustment </w:t>
      </w:r>
      <w:r w:rsidRPr="003965AB">
        <w:t>pro</w:t>
      </w:r>
      <w:r>
        <w:t xml:space="preserve"> </w:t>
      </w:r>
      <w:r w:rsidRPr="003965AB">
        <w:t>forms rate base and amortization related to the plant deferrals associated with resources approved in prior proceedings to rate year levels</w:t>
      </w:r>
      <w:r>
        <w:t xml:space="preserve">.  </w:t>
      </w:r>
      <w:r w:rsidRPr="003965AB">
        <w:t xml:space="preserve">This </w:t>
      </w:r>
      <w:r w:rsidRPr="00C26DE5">
        <w:t xml:space="preserve">adjustment </w:t>
      </w:r>
      <w:r w:rsidRPr="00A25134">
        <w:t>decreases</w:t>
      </w:r>
      <w:r w:rsidRPr="00C26DE5">
        <w:t xml:space="preserve"> rate base by $</w:t>
      </w:r>
      <w:r w:rsidRPr="00A25134">
        <w:t>4,</w:t>
      </w:r>
      <w:r w:rsidR="00C7083C" w:rsidRPr="00A25134">
        <w:t>637</w:t>
      </w:r>
      <w:r w:rsidR="00C7083C">
        <w:t>,463</w:t>
      </w:r>
      <w:r w:rsidRPr="00C26DE5">
        <w:t xml:space="preserve"> and </w:t>
      </w:r>
      <w:r w:rsidR="00C7083C" w:rsidRPr="007E673F">
        <w:t xml:space="preserve">increases </w:t>
      </w:r>
      <w:r w:rsidRPr="007E673F">
        <w:t>expense by $</w:t>
      </w:r>
      <w:r w:rsidR="00C7083C" w:rsidRPr="0087298F">
        <w:t>1,342,133</w:t>
      </w:r>
      <w:r w:rsidRPr="00C26DE5">
        <w:t>.</w:t>
      </w:r>
    </w:p>
    <w:p w:rsidR="00F44292" w:rsidRPr="003965AB" w:rsidRDefault="00F44292" w:rsidP="00F44292">
      <w:pPr>
        <w:pStyle w:val="Answer-Testimony"/>
        <w:ind w:firstLine="720"/>
      </w:pPr>
      <w:r w:rsidRPr="003965AB">
        <w:t>PSE’s deferral for LSR was approved recovery over four years</w:t>
      </w:r>
      <w:r>
        <w:t>.</w:t>
      </w:r>
      <w:r>
        <w:rPr>
          <w:rStyle w:val="FootnoteReference"/>
        </w:rPr>
        <w:footnoteReference w:id="55"/>
      </w:r>
      <w:r>
        <w:t xml:space="preserve">  Because </w:t>
      </w:r>
      <w:r w:rsidRPr="003965AB">
        <w:t>the actual deferral amount of $17.9 million was less than the $18.3 million approved</w:t>
      </w:r>
      <w:r>
        <w:t xml:space="preserve">, </w:t>
      </w:r>
      <w:r w:rsidRPr="003965AB">
        <w:t xml:space="preserve">the monthly amortization amount for LSR was adjusted from $381,716 </w:t>
      </w:r>
      <w:r w:rsidRPr="00C26DE5">
        <w:t>to $</w:t>
      </w:r>
      <w:r w:rsidRPr="00A25134">
        <w:t xml:space="preserve">374,737, </w:t>
      </w:r>
      <w:r w:rsidRPr="00C26DE5">
        <w:t xml:space="preserve">effective with the rates to be approved in this proceeding on December 1, 2013, to </w:t>
      </w:r>
      <w:r>
        <w:t>maintain</w:t>
      </w:r>
      <w:r w:rsidRPr="003965AB">
        <w:t xml:space="preserve"> the approved amortization period of 48 months.</w:t>
      </w:r>
    </w:p>
    <w:p w:rsidR="001A45B6" w:rsidRPr="001A45B6" w:rsidRDefault="001A45B6">
      <w:pPr>
        <w:pStyle w:val="Heading6"/>
      </w:pPr>
      <w:bookmarkStart w:id="26" w:name="_Toc364231300"/>
      <w:r w:rsidRPr="00644D2C">
        <w:t>Capacity Payments on Westcoast Pipe</w:t>
      </w:r>
      <w:r>
        <w:t>line (Adjustment 18)</w:t>
      </w:r>
      <w:bookmarkEnd w:id="26"/>
    </w:p>
    <w:p w:rsidR="001A45B6" w:rsidRPr="003965AB" w:rsidRDefault="001A45B6" w:rsidP="001A45B6">
      <w:pPr>
        <w:pStyle w:val="Answer-Testimony"/>
        <w:ind w:firstLine="0"/>
      </w:pPr>
      <w:r>
        <w:t xml:space="preserve">This adjustment </w:t>
      </w:r>
      <w:r w:rsidRPr="003965AB">
        <w:t>trues up</w:t>
      </w:r>
      <w:r>
        <w:t xml:space="preserve"> rate base related to capacity p</w:t>
      </w:r>
      <w:r w:rsidRPr="003965AB">
        <w:t>ayments made to PSE by FB Energy and BNP Paribus</w:t>
      </w:r>
      <w:r>
        <w:t>.</w:t>
      </w:r>
      <w:r>
        <w:rPr>
          <w:rStyle w:val="FootnoteReference"/>
        </w:rPr>
        <w:footnoteReference w:id="56"/>
      </w:r>
      <w:r w:rsidRPr="003965AB">
        <w:t xml:space="preserve">  Th</w:t>
      </w:r>
      <w:r>
        <w:t xml:space="preserve">is </w:t>
      </w:r>
      <w:r w:rsidRPr="00A1023B">
        <w:t>adjustment increases rate base by $1,280,411 and expense by $131,784.</w:t>
      </w:r>
    </w:p>
    <w:p w:rsidR="001A45B6" w:rsidRPr="001A45B6" w:rsidRDefault="001A45B6">
      <w:pPr>
        <w:pStyle w:val="Heading6"/>
      </w:pPr>
      <w:bookmarkStart w:id="27" w:name="_Toc364231301"/>
      <w:r w:rsidRPr="00FE4CE0">
        <w:t>PUD Contract Initiation Payment &amp; Security Deposit</w:t>
      </w:r>
      <w:r>
        <w:t xml:space="preserve"> (Adjustment </w:t>
      </w:r>
      <w:r w:rsidRPr="00FE4CE0">
        <w:t>1</w:t>
      </w:r>
      <w:r>
        <w:t>9)</w:t>
      </w:r>
      <w:bookmarkEnd w:id="27"/>
    </w:p>
    <w:p w:rsidR="001A45B6" w:rsidRPr="006D0A08" w:rsidRDefault="001A45B6" w:rsidP="001A45B6">
      <w:pPr>
        <w:pStyle w:val="Answer-Testimony"/>
        <w:ind w:firstLine="0"/>
      </w:pPr>
      <w:r>
        <w:t xml:space="preserve">This adjustment </w:t>
      </w:r>
      <w:r w:rsidRPr="003965AB">
        <w:t>trues up rate base and amortization related to a security deposit and initiation payment made under the Chelan Public Utility District (PUD) power sales agreement for the output of the Rock Island and Rocky Reach Hydroelectric</w:t>
      </w:r>
      <w:r>
        <w:t xml:space="preserve"> </w:t>
      </w:r>
      <w:r w:rsidRPr="006D0A08">
        <w:t xml:space="preserve">Projects </w:t>
      </w:r>
      <w:r w:rsidRPr="006D0A08">
        <w:lastRenderedPageBreak/>
        <w:t>to rate year levels.  This adjustment decreases rate base by $11,001,713 and expense by $541,658.</w:t>
      </w:r>
    </w:p>
    <w:p w:rsidR="001A45B6" w:rsidRDefault="001A45B6">
      <w:pPr>
        <w:pStyle w:val="Heading6"/>
      </w:pPr>
      <w:bookmarkStart w:id="28" w:name="_Toc364231302"/>
      <w:r w:rsidRPr="00644D2C">
        <w:t>Hedging Line of Credit</w:t>
      </w:r>
      <w:r>
        <w:t xml:space="preserve"> (</w:t>
      </w:r>
      <w:r w:rsidRPr="00644D2C">
        <w:t>Adjustment</w:t>
      </w:r>
      <w:r>
        <w:t xml:space="preserve"> </w:t>
      </w:r>
      <w:r w:rsidRPr="00644D2C">
        <w:t>22</w:t>
      </w:r>
      <w:r>
        <w:t>)</w:t>
      </w:r>
      <w:bookmarkEnd w:id="28"/>
    </w:p>
    <w:p w:rsidR="001A45B6" w:rsidRPr="003965AB" w:rsidRDefault="001A45B6" w:rsidP="001A45B6">
      <w:pPr>
        <w:pStyle w:val="Answer-Testimony"/>
        <w:ind w:firstLine="0"/>
      </w:pPr>
      <w:r>
        <w:t xml:space="preserve">This adjustment </w:t>
      </w:r>
      <w:r w:rsidRPr="003965AB">
        <w:t xml:space="preserve">pro forms in the commitment costs associated with PSE’s line of credit for hedging.  </w:t>
      </w:r>
      <w:r>
        <w:t>T</w:t>
      </w:r>
      <w:r w:rsidRPr="003965AB">
        <w:t>he Commission approved recovery of costs associated with a line of credit supporting hedging transactions in the PCA</w:t>
      </w:r>
      <w:r w:rsidR="009B3FE4">
        <w:t xml:space="preserve"> and Purchased Gas Adjustment (</w:t>
      </w:r>
      <w:r w:rsidRPr="003965AB">
        <w:t>PGA) mechanisms.</w:t>
      </w:r>
      <w:r>
        <w:rPr>
          <w:rStyle w:val="FootnoteReference"/>
        </w:rPr>
        <w:footnoteReference w:id="57"/>
      </w:r>
      <w:r w:rsidRPr="003965AB">
        <w:t xml:space="preserve">  This </w:t>
      </w:r>
      <w:r w:rsidRPr="005804EF">
        <w:t>adjustment decreases expenses by $52,144.</w:t>
      </w:r>
    </w:p>
    <w:p w:rsidR="001A45B6" w:rsidRDefault="001A45B6">
      <w:pPr>
        <w:pStyle w:val="Heading6"/>
      </w:pPr>
      <w:bookmarkStart w:id="29" w:name="_Toc364231303"/>
      <w:r w:rsidRPr="00055198">
        <w:t xml:space="preserve">Temperature Normalization </w:t>
      </w:r>
      <w:r>
        <w:t>(</w:t>
      </w:r>
      <w:r w:rsidRPr="00055198">
        <w:t>Adjustment</w:t>
      </w:r>
      <w:r>
        <w:t xml:space="preserve"> </w:t>
      </w:r>
      <w:r w:rsidRPr="00667FE0">
        <w:t>24</w:t>
      </w:r>
      <w:r>
        <w:t>)</w:t>
      </w:r>
      <w:bookmarkEnd w:id="29"/>
      <w:r w:rsidRPr="003965AB">
        <w:t xml:space="preserve"> </w:t>
      </w:r>
    </w:p>
    <w:p w:rsidR="001A45B6" w:rsidRDefault="001A45B6" w:rsidP="001A45B6">
      <w:pPr>
        <w:pStyle w:val="Answer-Testimony"/>
        <w:ind w:firstLine="0"/>
      </w:pPr>
      <w:r>
        <w:t xml:space="preserve">This adjustment </w:t>
      </w:r>
      <w:r w:rsidRPr="00667FE0">
        <w:t>presents the difference in temperature between the test year and a normal temperature year</w:t>
      </w:r>
      <w:r>
        <w:t>.  T</w:t>
      </w:r>
      <w:r w:rsidRPr="00667FE0">
        <w:t xml:space="preserve">his </w:t>
      </w:r>
      <w:r w:rsidRPr="005A12A4">
        <w:t>adjustment deducts 113,565 MWhs from the actual load after adjusting for system losses</w:t>
      </w:r>
      <w:r>
        <w:t>.</w:t>
      </w:r>
    </w:p>
    <w:p w:rsidR="00D53075" w:rsidRDefault="00D53075" w:rsidP="00D53075">
      <w:pPr>
        <w:pStyle w:val="Answer-Testimony"/>
      </w:pPr>
    </w:p>
    <w:p w:rsidR="00D53075" w:rsidRDefault="0063356F" w:rsidP="00506D4D">
      <w:pPr>
        <w:pStyle w:val="Heading3"/>
        <w:ind w:left="1440" w:hanging="720"/>
      </w:pPr>
      <w:bookmarkStart w:id="30" w:name="_Toc364231304"/>
      <w:r>
        <w:t>C</w:t>
      </w:r>
      <w:r w:rsidR="00D53075">
        <w:t>ontested Adjustments</w:t>
      </w:r>
      <w:r>
        <w:t xml:space="preserve"> Due to Rate Year and Other </w:t>
      </w:r>
      <w:r w:rsidR="00FE0186">
        <w:t>Issues</w:t>
      </w:r>
      <w:bookmarkEnd w:id="30"/>
    </w:p>
    <w:p w:rsidR="00064BED" w:rsidRPr="004468C0" w:rsidRDefault="00064BED" w:rsidP="00D53075">
      <w:pPr>
        <w:pStyle w:val="Answer-Testimony"/>
        <w:ind w:left="0" w:firstLine="0"/>
      </w:pPr>
    </w:p>
    <w:p w:rsidR="00A25E39" w:rsidRPr="003965AB" w:rsidRDefault="00A25E39" w:rsidP="00C876F0">
      <w:pPr>
        <w:pStyle w:val="Question-Testimony"/>
      </w:pPr>
      <w:r w:rsidRPr="003965AB">
        <w:t>Q.</w:t>
      </w:r>
      <w:r w:rsidRPr="003965AB">
        <w:tab/>
        <w:t xml:space="preserve">Please describe each of the adjustments presented in </w:t>
      </w:r>
      <w:r w:rsidR="003D0CEB">
        <w:t xml:space="preserve">your </w:t>
      </w:r>
      <w:r w:rsidRPr="003965AB">
        <w:t>Exhibit No. </w:t>
      </w:r>
      <w:r w:rsidR="00C876F0">
        <w:t>CTM</w:t>
      </w:r>
      <w:r>
        <w:t>-</w:t>
      </w:r>
      <w:r w:rsidR="00C876F0">
        <w:t>2</w:t>
      </w:r>
      <w:r w:rsidR="0020106B">
        <w:t xml:space="preserve"> </w:t>
      </w:r>
      <w:r w:rsidR="003D0CEB">
        <w:t xml:space="preserve">that Staff contests not only </w:t>
      </w:r>
      <w:r w:rsidR="0020106B">
        <w:t>due to the rate year</w:t>
      </w:r>
      <w:r w:rsidR="003D0CEB">
        <w:t xml:space="preserve">, but due to </w:t>
      </w:r>
      <w:r w:rsidR="0020106B">
        <w:t>other</w:t>
      </w:r>
      <w:r w:rsidR="003D0CEB">
        <w:t xml:space="preserve"> reasons as well</w:t>
      </w:r>
      <w:r w:rsidRPr="003965AB">
        <w:t>.</w:t>
      </w:r>
    </w:p>
    <w:p w:rsidR="00A25E39" w:rsidRDefault="00A25E39" w:rsidP="00A25E39">
      <w:pPr>
        <w:pStyle w:val="Answer-Testimony"/>
      </w:pPr>
      <w:r w:rsidRPr="003965AB">
        <w:t>A.</w:t>
      </w:r>
      <w:r w:rsidRPr="003965AB">
        <w:tab/>
        <w:t>The adjustments are:</w:t>
      </w:r>
    </w:p>
    <w:p w:rsidR="00C876F0" w:rsidRPr="00C876F0" w:rsidRDefault="00A25E39">
      <w:pPr>
        <w:pStyle w:val="Heading6"/>
        <w:numPr>
          <w:ilvl w:val="0"/>
          <w:numId w:val="33"/>
        </w:numPr>
      </w:pPr>
      <w:bookmarkStart w:id="31" w:name="_Toc364231305"/>
      <w:r w:rsidRPr="00C876F0">
        <w:t>Power Cost</w:t>
      </w:r>
      <w:r w:rsidR="003427A2">
        <w:t>s</w:t>
      </w:r>
      <w:r w:rsidR="00C876F0">
        <w:t xml:space="preserve"> (Adjustment 1)</w:t>
      </w:r>
      <w:bookmarkEnd w:id="31"/>
    </w:p>
    <w:p w:rsidR="003D0CEB" w:rsidRDefault="00A25E39" w:rsidP="00884641">
      <w:pPr>
        <w:pStyle w:val="Answer-Testimony"/>
        <w:ind w:firstLine="0"/>
      </w:pPr>
      <w:r w:rsidRPr="003965AB">
        <w:t xml:space="preserve">These costs are the projected rate year fixed and variable production related costs for PSE’s rate year power supply portfolio that are adjusted to test year levels using the production factor.  </w:t>
      </w:r>
      <w:r w:rsidR="00086A2E">
        <w:t xml:space="preserve">Staff witness </w:t>
      </w:r>
      <w:r w:rsidR="00605184">
        <w:t>David C. Gomez</w:t>
      </w:r>
      <w:r w:rsidR="00086A2E">
        <w:t xml:space="preserve"> discusses these </w:t>
      </w:r>
      <w:r w:rsidRPr="003965AB">
        <w:t xml:space="preserve">projected costs </w:t>
      </w:r>
      <w:r w:rsidR="00086A2E">
        <w:t xml:space="preserve">that </w:t>
      </w:r>
      <w:r w:rsidRPr="003965AB">
        <w:t>are a pro forma adjustment to the test year costs</w:t>
      </w:r>
      <w:r w:rsidR="0014246D">
        <w:t xml:space="preserve">, the addition of Electron and its </w:t>
      </w:r>
      <w:r w:rsidR="0014246D">
        <w:lastRenderedPageBreak/>
        <w:t>corresponding components</w:t>
      </w:r>
      <w:r w:rsidR="00EE24F6">
        <w:t>, while removing the Electron power purchase agreements (PPA)</w:t>
      </w:r>
      <w:r w:rsidR="00C67704">
        <w:t>.</w:t>
      </w:r>
    </w:p>
    <w:p w:rsidR="003D0CEB" w:rsidRPr="00F05985" w:rsidRDefault="00450268" w:rsidP="003D0CEB">
      <w:pPr>
        <w:pStyle w:val="Answer-Testimony"/>
        <w:ind w:firstLine="720"/>
      </w:pPr>
      <w:r>
        <w:t xml:space="preserve">Staff witness Edward J. </w:t>
      </w:r>
      <w:r w:rsidRPr="00F05985">
        <w:t>Keating discusses the removal of Cedar Hills.</w:t>
      </w:r>
      <w:r w:rsidR="00EE24F6" w:rsidRPr="00F05985">
        <w:t xml:space="preserve">  I reduce the hydro production O&amp;M, as discussed in my testimony in Section I</w:t>
      </w:r>
      <w:r w:rsidR="009B3FE4" w:rsidRPr="00F05985">
        <w:t>V</w:t>
      </w:r>
      <w:r w:rsidR="001A617B" w:rsidRPr="00F05985">
        <w:t>.</w:t>
      </w:r>
      <w:r w:rsidR="009B3FE4" w:rsidRPr="00F05985">
        <w:t>B</w:t>
      </w:r>
      <w:r w:rsidR="00EE24F6" w:rsidRPr="00F05985">
        <w:t>.   T</w:t>
      </w:r>
      <w:r w:rsidRPr="00F05985">
        <w:t xml:space="preserve">hese </w:t>
      </w:r>
      <w:r w:rsidR="00AB0377" w:rsidRPr="00F05985">
        <w:t>adjustments</w:t>
      </w:r>
      <w:r w:rsidRPr="00F05985">
        <w:t xml:space="preserve"> are reflected in the power cost adjustment; however, due to the</w:t>
      </w:r>
      <w:r w:rsidR="00BD590B" w:rsidRPr="00F05985">
        <w:t xml:space="preserve"> nature of determining </w:t>
      </w:r>
      <w:r w:rsidRPr="00F05985">
        <w:t xml:space="preserve">power </w:t>
      </w:r>
      <w:r w:rsidR="00AB0377" w:rsidRPr="00F05985">
        <w:t>costs are</w:t>
      </w:r>
      <w:r w:rsidRPr="00F05985">
        <w:t xml:space="preserve"> run, </w:t>
      </w:r>
      <w:r w:rsidR="00BD590B" w:rsidRPr="00F05985">
        <w:t>the final effect of S</w:t>
      </w:r>
      <w:r w:rsidR="00E373FD" w:rsidRPr="00F05985">
        <w:t>taff</w:t>
      </w:r>
      <w:r w:rsidR="00BD590B" w:rsidRPr="00F05985">
        <w:t xml:space="preserve">’s power cost related adjustments will not be </w:t>
      </w:r>
      <w:r w:rsidR="00E373FD" w:rsidRPr="00F05985">
        <w:t>reflected until</w:t>
      </w:r>
      <w:r w:rsidR="00BD590B" w:rsidRPr="00F05985">
        <w:t xml:space="preserve"> the</w:t>
      </w:r>
      <w:r w:rsidR="00E373FD" w:rsidRPr="00F05985">
        <w:t xml:space="preserve"> compliance filing</w:t>
      </w:r>
      <w:r w:rsidR="007F6025" w:rsidRPr="00F05985">
        <w:t>,</w:t>
      </w:r>
      <w:r w:rsidR="007F6025" w:rsidRPr="00F05985">
        <w:rPr>
          <w:rStyle w:val="FootnoteReference"/>
        </w:rPr>
        <w:footnoteReference w:id="58"/>
      </w:r>
      <w:r w:rsidR="00BD590B" w:rsidRPr="00F05985">
        <w:t xml:space="preserve"> which should include the appropriate updates discussed in Staff witness David C. Gomez’s testimony.</w:t>
      </w:r>
    </w:p>
    <w:p w:rsidR="00C876F0" w:rsidRPr="00F05985" w:rsidRDefault="00E373FD" w:rsidP="003D0CEB">
      <w:pPr>
        <w:pStyle w:val="Answer-Testimony"/>
        <w:ind w:firstLine="720"/>
      </w:pPr>
      <w:r w:rsidRPr="00F05985">
        <w:t>T</w:t>
      </w:r>
      <w:r w:rsidR="00AB0377" w:rsidRPr="00F05985">
        <w:t>he</w:t>
      </w:r>
      <w:r w:rsidR="00A25E39" w:rsidRPr="00F05985">
        <w:t xml:space="preserve"> total power cost adjustment decreases costs by $13</w:t>
      </w:r>
      <w:r w:rsidR="008A2339" w:rsidRPr="00F05985">
        <w:t>5,720</w:t>
      </w:r>
      <w:r w:rsidR="00A25E39" w:rsidRPr="00F05985">
        <w:t>,</w:t>
      </w:r>
      <w:r w:rsidR="008A2339" w:rsidRPr="00F05985">
        <w:t>995</w:t>
      </w:r>
      <w:r w:rsidR="00BD590B" w:rsidRPr="00F05985">
        <w:t>, not taking into account the results of the final power cost update.</w:t>
      </w:r>
    </w:p>
    <w:p w:rsidR="00564BFF" w:rsidRPr="00564BFF" w:rsidRDefault="00A25E39">
      <w:pPr>
        <w:pStyle w:val="Heading6"/>
      </w:pPr>
      <w:bookmarkStart w:id="32" w:name="_Toc364231306"/>
      <w:r w:rsidRPr="00564BFF">
        <w:t>Snoqualmie Falls Project</w:t>
      </w:r>
      <w:r w:rsidR="0020118F">
        <w:t xml:space="preserve"> Upgrades</w:t>
      </w:r>
      <w:r w:rsidR="00564BFF" w:rsidRPr="00564BFF">
        <w:t xml:space="preserve"> (</w:t>
      </w:r>
      <w:r w:rsidRPr="00564BFF">
        <w:t>Adjustment</w:t>
      </w:r>
      <w:r w:rsidR="00564BFF" w:rsidRPr="00564BFF">
        <w:t xml:space="preserve"> </w:t>
      </w:r>
      <w:r w:rsidRPr="00564BFF">
        <w:t>4</w:t>
      </w:r>
      <w:r w:rsidR="00564BFF" w:rsidRPr="00564BFF">
        <w:t>)</w:t>
      </w:r>
      <w:bookmarkEnd w:id="32"/>
    </w:p>
    <w:p w:rsidR="003D0CEB" w:rsidRDefault="00A25E39" w:rsidP="00884641">
      <w:pPr>
        <w:pStyle w:val="Answer-Testimony"/>
        <w:ind w:firstLine="0"/>
      </w:pPr>
      <w:r w:rsidRPr="003965AB">
        <w:t xml:space="preserve">This </w:t>
      </w:r>
      <w:r w:rsidR="00AF18F2" w:rsidRPr="003965AB">
        <w:t xml:space="preserve">pro forma adjustment presents the </w:t>
      </w:r>
      <w:r w:rsidR="00F70251">
        <w:t>plant balance, accumulated depreciation, deferred income tax liability, and operating expenses</w:t>
      </w:r>
      <w:r w:rsidR="00F70251" w:rsidRPr="003965AB">
        <w:t xml:space="preserve"> </w:t>
      </w:r>
      <w:r w:rsidR="004D107F">
        <w:t xml:space="preserve">amounts </w:t>
      </w:r>
      <w:r w:rsidRPr="003965AB">
        <w:t xml:space="preserve">associated with the </w:t>
      </w:r>
      <w:r w:rsidR="005E2B37">
        <w:t>Snoqualmie Project</w:t>
      </w:r>
      <w:r w:rsidR="00F70251" w:rsidRPr="00F70251">
        <w:t xml:space="preserve"> </w:t>
      </w:r>
      <w:r w:rsidR="00F70251">
        <w:t>up to and including April 25, 2013</w:t>
      </w:r>
      <w:r w:rsidR="008E1F39">
        <w:t>.</w:t>
      </w:r>
      <w:r w:rsidR="005E2B37">
        <w:t xml:space="preserve">  </w:t>
      </w:r>
      <w:r w:rsidR="005E2B37" w:rsidRPr="003965AB">
        <w:t xml:space="preserve">The </w:t>
      </w:r>
      <w:r w:rsidR="005E2B37">
        <w:t>Snoqualmie Project</w:t>
      </w:r>
      <w:r w:rsidR="005E2B37" w:rsidRPr="003965AB">
        <w:t xml:space="preserve"> include</w:t>
      </w:r>
      <w:r w:rsidR="006D6D52">
        <w:t>s</w:t>
      </w:r>
      <w:r w:rsidR="005E2B37" w:rsidRPr="003965AB">
        <w:t xml:space="preserve"> </w:t>
      </w:r>
      <w:r w:rsidR="005E2B37">
        <w:t xml:space="preserve">Power Plants 1 and 2, and a Diversion Dam.  </w:t>
      </w:r>
      <w:r w:rsidR="00F70251">
        <w:t xml:space="preserve">All costs after that date were </w:t>
      </w:r>
      <w:r w:rsidR="003D0CEB">
        <w:t>removed.</w:t>
      </w:r>
    </w:p>
    <w:p w:rsidR="00564BFF" w:rsidRPr="00D701B0" w:rsidRDefault="00DB7E65" w:rsidP="003D0CEB">
      <w:pPr>
        <w:pStyle w:val="Answer-Testimony"/>
        <w:ind w:firstLine="720"/>
      </w:pPr>
      <w:r w:rsidRPr="00FD272D">
        <w:t xml:space="preserve">Staff </w:t>
      </w:r>
      <w:r w:rsidRPr="00D701B0">
        <w:t xml:space="preserve">witness Juliana M. Williams </w:t>
      </w:r>
      <w:r w:rsidR="00FD272D" w:rsidRPr="00D701B0">
        <w:t xml:space="preserve">discusses the reasons for the cutoff period and removal of all costs associated after that date.  </w:t>
      </w:r>
      <w:r w:rsidR="00A25E39" w:rsidRPr="00D701B0">
        <w:t>Th</w:t>
      </w:r>
      <w:r w:rsidR="00447FCE" w:rsidRPr="00D701B0">
        <w:t>is</w:t>
      </w:r>
      <w:r w:rsidR="00A25E39" w:rsidRPr="00D701B0">
        <w:t xml:space="preserve"> </w:t>
      </w:r>
      <w:r w:rsidR="008E1F39" w:rsidRPr="00D701B0">
        <w:t xml:space="preserve">adjustment increases rate base by </w:t>
      </w:r>
      <w:r w:rsidR="00A25E39" w:rsidRPr="00D701B0">
        <w:t>$</w:t>
      </w:r>
      <w:r w:rsidR="00C949CD" w:rsidRPr="00D701B0">
        <w:t>235</w:t>
      </w:r>
      <w:r w:rsidR="00A25E39" w:rsidRPr="00D701B0">
        <w:t>,</w:t>
      </w:r>
      <w:r w:rsidR="00C949CD" w:rsidRPr="00D701B0">
        <w:t>974</w:t>
      </w:r>
      <w:r w:rsidR="00A25E39" w:rsidRPr="00D701B0">
        <w:t>,</w:t>
      </w:r>
      <w:r w:rsidR="00C949CD" w:rsidRPr="00D701B0">
        <w:t>393</w:t>
      </w:r>
      <w:r w:rsidR="008E1F39" w:rsidRPr="00D701B0">
        <w:t xml:space="preserve"> and expenses by $</w:t>
      </w:r>
      <w:r w:rsidR="00C949CD" w:rsidRPr="00D701B0">
        <w:t>34</w:t>
      </w:r>
      <w:r w:rsidR="00D90D83" w:rsidRPr="00D701B0">
        <w:t>,</w:t>
      </w:r>
      <w:r w:rsidR="00C949CD" w:rsidRPr="00D701B0">
        <w:t>223</w:t>
      </w:r>
      <w:r w:rsidR="00D90D83" w:rsidRPr="00D701B0">
        <w:t>,</w:t>
      </w:r>
      <w:r w:rsidR="00C949CD" w:rsidRPr="00D701B0">
        <w:t>697</w:t>
      </w:r>
      <w:r w:rsidR="00A25E39" w:rsidRPr="00D701B0">
        <w:t>.</w:t>
      </w:r>
    </w:p>
    <w:p w:rsidR="00564BFF" w:rsidRPr="00D701B0" w:rsidRDefault="00A25E39">
      <w:pPr>
        <w:pStyle w:val="Heading6"/>
      </w:pPr>
      <w:bookmarkStart w:id="33" w:name="_Toc364231307"/>
      <w:r w:rsidRPr="00D701B0">
        <w:lastRenderedPageBreak/>
        <w:t xml:space="preserve">Snoqualmie Falls Project Deferral </w:t>
      </w:r>
      <w:r w:rsidR="00564BFF" w:rsidRPr="00D701B0">
        <w:t>(Adjustment 5)</w:t>
      </w:r>
      <w:bookmarkEnd w:id="33"/>
    </w:p>
    <w:p w:rsidR="003D0CEB" w:rsidRPr="00D701B0" w:rsidRDefault="0052457F" w:rsidP="00884641">
      <w:pPr>
        <w:pStyle w:val="Answer-Testimony"/>
        <w:ind w:firstLine="0"/>
      </w:pPr>
      <w:r w:rsidRPr="00D701B0">
        <w:t>This adjustment i</w:t>
      </w:r>
      <w:r w:rsidR="00A25E39" w:rsidRPr="00D701B0">
        <w:t xml:space="preserve">ncludes the estimated rate year </w:t>
      </w:r>
      <w:r w:rsidR="004D107F" w:rsidRPr="00D701B0">
        <w:t>f</w:t>
      </w:r>
      <w:r w:rsidR="00F70251" w:rsidRPr="00D701B0">
        <w:t>o</w:t>
      </w:r>
      <w:r w:rsidR="004D107F" w:rsidRPr="00D701B0">
        <w:t>r</w:t>
      </w:r>
      <w:r w:rsidR="00F70251" w:rsidRPr="00D701B0">
        <w:t xml:space="preserve"> plant balance, accumulated depreciation, deferred income tax liability, and operating expenses amounts </w:t>
      </w:r>
      <w:r w:rsidR="00A25E39" w:rsidRPr="00D701B0">
        <w:t xml:space="preserve">for deferred costs </w:t>
      </w:r>
      <w:r w:rsidR="00F70251" w:rsidRPr="00D701B0">
        <w:t xml:space="preserve">associated with Diversion Dam and Plant 2.  Plant 1 is not eligible for deferral at this time </w:t>
      </w:r>
      <w:r w:rsidR="00E52E77" w:rsidRPr="00D701B0">
        <w:t xml:space="preserve">because </w:t>
      </w:r>
      <w:r w:rsidR="00F70251" w:rsidRPr="00D701B0">
        <w:t>it</w:t>
      </w:r>
      <w:r w:rsidR="00E52E77" w:rsidRPr="00D701B0">
        <w:t xml:space="preserve"> i</w:t>
      </w:r>
      <w:r w:rsidR="00F74175" w:rsidRPr="00D701B0">
        <w:t>s</w:t>
      </w:r>
      <w:r w:rsidR="00F70251" w:rsidRPr="00D701B0">
        <w:t xml:space="preserve"> not in service</w:t>
      </w:r>
      <w:r w:rsidR="00E52E77" w:rsidRPr="00D701B0">
        <w:t xml:space="preserve"> as of</w:t>
      </w:r>
      <w:r w:rsidR="00F70251" w:rsidRPr="00D701B0">
        <w:t xml:space="preserve"> April 25, 2013.</w:t>
      </w:r>
    </w:p>
    <w:p w:rsidR="0020409C" w:rsidRPr="00D701B0" w:rsidRDefault="00DB7E65" w:rsidP="003D0CEB">
      <w:pPr>
        <w:pStyle w:val="Answer-Testimony"/>
        <w:ind w:firstLine="720"/>
      </w:pPr>
      <w:r w:rsidRPr="00D701B0">
        <w:t>Staff witness Juliana M. Williams discusses</w:t>
      </w:r>
      <w:r w:rsidR="00B8177F" w:rsidRPr="00D701B0">
        <w:t xml:space="preserve"> the reasons for the cutoff period and removal of all costs associated after that date. </w:t>
      </w:r>
      <w:r w:rsidR="0052457F" w:rsidRPr="00D701B0">
        <w:t xml:space="preserve"> Th</w:t>
      </w:r>
      <w:r w:rsidR="00447FCE" w:rsidRPr="00D701B0">
        <w:t>is</w:t>
      </w:r>
      <w:r w:rsidR="0052457F" w:rsidRPr="00D701B0">
        <w:t xml:space="preserve"> adjustment increases rate base by $</w:t>
      </w:r>
      <w:r w:rsidR="00C949CD" w:rsidRPr="00D701B0">
        <w:t>6</w:t>
      </w:r>
      <w:r w:rsidR="0052457F" w:rsidRPr="00D701B0">
        <w:t>,</w:t>
      </w:r>
      <w:r w:rsidR="00C949CD" w:rsidRPr="00D701B0">
        <w:t>287</w:t>
      </w:r>
      <w:r w:rsidR="0052457F" w:rsidRPr="00D701B0">
        <w:t>,</w:t>
      </w:r>
      <w:r w:rsidR="00C949CD" w:rsidRPr="00D701B0">
        <w:t>245</w:t>
      </w:r>
      <w:r w:rsidR="0052457F" w:rsidRPr="00D701B0">
        <w:t xml:space="preserve"> and expenses by $2,</w:t>
      </w:r>
      <w:r w:rsidR="00C949CD" w:rsidRPr="00D701B0">
        <w:t>391</w:t>
      </w:r>
      <w:r w:rsidR="0052457F" w:rsidRPr="00D701B0">
        <w:t>,</w:t>
      </w:r>
      <w:r w:rsidR="00C949CD" w:rsidRPr="00D701B0">
        <w:t>541</w:t>
      </w:r>
      <w:r w:rsidR="0052457F" w:rsidRPr="00D701B0">
        <w:t>.</w:t>
      </w:r>
    </w:p>
    <w:p w:rsidR="0020409C" w:rsidRDefault="0020118F">
      <w:pPr>
        <w:pStyle w:val="Heading6"/>
      </w:pPr>
      <w:bookmarkStart w:id="34" w:name="_Toc364231308"/>
      <w:r>
        <w:t xml:space="preserve">Lower </w:t>
      </w:r>
      <w:r w:rsidR="00A25E39" w:rsidRPr="0020409C">
        <w:t xml:space="preserve">Baker Project </w:t>
      </w:r>
      <w:r w:rsidR="0020409C" w:rsidRPr="0020409C">
        <w:t xml:space="preserve">Upgrades </w:t>
      </w:r>
      <w:r w:rsidR="0020409C">
        <w:t>(</w:t>
      </w:r>
      <w:r w:rsidR="0020409C" w:rsidRPr="0020409C">
        <w:t xml:space="preserve">Adjustment </w:t>
      </w:r>
      <w:r w:rsidR="00A25E39" w:rsidRPr="0020409C">
        <w:t>6</w:t>
      </w:r>
      <w:r w:rsidR="0020409C">
        <w:t>)</w:t>
      </w:r>
      <w:bookmarkEnd w:id="34"/>
    </w:p>
    <w:p w:rsidR="003D0CEB" w:rsidRPr="00D701B0" w:rsidRDefault="00447FCE" w:rsidP="00884641">
      <w:pPr>
        <w:pStyle w:val="Answer-Testimony"/>
        <w:ind w:firstLine="0"/>
      </w:pPr>
      <w:r>
        <w:t xml:space="preserve">This adjustment includes </w:t>
      </w:r>
      <w:r w:rsidR="00B40A91">
        <w:t>plant balance, accumulated depreciation, deferred income tax liability, and operating expenses</w:t>
      </w:r>
      <w:r w:rsidR="00B40A91" w:rsidRPr="003965AB">
        <w:t xml:space="preserve"> </w:t>
      </w:r>
      <w:r w:rsidR="00B40A91">
        <w:t>amounts</w:t>
      </w:r>
      <w:r w:rsidR="00A07F7B">
        <w:t xml:space="preserve"> associated with the </w:t>
      </w:r>
      <w:r>
        <w:t>Baker Project</w:t>
      </w:r>
      <w:r w:rsidR="00B40A91">
        <w:t xml:space="preserve"> up to and including April 25, 2013</w:t>
      </w:r>
      <w:r w:rsidR="00A25E39" w:rsidRPr="003965AB">
        <w:t>.  The Baker</w:t>
      </w:r>
      <w:r>
        <w:t xml:space="preserve"> Project</w:t>
      </w:r>
      <w:r w:rsidR="00A25E39" w:rsidRPr="003965AB">
        <w:t xml:space="preserve"> additions include the Lower Baker Floating Surface Collector (FSC)</w:t>
      </w:r>
      <w:r>
        <w:t xml:space="preserve"> </w:t>
      </w:r>
      <w:r w:rsidR="00A25E39" w:rsidRPr="003965AB">
        <w:t>and the Lower Baker Powerhouse</w:t>
      </w:r>
      <w:r w:rsidR="00C37437">
        <w:t xml:space="preserve"> (LBP)</w:t>
      </w:r>
      <w:r w:rsidR="00A25E39" w:rsidRPr="003965AB">
        <w:t>.</w:t>
      </w:r>
      <w:r w:rsidR="00B40A91">
        <w:t xml:space="preserve">  All costs </w:t>
      </w:r>
      <w:r w:rsidR="00B40A91" w:rsidRPr="00401B95">
        <w:t xml:space="preserve">after that </w:t>
      </w:r>
      <w:r w:rsidR="00B40A91" w:rsidRPr="00D701B0">
        <w:t>date were removed.</w:t>
      </w:r>
    </w:p>
    <w:p w:rsidR="0020409C" w:rsidRPr="00D701B0" w:rsidRDefault="00DB7E65" w:rsidP="003D0CEB">
      <w:pPr>
        <w:pStyle w:val="Answer-Testimony"/>
        <w:ind w:firstLine="720"/>
      </w:pPr>
      <w:r w:rsidRPr="00D701B0">
        <w:t>Staff witness Juliana M. Williams discusses</w:t>
      </w:r>
      <w:r w:rsidR="00401B95" w:rsidRPr="00D701B0">
        <w:t xml:space="preserve"> the reasons for the cutoff period and removal of all costs associated after that date.</w:t>
      </w:r>
      <w:r w:rsidR="00A25E39" w:rsidRPr="00D701B0">
        <w:t xml:space="preserve">  </w:t>
      </w:r>
      <w:r w:rsidR="00447FCE" w:rsidRPr="00D701B0">
        <w:t>This adjustment increases rate base by $12</w:t>
      </w:r>
      <w:r w:rsidR="00D52097" w:rsidRPr="00D701B0">
        <w:t>4</w:t>
      </w:r>
      <w:r w:rsidR="00447FCE" w:rsidRPr="00D701B0">
        <w:t>,</w:t>
      </w:r>
      <w:r w:rsidR="00D52097" w:rsidRPr="00D701B0">
        <w:t>718,619</w:t>
      </w:r>
      <w:r w:rsidR="00447FCE" w:rsidRPr="00D701B0">
        <w:t xml:space="preserve"> and expenses by $</w:t>
      </w:r>
      <w:r w:rsidR="00A57A4C" w:rsidRPr="00D701B0">
        <w:t>16,350,136</w:t>
      </w:r>
      <w:r w:rsidR="00447FCE" w:rsidRPr="00D701B0">
        <w:t>.</w:t>
      </w:r>
    </w:p>
    <w:p w:rsidR="0020409C" w:rsidRPr="00D701B0" w:rsidRDefault="0020118F">
      <w:pPr>
        <w:pStyle w:val="Heading6"/>
      </w:pPr>
      <w:bookmarkStart w:id="35" w:name="_Toc364231309"/>
      <w:r w:rsidRPr="00D701B0">
        <w:t>Lower</w:t>
      </w:r>
      <w:r w:rsidR="00A25E39" w:rsidRPr="00D701B0">
        <w:t xml:space="preserve"> Baker Project Deferral </w:t>
      </w:r>
      <w:r w:rsidR="0020409C" w:rsidRPr="00D701B0">
        <w:t>(</w:t>
      </w:r>
      <w:r w:rsidR="00A25E39" w:rsidRPr="00D701B0">
        <w:t>Adjustment</w:t>
      </w:r>
      <w:r w:rsidR="0020409C" w:rsidRPr="00D701B0">
        <w:t xml:space="preserve"> </w:t>
      </w:r>
      <w:r w:rsidR="00A25E39" w:rsidRPr="00D701B0">
        <w:t>7</w:t>
      </w:r>
      <w:r w:rsidR="0020409C" w:rsidRPr="00D701B0">
        <w:t>)</w:t>
      </w:r>
      <w:bookmarkEnd w:id="35"/>
    </w:p>
    <w:p w:rsidR="003D0CEB" w:rsidRDefault="00447FCE" w:rsidP="00884641">
      <w:pPr>
        <w:pStyle w:val="Answer-Testimony"/>
        <w:ind w:firstLine="0"/>
      </w:pPr>
      <w:r>
        <w:t xml:space="preserve">This adjustment </w:t>
      </w:r>
      <w:r w:rsidR="00986770">
        <w:t xml:space="preserve">was </w:t>
      </w:r>
      <w:r w:rsidRPr="003965AB">
        <w:t xml:space="preserve">the </w:t>
      </w:r>
      <w:r w:rsidR="00FE68C7">
        <w:t xml:space="preserve">Company’s </w:t>
      </w:r>
      <w:r w:rsidRPr="003965AB">
        <w:t xml:space="preserve">estimated rate year amortization expense and net rate base amount for deferred costs associated with the </w:t>
      </w:r>
      <w:r w:rsidR="002657DF">
        <w:t>LBP</w:t>
      </w:r>
      <w:r>
        <w:t>.</w:t>
      </w:r>
      <w:r w:rsidRPr="0052457F">
        <w:t xml:space="preserve"> </w:t>
      </w:r>
      <w:r>
        <w:t xml:space="preserve"> </w:t>
      </w:r>
      <w:r w:rsidR="002657DF">
        <w:t xml:space="preserve">Staff eliminated this </w:t>
      </w:r>
      <w:r>
        <w:t>adjustment</w:t>
      </w:r>
      <w:r w:rsidR="00986770">
        <w:t xml:space="preserve"> </w:t>
      </w:r>
      <w:r w:rsidR="002657DF">
        <w:t xml:space="preserve">because </w:t>
      </w:r>
      <w:r w:rsidR="00C37437">
        <w:t xml:space="preserve">LBP did not begin operation until July 24, 2013, </w:t>
      </w:r>
      <w:r w:rsidR="002657DF">
        <w:t xml:space="preserve">and because </w:t>
      </w:r>
      <w:r w:rsidR="00C37437">
        <w:t xml:space="preserve">it was not in service by April 25, </w:t>
      </w:r>
      <w:r w:rsidR="00815137">
        <w:t>2013</w:t>
      </w:r>
      <w:r w:rsidR="002657DF">
        <w:t>,</w:t>
      </w:r>
      <w:r w:rsidR="00C37437">
        <w:t xml:space="preserve"> it is not eligible for deferral at this time.</w:t>
      </w:r>
    </w:p>
    <w:p w:rsidR="0020409C" w:rsidRPr="00E52359" w:rsidRDefault="00986770" w:rsidP="003D0CEB">
      <w:pPr>
        <w:pStyle w:val="Answer-Testimony"/>
        <w:ind w:firstLine="720"/>
        <w:rPr>
          <w:b/>
        </w:rPr>
      </w:pPr>
      <w:r>
        <w:lastRenderedPageBreak/>
        <w:t xml:space="preserve">Staff witness Juliana </w:t>
      </w:r>
      <w:r w:rsidR="00666C35">
        <w:t>M</w:t>
      </w:r>
      <w:r>
        <w:t>. Williams discusses the reason</w:t>
      </w:r>
      <w:r w:rsidR="00FE68C7">
        <w:t>s</w:t>
      </w:r>
      <w:r>
        <w:t xml:space="preserve"> for this removal</w:t>
      </w:r>
      <w:r w:rsidR="00447FCE" w:rsidRPr="003965AB">
        <w:t>.</w:t>
      </w:r>
    </w:p>
    <w:p w:rsidR="00B9799F" w:rsidRPr="00B9799F" w:rsidRDefault="00A25E39">
      <w:pPr>
        <w:pStyle w:val="Heading6"/>
      </w:pPr>
      <w:bookmarkStart w:id="36" w:name="_Toc364231310"/>
      <w:r w:rsidRPr="00E52359">
        <w:t xml:space="preserve">Ferndale </w:t>
      </w:r>
      <w:r w:rsidR="00FF215A" w:rsidRPr="00E52359">
        <w:t>Genera</w:t>
      </w:r>
      <w:r w:rsidR="00FF215A">
        <w:t>ting Station</w:t>
      </w:r>
      <w:r w:rsidR="00B9799F">
        <w:t xml:space="preserve"> (Adjustment </w:t>
      </w:r>
      <w:r w:rsidRPr="00B9799F">
        <w:t>8</w:t>
      </w:r>
      <w:r w:rsidR="00B9799F">
        <w:t>)</w:t>
      </w:r>
      <w:bookmarkEnd w:id="36"/>
    </w:p>
    <w:p w:rsidR="007717A9" w:rsidRPr="00117E87" w:rsidRDefault="00942D68" w:rsidP="00884641">
      <w:pPr>
        <w:pStyle w:val="Answer-Testimony"/>
        <w:ind w:firstLine="0"/>
      </w:pPr>
      <w:r>
        <w:t>This adjustment p</w:t>
      </w:r>
      <w:r w:rsidRPr="003965AB">
        <w:t xml:space="preserve">ro forms </w:t>
      </w:r>
      <w:r w:rsidR="00FD272D">
        <w:t>for plant balance, accumulated depreciation, deferred income tax liability, and operating expenses</w:t>
      </w:r>
      <w:r w:rsidR="00FD272D" w:rsidRPr="003965AB">
        <w:t xml:space="preserve"> </w:t>
      </w:r>
      <w:r w:rsidR="00FD272D">
        <w:t>amounts</w:t>
      </w:r>
      <w:r w:rsidRPr="003965AB">
        <w:t xml:space="preserve"> associated with </w:t>
      </w:r>
      <w:r w:rsidR="00FE68C7">
        <w:t xml:space="preserve">the </w:t>
      </w:r>
      <w:r w:rsidR="006F764C">
        <w:t>Ferndale</w:t>
      </w:r>
      <w:r w:rsidR="009B3FE4">
        <w:t xml:space="preserve"> Plant</w:t>
      </w:r>
      <w:r w:rsidRPr="003965AB">
        <w:t xml:space="preserve">.  </w:t>
      </w:r>
      <w:r w:rsidR="00FE68C7">
        <w:t xml:space="preserve">This adjustment </w:t>
      </w:r>
      <w:r>
        <w:t xml:space="preserve">also </w:t>
      </w:r>
      <w:r w:rsidRPr="003965AB">
        <w:t>include</w:t>
      </w:r>
      <w:r>
        <w:t xml:space="preserve">s </w:t>
      </w:r>
      <w:r w:rsidRPr="003965AB">
        <w:t>the Asset Retirements Costs (ARC) and Asset Retirement Obligations (ARO)</w:t>
      </w:r>
      <w:r w:rsidR="00F74175">
        <w:t xml:space="preserve">.  </w:t>
      </w:r>
      <w:r w:rsidR="00B8177F">
        <w:t>Staff changed the ARC and ARO discounted present value balance to 1,562,307,</w:t>
      </w:r>
      <w:r w:rsidR="00B8177F">
        <w:rPr>
          <w:rStyle w:val="FootnoteReference"/>
        </w:rPr>
        <w:footnoteReference w:id="59"/>
      </w:r>
      <w:r w:rsidR="00B8177F">
        <w:t xml:space="preserve"> instead of 1,564,370.</w:t>
      </w:r>
      <w:r w:rsidRPr="003965AB">
        <w:t xml:space="preserve"> </w:t>
      </w:r>
      <w:r w:rsidR="00B8177F">
        <w:t xml:space="preserve"> </w:t>
      </w:r>
      <w:r w:rsidRPr="003965AB">
        <w:t xml:space="preserve">These amounts represent recovery of the costs of restoring the site back to original condition before the lease </w:t>
      </w:r>
      <w:r w:rsidRPr="00117E87">
        <w:t>ends in 2041.</w:t>
      </w:r>
    </w:p>
    <w:p w:rsidR="00B9799F" w:rsidRPr="003965AB" w:rsidRDefault="00DB7E65" w:rsidP="007717A9">
      <w:pPr>
        <w:pStyle w:val="Answer-Testimony"/>
        <w:ind w:firstLine="720"/>
      </w:pPr>
      <w:r w:rsidRPr="00117E87">
        <w:t>Staff witness Juliana M. Williams’s discusses</w:t>
      </w:r>
      <w:r w:rsidR="00117E87" w:rsidRPr="00117E87">
        <w:t xml:space="preserve"> ratemaking treatment of pro forma rate base additions.</w:t>
      </w:r>
      <w:r w:rsidR="00942D68" w:rsidRPr="00117E87">
        <w:t xml:space="preserve">  </w:t>
      </w:r>
      <w:r w:rsidR="00A25E39" w:rsidRPr="00117E87">
        <w:t xml:space="preserve">This adjustment increases </w:t>
      </w:r>
      <w:r w:rsidR="00A25E39" w:rsidRPr="00C24D1B">
        <w:t>rate base by $73,</w:t>
      </w:r>
      <w:r w:rsidR="00C24D1B" w:rsidRPr="00C24D1B">
        <w:t>111,891</w:t>
      </w:r>
      <w:r w:rsidR="00A25E39" w:rsidRPr="00C24D1B">
        <w:t xml:space="preserve"> and expense by $</w:t>
      </w:r>
      <w:r w:rsidR="00A57A4C">
        <w:t>10,699,524</w:t>
      </w:r>
      <w:r w:rsidR="00A25E39" w:rsidRPr="00C24D1B">
        <w:t>.</w:t>
      </w:r>
    </w:p>
    <w:p w:rsidR="00B9799F" w:rsidRPr="00B9799F" w:rsidRDefault="00A25E39">
      <w:pPr>
        <w:pStyle w:val="Heading6"/>
      </w:pPr>
      <w:bookmarkStart w:id="37" w:name="_Toc364231311"/>
      <w:r w:rsidRPr="00B9799F">
        <w:t>Ferndale Deferral</w:t>
      </w:r>
      <w:r w:rsidR="00B9799F">
        <w:t xml:space="preserve"> (Adjustment </w:t>
      </w:r>
      <w:r w:rsidRPr="00B9799F">
        <w:t>9</w:t>
      </w:r>
      <w:r w:rsidR="00B9799F">
        <w:t>)</w:t>
      </w:r>
      <w:bookmarkEnd w:id="37"/>
    </w:p>
    <w:p w:rsidR="007717A9" w:rsidRPr="00D701B0" w:rsidRDefault="00F35118" w:rsidP="00884641">
      <w:pPr>
        <w:pStyle w:val="Answer-Testimony"/>
        <w:ind w:firstLine="0"/>
      </w:pPr>
      <w:r>
        <w:t>This adjustment i</w:t>
      </w:r>
      <w:r w:rsidRPr="003965AB">
        <w:t>ncludes the estimated rate year</w:t>
      </w:r>
      <w:r w:rsidR="00947397">
        <w:t xml:space="preserve"> for</w:t>
      </w:r>
      <w:r w:rsidRPr="003965AB">
        <w:t xml:space="preserve"> </w:t>
      </w:r>
      <w:r w:rsidR="00947397">
        <w:t xml:space="preserve">plant balance, accumulated depreciation, </w:t>
      </w:r>
      <w:r w:rsidR="00947397" w:rsidRPr="00117E87">
        <w:t>deferred income tax liability, and operating expenses amounts</w:t>
      </w:r>
      <w:r w:rsidRPr="00117E87">
        <w:t xml:space="preserve"> for deferred costs </w:t>
      </w:r>
      <w:r w:rsidRPr="00D701B0">
        <w:t xml:space="preserve">associated with </w:t>
      </w:r>
      <w:r w:rsidR="00DF7F81" w:rsidRPr="00D701B0">
        <w:t>Ferndale</w:t>
      </w:r>
      <w:r w:rsidRPr="00D701B0">
        <w:t>.</w:t>
      </w:r>
    </w:p>
    <w:p w:rsidR="00B9799F" w:rsidRPr="00D701B0" w:rsidRDefault="00DB7E65" w:rsidP="007717A9">
      <w:pPr>
        <w:pStyle w:val="Answer-Testimony"/>
        <w:ind w:firstLine="720"/>
      </w:pPr>
      <w:r w:rsidRPr="00D701B0">
        <w:t>Staff witness Juliana M. Williams discusses</w:t>
      </w:r>
      <w:r w:rsidR="00117E87" w:rsidRPr="00D701B0">
        <w:t xml:space="preserve"> ratemaking treatment of pro forma rate base additions related to Ferndale Plant deferrals.</w:t>
      </w:r>
      <w:r w:rsidR="00F35118" w:rsidRPr="00D701B0">
        <w:t xml:space="preserve">  This adjustment increases rate base by $</w:t>
      </w:r>
      <w:r w:rsidR="00DF7F81" w:rsidRPr="00D701B0">
        <w:t>1</w:t>
      </w:r>
      <w:r w:rsidR="00B43D27" w:rsidRPr="00D701B0">
        <w:t>5</w:t>
      </w:r>
      <w:r w:rsidR="00DF7F81" w:rsidRPr="00D701B0">
        <w:t>,</w:t>
      </w:r>
      <w:r w:rsidR="00C949CD" w:rsidRPr="00D701B0">
        <w:t>672</w:t>
      </w:r>
      <w:r w:rsidR="00B43D27" w:rsidRPr="00D701B0">
        <w:t>,</w:t>
      </w:r>
      <w:r w:rsidR="00C949CD" w:rsidRPr="00D701B0">
        <w:t>263</w:t>
      </w:r>
      <w:r w:rsidR="00F35118" w:rsidRPr="00D701B0">
        <w:t xml:space="preserve"> and expense by $</w:t>
      </w:r>
      <w:r w:rsidR="00A57A4C" w:rsidRPr="00D701B0">
        <w:t>5,</w:t>
      </w:r>
      <w:r w:rsidR="00C949CD" w:rsidRPr="00D701B0">
        <w:t>996</w:t>
      </w:r>
      <w:r w:rsidR="00A57A4C" w:rsidRPr="00D701B0">
        <w:t>,</w:t>
      </w:r>
      <w:r w:rsidR="00C949CD" w:rsidRPr="00D701B0">
        <w:t>887</w:t>
      </w:r>
      <w:r w:rsidR="00F35118" w:rsidRPr="00D701B0">
        <w:t>.</w:t>
      </w:r>
      <w:r w:rsidRPr="00D701B0">
        <w:t xml:space="preserve">  Property taxes are included in this adjustment</w:t>
      </w:r>
      <w:r w:rsidR="00DF7BB1" w:rsidRPr="00D701B0">
        <w:t>, due to the Commission approval of the property tax tracker;</w:t>
      </w:r>
      <w:r w:rsidR="00DF7BB1" w:rsidRPr="00D701B0">
        <w:rPr>
          <w:rStyle w:val="FootnoteReference"/>
        </w:rPr>
        <w:footnoteReference w:id="60"/>
      </w:r>
      <w:r w:rsidR="00DF7BB1" w:rsidRPr="00D701B0">
        <w:t xml:space="preserve"> these expenses should not be included in the PCORC, too</w:t>
      </w:r>
      <w:r w:rsidRPr="00D701B0">
        <w:t>.</w:t>
      </w:r>
    </w:p>
    <w:p w:rsidR="00A25E39" w:rsidRPr="00D701B0" w:rsidRDefault="00A25E39">
      <w:pPr>
        <w:pStyle w:val="Heading6"/>
      </w:pPr>
      <w:bookmarkStart w:id="38" w:name="_Toc364231312"/>
      <w:r w:rsidRPr="00D701B0">
        <w:lastRenderedPageBreak/>
        <w:t>Sale of Electron Project</w:t>
      </w:r>
      <w:r w:rsidR="00B9799F" w:rsidRPr="00D701B0">
        <w:t xml:space="preserve"> (Adjustment </w:t>
      </w:r>
      <w:r w:rsidRPr="00D701B0">
        <w:t>12</w:t>
      </w:r>
      <w:r w:rsidR="00B9799F" w:rsidRPr="00D701B0">
        <w:t>)</w:t>
      </w:r>
      <w:bookmarkEnd w:id="38"/>
    </w:p>
    <w:p w:rsidR="007717A9" w:rsidRDefault="003D5A94" w:rsidP="00884641">
      <w:pPr>
        <w:pStyle w:val="Answer-Testimony"/>
        <w:ind w:firstLine="0"/>
      </w:pPr>
      <w:r w:rsidRPr="00EB5737">
        <w:t xml:space="preserve">This adjustment </w:t>
      </w:r>
      <w:r w:rsidR="00CB338F">
        <w:t>keeps in</w:t>
      </w:r>
      <w:r w:rsidRPr="00EB5737">
        <w:t xml:space="preserve"> the AMA </w:t>
      </w:r>
      <w:r w:rsidR="00DF7BB1">
        <w:t xml:space="preserve">balances </w:t>
      </w:r>
      <w:r w:rsidRPr="00EB5737">
        <w:t xml:space="preserve">of the Electron Project plant, accumulated depreciation and deferred income taxes from the test year rate base and removes the </w:t>
      </w:r>
      <w:r w:rsidR="00CB338F">
        <w:t xml:space="preserve">unrecovered regulatory asset and </w:t>
      </w:r>
      <w:r w:rsidR="007717A9">
        <w:t>expense</w:t>
      </w:r>
      <w:r w:rsidR="00CB338F">
        <w:t>s related to the sale of Electron</w:t>
      </w:r>
      <w:r w:rsidR="007717A9">
        <w:t>.</w:t>
      </w:r>
    </w:p>
    <w:p w:rsidR="00B9799F" w:rsidRPr="00C949CD" w:rsidRDefault="003D5A94" w:rsidP="007717A9">
      <w:pPr>
        <w:pStyle w:val="Answer-Testimony"/>
        <w:ind w:firstLine="720"/>
      </w:pPr>
      <w:r w:rsidRPr="00EB5737">
        <w:t xml:space="preserve">Staff witness </w:t>
      </w:r>
      <w:r w:rsidRPr="00C949CD">
        <w:t>David C. Gomez discusses the reasoning for t</w:t>
      </w:r>
      <w:r w:rsidR="00CB338F" w:rsidRPr="00C949CD">
        <w:t>he Electron plant stay in rate base until the sale is formalized.</w:t>
      </w:r>
      <w:r w:rsidR="00C949CD" w:rsidRPr="00C949CD">
        <w:t xml:space="preserve">  This adjustment decreases rate base by $7,528,133 and expense by $836,094. </w:t>
      </w:r>
    </w:p>
    <w:p w:rsidR="00055198" w:rsidRPr="002200C5" w:rsidRDefault="00A25E39">
      <w:pPr>
        <w:pStyle w:val="Heading6"/>
      </w:pPr>
      <w:bookmarkStart w:id="39" w:name="_Toc364231313"/>
      <w:r w:rsidRPr="002200C5">
        <w:t>Property Insurance</w:t>
      </w:r>
      <w:r w:rsidR="002200C5">
        <w:t xml:space="preserve"> (Adjustment </w:t>
      </w:r>
      <w:r w:rsidRPr="002200C5">
        <w:t>14</w:t>
      </w:r>
      <w:r w:rsidR="002200C5">
        <w:t>)</w:t>
      </w:r>
      <w:bookmarkEnd w:id="39"/>
    </w:p>
    <w:p w:rsidR="007717A9" w:rsidRDefault="00D22268" w:rsidP="00884641">
      <w:pPr>
        <w:pStyle w:val="Answer-Testimony"/>
        <w:ind w:firstLine="0"/>
      </w:pPr>
      <w:r>
        <w:t xml:space="preserve">This adjustment </w:t>
      </w:r>
      <w:r w:rsidR="00A25E39" w:rsidRPr="00055198">
        <w:t>inclu</w:t>
      </w:r>
      <w:r w:rsidR="00A25E39" w:rsidRPr="003965AB">
        <w:t>des Ferndale property insurance</w:t>
      </w:r>
      <w:r>
        <w:t xml:space="preserve"> that </w:t>
      </w:r>
      <w:r w:rsidR="00A25E39" w:rsidRPr="003965AB">
        <w:t>w</w:t>
      </w:r>
      <w:r w:rsidR="00A25E39">
        <w:t>as</w:t>
      </w:r>
      <w:r w:rsidR="00A25E39" w:rsidRPr="003965AB">
        <w:t xml:space="preserve"> not present in the test year</w:t>
      </w:r>
      <w:r>
        <w:t xml:space="preserve">, </w:t>
      </w:r>
      <w:r w:rsidR="00A25E39" w:rsidRPr="003965AB">
        <w:t xml:space="preserve">adjusts property insurance for the Baker and </w:t>
      </w:r>
      <w:r w:rsidR="00A25E39">
        <w:t xml:space="preserve">Snoqualmie Falls </w:t>
      </w:r>
      <w:r w:rsidR="00A25E39" w:rsidRPr="00FD3E64">
        <w:t>projects</w:t>
      </w:r>
      <w:r w:rsidRPr="00FD3E64">
        <w:t>,</w:t>
      </w:r>
      <w:r w:rsidR="00A25E39" w:rsidRPr="00FD3E64">
        <w:t xml:space="preserve"> </w:t>
      </w:r>
      <w:r w:rsidR="00480ECE">
        <w:t xml:space="preserve">adds Electron property insurance, </w:t>
      </w:r>
      <w:r w:rsidR="00A25E39" w:rsidRPr="00FD3E64">
        <w:t>and restates the remaining production property insurance to current levels.</w:t>
      </w:r>
    </w:p>
    <w:p w:rsidR="00813177" w:rsidRPr="003965AB" w:rsidRDefault="00813177" w:rsidP="007717A9">
      <w:pPr>
        <w:pStyle w:val="Answer-Testimony"/>
        <w:ind w:firstLine="720"/>
      </w:pPr>
      <w:r w:rsidRPr="00813177">
        <w:t xml:space="preserve">Staff witness David C. Gomez discusses the reason for </w:t>
      </w:r>
      <w:r>
        <w:t xml:space="preserve">the </w:t>
      </w:r>
      <w:r w:rsidRPr="00813177">
        <w:t>add</w:t>
      </w:r>
      <w:r>
        <w:t>ition of</w:t>
      </w:r>
      <w:r w:rsidRPr="00813177">
        <w:t xml:space="preserve"> Electron property insurance.</w:t>
      </w:r>
      <w:r w:rsidR="00A25E39" w:rsidRPr="00FD3E64">
        <w:t xml:space="preserve">  Th</w:t>
      </w:r>
      <w:r w:rsidR="00D22268" w:rsidRPr="00FD3E64">
        <w:t>is</w:t>
      </w:r>
      <w:r w:rsidR="00A25E39" w:rsidRPr="00FD3E64">
        <w:t xml:space="preserve"> adjustment </w:t>
      </w:r>
      <w:r w:rsidR="00FD3E64" w:rsidRPr="00FD3E64">
        <w:t>inc</w:t>
      </w:r>
      <w:r w:rsidR="00A25E39" w:rsidRPr="00FD3E64">
        <w:t>reases expense by $</w:t>
      </w:r>
      <w:r w:rsidR="00FD3E64" w:rsidRPr="00FD3E64">
        <w:t>101,511</w:t>
      </w:r>
      <w:r w:rsidR="00A25E39" w:rsidRPr="00FD3E64">
        <w:t>.</w:t>
      </w:r>
    </w:p>
    <w:p w:rsidR="00055198" w:rsidRPr="00FE4CE0" w:rsidRDefault="00A25E39">
      <w:pPr>
        <w:pStyle w:val="Heading6"/>
      </w:pPr>
      <w:bookmarkStart w:id="40" w:name="_Toc364231314"/>
      <w:r w:rsidRPr="00FE4CE0">
        <w:t xml:space="preserve">Other Regulatory Assets </w:t>
      </w:r>
      <w:r w:rsidR="00FE4CE0">
        <w:t>(</w:t>
      </w:r>
      <w:r w:rsidRPr="00FE4CE0">
        <w:t>Adjustment</w:t>
      </w:r>
      <w:r w:rsidR="00FE4CE0">
        <w:t xml:space="preserve"> </w:t>
      </w:r>
      <w:r w:rsidRPr="00FE4CE0">
        <w:t>20</w:t>
      </w:r>
      <w:r w:rsidR="00FE4CE0">
        <w:t>)</w:t>
      </w:r>
      <w:bookmarkEnd w:id="40"/>
    </w:p>
    <w:p w:rsidR="00A25E39" w:rsidRPr="004274CF" w:rsidRDefault="00D50734" w:rsidP="00FB13A3">
      <w:pPr>
        <w:pStyle w:val="Answer-Testimony"/>
        <w:ind w:firstLine="0"/>
      </w:pPr>
      <w:r>
        <w:t xml:space="preserve">This adjustment </w:t>
      </w:r>
      <w:r w:rsidR="00A25E39" w:rsidRPr="003965AB">
        <w:t>trues up rate base and amortization related to regulatory assets which were included and approved for recovery in prior rate proceedings</w:t>
      </w:r>
      <w:r w:rsidR="00D74087">
        <w:t xml:space="preserve">, with the exception of an accounting treatment for payments </w:t>
      </w:r>
      <w:r w:rsidR="007717A9">
        <w:t xml:space="preserve">for major maintenance PSE </w:t>
      </w:r>
      <w:r w:rsidR="00D74087">
        <w:t>made under an existing L</w:t>
      </w:r>
      <w:r w:rsidR="007717A9">
        <w:t xml:space="preserve">ong </w:t>
      </w:r>
      <w:r w:rsidR="00D74087">
        <w:t>T</w:t>
      </w:r>
      <w:r w:rsidR="007717A9">
        <w:t xml:space="preserve">erm </w:t>
      </w:r>
      <w:r w:rsidR="00D74087">
        <w:t>S</w:t>
      </w:r>
      <w:r w:rsidR="007717A9">
        <w:t xml:space="preserve">ervice </w:t>
      </w:r>
      <w:r w:rsidR="00D74087">
        <w:t>A</w:t>
      </w:r>
      <w:r w:rsidR="007717A9">
        <w:t>greement</w:t>
      </w:r>
      <w:r w:rsidR="00D74087">
        <w:t xml:space="preserve"> with G</w:t>
      </w:r>
      <w:r w:rsidR="000D2CE5">
        <w:t>E</w:t>
      </w:r>
      <w:r w:rsidR="00D74087">
        <w:t xml:space="preserve"> for </w:t>
      </w:r>
      <w:r w:rsidR="007717A9">
        <w:t xml:space="preserve">PSE’s </w:t>
      </w:r>
      <w:r w:rsidR="00D74087">
        <w:t xml:space="preserve">Mint Farm Facility, which </w:t>
      </w:r>
      <w:r w:rsidR="00150A89">
        <w:t xml:space="preserve">the regulatory asset </w:t>
      </w:r>
      <w:r w:rsidR="00D74087">
        <w:t>was removed</w:t>
      </w:r>
      <w:r w:rsidR="00150A89">
        <w:t xml:space="preserve"> and </w:t>
      </w:r>
      <w:r w:rsidR="00150A89" w:rsidRPr="008353F9">
        <w:t xml:space="preserve">amortize </w:t>
      </w:r>
      <w:r w:rsidR="00150A89" w:rsidRPr="005E354F">
        <w:t>the costs following the time of the event until the next event.</w:t>
      </w:r>
      <w:r w:rsidR="00FB13A3" w:rsidRPr="005E354F">
        <w:t xml:space="preserve">  </w:t>
      </w:r>
      <w:r w:rsidR="00A25E39" w:rsidRPr="005E354F">
        <w:t xml:space="preserve">The resulting amortization of $634,721 </w:t>
      </w:r>
      <w:r w:rsidR="00A25E39" w:rsidRPr="005E354F">
        <w:lastRenderedPageBreak/>
        <w:t xml:space="preserve">shown on line 22 of the </w:t>
      </w:r>
      <w:r w:rsidR="00A25E39" w:rsidRPr="004274CF">
        <w:t>adjustment is the impact of this calculation on expense before applying the production adjustment factor.</w:t>
      </w:r>
    </w:p>
    <w:p w:rsidR="00F44292" w:rsidRPr="004274CF" w:rsidRDefault="007717A9" w:rsidP="00F44292">
      <w:pPr>
        <w:pStyle w:val="Answer-Testimony"/>
        <w:ind w:firstLine="720"/>
      </w:pPr>
      <w:r w:rsidRPr="004274CF">
        <w:t xml:space="preserve">I am responsible for this adjustment, which </w:t>
      </w:r>
      <w:r w:rsidR="00A25E39" w:rsidRPr="004274CF">
        <w:t>decreases rate base by $</w:t>
      </w:r>
      <w:r w:rsidR="005E354F" w:rsidRPr="004274CF">
        <w:t>2,</w:t>
      </w:r>
      <w:r w:rsidR="00C26DE5" w:rsidRPr="004274CF">
        <w:t>854,621</w:t>
      </w:r>
      <w:r w:rsidR="00A25E39" w:rsidRPr="004274CF">
        <w:t xml:space="preserve"> and </w:t>
      </w:r>
      <w:r w:rsidR="00D50734" w:rsidRPr="004274CF">
        <w:t>expense by $1,</w:t>
      </w:r>
      <w:r w:rsidR="00C26DE5" w:rsidRPr="004274CF">
        <w:t>569,651</w:t>
      </w:r>
      <w:r w:rsidR="00D50734" w:rsidRPr="004274CF">
        <w:t>.</w:t>
      </w:r>
    </w:p>
    <w:p w:rsidR="00055198" w:rsidRDefault="00A25E39">
      <w:pPr>
        <w:pStyle w:val="Heading6"/>
      </w:pPr>
      <w:bookmarkStart w:id="41" w:name="_Toc364231315"/>
      <w:r w:rsidRPr="00644D2C">
        <w:t xml:space="preserve">Prepaid Transmission </w:t>
      </w:r>
      <w:r w:rsidR="00A2253C">
        <w:t>&amp;</w:t>
      </w:r>
      <w:r w:rsidRPr="00644D2C">
        <w:t xml:space="preserve"> Deferred Carrying Charges </w:t>
      </w:r>
      <w:r w:rsidR="00644D2C">
        <w:t>(</w:t>
      </w:r>
      <w:r w:rsidRPr="00644D2C">
        <w:t>Adjustment</w:t>
      </w:r>
      <w:r w:rsidR="00644D2C">
        <w:t xml:space="preserve"> 21)</w:t>
      </w:r>
      <w:bookmarkEnd w:id="41"/>
    </w:p>
    <w:p w:rsidR="007717A9" w:rsidRDefault="00D50734" w:rsidP="00884641">
      <w:pPr>
        <w:pStyle w:val="Answer-Testimony"/>
        <w:ind w:firstLine="0"/>
      </w:pPr>
      <w:r>
        <w:t xml:space="preserve">This adjustment </w:t>
      </w:r>
      <w:r w:rsidR="00A25E39" w:rsidRPr="003965AB">
        <w:t>trues</w:t>
      </w:r>
      <w:r w:rsidR="00FE68C7">
        <w:t>-</w:t>
      </w:r>
      <w:r w:rsidR="00A25E39" w:rsidRPr="003965AB">
        <w:t>up rate base and amortization related to the LSR Prepaid Transmission Deposit with BPA as well as the deferred carrying charges on the deposit</w:t>
      </w:r>
      <w:r>
        <w:t>.</w:t>
      </w:r>
    </w:p>
    <w:p w:rsidR="00055198" w:rsidRPr="004274CF" w:rsidRDefault="007717A9" w:rsidP="007717A9">
      <w:pPr>
        <w:pStyle w:val="Answer-Testimony"/>
        <w:ind w:firstLine="720"/>
      </w:pPr>
      <w:r w:rsidRPr="00813177">
        <w:t xml:space="preserve">Staff witness </w:t>
      </w:r>
      <w:r>
        <w:t>Joanna Huang</w:t>
      </w:r>
      <w:r w:rsidRPr="00813177">
        <w:t xml:space="preserve"> </w:t>
      </w:r>
      <w:r w:rsidRPr="00613A5D">
        <w:t xml:space="preserve">discusses the </w:t>
      </w:r>
      <w:r w:rsidR="00613A5D" w:rsidRPr="00613A5D">
        <w:t xml:space="preserve">recommendation in response to the Company’s petition asking for an order authorizing the transfer of the purchased assets and its accounting treatment for </w:t>
      </w:r>
      <w:r w:rsidR="00613A5D" w:rsidRPr="004274CF">
        <w:t>the balance of the regulatory asset associated with the BPA substation loan that was assigned to Lower Snake River Phase 2</w:t>
      </w:r>
      <w:r w:rsidRPr="004274CF">
        <w:t>.</w:t>
      </w:r>
      <w:r w:rsidR="00A25E39" w:rsidRPr="004274CF">
        <w:t xml:space="preserve"> </w:t>
      </w:r>
      <w:r w:rsidR="00D50734" w:rsidRPr="004274CF">
        <w:t xml:space="preserve"> </w:t>
      </w:r>
      <w:r w:rsidR="00A25E39" w:rsidRPr="004274CF">
        <w:t>This adjustment decreases rate base by $</w:t>
      </w:r>
      <w:r w:rsidR="00E41A24" w:rsidRPr="004274CF">
        <w:t>28</w:t>
      </w:r>
      <w:r w:rsidR="00A25E39" w:rsidRPr="004274CF">
        <w:t>,</w:t>
      </w:r>
      <w:r w:rsidR="004274CF" w:rsidRPr="004274CF">
        <w:t>393</w:t>
      </w:r>
      <w:r w:rsidR="00A25E39" w:rsidRPr="004274CF">
        <w:t>,</w:t>
      </w:r>
      <w:r w:rsidR="004274CF" w:rsidRPr="004274CF">
        <w:t>533</w:t>
      </w:r>
      <w:r w:rsidR="00D50734" w:rsidRPr="004274CF">
        <w:t xml:space="preserve"> and </w:t>
      </w:r>
      <w:r w:rsidR="00A25E39" w:rsidRPr="004274CF">
        <w:t>increases expense by $</w:t>
      </w:r>
      <w:r w:rsidR="004274CF" w:rsidRPr="004274CF">
        <w:t>608</w:t>
      </w:r>
      <w:r w:rsidR="00C26DE5" w:rsidRPr="004274CF">
        <w:t>,</w:t>
      </w:r>
      <w:r w:rsidR="004274CF" w:rsidRPr="004274CF">
        <w:t>984</w:t>
      </w:r>
      <w:r w:rsidR="00A25E39" w:rsidRPr="004274CF">
        <w:t>.</w:t>
      </w:r>
    </w:p>
    <w:p w:rsidR="00055198" w:rsidRDefault="00A25E39">
      <w:pPr>
        <w:pStyle w:val="Heading6"/>
      </w:pPr>
      <w:bookmarkStart w:id="42" w:name="_Toc364231316"/>
      <w:r w:rsidRPr="003A286D">
        <w:t>Production Adjustment</w:t>
      </w:r>
      <w:r w:rsidR="003A286D">
        <w:t xml:space="preserve"> (</w:t>
      </w:r>
      <w:r w:rsidRPr="003A286D">
        <w:t>Adjustment</w:t>
      </w:r>
      <w:r w:rsidR="003A286D">
        <w:t xml:space="preserve"> </w:t>
      </w:r>
      <w:r w:rsidRPr="003965AB">
        <w:t>23</w:t>
      </w:r>
      <w:r w:rsidR="003A286D">
        <w:t>)</w:t>
      </w:r>
      <w:bookmarkEnd w:id="42"/>
    </w:p>
    <w:p w:rsidR="00FE68C7" w:rsidRDefault="005C4C78" w:rsidP="00884641">
      <w:pPr>
        <w:pStyle w:val="Answer-Testimony"/>
        <w:ind w:firstLine="0"/>
      </w:pPr>
      <w:r>
        <w:t xml:space="preserve">This adjustment </w:t>
      </w:r>
      <w:r w:rsidR="00A25E39" w:rsidRPr="003965AB">
        <w:t xml:space="preserve">pro forms the production related rate base and expenses that have not been included in </w:t>
      </w:r>
      <w:r w:rsidR="00A25E39" w:rsidRPr="00D55DE5">
        <w:t>Adjustment</w:t>
      </w:r>
      <w:r w:rsidR="00D55DE5">
        <w:t xml:space="preserve"> </w:t>
      </w:r>
      <w:r w:rsidR="00A25E39" w:rsidRPr="00D55DE5">
        <w:t>1</w:t>
      </w:r>
      <w:r w:rsidR="00A25E39" w:rsidRPr="003965AB">
        <w:t xml:space="preserve">.  </w:t>
      </w:r>
      <w:r w:rsidR="00D55DE5">
        <w:t>T</w:t>
      </w:r>
      <w:r w:rsidR="00A25E39" w:rsidRPr="003965AB">
        <w:t>hese costs are adjusted to test year levels using the production factor, the ratio of test year delivered load to rate year delivered load, so that the test year level of costs are collected in the rate year.</w:t>
      </w:r>
      <w:r w:rsidR="003F733C">
        <w:t xml:space="preserve">  </w:t>
      </w:r>
    </w:p>
    <w:p w:rsidR="00D45D80" w:rsidRDefault="00FE68C7" w:rsidP="00884641">
      <w:pPr>
        <w:pStyle w:val="Answer-Testimony"/>
        <w:ind w:firstLine="0"/>
      </w:pPr>
      <w:r>
        <w:tab/>
      </w:r>
      <w:r w:rsidR="003F733C">
        <w:t xml:space="preserve">Staff </w:t>
      </w:r>
      <w:r w:rsidR="00D45D80">
        <w:t xml:space="preserve">made </w:t>
      </w:r>
      <w:r w:rsidR="003F733C">
        <w:t xml:space="preserve">one adjustment to reconcile the differences between the Company’s financial statements and </w:t>
      </w:r>
      <w:r w:rsidR="003F733C" w:rsidRPr="008C4F16">
        <w:t>Client D</w:t>
      </w:r>
      <w:r w:rsidR="009B3FE4">
        <w:t>ata Analysis Retrieval System (</w:t>
      </w:r>
      <w:r w:rsidR="003F733C" w:rsidRPr="008C4F16">
        <w:t>CDARS).</w:t>
      </w:r>
      <w:r w:rsidR="003F733C" w:rsidRPr="008C4F16">
        <w:rPr>
          <w:rStyle w:val="FootnoteReference"/>
        </w:rPr>
        <w:footnoteReference w:id="61"/>
      </w:r>
      <w:r w:rsidR="00A25E39" w:rsidRPr="008C4F16">
        <w:t xml:space="preserve">  The test year delivered load of 21,321,495 MWhs has been adjusted </w:t>
      </w:r>
      <w:r w:rsidR="00A25E39" w:rsidRPr="003965AB">
        <w:t>by the temperature normalization,</w:t>
      </w:r>
      <w:r w:rsidR="008C4F16">
        <w:t xml:space="preserve"> </w:t>
      </w:r>
      <w:r w:rsidR="0046652E">
        <w:t>reconcile</w:t>
      </w:r>
      <w:r w:rsidR="000D2CE5">
        <w:t>d</w:t>
      </w:r>
      <w:r w:rsidR="0046652E">
        <w:t xml:space="preserve"> for the </w:t>
      </w:r>
      <w:r w:rsidR="008C4F16">
        <w:t xml:space="preserve">inconsistency </w:t>
      </w:r>
      <w:r w:rsidR="0046652E">
        <w:t xml:space="preserve">between </w:t>
      </w:r>
      <w:r w:rsidR="008C4F16">
        <w:t>CDARS</w:t>
      </w:r>
      <w:r w:rsidR="0046652E">
        <w:t xml:space="preserve"> and </w:t>
      </w:r>
      <w:r w:rsidR="0046652E">
        <w:lastRenderedPageBreak/>
        <w:t>financial statements</w:t>
      </w:r>
      <w:r w:rsidR="008C4F16">
        <w:t>,</w:t>
      </w:r>
      <w:r w:rsidR="00D55DE5">
        <w:t xml:space="preserve"> and</w:t>
      </w:r>
      <w:r w:rsidR="00A25E39" w:rsidRPr="003965AB">
        <w:t xml:space="preserve"> remov</w:t>
      </w:r>
      <w:r w:rsidR="000D2CE5">
        <w:t>al of</w:t>
      </w:r>
      <w:r w:rsidR="00A25E39" w:rsidRPr="003965AB">
        <w:t xml:space="preserve"> the test year load for the </w:t>
      </w:r>
      <w:r>
        <w:t xml:space="preserve">sale of PSE assets to </w:t>
      </w:r>
      <w:r w:rsidR="00A25E39" w:rsidRPr="003965AB">
        <w:t>Jefferson County PUD No. 1</w:t>
      </w:r>
      <w:r w:rsidR="00D45D80">
        <w:t>.</w:t>
      </w:r>
    </w:p>
    <w:p w:rsidR="00055198" w:rsidRPr="004274CF" w:rsidRDefault="00D45D80" w:rsidP="00884641">
      <w:pPr>
        <w:pStyle w:val="Answer-Testimony"/>
        <w:ind w:firstLine="0"/>
      </w:pPr>
      <w:r>
        <w:tab/>
      </w:r>
      <w:r w:rsidR="00A25E39" w:rsidRPr="003965AB">
        <w:t xml:space="preserve">The resulting adjusted test year delivered </w:t>
      </w:r>
      <w:r w:rsidR="00A25E39" w:rsidRPr="008C4F16">
        <w:t>load of 20,9</w:t>
      </w:r>
      <w:r w:rsidR="008C4F16" w:rsidRPr="008C4F16">
        <w:t>12</w:t>
      </w:r>
      <w:r w:rsidR="00A25E39" w:rsidRPr="008C4F16">
        <w:t>,</w:t>
      </w:r>
      <w:r w:rsidR="008C4F16" w:rsidRPr="008C4F16">
        <w:t>761</w:t>
      </w:r>
      <w:r w:rsidR="00A25E39" w:rsidRPr="008C4F16">
        <w:t xml:space="preserve"> MWhs divided by the rate year delivered </w:t>
      </w:r>
      <w:r w:rsidR="00A25E39" w:rsidRPr="004274CF">
        <w:t>load of 21,288,639 MWhs results in a production factor of 1.7</w:t>
      </w:r>
      <w:r w:rsidR="008C4F16" w:rsidRPr="004274CF">
        <w:t>66</w:t>
      </w:r>
      <w:r w:rsidR="00A25E39" w:rsidRPr="004274CF">
        <w:t xml:space="preserve"> percent.  When applied to the production costs and rate base in this adjustment, it d</w:t>
      </w:r>
      <w:r w:rsidR="00A25134" w:rsidRPr="004274CF">
        <w:t>ecrease</w:t>
      </w:r>
      <w:r w:rsidR="00A25E39" w:rsidRPr="004274CF">
        <w:t xml:space="preserve"> rate base by $4</w:t>
      </w:r>
      <w:r w:rsidR="008D7E84">
        <w:t>4</w:t>
      </w:r>
      <w:r w:rsidR="00A25E39" w:rsidRPr="004274CF">
        <w:t>,</w:t>
      </w:r>
      <w:r w:rsidR="008D7E84">
        <w:t>888</w:t>
      </w:r>
      <w:r w:rsidR="00A25E39" w:rsidRPr="004274CF">
        <w:t>,</w:t>
      </w:r>
      <w:r w:rsidR="004274CF" w:rsidRPr="004274CF">
        <w:t>3</w:t>
      </w:r>
      <w:r w:rsidR="008D7E84">
        <w:t xml:space="preserve">394 </w:t>
      </w:r>
      <w:r w:rsidR="00A25E39" w:rsidRPr="004274CF">
        <w:t>and expense by $</w:t>
      </w:r>
      <w:r w:rsidR="00C26DE5" w:rsidRPr="004274CF">
        <w:t>7</w:t>
      </w:r>
      <w:r w:rsidR="00A25E39" w:rsidRPr="004274CF">
        <w:t>,</w:t>
      </w:r>
      <w:r w:rsidR="008D7E84">
        <w:t>539</w:t>
      </w:r>
      <w:r w:rsidR="00A25E39" w:rsidRPr="004274CF">
        <w:t>,</w:t>
      </w:r>
      <w:r w:rsidR="008D7E84">
        <w:t>496</w:t>
      </w:r>
      <w:r w:rsidR="00A25E39" w:rsidRPr="004274CF">
        <w:t>.</w:t>
      </w:r>
    </w:p>
    <w:p w:rsidR="006F2353" w:rsidRPr="004274CF" w:rsidRDefault="006F2353" w:rsidP="00884641">
      <w:pPr>
        <w:pStyle w:val="Answer-Testimony"/>
        <w:ind w:firstLine="0"/>
      </w:pPr>
    </w:p>
    <w:p w:rsidR="008A14BC" w:rsidRPr="00F27E5A" w:rsidRDefault="00CB2D2D" w:rsidP="00506D4D">
      <w:pPr>
        <w:pStyle w:val="Heading1"/>
        <w:ind w:left="0"/>
        <w:jc w:val="center"/>
      </w:pPr>
      <w:bookmarkStart w:id="43" w:name="_Toc364231317"/>
      <w:r>
        <w:t xml:space="preserve">POWER COST </w:t>
      </w:r>
      <w:r w:rsidR="00210128" w:rsidRPr="00F27E5A">
        <w:t>RATE</w:t>
      </w:r>
      <w:r w:rsidR="00125C72" w:rsidRPr="00125C72">
        <w:t xml:space="preserve"> </w:t>
      </w:r>
      <w:r w:rsidR="00125C72">
        <w:t>AND REVENUE REQUIREMENT</w:t>
      </w:r>
      <w:bookmarkEnd w:id="43"/>
    </w:p>
    <w:p w:rsidR="008A14BC" w:rsidRDefault="008A14BC" w:rsidP="00A25E39">
      <w:pPr>
        <w:pStyle w:val="Answer-Testimony"/>
      </w:pPr>
    </w:p>
    <w:p w:rsidR="00A25E39" w:rsidRPr="003965AB" w:rsidRDefault="00A25E39" w:rsidP="0047007E">
      <w:pPr>
        <w:pStyle w:val="Question-Testimony"/>
      </w:pPr>
      <w:r w:rsidRPr="003965AB">
        <w:t>Q.</w:t>
      </w:r>
      <w:r w:rsidRPr="003965AB">
        <w:tab/>
      </w:r>
      <w:r w:rsidR="001A5100">
        <w:t xml:space="preserve">Have you prepared </w:t>
      </w:r>
      <w:r w:rsidR="0031785D">
        <w:t xml:space="preserve">an exhibit that </w:t>
      </w:r>
      <w:r w:rsidR="0031785D" w:rsidRPr="003965AB">
        <w:t>describes</w:t>
      </w:r>
      <w:r w:rsidRPr="003965AB">
        <w:t xml:space="preserve"> the impact of the pro forma adjustments on the Power Cost Rate</w:t>
      </w:r>
      <w:r w:rsidR="001A5100">
        <w:t>?</w:t>
      </w:r>
    </w:p>
    <w:p w:rsidR="007717A9" w:rsidRPr="004274CF" w:rsidRDefault="00A25E39" w:rsidP="00360AB6">
      <w:pPr>
        <w:pStyle w:val="Answer-Testimony"/>
      </w:pPr>
      <w:r w:rsidRPr="003965AB">
        <w:t>A.</w:t>
      </w:r>
      <w:r w:rsidRPr="003965AB">
        <w:tab/>
      </w:r>
      <w:r w:rsidR="001A5100">
        <w:t xml:space="preserve">Yes.  </w:t>
      </w:r>
      <w:r w:rsidR="00375AEE">
        <w:t xml:space="preserve">My </w:t>
      </w:r>
      <w:r w:rsidRPr="009974D4">
        <w:t>Exhibit No. </w:t>
      </w:r>
      <w:r w:rsidR="00741462" w:rsidRPr="009974D4">
        <w:t>CTM</w:t>
      </w:r>
      <w:r w:rsidRPr="009974D4">
        <w:t>-</w:t>
      </w:r>
      <w:r w:rsidR="00741462" w:rsidRPr="009974D4">
        <w:t>3</w:t>
      </w:r>
      <w:r w:rsidRPr="009974D4">
        <w:t xml:space="preserve"> shows the </w:t>
      </w:r>
      <w:r w:rsidR="009B3FE4" w:rsidRPr="009974D4">
        <w:t xml:space="preserve">impacts of the above adjustments on the Power Cost Rate, for known and </w:t>
      </w:r>
      <w:r w:rsidR="00264F2D" w:rsidRPr="009974D4">
        <w:t xml:space="preserve">available </w:t>
      </w:r>
      <w:r w:rsidR="009B3FE4" w:rsidRPr="009974D4">
        <w:t>information to Staff.</w:t>
      </w:r>
      <w:r w:rsidRPr="009974D4">
        <w:t xml:space="preserve">  The costs are allocated </w:t>
      </w:r>
      <w:r w:rsidRPr="004274CF">
        <w:t>between fixed and variable, and the total costs are adjusted for revenue sensitive items.  The total costs of $1,2</w:t>
      </w:r>
      <w:r w:rsidR="00E43FA1">
        <w:t>65</w:t>
      </w:r>
      <w:r w:rsidRPr="004274CF">
        <w:t>,</w:t>
      </w:r>
      <w:r w:rsidR="00E43FA1">
        <w:t>090</w:t>
      </w:r>
      <w:r w:rsidRPr="004274CF">
        <w:t>,</w:t>
      </w:r>
      <w:r w:rsidR="00E43FA1">
        <w:t>766</w:t>
      </w:r>
      <w:r w:rsidRPr="004274CF">
        <w:t xml:space="preserve"> are divided by the test year delivered load of 20,91</w:t>
      </w:r>
      <w:r w:rsidR="00741462" w:rsidRPr="004274CF">
        <w:t>2</w:t>
      </w:r>
      <w:r w:rsidRPr="004274CF">
        <w:t>,</w:t>
      </w:r>
      <w:r w:rsidR="00741462" w:rsidRPr="004274CF">
        <w:t>761</w:t>
      </w:r>
      <w:r w:rsidRPr="004274CF">
        <w:t xml:space="preserve"> </w:t>
      </w:r>
      <w:r w:rsidR="00741462" w:rsidRPr="004274CF">
        <w:t>MWhs</w:t>
      </w:r>
      <w:r w:rsidRPr="004274CF">
        <w:t xml:space="preserve"> to calculate the new </w:t>
      </w:r>
      <w:r w:rsidR="00741462" w:rsidRPr="004274CF">
        <w:t xml:space="preserve">Power Cost </w:t>
      </w:r>
      <w:r w:rsidRPr="004274CF">
        <w:t>Rate of $</w:t>
      </w:r>
      <w:r w:rsidR="001A5100" w:rsidRPr="004274CF">
        <w:t>6</w:t>
      </w:r>
      <w:r w:rsidR="00E43FA1">
        <w:t>3</w:t>
      </w:r>
      <w:r w:rsidR="001A5100" w:rsidRPr="004274CF">
        <w:t>.</w:t>
      </w:r>
      <w:r w:rsidR="00E43FA1">
        <w:t>345</w:t>
      </w:r>
      <w:r w:rsidRPr="004274CF">
        <w:t xml:space="preserve"> per MWh </w:t>
      </w:r>
      <w:r w:rsidR="008A2339" w:rsidRPr="004274CF">
        <w:t xml:space="preserve">after being </w:t>
      </w:r>
      <w:r w:rsidR="001A5100" w:rsidRPr="004274CF">
        <w:t xml:space="preserve">grossed up for </w:t>
      </w:r>
      <w:r w:rsidR="0047007E" w:rsidRPr="004274CF">
        <w:t>revenue sensitive item</w:t>
      </w:r>
      <w:r w:rsidR="001A5100" w:rsidRPr="004274CF">
        <w:t>.</w:t>
      </w:r>
    </w:p>
    <w:p w:rsidR="00360AB6" w:rsidRDefault="00505CF3" w:rsidP="007717A9">
      <w:pPr>
        <w:pStyle w:val="Answer-Testimony"/>
        <w:ind w:firstLine="720"/>
      </w:pPr>
      <w:r w:rsidRPr="004274CF">
        <w:t xml:space="preserve">Staff proposes to decrease the </w:t>
      </w:r>
      <w:r w:rsidR="007C0C65" w:rsidRPr="004274CF">
        <w:t>Power Cost Rate</w:t>
      </w:r>
      <w:r w:rsidRPr="004274CF">
        <w:t xml:space="preserve"> from $64.099 to $6</w:t>
      </w:r>
      <w:r w:rsidR="00E43FA1">
        <w:t>3</w:t>
      </w:r>
      <w:r w:rsidRPr="004274CF">
        <w:t>.</w:t>
      </w:r>
      <w:r w:rsidR="00E43FA1">
        <w:t>345</w:t>
      </w:r>
      <w:r w:rsidRPr="004274CF">
        <w:t xml:space="preserve"> per MWh.  This compares to the Company’s proposal to increase the Power </w:t>
      </w:r>
      <w:r>
        <w:t xml:space="preserve">Cost Rate </w:t>
      </w:r>
      <w:r w:rsidRPr="00F27E5A">
        <w:t>from $6</w:t>
      </w:r>
      <w:r>
        <w:t>4</w:t>
      </w:r>
      <w:r w:rsidRPr="00F27E5A">
        <w:t>.0</w:t>
      </w:r>
      <w:r>
        <w:t>99</w:t>
      </w:r>
      <w:r w:rsidRPr="00F27E5A">
        <w:t xml:space="preserve"> to $</w:t>
      </w:r>
      <w:r>
        <w:t>64</w:t>
      </w:r>
      <w:r w:rsidRPr="00F27E5A">
        <w:t>.</w:t>
      </w:r>
      <w:r>
        <w:t>12</w:t>
      </w:r>
      <w:r w:rsidRPr="00F27E5A">
        <w:t>0</w:t>
      </w:r>
      <w:r>
        <w:t xml:space="preserve"> per MWh</w:t>
      </w:r>
      <w:r w:rsidRPr="00F27E5A">
        <w:t>.</w:t>
      </w:r>
    </w:p>
    <w:p w:rsidR="00360AB6" w:rsidRPr="00F27E5A" w:rsidRDefault="00360AB6" w:rsidP="00360AB6">
      <w:pPr>
        <w:pStyle w:val="Question-Testimony"/>
      </w:pPr>
    </w:p>
    <w:p w:rsidR="00360AB6" w:rsidRPr="00F27E5A" w:rsidRDefault="00360AB6" w:rsidP="00FB6BBC">
      <w:pPr>
        <w:pStyle w:val="Question-Testimony"/>
        <w:keepNext/>
      </w:pPr>
      <w:r w:rsidRPr="00F27E5A">
        <w:lastRenderedPageBreak/>
        <w:t>Q.</w:t>
      </w:r>
      <w:r w:rsidRPr="00F27E5A">
        <w:tab/>
      </w:r>
      <w:r w:rsidR="00095890">
        <w:t>Please e</w:t>
      </w:r>
      <w:r>
        <w:t>xplain how Staff calculated the revenue requirement.</w:t>
      </w:r>
    </w:p>
    <w:p w:rsidR="00360AB6" w:rsidRPr="00C26DE5" w:rsidRDefault="00360AB6" w:rsidP="00360AB6">
      <w:pPr>
        <w:pStyle w:val="Answer-Testimony"/>
      </w:pPr>
      <w:r w:rsidRPr="00F27E5A">
        <w:t>A.</w:t>
      </w:r>
      <w:r w:rsidRPr="00F27E5A">
        <w:tab/>
        <w:t xml:space="preserve">Staff </w:t>
      </w:r>
      <w:r>
        <w:t xml:space="preserve">calculated the revenue requirement using the difference between the current </w:t>
      </w:r>
      <w:r w:rsidR="007C0C65">
        <w:t>Power Cost Rate</w:t>
      </w:r>
      <w:r>
        <w:t xml:space="preserve"> and Staff</w:t>
      </w:r>
      <w:r w:rsidRPr="00F27E5A">
        <w:t>’</w:t>
      </w:r>
      <w:r>
        <w:t xml:space="preserve">s </w:t>
      </w:r>
      <w:r w:rsidRPr="009974D4">
        <w:t xml:space="preserve">proposed </w:t>
      </w:r>
      <w:r w:rsidR="007C0C65" w:rsidRPr="009974D4">
        <w:t>Power Cost Rate</w:t>
      </w:r>
      <w:r w:rsidRPr="009974D4">
        <w:t xml:space="preserve">, after making the adjustments I discussed earlier, and grossed up for revenue sensitive items.  This calculation is shown in my Exhibit No. CTM-4.  </w:t>
      </w:r>
      <w:r w:rsidRPr="004274CF">
        <w:t xml:space="preserve">The result of Staff’s calculation is a decrease in revenue requirement </w:t>
      </w:r>
      <w:r w:rsidR="00F46ABB" w:rsidRPr="004274CF">
        <w:t>by</w:t>
      </w:r>
      <w:r w:rsidRPr="004274CF">
        <w:t xml:space="preserve"> $</w:t>
      </w:r>
      <w:r w:rsidR="00E43FA1">
        <w:t>15</w:t>
      </w:r>
      <w:r w:rsidRPr="004274CF">
        <w:t>,</w:t>
      </w:r>
      <w:r w:rsidR="00E43FA1">
        <w:t>775</w:t>
      </w:r>
      <w:r w:rsidRPr="004274CF">
        <w:t>,</w:t>
      </w:r>
      <w:r w:rsidR="00E43FA1">
        <w:t>123</w:t>
      </w:r>
      <w:r w:rsidRPr="004274CF">
        <w:t xml:space="preserve">. </w:t>
      </w:r>
      <w:r w:rsidR="00F46ABB" w:rsidRPr="004274CF">
        <w:t xml:space="preserve"> </w:t>
      </w:r>
      <w:r w:rsidRPr="004274CF">
        <w:t xml:space="preserve">This compares to the Company’s proposal to increase the </w:t>
      </w:r>
      <w:r w:rsidR="00F46ABB" w:rsidRPr="004274CF">
        <w:t>revenue requirement by</w:t>
      </w:r>
      <w:r w:rsidRPr="004274CF">
        <w:t xml:space="preserve"> $4</w:t>
      </w:r>
      <w:r w:rsidR="008A2339" w:rsidRPr="004274CF">
        <w:t>91</w:t>
      </w:r>
      <w:r w:rsidRPr="00A25134">
        <w:t>,</w:t>
      </w:r>
      <w:r w:rsidR="008A2339" w:rsidRPr="00A25134">
        <w:t>934</w:t>
      </w:r>
      <w:r w:rsidR="00F46ABB" w:rsidRPr="00C26DE5">
        <w:t>.</w:t>
      </w:r>
    </w:p>
    <w:p w:rsidR="00CB2D2D" w:rsidRPr="00F27E5A" w:rsidRDefault="00035F41" w:rsidP="00035F41">
      <w:pPr>
        <w:pStyle w:val="Answer-Testimony"/>
        <w:ind w:firstLine="720"/>
      </w:pPr>
      <w:r>
        <w:t xml:space="preserve">This change in rates results </w:t>
      </w:r>
      <w:r w:rsidRPr="004274CF">
        <w:t xml:space="preserve">in an average decrease of approximately </w:t>
      </w:r>
      <w:r w:rsidR="00E43FA1">
        <w:t>0</w:t>
      </w:r>
      <w:r w:rsidR="00360DF4" w:rsidRPr="004274CF">
        <w:t>.</w:t>
      </w:r>
      <w:r w:rsidR="00E43FA1">
        <w:t>7</w:t>
      </w:r>
      <w:r w:rsidR="00F05985" w:rsidRPr="004274CF">
        <w:t>7</w:t>
      </w:r>
      <w:r w:rsidRPr="004274CF">
        <w:t xml:space="preserve">%. </w:t>
      </w:r>
      <w:r w:rsidR="00F81717" w:rsidRPr="004274CF">
        <w:t xml:space="preserve"> </w:t>
      </w:r>
      <w:r w:rsidRPr="004274CF">
        <w:t xml:space="preserve"> </w:t>
      </w:r>
      <w:r w:rsidR="002B6997">
        <w:t xml:space="preserve">Staff </w:t>
      </w:r>
      <w:r>
        <w:t xml:space="preserve">discusses how this revenue </w:t>
      </w:r>
      <w:r w:rsidR="004E10E7">
        <w:t>impact</w:t>
      </w:r>
      <w:r w:rsidR="00F81717">
        <w:t xml:space="preserve"> </w:t>
      </w:r>
      <w:r>
        <w:t>is allocated to each of the customer classes</w:t>
      </w:r>
      <w:r w:rsidR="004961F8">
        <w:t xml:space="preserve"> in the </w:t>
      </w:r>
      <w:r w:rsidR="002B6997">
        <w:t xml:space="preserve">next </w:t>
      </w:r>
      <w:r w:rsidR="004961F8">
        <w:t xml:space="preserve">section of </w:t>
      </w:r>
      <w:r w:rsidR="002B6997">
        <w:t xml:space="preserve">my </w:t>
      </w:r>
      <w:r>
        <w:t>testimony.</w:t>
      </w:r>
    </w:p>
    <w:p w:rsidR="002B6997" w:rsidRPr="00F27E5A" w:rsidRDefault="002B6997" w:rsidP="002B6997">
      <w:pPr>
        <w:pStyle w:val="Answer-Testimony"/>
      </w:pPr>
    </w:p>
    <w:p w:rsidR="002B6997" w:rsidRPr="002B6997" w:rsidRDefault="002B6997" w:rsidP="00506D4D">
      <w:pPr>
        <w:pStyle w:val="Heading1"/>
        <w:ind w:left="0"/>
        <w:jc w:val="center"/>
      </w:pPr>
      <w:bookmarkStart w:id="44" w:name="_Toc364231318"/>
      <w:r w:rsidRPr="002B6997">
        <w:t>R</w:t>
      </w:r>
      <w:r w:rsidR="003A639B">
        <w:t>EVENUE ALLOCATION</w:t>
      </w:r>
      <w:r>
        <w:t xml:space="preserve"> </w:t>
      </w:r>
      <w:r w:rsidR="00360AB6">
        <w:t>AND</w:t>
      </w:r>
      <w:r>
        <w:t xml:space="preserve"> RATE DESIGN</w:t>
      </w:r>
      <w:bookmarkEnd w:id="44"/>
    </w:p>
    <w:p w:rsidR="002B6997" w:rsidRPr="00F27E5A" w:rsidRDefault="002B6997" w:rsidP="002B6997">
      <w:pPr>
        <w:pStyle w:val="Answer-Testimony"/>
      </w:pPr>
    </w:p>
    <w:p w:rsidR="002B6997" w:rsidRDefault="002B6997" w:rsidP="002B6997">
      <w:pPr>
        <w:pStyle w:val="Question-Testimony"/>
      </w:pPr>
      <w:r>
        <w:t>Q.</w:t>
      </w:r>
      <w:r>
        <w:tab/>
        <w:t>Please summarize how the proposed</w:t>
      </w:r>
      <w:r w:rsidR="003A639B">
        <w:t xml:space="preserve"> revenue</w:t>
      </w:r>
      <w:r>
        <w:t xml:space="preserve"> change to the Power Cost Rate</w:t>
      </w:r>
      <w:r w:rsidR="004961F8">
        <w:t xml:space="preserve"> should be allocated</w:t>
      </w:r>
      <w:r w:rsidR="003A639B">
        <w:t xml:space="preserve"> </w:t>
      </w:r>
      <w:r>
        <w:t xml:space="preserve">to </w:t>
      </w:r>
      <w:r w:rsidR="004961F8">
        <w:t>customer classes</w:t>
      </w:r>
      <w:r>
        <w:t>.</w:t>
      </w:r>
    </w:p>
    <w:p w:rsidR="002B6997" w:rsidRPr="009974D4" w:rsidRDefault="002B6997" w:rsidP="002B6997">
      <w:pPr>
        <w:pStyle w:val="Answer-Testimony"/>
      </w:pPr>
      <w:r w:rsidRPr="00394EB0">
        <w:t>A.</w:t>
      </w:r>
      <w:r w:rsidRPr="00394EB0">
        <w:tab/>
        <w:t>The PCA</w:t>
      </w:r>
      <w:r w:rsidR="004961F8">
        <w:t xml:space="preserve"> procedures </w:t>
      </w:r>
      <w:r w:rsidRPr="00394EB0">
        <w:t xml:space="preserve">require that changes in the </w:t>
      </w:r>
      <w:r w:rsidR="007C0C65">
        <w:t>Power Cost Rate</w:t>
      </w:r>
      <w:r w:rsidRPr="00394EB0">
        <w:t xml:space="preserve"> be spread to customer</w:t>
      </w:r>
      <w:r w:rsidR="004961F8">
        <w:t xml:space="preserve"> classe</w:t>
      </w:r>
      <w:r w:rsidRPr="00394EB0">
        <w:t>s based upon the peak credit methodology used in computing the r</w:t>
      </w:r>
      <w:r w:rsidR="003A639B">
        <w:t xml:space="preserve">evenue allocation </w:t>
      </w:r>
      <w:r w:rsidRPr="00394EB0">
        <w:t xml:space="preserve">methodology in PSE’s most recent </w:t>
      </w:r>
      <w:r w:rsidR="003A639B">
        <w:t>GRC.</w:t>
      </w:r>
      <w:r w:rsidR="003A639B">
        <w:rPr>
          <w:rStyle w:val="FootnoteReference"/>
        </w:rPr>
        <w:footnoteReference w:id="62"/>
      </w:r>
      <w:r w:rsidRPr="00394EB0">
        <w:t xml:space="preserve">  </w:t>
      </w:r>
      <w:r>
        <w:t xml:space="preserve">Therefore, Staff </w:t>
      </w:r>
      <w:r w:rsidRPr="009974D4">
        <w:t xml:space="preserve">applied the peak credit methodology </w:t>
      </w:r>
      <w:r w:rsidR="003A639B" w:rsidRPr="009974D4">
        <w:t xml:space="preserve">from the last GRC </w:t>
      </w:r>
      <w:r w:rsidRPr="009974D4">
        <w:t>to determine the amount to be allocated to each rate class.  Th</w:t>
      </w:r>
      <w:r w:rsidR="00BD2468" w:rsidRPr="009974D4">
        <w:t xml:space="preserve">e allocation to rate classes </w:t>
      </w:r>
      <w:r w:rsidR="003A639B" w:rsidRPr="009974D4">
        <w:t>is</w:t>
      </w:r>
      <w:r w:rsidRPr="009974D4">
        <w:t xml:space="preserve"> shown in</w:t>
      </w:r>
      <w:r w:rsidR="004961F8" w:rsidRPr="009974D4">
        <w:t xml:space="preserve"> my</w:t>
      </w:r>
      <w:r w:rsidRPr="009974D4">
        <w:t xml:space="preserve"> Exhibit No. CTM-</w:t>
      </w:r>
      <w:r w:rsidR="00CA3E5E" w:rsidRPr="009974D4">
        <w:t>5</w:t>
      </w:r>
      <w:r w:rsidRPr="009974D4">
        <w:t>.</w:t>
      </w:r>
    </w:p>
    <w:p w:rsidR="002B6997" w:rsidRPr="009974D4" w:rsidRDefault="002B6997" w:rsidP="002B6997">
      <w:pPr>
        <w:pStyle w:val="Answer-Testimony"/>
      </w:pPr>
    </w:p>
    <w:p w:rsidR="002B6997" w:rsidRPr="009974D4" w:rsidRDefault="002B6997" w:rsidP="00D55886">
      <w:pPr>
        <w:pStyle w:val="Question-Testimony"/>
      </w:pPr>
      <w:r w:rsidRPr="009974D4">
        <w:lastRenderedPageBreak/>
        <w:t>Q.</w:t>
      </w:r>
      <w:r w:rsidRPr="009974D4">
        <w:tab/>
      </w:r>
      <w:r w:rsidR="004961F8" w:rsidRPr="009974D4">
        <w:t xml:space="preserve">Have you prepared an exhibit </w:t>
      </w:r>
      <w:r w:rsidRPr="009974D4">
        <w:t>describ</w:t>
      </w:r>
      <w:r w:rsidR="004961F8" w:rsidRPr="009974D4">
        <w:t xml:space="preserve">ing </w:t>
      </w:r>
      <w:r w:rsidR="00D55886" w:rsidRPr="009974D4">
        <w:t>the c</w:t>
      </w:r>
      <w:r w:rsidRPr="009974D4">
        <w:t>alculation of Schedule 95 Rate</w:t>
      </w:r>
      <w:r w:rsidR="00D55886" w:rsidRPr="009974D4">
        <w:t>s</w:t>
      </w:r>
      <w:r w:rsidR="004961F8" w:rsidRPr="009974D4">
        <w:t>?</w:t>
      </w:r>
    </w:p>
    <w:p w:rsidR="002B6997" w:rsidRPr="009974D4" w:rsidRDefault="002B6997" w:rsidP="002B6997">
      <w:pPr>
        <w:pStyle w:val="Answer-Testimony"/>
      </w:pPr>
      <w:r w:rsidRPr="009974D4">
        <w:t>A.</w:t>
      </w:r>
      <w:r w:rsidRPr="009974D4">
        <w:tab/>
      </w:r>
      <w:r w:rsidR="004961F8" w:rsidRPr="009974D4">
        <w:t xml:space="preserve">Yes.  </w:t>
      </w:r>
      <w:r w:rsidR="00CA3E5E" w:rsidRPr="009974D4">
        <w:t xml:space="preserve">My </w:t>
      </w:r>
      <w:r w:rsidR="00D55886" w:rsidRPr="009974D4">
        <w:t>Exhibit No. CTM-</w:t>
      </w:r>
      <w:r w:rsidR="00CA3E5E" w:rsidRPr="009974D4">
        <w:t>5</w:t>
      </w:r>
      <w:r w:rsidR="00D55886" w:rsidRPr="009974D4">
        <w:t xml:space="preserve"> shows t</w:t>
      </w:r>
      <w:r w:rsidRPr="009974D4">
        <w:t>he calculation of the PCA rate</w:t>
      </w:r>
      <w:r w:rsidR="00D55886" w:rsidRPr="009974D4">
        <w:t>s</w:t>
      </w:r>
      <w:r w:rsidR="007717A9" w:rsidRPr="009974D4">
        <w:t xml:space="preserve"> in</w:t>
      </w:r>
      <w:r w:rsidRPr="009974D4">
        <w:t xml:space="preserve"> Schedule 95, for each rate class.  It calculates Schedule 95 rates for each class by dividing the allocated costs by the weather adjusted kWh fo</w:t>
      </w:r>
      <w:r w:rsidR="003A639B" w:rsidRPr="009974D4">
        <w:t>r each class for the test year.</w:t>
      </w:r>
    </w:p>
    <w:p w:rsidR="002B6997" w:rsidRPr="009974D4" w:rsidRDefault="002B6997" w:rsidP="002B6997">
      <w:pPr>
        <w:pStyle w:val="Answer-Testimony"/>
      </w:pPr>
    </w:p>
    <w:p w:rsidR="002B6997" w:rsidRDefault="002B6997" w:rsidP="002B6997">
      <w:pPr>
        <w:pStyle w:val="Question-Testimony"/>
      </w:pPr>
      <w:r w:rsidRPr="00784E65">
        <w:rPr>
          <w:snapToGrid w:val="0"/>
        </w:rPr>
        <w:t>Q.</w:t>
      </w:r>
      <w:r w:rsidRPr="00784E65">
        <w:rPr>
          <w:snapToGrid w:val="0"/>
        </w:rPr>
        <w:tab/>
      </w:r>
      <w:r>
        <w:rPr>
          <w:snapToGrid w:val="0"/>
        </w:rPr>
        <w:t>Please summarize the impacts of the proposed Schedule 95 rates.</w:t>
      </w:r>
    </w:p>
    <w:p w:rsidR="002B6997" w:rsidRPr="009974D4" w:rsidRDefault="002B6997" w:rsidP="002B6997">
      <w:pPr>
        <w:pStyle w:val="Answer-Testimony"/>
      </w:pPr>
      <w:r>
        <w:t>A.</w:t>
      </w:r>
      <w:r>
        <w:tab/>
        <w:t xml:space="preserve">The </w:t>
      </w:r>
      <w:r w:rsidRPr="004274CF">
        <w:t xml:space="preserve">results show </w:t>
      </w:r>
      <w:r w:rsidR="002914C5" w:rsidRPr="004274CF">
        <w:t>a decrease p</w:t>
      </w:r>
      <w:r w:rsidRPr="004274CF">
        <w:t xml:space="preserve">ercentage impact </w:t>
      </w:r>
      <w:r w:rsidR="002914C5" w:rsidRPr="004274CF">
        <w:t xml:space="preserve">in the range of </w:t>
      </w:r>
      <w:r w:rsidR="00E43FA1">
        <w:t>0</w:t>
      </w:r>
      <w:r w:rsidRPr="004274CF">
        <w:t>.</w:t>
      </w:r>
      <w:r w:rsidR="00E43FA1">
        <w:t>72</w:t>
      </w:r>
      <w:r w:rsidRPr="004274CF">
        <w:t xml:space="preserve"> percent to </w:t>
      </w:r>
      <w:r w:rsidR="00E43FA1">
        <w:t>1</w:t>
      </w:r>
      <w:r w:rsidRPr="004274CF">
        <w:t>.</w:t>
      </w:r>
      <w:r w:rsidR="00E43FA1">
        <w:t>15</w:t>
      </w:r>
      <w:r w:rsidRPr="004274CF">
        <w:t xml:space="preserve"> percent.  Residential customers receive a</w:t>
      </w:r>
      <w:r w:rsidR="002914C5" w:rsidRPr="004274CF">
        <w:t xml:space="preserve">pproximately </w:t>
      </w:r>
      <w:r w:rsidRPr="009974D4">
        <w:t>half of the overall revenue reduction</w:t>
      </w:r>
      <w:r w:rsidR="0037021A" w:rsidRPr="009974D4">
        <w:t>, a</w:t>
      </w:r>
      <w:r w:rsidRPr="009974D4">
        <w:t>s shown in my Exhibit No. CTM-</w:t>
      </w:r>
      <w:r w:rsidR="00CA3E5E" w:rsidRPr="009974D4">
        <w:t>5</w:t>
      </w:r>
      <w:r w:rsidRPr="009974D4">
        <w:t>.</w:t>
      </w:r>
    </w:p>
    <w:p w:rsidR="00F35E49" w:rsidRDefault="00F35E49" w:rsidP="00F35E49">
      <w:pPr>
        <w:pStyle w:val="Answer-Testimony"/>
      </w:pPr>
    </w:p>
    <w:p w:rsidR="00F35E49" w:rsidRPr="00F27E5A" w:rsidRDefault="00F35E49" w:rsidP="00F35E49">
      <w:pPr>
        <w:pStyle w:val="Question-Testimony"/>
      </w:pPr>
      <w:r w:rsidRPr="00F27E5A">
        <w:t>Q.</w:t>
      </w:r>
      <w:r w:rsidRPr="00F27E5A">
        <w:tab/>
        <w:t>Does this conclude your testimony?</w:t>
      </w:r>
    </w:p>
    <w:p w:rsidR="00F35E49" w:rsidRDefault="00F35E49" w:rsidP="00F35E49">
      <w:pPr>
        <w:pStyle w:val="Answer-Testimony"/>
      </w:pPr>
      <w:r w:rsidRPr="00F27E5A">
        <w:t>A.</w:t>
      </w:r>
      <w:r w:rsidRPr="00F27E5A">
        <w:tab/>
        <w:t>Yes.</w:t>
      </w:r>
    </w:p>
    <w:p w:rsidR="00F35E49" w:rsidRDefault="00F35E49">
      <w:pPr>
        <w:rPr>
          <w:rFonts w:eastAsia="Calibri"/>
          <w:sz w:val="20"/>
          <w:szCs w:val="20"/>
        </w:rPr>
      </w:pPr>
    </w:p>
    <w:sectPr w:rsidR="00F35E49"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FF" w:rsidRDefault="00B97DFF" w:rsidP="00C3471C">
      <w:r>
        <w:separator/>
      </w:r>
    </w:p>
    <w:p w:rsidR="00B97DFF" w:rsidRDefault="00B97DFF"/>
  </w:endnote>
  <w:endnote w:type="continuationSeparator" w:id="0">
    <w:p w:rsidR="00B97DFF" w:rsidRDefault="00B97DFF" w:rsidP="00C3471C">
      <w:r>
        <w:continuationSeparator/>
      </w:r>
    </w:p>
    <w:p w:rsidR="00B97DFF" w:rsidRDefault="00B97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FF" w:rsidRPr="00DC40BC" w:rsidRDefault="00B97DFF">
    <w:pPr>
      <w:pStyle w:val="Footer"/>
      <w:rPr>
        <w:sz w:val="20"/>
        <w:szCs w:val="20"/>
      </w:rPr>
    </w:pPr>
  </w:p>
  <w:p w:rsidR="00B97DFF" w:rsidRPr="00DC40BC" w:rsidRDefault="00B97DFF">
    <w:pPr>
      <w:pStyle w:val="Footer"/>
      <w:rPr>
        <w:sz w:val="20"/>
        <w:szCs w:val="20"/>
      </w:rPr>
    </w:pPr>
    <w:r w:rsidRPr="00DC40BC">
      <w:rPr>
        <w:sz w:val="20"/>
        <w:szCs w:val="20"/>
      </w:rPr>
      <w:t>TESTIMONY O</w:t>
    </w:r>
    <w:r>
      <w:rPr>
        <w:sz w:val="20"/>
        <w:szCs w:val="20"/>
      </w:rPr>
      <w:t>F CHRISTOPHER T. MICKELSON</w:t>
    </w:r>
    <w:r>
      <w:rPr>
        <w:sz w:val="20"/>
        <w:szCs w:val="20"/>
      </w:rPr>
      <w:tab/>
    </w:r>
    <w:r>
      <w:rPr>
        <w:sz w:val="20"/>
        <w:szCs w:val="20"/>
      </w:rPr>
      <w:tab/>
      <w:t>Exhibit No. ___T (CTM-1T)</w:t>
    </w:r>
  </w:p>
  <w:p w:rsidR="00B97DFF" w:rsidRPr="00A53017" w:rsidRDefault="00B97DFF" w:rsidP="00A53017">
    <w:pPr>
      <w:pStyle w:val="Footer"/>
      <w:rPr>
        <w:sz w:val="20"/>
        <w:szCs w:val="20"/>
        <w:lang w:val="fr-FR"/>
      </w:rPr>
    </w:pPr>
    <w:r w:rsidRPr="00DC40BC">
      <w:rPr>
        <w:sz w:val="20"/>
        <w:szCs w:val="20"/>
      </w:rPr>
      <w:t>Docket</w:t>
    </w:r>
    <w:r>
      <w:rPr>
        <w:sz w:val="20"/>
        <w:szCs w:val="20"/>
      </w:rPr>
      <w:t xml:space="preserve"> UE-130043</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F8096B">
      <w:rPr>
        <w:rStyle w:val="PageNumber"/>
        <w:noProof/>
        <w:sz w:val="20"/>
        <w:szCs w:val="20"/>
        <w:lang w:val="fr-FR"/>
      </w:rPr>
      <w:t>ii</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FF" w:rsidRDefault="00B97DFF">
      <w:r>
        <w:separator/>
      </w:r>
    </w:p>
  </w:footnote>
  <w:footnote w:type="continuationSeparator" w:id="0">
    <w:p w:rsidR="00B97DFF" w:rsidRDefault="00B97DFF" w:rsidP="00C3471C">
      <w:r>
        <w:continuationSeparator/>
      </w:r>
    </w:p>
    <w:p w:rsidR="00B97DFF" w:rsidRDefault="00B97DFF"/>
  </w:footnote>
  <w:footnote w:id="1">
    <w:p w:rsidR="00B97DFF" w:rsidRDefault="00B97DFF" w:rsidP="00C67EC2">
      <w:pPr>
        <w:pStyle w:val="FootnoteText"/>
      </w:pPr>
      <w:r>
        <w:rPr>
          <w:rStyle w:val="FootnoteReference"/>
        </w:rPr>
        <w:footnoteRef/>
      </w:r>
      <w:r>
        <w:t xml:space="preserve"> Barnard, Exhibit No. KJB-01CT at pages 10-11.</w:t>
      </w:r>
    </w:p>
  </w:footnote>
  <w:footnote w:id="2">
    <w:p w:rsidR="00B97DFF" w:rsidRDefault="00B97DFF" w:rsidP="00C67EC2">
      <w:pPr>
        <w:pStyle w:val="FootnoteText"/>
      </w:pPr>
      <w:r>
        <w:rPr>
          <w:rStyle w:val="FootnoteReference"/>
        </w:rPr>
        <w:footnoteRef/>
      </w:r>
      <w:r>
        <w:t xml:space="preserve"> </w:t>
      </w:r>
      <w:r w:rsidRPr="00F32123">
        <w:rPr>
          <w:i/>
        </w:rPr>
        <w:t>Id.</w:t>
      </w:r>
      <w:r>
        <w:t>, at pages 17-18.</w:t>
      </w:r>
    </w:p>
  </w:footnote>
  <w:footnote w:id="3">
    <w:p w:rsidR="00B97DFF" w:rsidRDefault="00B97DFF" w:rsidP="00496E06">
      <w:pPr>
        <w:pStyle w:val="FootnoteText"/>
      </w:pPr>
      <w:r>
        <w:rPr>
          <w:rStyle w:val="FootnoteReference"/>
        </w:rPr>
        <w:footnoteRef/>
      </w:r>
      <w:r>
        <w:t xml:space="preserve"> </w:t>
      </w:r>
      <w:r w:rsidRPr="00F32123">
        <w:rPr>
          <w:i/>
        </w:rPr>
        <w:t>Id.</w:t>
      </w:r>
      <w:r>
        <w:t>, at pages 17-18.</w:t>
      </w:r>
    </w:p>
  </w:footnote>
  <w:footnote w:id="4">
    <w:p w:rsidR="00B97DFF" w:rsidRDefault="00B97DFF">
      <w:pPr>
        <w:pStyle w:val="FootnoteText"/>
      </w:pPr>
      <w:r>
        <w:rPr>
          <w:rStyle w:val="FootnoteReference"/>
        </w:rPr>
        <w:footnoteRef/>
      </w:r>
      <w:r>
        <w:t xml:space="preserve"> </w:t>
      </w:r>
      <w:r>
        <w:rPr>
          <w:i/>
        </w:rPr>
        <w:t>Puget Sound Energy, Inc.,</w:t>
      </w:r>
      <w:r w:rsidRPr="007E50F7">
        <w:t xml:space="preserve"> Docket U</w:t>
      </w:r>
      <w:r>
        <w:t>E</w:t>
      </w:r>
      <w:r w:rsidRPr="007E50F7">
        <w:t>-</w:t>
      </w:r>
      <w:r>
        <w:t>131099,</w:t>
      </w:r>
      <w:r w:rsidRPr="007E50F7">
        <w:t xml:space="preserve"> </w:t>
      </w:r>
      <w:r>
        <w:t xml:space="preserve">Order Authorizing the Sale of Water Rights and Associated Assets of the Electron Hydroelectric Project in Accordance with WAC 480-143 and RCW 80.12 </w:t>
      </w:r>
      <w:r w:rsidRPr="007E50F7">
        <w:t>(</w:t>
      </w:r>
      <w:r>
        <w:t>June 6</w:t>
      </w:r>
      <w:r w:rsidRPr="007E50F7">
        <w:t xml:space="preserve">, </w:t>
      </w:r>
      <w:r>
        <w:t>2013).</w:t>
      </w:r>
    </w:p>
  </w:footnote>
  <w:footnote w:id="5">
    <w:p w:rsidR="00B97DFF" w:rsidRDefault="00B97DFF">
      <w:pPr>
        <w:pStyle w:val="FootnoteText"/>
      </w:pPr>
      <w:r>
        <w:rPr>
          <w:rStyle w:val="FootnoteReference"/>
        </w:rPr>
        <w:footnoteRef/>
      </w:r>
      <w:r>
        <w:t xml:space="preserve"> </w:t>
      </w:r>
      <w:r>
        <w:rPr>
          <w:i/>
        </w:rPr>
        <w:t>Puget Sound Energy, Inc.,</w:t>
      </w:r>
      <w:r w:rsidRPr="007E50F7">
        <w:t xml:space="preserve"> Docket U</w:t>
      </w:r>
      <w:r>
        <w:t>E</w:t>
      </w:r>
      <w:r w:rsidRPr="007E50F7">
        <w:t>-</w:t>
      </w:r>
      <w:r>
        <w:t>131230,</w:t>
      </w:r>
      <w:r w:rsidRPr="007E50F7">
        <w:t xml:space="preserve"> </w:t>
      </w:r>
      <w:r>
        <w:t xml:space="preserve">Order Authorizing the Sale of Interests in the Development Assets Required for the Construction and Operation of Phase II of the Lower Snake River Wind Facility </w:t>
      </w:r>
      <w:r w:rsidRPr="007E50F7">
        <w:t>(</w:t>
      </w:r>
      <w:r>
        <w:t>June 27</w:t>
      </w:r>
      <w:r w:rsidRPr="007E50F7">
        <w:t xml:space="preserve">, </w:t>
      </w:r>
      <w:r>
        <w:t>2013).</w:t>
      </w:r>
    </w:p>
  </w:footnote>
  <w:footnote w:id="6">
    <w:p w:rsidR="00B97DFF" w:rsidRDefault="00B97DFF">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Dockets U</w:t>
      </w:r>
      <w:r>
        <w:t>E</w:t>
      </w:r>
      <w:r w:rsidRPr="007E50F7">
        <w:t>-</w:t>
      </w:r>
      <w:r>
        <w:t>011570</w:t>
      </w:r>
      <w:r w:rsidRPr="007E50F7">
        <w:t xml:space="preserve"> and UG-</w:t>
      </w:r>
      <w:r>
        <w:t>011571,</w:t>
      </w:r>
      <w:r w:rsidRPr="007E50F7">
        <w:t xml:space="preserve"> </w:t>
      </w:r>
      <w:r>
        <w:t xml:space="preserve">Twelfth Supplemental </w:t>
      </w:r>
      <w:r w:rsidRPr="007E50F7">
        <w:t>Order</w:t>
      </w:r>
      <w:r>
        <w:t xml:space="preserve"> </w:t>
      </w:r>
      <w:r w:rsidRPr="007E50F7">
        <w:t>(</w:t>
      </w:r>
      <w:r>
        <w:t>June 20</w:t>
      </w:r>
      <w:r w:rsidRPr="007E50F7">
        <w:t xml:space="preserve">, </w:t>
      </w:r>
      <w:r>
        <w:t>2002).</w:t>
      </w:r>
    </w:p>
  </w:footnote>
  <w:footnote w:id="7">
    <w:p w:rsidR="00B97DFF" w:rsidRDefault="00B97DFF" w:rsidP="004961F8">
      <w:pPr>
        <w:pStyle w:val="FootnoteText"/>
      </w:pPr>
      <w:r>
        <w:rPr>
          <w:rStyle w:val="FootnoteReference"/>
        </w:rPr>
        <w:footnoteRef/>
      </w:r>
      <w:r>
        <w:t xml:space="preserve"> Barnard, Exhibit No. KJB-1CT at page 5, lines 7-9.</w:t>
      </w:r>
    </w:p>
  </w:footnote>
  <w:footnote w:id="8">
    <w:p w:rsidR="00B97DFF" w:rsidRDefault="00B97DFF" w:rsidP="003E3159">
      <w:pPr>
        <w:pStyle w:val="FootnoteText"/>
      </w:pPr>
      <w:r>
        <w:rPr>
          <w:rStyle w:val="FootnoteReference"/>
        </w:rPr>
        <w:footnoteRef/>
      </w:r>
      <w:r>
        <w:t xml:space="preserve"> Barnard, Exhibit No. KJB-4C at page 7.</w:t>
      </w:r>
    </w:p>
  </w:footnote>
  <w:footnote w:id="9">
    <w:p w:rsidR="00B97DFF" w:rsidRPr="004A5562" w:rsidRDefault="00B97DFF" w:rsidP="00C3379B">
      <w:pPr>
        <w:pStyle w:val="FootnoteText"/>
      </w:pPr>
      <w:r>
        <w:rPr>
          <w:rStyle w:val="FootnoteReference"/>
        </w:rPr>
        <w:footnoteRef/>
      </w:r>
      <w:r>
        <w:t xml:space="preserve"> Barnard, Exhibit No. KJB-3 at page 4.</w:t>
      </w:r>
    </w:p>
  </w:footnote>
  <w:footnote w:id="10">
    <w:p w:rsidR="00B97DFF" w:rsidRDefault="00B97DFF" w:rsidP="00C3379B">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w:t>
      </w:r>
      <w:r>
        <w:t>Docket No. UE-060266 – Story, Exhibit No. JHS-1T at page 54, lines 14-16 (February 15, 2006).</w:t>
      </w:r>
    </w:p>
  </w:footnote>
  <w:footnote w:id="11">
    <w:p w:rsidR="00B97DFF" w:rsidRPr="009A21F7" w:rsidRDefault="00B97DFF">
      <w:pPr>
        <w:pStyle w:val="FootnoteText"/>
      </w:pPr>
      <w:r>
        <w:rPr>
          <w:rStyle w:val="FootnoteReference"/>
        </w:rPr>
        <w:footnoteRef/>
      </w:r>
      <w:r>
        <w:t xml:space="preserve"> </w:t>
      </w:r>
      <w:r>
        <w:rPr>
          <w:i/>
        </w:rPr>
        <w:t xml:space="preserve">Supra, </w:t>
      </w:r>
      <w:r>
        <w:t xml:space="preserve">see </w:t>
      </w:r>
      <w:r w:rsidRPr="009A21F7">
        <w:t>note 2</w:t>
      </w:r>
      <w:r>
        <w:t>3</w:t>
      </w:r>
      <w:r w:rsidRPr="009A21F7">
        <w:t>.</w:t>
      </w:r>
    </w:p>
  </w:footnote>
  <w:footnote w:id="12">
    <w:p w:rsidR="00B97DFF" w:rsidRDefault="00B97DFF" w:rsidP="00CB0E0F">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w:t>
      </w:r>
      <w:r>
        <w:t>Docket Nos. UE-060266 and UG-060267, Order 08 (January 5, 2007) at ¶ 22.</w:t>
      </w:r>
    </w:p>
  </w:footnote>
  <w:footnote w:id="13">
    <w:p w:rsidR="00B97DFF" w:rsidRDefault="00B97DFF">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w:t>
      </w:r>
      <w:r>
        <w:t>Docket No. UE-072300, Order 13 (January 15, 2009) at ¶ 11.</w:t>
      </w:r>
    </w:p>
  </w:footnote>
  <w:footnote w:id="14">
    <w:p w:rsidR="00B97DFF" w:rsidRDefault="00B97DFF">
      <w:pPr>
        <w:pStyle w:val="FootnoteText"/>
      </w:pPr>
      <w:r w:rsidRPr="00E81DBB">
        <w:rPr>
          <w:rStyle w:val="FootnoteReference"/>
        </w:rPr>
        <w:footnoteRef/>
      </w:r>
      <w:r w:rsidRPr="00E81DBB">
        <w:t xml:space="preserve"> Barnard, Exhibit No. KJB-1CT, at 32-35.</w:t>
      </w:r>
    </w:p>
  </w:footnote>
  <w:footnote w:id="15">
    <w:p w:rsidR="00B97DFF" w:rsidRDefault="00B97DFF" w:rsidP="00670B12">
      <w:pPr>
        <w:pStyle w:val="FootnoteText"/>
      </w:pPr>
      <w:r>
        <w:rPr>
          <w:rStyle w:val="FootnoteReference"/>
        </w:rPr>
        <w:footnoteRef/>
      </w:r>
      <w:r>
        <w:t xml:space="preserve"> </w:t>
      </w:r>
      <w:r>
        <w:rPr>
          <w:i/>
        </w:rPr>
        <w:t>Puget Sound Energy, Inc.,</w:t>
      </w:r>
      <w:r>
        <w:t xml:space="preserve"> Docket UE-130583, Petition for an Accounting Order (April 24, 2013).</w:t>
      </w:r>
    </w:p>
  </w:footnote>
  <w:footnote w:id="16">
    <w:p w:rsidR="00B97DFF" w:rsidRDefault="00B97DFF" w:rsidP="00670B12">
      <w:pPr>
        <w:pStyle w:val="FootnoteText"/>
      </w:pPr>
      <w:r>
        <w:rPr>
          <w:rStyle w:val="FootnoteReference"/>
        </w:rPr>
        <w:footnoteRef/>
      </w:r>
      <w:r>
        <w:t xml:space="preserve"> </w:t>
      </w:r>
      <w:r>
        <w:rPr>
          <w:i/>
        </w:rPr>
        <w:t>Id.</w:t>
      </w:r>
    </w:p>
  </w:footnote>
  <w:footnote w:id="17">
    <w:p w:rsidR="00B97DFF" w:rsidRDefault="00B97DFF" w:rsidP="004812AA">
      <w:pPr>
        <w:pStyle w:val="FootnoteText"/>
      </w:pPr>
      <w:r>
        <w:rPr>
          <w:rStyle w:val="FootnoteReference"/>
        </w:rPr>
        <w:footnoteRef/>
      </w:r>
      <w:r>
        <w:t xml:space="preserve"> Barnard, Exhibit No. KJB-1CT, at 32-35.</w:t>
      </w:r>
    </w:p>
  </w:footnote>
  <w:footnote w:id="18">
    <w:p w:rsidR="00B97DFF" w:rsidRDefault="00B97DFF" w:rsidP="00D74087">
      <w:pPr>
        <w:pStyle w:val="FootnoteText"/>
      </w:pPr>
      <w:r>
        <w:rPr>
          <w:rStyle w:val="FootnoteReference"/>
        </w:rPr>
        <w:footnoteRef/>
      </w:r>
      <w:r>
        <w:t xml:space="preserve"> Based on a five- or six-year average of expense.</w:t>
      </w:r>
    </w:p>
  </w:footnote>
  <w:footnote w:id="19">
    <w:p w:rsidR="00B97DFF" w:rsidRPr="003A218C" w:rsidRDefault="00B97DFF" w:rsidP="00D74087">
      <w:pPr>
        <w:pStyle w:val="FootnoteText"/>
      </w:pPr>
      <w:r>
        <w:rPr>
          <w:rStyle w:val="FootnoteReference"/>
        </w:rPr>
        <w:footnoteRef/>
      </w:r>
      <w:r>
        <w:t xml:space="preserve"> </w:t>
      </w:r>
      <w:r>
        <w:rPr>
          <w:i/>
        </w:rPr>
        <w:t xml:space="preserve">Utilities and Transp. Comm’n v. Puget Sound Energy, Inc. </w:t>
      </w:r>
      <w:r>
        <w:t>Dockets UE-1111048 and UG-111049, Order 08</w:t>
      </w:r>
      <w:r w:rsidRPr="009B1897">
        <w:t xml:space="preserve"> (May 7, 2012),</w:t>
      </w:r>
      <w:r w:rsidRPr="009B1897" w:rsidDel="00BC2B63">
        <w:t xml:space="preserve"> </w:t>
      </w:r>
      <w:r>
        <w:t xml:space="preserve">at 74-77, ¶¶ 209-18, particularly </w:t>
      </w:r>
      <w:r w:rsidRPr="003A218C">
        <w:t>¶ 217: “</w:t>
      </w:r>
      <w:r w:rsidRPr="003A218C">
        <w:rPr>
          <w:rFonts w:eastAsia="Times New Roman"/>
          <w:i/>
        </w:rPr>
        <w:t>Commission Determination:</w:t>
      </w:r>
      <w:r w:rsidRPr="003A218C">
        <w:rPr>
          <w:rFonts w:eastAsia="Times New Roman"/>
        </w:rPr>
        <w:t xml:space="preserve">  In PSE’s most recently completed general rate case, the Commission rejected the proposed use of a five-year average for this category of expenses stating: “O&amp;M is an ongoing expense and there is no evidence that the more recent historic data upon which PSE would have us rely requires any normalizing adjustments.”  We find on the basis of the record here that the same is true today.  Considering PSE’s changing use of its fleet of thermal production facilities, as described by Mr. Gould, we are not surprised that maintenance costs are trending upward.  As PSE’s use of intermittent renewable resources such as wind farms continues to increase in response to state-mandated RPS, the pattern of more frequent start-ups, shorter run times, and total run times at thermal facilities that facilitate wind integration may lead to a continuing trend of increasing O&amp;M costs.  Absent evidence of a change in this regard, it is reasonable to continue our reliance on the more recent test year data rather than averages of historic data.”</w:t>
      </w:r>
      <w:r>
        <w:rPr>
          <w:rFonts w:eastAsia="Times New Roman"/>
        </w:rPr>
        <w:t xml:space="preserve">  (Footnote omitted).</w:t>
      </w:r>
    </w:p>
  </w:footnote>
  <w:footnote w:id="20">
    <w:p w:rsidR="00B97DFF" w:rsidRDefault="00B97DFF">
      <w:pPr>
        <w:pStyle w:val="FootnoteText"/>
      </w:pPr>
      <w:r>
        <w:rPr>
          <w:rStyle w:val="FootnoteReference"/>
        </w:rPr>
        <w:footnoteRef/>
      </w:r>
      <w:r>
        <w:t xml:space="preserve"> </w:t>
      </w:r>
      <w:r>
        <w:rPr>
          <w:i/>
        </w:rPr>
        <w:t>Puget Sound Energy, Inc.,</w:t>
      </w:r>
      <w:r w:rsidRPr="007E50F7">
        <w:t xml:space="preserve"> Docket U</w:t>
      </w:r>
      <w:r>
        <w:t>E</w:t>
      </w:r>
      <w:r w:rsidRPr="007E50F7">
        <w:t>-</w:t>
      </w:r>
      <w:r>
        <w:t>130583,</w:t>
      </w:r>
      <w:r w:rsidRPr="007E50F7">
        <w:t xml:space="preserve"> </w:t>
      </w:r>
      <w:r>
        <w:t xml:space="preserve">Petition for an Accounting Order </w:t>
      </w:r>
      <w:r w:rsidRPr="007E50F7">
        <w:t>(</w:t>
      </w:r>
      <w:r>
        <w:t>April 24, 2013), at 3.</w:t>
      </w:r>
    </w:p>
  </w:footnote>
  <w:footnote w:id="21">
    <w:p w:rsidR="00B97DFF" w:rsidRDefault="00B97DFF">
      <w:pPr>
        <w:pStyle w:val="FootnoteText"/>
      </w:pPr>
      <w:r>
        <w:rPr>
          <w:rStyle w:val="FootnoteReference"/>
        </w:rPr>
        <w:footnoteRef/>
      </w:r>
      <w:r>
        <w:t xml:space="preserve"> </w:t>
      </w:r>
      <w:r>
        <w:rPr>
          <w:i/>
        </w:rPr>
        <w:t>Puget Sound Energy, Inc.,</w:t>
      </w:r>
      <w:r w:rsidRPr="007E50F7">
        <w:t xml:space="preserve"> Docket U</w:t>
      </w:r>
      <w:r>
        <w:t>E</w:t>
      </w:r>
      <w:r w:rsidRPr="007E50F7">
        <w:t>-</w:t>
      </w:r>
      <w:r>
        <w:t>130583,</w:t>
      </w:r>
      <w:r w:rsidRPr="007E50F7">
        <w:t xml:space="preserve"> </w:t>
      </w:r>
      <w:r>
        <w:t xml:space="preserve">Petition for an Accounting Order </w:t>
      </w:r>
      <w:r w:rsidRPr="007E50F7">
        <w:t>(</w:t>
      </w:r>
      <w:r>
        <w:t>April 24, 2013), at 4.</w:t>
      </w:r>
    </w:p>
  </w:footnote>
  <w:footnote w:id="22">
    <w:p w:rsidR="00B97DFF" w:rsidRDefault="00B97DFF" w:rsidP="00C66625">
      <w:pPr>
        <w:pStyle w:val="FootnoteText"/>
      </w:pPr>
      <w:r>
        <w:rPr>
          <w:rStyle w:val="FootnoteReference"/>
        </w:rPr>
        <w:footnoteRef/>
      </w:r>
      <w:r>
        <w:t xml:space="preserve"> FASB Staff Position, No. AUG AIR-1, Accounting for Planned Major Maintenance Activities, September 8, 2006, available at </w:t>
      </w:r>
      <w:hyperlink r:id="rId1" w:history="1">
        <w:r w:rsidRPr="009A04FB">
          <w:rPr>
            <w:rStyle w:val="Hyperlink"/>
            <w:sz w:val="20"/>
          </w:rPr>
          <w:t>www.fasb.org</w:t>
        </w:r>
      </w:hyperlink>
      <w:r>
        <w:t xml:space="preserve"> </w:t>
      </w:r>
    </w:p>
  </w:footnote>
  <w:footnote w:id="23">
    <w:p w:rsidR="00B97DFF" w:rsidRDefault="00B97DFF" w:rsidP="002C1555">
      <w:pPr>
        <w:pStyle w:val="FootnoteText"/>
      </w:pPr>
      <w:r>
        <w:rPr>
          <w:rStyle w:val="FootnoteReference"/>
        </w:rPr>
        <w:footnoteRef/>
      </w:r>
      <w:r>
        <w:t xml:space="preserve"> AICPA Industry Audit Guide, Audits of Airlines, With Conforming Changes as of May 1, 2003.</w:t>
      </w:r>
    </w:p>
  </w:footnote>
  <w:footnote w:id="24">
    <w:p w:rsidR="00B97DFF" w:rsidRDefault="00B97DFF">
      <w:pPr>
        <w:pStyle w:val="FootnoteText"/>
      </w:pPr>
      <w:r>
        <w:rPr>
          <w:rStyle w:val="FootnoteReference"/>
        </w:rPr>
        <w:footnoteRef/>
      </w:r>
      <w:r>
        <w:t xml:space="preserve"> Available at </w:t>
      </w:r>
      <w:hyperlink r:id="rId2" w:history="1">
        <w:r w:rsidRPr="009A04FB">
          <w:rPr>
            <w:rStyle w:val="Hyperlink"/>
            <w:sz w:val="20"/>
          </w:rPr>
          <w:t>www.fasb.org</w:t>
        </w:r>
      </w:hyperlink>
      <w:r>
        <w:t>.</w:t>
      </w:r>
    </w:p>
  </w:footnote>
  <w:footnote w:id="25">
    <w:p w:rsidR="00B97DFF" w:rsidRDefault="00B97DFF" w:rsidP="00946C63">
      <w:pPr>
        <w:pStyle w:val="FootnoteText"/>
      </w:pPr>
      <w:r>
        <w:rPr>
          <w:rStyle w:val="FootnoteReference"/>
        </w:rPr>
        <w:footnoteRef/>
      </w:r>
      <w:r>
        <w:t xml:space="preserve"> </w:t>
      </w:r>
      <w:r>
        <w:rPr>
          <w:i/>
        </w:rPr>
        <w:t>Puget Sound Energy, Inc.,</w:t>
      </w:r>
      <w:r w:rsidRPr="007E50F7">
        <w:t xml:space="preserve"> Docket U</w:t>
      </w:r>
      <w:r>
        <w:t>E</w:t>
      </w:r>
      <w:r w:rsidRPr="007E50F7">
        <w:t>-</w:t>
      </w:r>
      <w:r>
        <w:t>130583,</w:t>
      </w:r>
      <w:r w:rsidRPr="007E50F7">
        <w:t xml:space="preserve"> </w:t>
      </w:r>
      <w:r>
        <w:t xml:space="preserve">Petition for an Accounting Order </w:t>
      </w:r>
      <w:r w:rsidRPr="007E50F7">
        <w:t>(</w:t>
      </w:r>
      <w:r>
        <w:t>April 24, 2013), at 4.</w:t>
      </w:r>
    </w:p>
  </w:footnote>
  <w:footnote w:id="26">
    <w:p w:rsidR="00B97DFF" w:rsidRDefault="00B97DFF">
      <w:pPr>
        <w:pStyle w:val="FootnoteText"/>
      </w:pPr>
      <w:r>
        <w:rPr>
          <w:rStyle w:val="FootnoteReference"/>
        </w:rPr>
        <w:footnoteRef/>
      </w:r>
      <w:r>
        <w:t xml:space="preserve"> Available at </w:t>
      </w:r>
      <w:hyperlink r:id="rId3" w:history="1">
        <w:r w:rsidRPr="009A04FB">
          <w:rPr>
            <w:rStyle w:val="Hyperlink"/>
            <w:sz w:val="20"/>
          </w:rPr>
          <w:t>www.fasb.org</w:t>
        </w:r>
      </w:hyperlink>
      <w:r>
        <w:t>, ASC 980-360-05 (overview and background).</w:t>
      </w:r>
    </w:p>
  </w:footnote>
  <w:footnote w:id="27">
    <w:p w:rsidR="00B97DFF" w:rsidRDefault="00B97DFF">
      <w:pPr>
        <w:pStyle w:val="FootnoteText"/>
      </w:pPr>
      <w:r>
        <w:rPr>
          <w:rStyle w:val="FootnoteReference"/>
        </w:rPr>
        <w:footnoteRef/>
      </w:r>
      <w:r>
        <w:t xml:space="preserve"> </w:t>
      </w:r>
      <w:r>
        <w:rPr>
          <w:i/>
        </w:rPr>
        <w:t>Puget Sound Energy, Inc.,</w:t>
      </w:r>
      <w:r w:rsidRPr="007E50F7">
        <w:t xml:space="preserve"> Docket U</w:t>
      </w:r>
      <w:r>
        <w:t>E</w:t>
      </w:r>
      <w:r w:rsidRPr="007E50F7">
        <w:t>-</w:t>
      </w:r>
      <w:r>
        <w:t>130583,</w:t>
      </w:r>
      <w:r w:rsidRPr="007E50F7">
        <w:t xml:space="preserve"> </w:t>
      </w:r>
      <w:r>
        <w:t xml:space="preserve">Petition for an Accounting Order </w:t>
      </w:r>
      <w:r w:rsidRPr="007E50F7">
        <w:t>(</w:t>
      </w:r>
      <w:r>
        <w:t>April 24, 2013), at 5.</w:t>
      </w:r>
    </w:p>
  </w:footnote>
  <w:footnote w:id="28">
    <w:p w:rsidR="00B97DFF" w:rsidRDefault="00B97DFF" w:rsidP="00450268">
      <w:pPr>
        <w:pStyle w:val="FootnoteText"/>
      </w:pPr>
      <w:r>
        <w:rPr>
          <w:rStyle w:val="FootnoteReference"/>
        </w:rPr>
        <w:footnoteRef/>
      </w:r>
      <w:r>
        <w:t xml:space="preserve"> Exhibit No. PKW-1CT, pages 47-48.</w:t>
      </w:r>
    </w:p>
  </w:footnote>
  <w:footnote w:id="29">
    <w:p w:rsidR="00B97DFF" w:rsidRDefault="00B97DFF" w:rsidP="00450268">
      <w:pPr>
        <w:pStyle w:val="FootnoteText"/>
      </w:pPr>
      <w:r>
        <w:rPr>
          <w:rStyle w:val="FootnoteReference"/>
        </w:rPr>
        <w:footnoteRef/>
      </w:r>
      <w:r>
        <w:t xml:space="preserve"> Exhibit No. PKW-1CT, page 48, lines 10-13.</w:t>
      </w:r>
    </w:p>
  </w:footnote>
  <w:footnote w:id="30">
    <w:p w:rsidR="00B97DFF" w:rsidRDefault="00B97DFF" w:rsidP="00450268">
      <w:pPr>
        <w:pStyle w:val="FootnoteText"/>
      </w:pPr>
      <w:r>
        <w:rPr>
          <w:rStyle w:val="FootnoteReference"/>
        </w:rPr>
        <w:footnoteRef/>
      </w:r>
      <w:r>
        <w:t xml:space="preserve"> Exhibit No. PKW-1CT, page 48, lines 6-7</w:t>
      </w:r>
    </w:p>
  </w:footnote>
  <w:footnote w:id="31">
    <w:p w:rsidR="00B97DFF" w:rsidRDefault="00B97DFF" w:rsidP="00450268">
      <w:pPr>
        <w:pStyle w:val="FootnoteText"/>
      </w:pPr>
      <w:r>
        <w:rPr>
          <w:rStyle w:val="FootnoteReference"/>
        </w:rPr>
        <w:footnoteRef/>
      </w:r>
      <w:r>
        <w:t xml:space="preserve"> WAC 480-07-510(3)(iii).</w:t>
      </w:r>
    </w:p>
  </w:footnote>
  <w:footnote w:id="32">
    <w:p w:rsidR="00B97DFF" w:rsidRDefault="00B97DFF" w:rsidP="00450268">
      <w:pPr>
        <w:pStyle w:val="FootnoteText"/>
      </w:pPr>
      <w:r>
        <w:rPr>
          <w:rStyle w:val="FootnoteReference"/>
        </w:rPr>
        <w:footnoteRef/>
      </w:r>
      <w:r>
        <w:t xml:space="preserve"> </w:t>
      </w:r>
      <w:r>
        <w:rPr>
          <w:i/>
        </w:rPr>
        <w:t>Utilities and Transp. Comm’n v. Avista Corporation,</w:t>
      </w:r>
      <w:r>
        <w:t xml:space="preserve"> Dockets UE-090134, UG-090135 and UG-060518, Order 10 (December 22, 2009), at ¶ 45.</w:t>
      </w:r>
    </w:p>
  </w:footnote>
  <w:footnote w:id="33">
    <w:p w:rsidR="00B97DFF" w:rsidRDefault="00B97DFF" w:rsidP="00450268">
      <w:pPr>
        <w:pStyle w:val="FootnoteText"/>
      </w:pPr>
      <w:r>
        <w:rPr>
          <w:rStyle w:val="FootnoteReference"/>
        </w:rPr>
        <w:footnoteRef/>
      </w:r>
      <w:r>
        <w:t xml:space="preserve"> </w:t>
      </w:r>
      <w:r>
        <w:rPr>
          <w:i/>
        </w:rPr>
        <w:t>Utilities and Transp. Comm’n v. Puget Sound Energy, Inc</w:t>
      </w:r>
      <w:r>
        <w:t>., Dockets UE-090704 and UG-090705, Order 11 (April 2, 2010), at ¶ 26.</w:t>
      </w:r>
    </w:p>
  </w:footnote>
  <w:footnote w:id="34">
    <w:p w:rsidR="00B97DFF" w:rsidRDefault="00B97DFF">
      <w:pPr>
        <w:pStyle w:val="FootnoteText"/>
      </w:pPr>
      <w:r>
        <w:rPr>
          <w:rStyle w:val="FootnoteReference"/>
        </w:rPr>
        <w:footnoteRef/>
      </w:r>
      <w:r>
        <w:t xml:space="preserve"> </w:t>
      </w:r>
      <w:r>
        <w:rPr>
          <w:i/>
        </w:rPr>
        <w:t xml:space="preserve">Utilities and Transp. Comm’n v. Puget Sound Energy, Inc. </w:t>
      </w:r>
      <w:r>
        <w:t>Dockets UE-121373, UE-121697, UG-121705, UE-130137 and UG130138, Order 07</w:t>
      </w:r>
      <w:r w:rsidRPr="009B1897">
        <w:t xml:space="preserve"> (</w:t>
      </w:r>
      <w:r>
        <w:t>June 25</w:t>
      </w:r>
      <w:r w:rsidRPr="009B1897">
        <w:t>, 201</w:t>
      </w:r>
      <w:r>
        <w:t>3</w:t>
      </w:r>
      <w:r w:rsidRPr="009B1897">
        <w:t>),</w:t>
      </w:r>
      <w:r w:rsidRPr="009B1897" w:rsidDel="00BC2B63">
        <w:t xml:space="preserve"> </w:t>
      </w:r>
      <w:r>
        <w:t xml:space="preserve">at ¶ 194.  </w:t>
      </w:r>
    </w:p>
  </w:footnote>
  <w:footnote w:id="35">
    <w:p w:rsidR="00B97DFF" w:rsidRDefault="00B97DFF" w:rsidP="00A635AE">
      <w:pPr>
        <w:pStyle w:val="FootnoteText"/>
      </w:pPr>
      <w:r>
        <w:rPr>
          <w:rStyle w:val="FootnoteReference"/>
        </w:rPr>
        <w:footnoteRef/>
      </w:r>
      <w:r>
        <w:t xml:space="preserve"> Pub. L. No. 111-5, Div. B, tit. I, § 1603, 123 Stat. 115, 364 (February 17, 2009).</w:t>
      </w:r>
    </w:p>
  </w:footnote>
  <w:footnote w:id="36">
    <w:p w:rsidR="00B97DFF" w:rsidRDefault="00B97DFF" w:rsidP="00A635AE">
      <w:pPr>
        <w:pStyle w:val="FootnoteText"/>
      </w:pPr>
      <w:r>
        <w:rPr>
          <w:rStyle w:val="FootnoteReference"/>
        </w:rPr>
        <w:footnoteRef/>
      </w:r>
      <w:r>
        <w:t xml:space="preserve"> </w:t>
      </w:r>
      <w:r>
        <w:rPr>
          <w:i/>
        </w:rPr>
        <w:t>Id.</w:t>
      </w:r>
    </w:p>
  </w:footnote>
  <w:footnote w:id="37">
    <w:p w:rsidR="00B97DFF" w:rsidRDefault="00B97DFF" w:rsidP="00A635AE">
      <w:pPr>
        <w:pStyle w:val="FootnoteText"/>
      </w:pPr>
      <w:r>
        <w:rPr>
          <w:rStyle w:val="FootnoteReference"/>
        </w:rPr>
        <w:footnoteRef/>
      </w:r>
      <w:r>
        <w:t xml:space="preserve"> IRC 48(d)(3); 26 U.S.C. § 48(d)(3).</w:t>
      </w:r>
    </w:p>
  </w:footnote>
  <w:footnote w:id="38">
    <w:p w:rsidR="00B97DFF" w:rsidRPr="009D3D05" w:rsidRDefault="00B97DFF" w:rsidP="00A635AE">
      <w:pPr>
        <w:pStyle w:val="FootnoteText"/>
      </w:pPr>
      <w:r>
        <w:rPr>
          <w:rStyle w:val="FootnoteReference"/>
        </w:rPr>
        <w:footnoteRef/>
      </w:r>
      <w:r>
        <w:t xml:space="preserve"> </w:t>
      </w:r>
      <w:r w:rsidRPr="00C20A9F">
        <w:t>The amendment occurred through Section 1096 of the National Defense Act for Fiscal Year 2012, H.R. 1540, 112</w:t>
      </w:r>
      <w:r w:rsidRPr="00C20A9F">
        <w:rPr>
          <w:vertAlign w:val="superscript"/>
        </w:rPr>
        <w:t>th</w:t>
      </w:r>
      <w:r w:rsidRPr="00C20A9F">
        <w:t xml:space="preserve"> Congress, 1</w:t>
      </w:r>
      <w:r w:rsidRPr="00C20A9F">
        <w:rPr>
          <w:vertAlign w:val="superscript"/>
        </w:rPr>
        <w:t>st</w:t>
      </w:r>
      <w:r w:rsidRPr="00C20A9F">
        <w:t xml:space="preserve"> Session.</w:t>
      </w:r>
    </w:p>
  </w:footnote>
  <w:footnote w:id="39">
    <w:p w:rsidR="00B97DFF" w:rsidRPr="00F634B7" w:rsidRDefault="00B97DFF" w:rsidP="00A635AE">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w:t>
      </w:r>
      <w:r>
        <w:t>Docket Nos. UE-111048 and UG-111049, Order 08 (May 7, 2012) at ¶¶ 172-176.</w:t>
      </w:r>
    </w:p>
  </w:footnote>
  <w:footnote w:id="40">
    <w:p w:rsidR="00B97DFF" w:rsidRDefault="00B97DFF" w:rsidP="00A635AE">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w:t>
      </w:r>
      <w:r>
        <w:t>Docket Nos. UE-111048 and UG-111049, Order 08 (May 7, 2012) at ¶ 176.</w:t>
      </w:r>
    </w:p>
  </w:footnote>
  <w:footnote w:id="41">
    <w:p w:rsidR="00B97DFF" w:rsidRDefault="00B97DFF" w:rsidP="00A635AE">
      <w:pPr>
        <w:pStyle w:val="FootnoteText"/>
      </w:pPr>
      <w:r>
        <w:rPr>
          <w:rStyle w:val="FootnoteReference"/>
        </w:rPr>
        <w:footnoteRef/>
      </w:r>
      <w:r>
        <w:t xml:space="preserve"> PSE’s response to Commission Staff Data Request 8.</w:t>
      </w:r>
    </w:p>
  </w:footnote>
  <w:footnote w:id="42">
    <w:p w:rsidR="00B97DFF" w:rsidRDefault="00B97DFF" w:rsidP="00A635AE">
      <w:pPr>
        <w:pStyle w:val="FootnoteText"/>
      </w:pPr>
      <w:r>
        <w:rPr>
          <w:rStyle w:val="FootnoteReference"/>
        </w:rPr>
        <w:footnoteRef/>
      </w:r>
      <w:r>
        <w:t xml:space="preserve"> United States Department of Treasury’s Program Guidance entitled “</w:t>
      </w:r>
      <w:r w:rsidRPr="00A424BF">
        <w:rPr>
          <w:i/>
        </w:rPr>
        <w:t>Payments for Specified Energy Property in Lieu of Tax Credits under the American Recovery and Reinvestment Act of 2009</w:t>
      </w:r>
      <w:r>
        <w:rPr>
          <w:i/>
        </w:rPr>
        <w:t xml:space="preserve">” </w:t>
      </w:r>
      <w:r>
        <w:t xml:space="preserve">(July 2009/Revised March 2010/Revised April 2011), at page 3, lines 24-27.  </w:t>
      </w:r>
      <w:r>
        <w:rPr>
          <w:i/>
        </w:rPr>
        <w:t>See also</w:t>
      </w:r>
      <w:r>
        <w:t xml:space="preserve"> my Exhibit No. CTM-6.</w:t>
      </w:r>
    </w:p>
  </w:footnote>
  <w:footnote w:id="43">
    <w:p w:rsidR="00B97DFF" w:rsidRDefault="00B97DFF" w:rsidP="00A635AE">
      <w:pPr>
        <w:pStyle w:val="FootnoteText"/>
      </w:pPr>
      <w:r>
        <w:rPr>
          <w:rStyle w:val="FootnoteReference"/>
        </w:rPr>
        <w:footnoteRef/>
      </w:r>
      <w:r>
        <w:t xml:space="preserve"> PSE’s response to Commission Staff Data Request 8.</w:t>
      </w:r>
    </w:p>
  </w:footnote>
  <w:footnote w:id="44">
    <w:p w:rsidR="00B97DFF" w:rsidRPr="00984C21" w:rsidRDefault="00B97DFF" w:rsidP="00A635AE">
      <w:pPr>
        <w:pStyle w:val="FootnoteText"/>
        <w:rPr>
          <w:color w:val="FF0000"/>
        </w:rPr>
      </w:pPr>
      <w:r>
        <w:rPr>
          <w:rStyle w:val="FootnoteReference"/>
        </w:rPr>
        <w:footnoteRef/>
      </w:r>
      <w:r>
        <w:t xml:space="preserve"> Barnard, workpapers titled “KJB-WP 04.04 – Snoqualmie Upgrad,” tab “Lead Sheet,” row 22.</w:t>
      </w:r>
    </w:p>
  </w:footnote>
  <w:footnote w:id="45">
    <w:p w:rsidR="00B97DFF" w:rsidRDefault="00B97DFF" w:rsidP="00A635AE">
      <w:pPr>
        <w:pStyle w:val="FootnoteText"/>
      </w:pPr>
      <w:r>
        <w:rPr>
          <w:rStyle w:val="FootnoteReference"/>
        </w:rPr>
        <w:footnoteRef/>
      </w:r>
      <w:r>
        <w:t xml:space="preserve"> Barnard, workpapers titled “KJB-WP 04.06-9.07 Baker Adj &amp; Deferral SUPP,” tab “Lead Sheet Plant Adj,” row 20.</w:t>
      </w:r>
    </w:p>
  </w:footnote>
  <w:footnote w:id="46">
    <w:p w:rsidR="00B97DFF" w:rsidRPr="009B3404" w:rsidRDefault="00B97DFF" w:rsidP="00A635AE">
      <w:pPr>
        <w:pStyle w:val="FootnoteText"/>
      </w:pPr>
      <w:r>
        <w:rPr>
          <w:rStyle w:val="FootnoteReference"/>
        </w:rPr>
        <w:footnoteRef/>
      </w:r>
      <w:r>
        <w:t xml:space="preserve"> </w:t>
      </w:r>
      <w:r w:rsidRPr="00314A39">
        <w:rPr>
          <w:i/>
        </w:rPr>
        <w:t>Puget Sound Energy, Inc</w:t>
      </w:r>
      <w:r>
        <w:rPr>
          <w:i/>
        </w:rPr>
        <w:t>.,</w:t>
      </w:r>
      <w:r w:rsidRPr="009B3404">
        <w:t xml:space="preserve"> Petition for an Accounting Order, Docket UE-091570, Order 01</w:t>
      </w:r>
      <w:r>
        <w:t xml:space="preserve"> </w:t>
      </w:r>
      <w:r w:rsidRPr="009B3404">
        <w:t>(December 10, 2009)</w:t>
      </w:r>
      <w:r>
        <w:t xml:space="preserve"> – </w:t>
      </w:r>
      <w:r w:rsidRPr="009B3404">
        <w:t>Regarding</w:t>
      </w:r>
      <w:r>
        <w:t xml:space="preserve"> </w:t>
      </w:r>
      <w:r w:rsidRPr="009B3404">
        <w:t xml:space="preserve">the </w:t>
      </w:r>
      <w:r>
        <w:t>t</w:t>
      </w:r>
      <w:r w:rsidRPr="009B3404">
        <w:t>reatmen</w:t>
      </w:r>
      <w:r>
        <w:t>t of U.S. Treasury Grant to be r</w:t>
      </w:r>
      <w:r w:rsidRPr="009B3404">
        <w:t xml:space="preserve">eceived </w:t>
      </w:r>
      <w:r>
        <w:t>u</w:t>
      </w:r>
      <w:r w:rsidRPr="009B3404">
        <w:t xml:space="preserve">nder Section 1603 of the American Recovery and Reinvestment Act of 2009 </w:t>
      </w:r>
      <w:r>
        <w:t>a</w:t>
      </w:r>
      <w:r w:rsidRPr="009B3404">
        <w:t>ssociated with the W</w:t>
      </w:r>
      <w:r>
        <w:t>HE</w:t>
      </w:r>
      <w:r w:rsidRPr="009B3404">
        <w:t>.</w:t>
      </w:r>
    </w:p>
  </w:footnote>
  <w:footnote w:id="47">
    <w:p w:rsidR="00B97DFF" w:rsidRDefault="00B97DFF" w:rsidP="00A635AE">
      <w:pPr>
        <w:pStyle w:val="FootnoteText"/>
      </w:pPr>
      <w:r>
        <w:rPr>
          <w:rStyle w:val="FootnoteReference"/>
        </w:rPr>
        <w:footnoteRef/>
      </w:r>
      <w:r>
        <w:t xml:space="preserve"> </w:t>
      </w:r>
      <w:r w:rsidRPr="00657524">
        <w:rPr>
          <w:i/>
        </w:rPr>
        <w:t>Id</w:t>
      </w:r>
      <w:r>
        <w:t xml:space="preserve">. at </w:t>
      </w:r>
      <w:r w:rsidRPr="009D1633">
        <w:t>¶¶</w:t>
      </w:r>
      <w:r>
        <w:t xml:space="preserve"> 3 and 14.</w:t>
      </w:r>
    </w:p>
  </w:footnote>
  <w:footnote w:id="48">
    <w:p w:rsidR="00B97DFF" w:rsidRDefault="00B97DFF" w:rsidP="00A635AE">
      <w:pPr>
        <w:pStyle w:val="FootnoteText"/>
      </w:pPr>
      <w:r>
        <w:rPr>
          <w:rStyle w:val="FootnoteReference"/>
        </w:rPr>
        <w:footnoteRef/>
      </w:r>
      <w:r>
        <w:t xml:space="preserve"> PSE’s Federal Incentive Tracker Tariff Filing under Docket UE-120277, PSE Initial Brief at </w:t>
      </w:r>
      <w:r w:rsidRPr="00131D01">
        <w:t>¶</w:t>
      </w:r>
      <w:r>
        <w:t xml:space="preserve"> 34.  This effort, according to PSE, began in May 2009.  </w:t>
      </w:r>
      <w:r w:rsidRPr="00056DE9">
        <w:t>Stipulation</w:t>
      </w:r>
      <w:r w:rsidRPr="00131D01">
        <w:t xml:space="preserve"> of Facts at ¶</w:t>
      </w:r>
      <w:r>
        <w:t xml:space="preserve"> 7, Attachment A at Marcelia, page 72, line 17.</w:t>
      </w:r>
    </w:p>
  </w:footnote>
  <w:footnote w:id="49">
    <w:p w:rsidR="00B97DFF" w:rsidRDefault="00B97DFF" w:rsidP="00A635AE">
      <w:pPr>
        <w:pStyle w:val="FootnoteText"/>
      </w:pPr>
      <w:r>
        <w:rPr>
          <w:rStyle w:val="FootnoteReference"/>
        </w:rPr>
        <w:footnoteRef/>
      </w:r>
      <w:r>
        <w:t xml:space="preserve"> PSE’s Federal Incentive Tracker Tariff Filing under Docket UE-120277, Stipulation of Facts at </w:t>
      </w:r>
      <w:r w:rsidRPr="009D1633">
        <w:t>¶</w:t>
      </w:r>
      <w:r>
        <w:t xml:space="preserve"> 7, Attachment A at Marcelia, at page 73, lines 12-15 and at page 74, line 6.</w:t>
      </w:r>
    </w:p>
  </w:footnote>
  <w:footnote w:id="50">
    <w:p w:rsidR="00B97DFF" w:rsidRDefault="00B97DFF" w:rsidP="00A635AE">
      <w:pPr>
        <w:pStyle w:val="FootnoteText"/>
      </w:pPr>
      <w:r>
        <w:rPr>
          <w:rStyle w:val="FootnoteReference"/>
        </w:rPr>
        <w:footnoteRef/>
      </w:r>
      <w:r>
        <w:t xml:space="preserve"> U.S. Department of Treasury’s Program Guidance entitled “</w:t>
      </w:r>
      <w:r w:rsidRPr="00A424BF">
        <w:rPr>
          <w:i/>
        </w:rPr>
        <w:t>Payments for Specified Energy Property in Lieu of Tax Credits under the American Recovery and Reinvestment Act of 2009</w:t>
      </w:r>
      <w:r>
        <w:rPr>
          <w:i/>
        </w:rPr>
        <w:t xml:space="preserve">” </w:t>
      </w:r>
      <w:r>
        <w:t xml:space="preserve">(July 2009/Revised March 2010/Revised April 2011), at page 2, lines 4-5.  </w:t>
      </w:r>
      <w:r>
        <w:rPr>
          <w:i/>
        </w:rPr>
        <w:t>See also</w:t>
      </w:r>
      <w:r>
        <w:t xml:space="preserve"> </w:t>
      </w:r>
      <w:r w:rsidRPr="00506D4D">
        <w:t>my</w:t>
      </w:r>
      <w:r>
        <w:rPr>
          <w:i/>
        </w:rPr>
        <w:t xml:space="preserve"> </w:t>
      </w:r>
      <w:r>
        <w:t>Exhibit No. CTM-6.</w:t>
      </w:r>
    </w:p>
  </w:footnote>
  <w:footnote w:id="51">
    <w:p w:rsidR="00B97DFF" w:rsidRDefault="00B97DFF" w:rsidP="00A635AE">
      <w:pPr>
        <w:pStyle w:val="FootnoteText"/>
      </w:pPr>
      <w:r>
        <w:rPr>
          <w:rStyle w:val="FootnoteReference"/>
        </w:rPr>
        <w:footnoteRef/>
      </w:r>
      <w:r>
        <w:t xml:space="preserve"> Section 1096 of the National Defense Authorization Act for Fiscal Year 2012, H.R. 1540, 112</w:t>
      </w:r>
      <w:r w:rsidRPr="000D7663">
        <w:rPr>
          <w:vertAlign w:val="superscript"/>
        </w:rPr>
        <w:t>th</w:t>
      </w:r>
      <w:r>
        <w:t xml:space="preserve"> Congress, 1</w:t>
      </w:r>
      <w:r w:rsidRPr="000D7663">
        <w:rPr>
          <w:vertAlign w:val="superscript"/>
        </w:rPr>
        <w:t>st</w:t>
      </w:r>
      <w:r>
        <w:t xml:space="preserve"> Session.</w:t>
      </w:r>
    </w:p>
  </w:footnote>
  <w:footnote w:id="52">
    <w:p w:rsidR="00B97DFF" w:rsidRPr="00972840" w:rsidRDefault="00B97DFF" w:rsidP="00A635AE">
      <w:pPr>
        <w:pStyle w:val="FootnoteText"/>
      </w:pPr>
      <w:r>
        <w:rPr>
          <w:rStyle w:val="FootnoteReference"/>
        </w:rPr>
        <w:footnoteRef/>
      </w:r>
      <w:r>
        <w:t xml:space="preserve"> </w:t>
      </w:r>
      <w:r>
        <w:rPr>
          <w:i/>
        </w:rPr>
        <w:t>Id.,</w:t>
      </w:r>
      <w:r>
        <w:t xml:space="preserve"> at ¶ 175 – the Commission states that the Company “does not object to deferring the LSR Treasury Grant and reflecting the appropriate ratemaking treatment, with any associated impact of the Wild Horse Treasury Grant, in its [forthcoming] Schedule 95A filing,..”</w:t>
      </w:r>
    </w:p>
  </w:footnote>
  <w:footnote w:id="53">
    <w:p w:rsidR="00B97DFF" w:rsidRDefault="00B97DFF" w:rsidP="00BB02CA">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Dockets U</w:t>
      </w:r>
      <w:r>
        <w:t>E</w:t>
      </w:r>
      <w:r w:rsidRPr="007E50F7">
        <w:t>-</w:t>
      </w:r>
      <w:r>
        <w:t>031725,</w:t>
      </w:r>
      <w:r w:rsidRPr="007E50F7">
        <w:t xml:space="preserve"> Order </w:t>
      </w:r>
      <w:r>
        <w:t xml:space="preserve">14 </w:t>
      </w:r>
      <w:r w:rsidRPr="007E50F7">
        <w:t>(</w:t>
      </w:r>
      <w:r>
        <w:t>May 13</w:t>
      </w:r>
      <w:r w:rsidRPr="007E50F7">
        <w:t xml:space="preserve">, </w:t>
      </w:r>
      <w:r>
        <w:t>2004) at ¶¶ 25-29.</w:t>
      </w:r>
    </w:p>
    <w:p w:rsidR="00B97DFF" w:rsidRDefault="00B97DFF" w:rsidP="00BB02CA">
      <w:pPr>
        <w:pStyle w:val="FootnoteText"/>
      </w:pPr>
    </w:p>
  </w:footnote>
  <w:footnote w:id="54">
    <w:p w:rsidR="00B97DFF" w:rsidRDefault="00B97DFF" w:rsidP="00E43FA1">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Dockets U</w:t>
      </w:r>
      <w:r>
        <w:t>E</w:t>
      </w:r>
      <w:r w:rsidRPr="007E50F7">
        <w:t>-</w:t>
      </w:r>
      <w:r>
        <w:t>111048</w:t>
      </w:r>
      <w:r w:rsidRPr="007E50F7">
        <w:t xml:space="preserve"> and UG-</w:t>
      </w:r>
      <w:r>
        <w:t>111049,</w:t>
      </w:r>
      <w:r w:rsidRPr="007E50F7">
        <w:t xml:space="preserve"> Order 0</w:t>
      </w:r>
      <w:r>
        <w:t xml:space="preserve">8 </w:t>
      </w:r>
      <w:r w:rsidRPr="007E50F7">
        <w:t>(</w:t>
      </w:r>
      <w:r>
        <w:t>May 7</w:t>
      </w:r>
      <w:r w:rsidRPr="007E50F7">
        <w:t xml:space="preserve">, </w:t>
      </w:r>
      <w:r>
        <w:t>2012).</w:t>
      </w:r>
    </w:p>
  </w:footnote>
  <w:footnote w:id="55">
    <w:p w:rsidR="00B97DFF" w:rsidRDefault="00B97DFF" w:rsidP="00F44292">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Dockets U</w:t>
      </w:r>
      <w:r>
        <w:t>E</w:t>
      </w:r>
      <w:r w:rsidRPr="007E50F7">
        <w:t>-</w:t>
      </w:r>
      <w:r>
        <w:t>111048</w:t>
      </w:r>
      <w:r w:rsidRPr="007E50F7">
        <w:t xml:space="preserve"> and UG-</w:t>
      </w:r>
      <w:r>
        <w:t>111049,</w:t>
      </w:r>
      <w:r w:rsidRPr="007E50F7">
        <w:t xml:space="preserve"> Order 0</w:t>
      </w:r>
      <w:r>
        <w:t xml:space="preserve">8 </w:t>
      </w:r>
      <w:r w:rsidRPr="007E50F7">
        <w:t>(</w:t>
      </w:r>
      <w:r>
        <w:t>May 7</w:t>
      </w:r>
      <w:r w:rsidRPr="007E50F7">
        <w:t xml:space="preserve">, </w:t>
      </w:r>
      <w:r>
        <w:t>2012) at ¶¶ 300-09.</w:t>
      </w:r>
    </w:p>
  </w:footnote>
  <w:footnote w:id="56">
    <w:p w:rsidR="00B97DFF" w:rsidRDefault="00B97DFF" w:rsidP="001A45B6">
      <w:pPr>
        <w:pStyle w:val="FootnoteText"/>
      </w:pPr>
      <w:r>
        <w:rPr>
          <w:rStyle w:val="FootnoteReference"/>
        </w:rPr>
        <w:footnoteRef/>
      </w:r>
      <w:r>
        <w:t xml:space="preserve"> The Commission approved these payments in Docket Nos. UE-082013 and UE-100053.</w:t>
      </w:r>
    </w:p>
  </w:footnote>
  <w:footnote w:id="57">
    <w:p w:rsidR="00B97DFF" w:rsidRDefault="00B97DFF" w:rsidP="001A45B6">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Dockets U</w:t>
      </w:r>
      <w:r>
        <w:t>E</w:t>
      </w:r>
      <w:r w:rsidRPr="007E50F7">
        <w:t>-</w:t>
      </w:r>
      <w:r>
        <w:t>060266</w:t>
      </w:r>
      <w:r w:rsidRPr="007E50F7">
        <w:t xml:space="preserve"> and UG-</w:t>
      </w:r>
      <w:r>
        <w:t>060267,</w:t>
      </w:r>
      <w:r w:rsidRPr="007E50F7">
        <w:t xml:space="preserve"> Order 0</w:t>
      </w:r>
      <w:r>
        <w:t xml:space="preserve">8 </w:t>
      </w:r>
      <w:r w:rsidRPr="007E50F7">
        <w:t>(</w:t>
      </w:r>
      <w:r>
        <w:t>January 5</w:t>
      </w:r>
      <w:r w:rsidRPr="007E50F7">
        <w:t xml:space="preserve">, </w:t>
      </w:r>
      <w:r>
        <w:t>2007) at ¶ 34.</w:t>
      </w:r>
    </w:p>
  </w:footnote>
  <w:footnote w:id="58">
    <w:p w:rsidR="00B97DFF" w:rsidRDefault="00B97DFF">
      <w:pPr>
        <w:pStyle w:val="FootnoteText"/>
      </w:pPr>
      <w:r>
        <w:rPr>
          <w:rStyle w:val="FootnoteReference"/>
        </w:rPr>
        <w:footnoteRef/>
      </w:r>
      <w:r>
        <w:t xml:space="preserve"> Staff had a discussion with the Company to update the filing to reflect the procedural schedule’s rate year, and the Company responded that it would take several weeks, if not longer to do so.  Therefore, refusing to provide the Company’s supplemental filing updated to reflect the procedural schedule.</w:t>
      </w:r>
    </w:p>
  </w:footnote>
  <w:footnote w:id="59">
    <w:p w:rsidR="00B97DFF" w:rsidRDefault="00B97DFF">
      <w:pPr>
        <w:pStyle w:val="FootnoteText"/>
      </w:pPr>
      <w:r>
        <w:rPr>
          <w:rStyle w:val="FootnoteReference"/>
        </w:rPr>
        <w:footnoteRef/>
      </w:r>
      <w:r>
        <w:t xml:space="preserve"> PSE’s response to Commission Staff Data Request 39.</w:t>
      </w:r>
    </w:p>
  </w:footnote>
  <w:footnote w:id="60">
    <w:p w:rsidR="00B97DFF" w:rsidRDefault="00B97DFF" w:rsidP="00DF7BB1">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Dockets U</w:t>
      </w:r>
      <w:r>
        <w:t>E</w:t>
      </w:r>
      <w:r w:rsidRPr="007E50F7">
        <w:t>-</w:t>
      </w:r>
      <w:r>
        <w:t>130137</w:t>
      </w:r>
      <w:r w:rsidRPr="007E50F7">
        <w:t xml:space="preserve"> and UG-</w:t>
      </w:r>
      <w:r>
        <w:t>130138,</w:t>
      </w:r>
      <w:r w:rsidRPr="007E50F7">
        <w:t xml:space="preserve"> Order 0</w:t>
      </w:r>
      <w:r>
        <w:t xml:space="preserve">7 </w:t>
      </w:r>
      <w:r w:rsidRPr="007E50F7">
        <w:t>(</w:t>
      </w:r>
      <w:r>
        <w:t>June 25</w:t>
      </w:r>
      <w:r w:rsidRPr="007E50F7">
        <w:t xml:space="preserve">, </w:t>
      </w:r>
      <w:r>
        <w:t>2013) at ¶ 183.</w:t>
      </w:r>
    </w:p>
  </w:footnote>
  <w:footnote w:id="61">
    <w:p w:rsidR="00B97DFF" w:rsidRDefault="00B97DFF">
      <w:pPr>
        <w:pStyle w:val="FootnoteText"/>
      </w:pPr>
      <w:r>
        <w:rPr>
          <w:rStyle w:val="FootnoteReference"/>
        </w:rPr>
        <w:footnoteRef/>
      </w:r>
      <w:r>
        <w:t xml:space="preserve"> PSE’s response to Commission Staff Data Request 50.</w:t>
      </w:r>
    </w:p>
  </w:footnote>
  <w:footnote w:id="62">
    <w:p w:rsidR="00B97DFF" w:rsidRDefault="00B97DFF">
      <w:pPr>
        <w:pStyle w:val="FootnoteText"/>
      </w:pPr>
      <w:r>
        <w:rPr>
          <w:rStyle w:val="FootnoteReference"/>
        </w:rPr>
        <w:footnoteRef/>
      </w:r>
      <w:r>
        <w:t xml:space="preserve"> </w:t>
      </w:r>
      <w:r w:rsidRPr="007E50F7">
        <w:rPr>
          <w:i/>
        </w:rPr>
        <w:t>Utilities &amp; Transp. Comm’n</w:t>
      </w:r>
      <w:r>
        <w:rPr>
          <w:i/>
        </w:rPr>
        <w:t xml:space="preserve"> </w:t>
      </w:r>
      <w:r w:rsidRPr="007E50F7">
        <w:rPr>
          <w:i/>
        </w:rPr>
        <w:t xml:space="preserve">v. </w:t>
      </w:r>
      <w:r>
        <w:rPr>
          <w:i/>
        </w:rPr>
        <w:t>Puget Sound Energy, Inc.,</w:t>
      </w:r>
      <w:r w:rsidRPr="007E50F7">
        <w:t xml:space="preserve"> Dockets U</w:t>
      </w:r>
      <w:r>
        <w:t>E</w:t>
      </w:r>
      <w:r w:rsidRPr="007E50F7">
        <w:t>-</w:t>
      </w:r>
      <w:r>
        <w:t>111048</w:t>
      </w:r>
      <w:r w:rsidRPr="007E50F7">
        <w:t xml:space="preserve"> and UG-</w:t>
      </w:r>
      <w:r>
        <w:t>111049,</w:t>
      </w:r>
      <w:r w:rsidRPr="007E50F7">
        <w:t xml:space="preserve"> Order 0</w:t>
      </w:r>
      <w:r>
        <w:t xml:space="preserve">8 </w:t>
      </w:r>
      <w:r w:rsidRPr="007E50F7">
        <w:t>(</w:t>
      </w:r>
      <w:r>
        <w:t>May 7</w:t>
      </w:r>
      <w:r w:rsidRPr="007E50F7">
        <w:t xml:space="preserve">, </w:t>
      </w:r>
      <w:r>
        <w:t>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10"/>
    <w:multiLevelType w:val="hybridMultilevel"/>
    <w:tmpl w:val="8C286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837B3A"/>
    <w:multiLevelType w:val="hybridMultilevel"/>
    <w:tmpl w:val="8398C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6C39"/>
    <w:multiLevelType w:val="hybridMultilevel"/>
    <w:tmpl w:val="6B147C04"/>
    <w:lvl w:ilvl="0" w:tplc="13761E76">
      <w:start w:val="1"/>
      <w:numFmt w:val="decimal"/>
      <w:pStyle w:val="Heading6"/>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3CD340A"/>
    <w:multiLevelType w:val="hybridMultilevel"/>
    <w:tmpl w:val="6734C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A33765"/>
    <w:multiLevelType w:val="hybridMultilevel"/>
    <w:tmpl w:val="B4F80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522F31"/>
    <w:multiLevelType w:val="multilevel"/>
    <w:tmpl w:val="81CACB0C"/>
    <w:lvl w:ilvl="0">
      <w:start w:val="1"/>
      <w:numFmt w:val="upperRoman"/>
      <w:pStyle w:val="Heading1"/>
      <w:lvlText w:val="%1."/>
      <w:lvlJc w:val="left"/>
      <w:pPr>
        <w:ind w:left="2070" w:firstLine="0"/>
      </w:pPr>
      <w:rPr>
        <w:rFonts w:hint="default"/>
      </w:rPr>
    </w:lvl>
    <w:lvl w:ilvl="1">
      <w:start w:val="1"/>
      <w:numFmt w:val="upperLetter"/>
      <w:lvlText w:val="%2."/>
      <w:lvlJc w:val="left"/>
      <w:pPr>
        <w:ind w:left="2880" w:firstLine="0"/>
      </w:pPr>
      <w:rPr>
        <w:rFonts w:hint="default"/>
      </w:rPr>
    </w:lvl>
    <w:lvl w:ilvl="2">
      <w:start w:val="1"/>
      <w:numFmt w:val="upperLetter"/>
      <w:pStyle w:val="Heading3"/>
      <w:lvlText w:val="%3."/>
      <w:lvlJc w:val="left"/>
      <w:pPr>
        <w:ind w:left="0" w:firstLine="0"/>
      </w:pPr>
      <w:rPr>
        <w:rFonts w:hint="default"/>
        <w:b/>
      </w:rPr>
    </w:lvl>
    <w:lvl w:ilvl="3">
      <w:start w:val="1"/>
      <w:numFmt w:val="decimal"/>
      <w:lvlText w:val="%4."/>
      <w:lvlJc w:val="left"/>
      <w:pPr>
        <w:ind w:left="4320" w:firstLine="0"/>
      </w:pPr>
      <w:rPr>
        <w:rFonts w:hint="default"/>
      </w:rPr>
    </w:lvl>
    <w:lvl w:ilvl="4">
      <w:start w:val="1"/>
      <w:numFmt w:val="decimal"/>
      <w:pStyle w:val="Heading5"/>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pStyle w:val="Heading7"/>
      <w:lvlText w:val="(%7)"/>
      <w:lvlJc w:val="left"/>
      <w:pPr>
        <w:ind w:left="6480" w:firstLine="0"/>
      </w:pPr>
      <w:rPr>
        <w:rFonts w:hint="default"/>
      </w:rPr>
    </w:lvl>
    <w:lvl w:ilvl="7">
      <w:start w:val="1"/>
      <w:numFmt w:val="lowerLetter"/>
      <w:pStyle w:val="Heading8"/>
      <w:lvlText w:val="(%8)"/>
      <w:lvlJc w:val="left"/>
      <w:pPr>
        <w:ind w:left="7200" w:firstLine="0"/>
      </w:pPr>
      <w:rPr>
        <w:rFonts w:hint="default"/>
      </w:rPr>
    </w:lvl>
    <w:lvl w:ilvl="8">
      <w:start w:val="1"/>
      <w:numFmt w:val="lowerRoman"/>
      <w:pStyle w:val="Heading9"/>
      <w:lvlText w:val="(%9)"/>
      <w:lvlJc w:val="left"/>
      <w:pPr>
        <w:ind w:left="7920" w:firstLine="0"/>
      </w:pPr>
      <w:rPr>
        <w:rFonts w:hint="default"/>
      </w:rPr>
    </w:lvl>
  </w:abstractNum>
  <w:abstractNum w:abstractNumId="6">
    <w:nsid w:val="675571BB"/>
    <w:multiLevelType w:val="hybridMultilevel"/>
    <w:tmpl w:val="E4A09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584C52"/>
    <w:multiLevelType w:val="hybridMultilevel"/>
    <w:tmpl w:val="19B2169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6BF53A5"/>
    <w:multiLevelType w:val="hybridMultilevel"/>
    <w:tmpl w:val="6E6C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214BA5"/>
    <w:multiLevelType w:val="hybridMultilevel"/>
    <w:tmpl w:val="4350A85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C7C452AE">
      <w:start w:val="1"/>
      <w:numFmt w:val="lowerLetter"/>
      <w:lvlText w:val="%6)"/>
      <w:lvlJc w:val="left"/>
      <w:pPr>
        <w:ind w:left="4680" w:hanging="180"/>
      </w:pPr>
      <w:rPr>
        <w:rFonts w:ascii="Times New Roman" w:eastAsia="Times New Roman" w:hAnsi="Times New Roman" w:cs="Times New Roman"/>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1"/>
  </w:num>
  <w:num w:numId="5">
    <w:abstractNumId w:val="9"/>
  </w:num>
  <w:num w:numId="6">
    <w:abstractNumId w:val="8"/>
  </w:num>
  <w:num w:numId="7">
    <w:abstractNumId w:val="3"/>
  </w:num>
  <w:num w:numId="8">
    <w:abstractNumId w:val="6"/>
  </w:num>
  <w:num w:numId="9">
    <w:abstractNumId w:val="7"/>
  </w:num>
  <w:num w:numId="10">
    <w:abstractNumId w:val="4"/>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2"/>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5"/>
  </w:num>
  <w:num w:numId="38">
    <w:abstractNumId w:val="2"/>
    <w:lvlOverride w:ilvl="0">
      <w:startOverride w:val="1"/>
    </w:lvlOverride>
  </w:num>
  <w:num w:numId="39">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004F0"/>
    <w:rsid w:val="00000DA1"/>
    <w:rsid w:val="00001A45"/>
    <w:rsid w:val="00002ADF"/>
    <w:rsid w:val="00003705"/>
    <w:rsid w:val="00003A61"/>
    <w:rsid w:val="00004DA8"/>
    <w:rsid w:val="00007C88"/>
    <w:rsid w:val="00007FA0"/>
    <w:rsid w:val="00011667"/>
    <w:rsid w:val="00012254"/>
    <w:rsid w:val="00012BD1"/>
    <w:rsid w:val="00013063"/>
    <w:rsid w:val="00013A99"/>
    <w:rsid w:val="00014E7F"/>
    <w:rsid w:val="00017601"/>
    <w:rsid w:val="000201F2"/>
    <w:rsid w:val="000212EF"/>
    <w:rsid w:val="0002192E"/>
    <w:rsid w:val="000220EF"/>
    <w:rsid w:val="00022279"/>
    <w:rsid w:val="00022908"/>
    <w:rsid w:val="000242AB"/>
    <w:rsid w:val="000243DF"/>
    <w:rsid w:val="0002463F"/>
    <w:rsid w:val="00025973"/>
    <w:rsid w:val="0002759E"/>
    <w:rsid w:val="00027CEF"/>
    <w:rsid w:val="00027DA6"/>
    <w:rsid w:val="00030201"/>
    <w:rsid w:val="00030C90"/>
    <w:rsid w:val="000329CF"/>
    <w:rsid w:val="00032B8F"/>
    <w:rsid w:val="00033013"/>
    <w:rsid w:val="00035F41"/>
    <w:rsid w:val="00036760"/>
    <w:rsid w:val="000367EB"/>
    <w:rsid w:val="000378F7"/>
    <w:rsid w:val="00040682"/>
    <w:rsid w:val="00040A50"/>
    <w:rsid w:val="000410D9"/>
    <w:rsid w:val="000413E6"/>
    <w:rsid w:val="00041670"/>
    <w:rsid w:val="000417BA"/>
    <w:rsid w:val="00041FF6"/>
    <w:rsid w:val="00042EEC"/>
    <w:rsid w:val="00043512"/>
    <w:rsid w:val="000441B0"/>
    <w:rsid w:val="00044306"/>
    <w:rsid w:val="00044F34"/>
    <w:rsid w:val="00045290"/>
    <w:rsid w:val="0004549B"/>
    <w:rsid w:val="0004671B"/>
    <w:rsid w:val="000519C4"/>
    <w:rsid w:val="00052F2A"/>
    <w:rsid w:val="00054063"/>
    <w:rsid w:val="0005456C"/>
    <w:rsid w:val="0005470A"/>
    <w:rsid w:val="0005488A"/>
    <w:rsid w:val="00055198"/>
    <w:rsid w:val="000555FF"/>
    <w:rsid w:val="000559D0"/>
    <w:rsid w:val="00055B4A"/>
    <w:rsid w:val="00060A5D"/>
    <w:rsid w:val="0006190E"/>
    <w:rsid w:val="00062CD2"/>
    <w:rsid w:val="00064306"/>
    <w:rsid w:val="0006430B"/>
    <w:rsid w:val="0006490F"/>
    <w:rsid w:val="00064BED"/>
    <w:rsid w:val="00065323"/>
    <w:rsid w:val="000679A2"/>
    <w:rsid w:val="0007072A"/>
    <w:rsid w:val="000708BD"/>
    <w:rsid w:val="00072874"/>
    <w:rsid w:val="00072937"/>
    <w:rsid w:val="00072CA3"/>
    <w:rsid w:val="000734CE"/>
    <w:rsid w:val="000737AF"/>
    <w:rsid w:val="00074BFB"/>
    <w:rsid w:val="00074F54"/>
    <w:rsid w:val="00075886"/>
    <w:rsid w:val="000760DE"/>
    <w:rsid w:val="0007674B"/>
    <w:rsid w:val="00077248"/>
    <w:rsid w:val="000772FC"/>
    <w:rsid w:val="00077523"/>
    <w:rsid w:val="000779AC"/>
    <w:rsid w:val="00081ECB"/>
    <w:rsid w:val="00083508"/>
    <w:rsid w:val="000847F9"/>
    <w:rsid w:val="00084C80"/>
    <w:rsid w:val="00084EF8"/>
    <w:rsid w:val="00084F0A"/>
    <w:rsid w:val="00085EC3"/>
    <w:rsid w:val="0008607C"/>
    <w:rsid w:val="00086A2E"/>
    <w:rsid w:val="00086C58"/>
    <w:rsid w:val="00090311"/>
    <w:rsid w:val="000905D9"/>
    <w:rsid w:val="00090857"/>
    <w:rsid w:val="00091102"/>
    <w:rsid w:val="00091B71"/>
    <w:rsid w:val="000923DB"/>
    <w:rsid w:val="000924F2"/>
    <w:rsid w:val="0009260F"/>
    <w:rsid w:val="00092811"/>
    <w:rsid w:val="00093C77"/>
    <w:rsid w:val="00093E0F"/>
    <w:rsid w:val="00094B51"/>
    <w:rsid w:val="00095890"/>
    <w:rsid w:val="000959A8"/>
    <w:rsid w:val="00095AFF"/>
    <w:rsid w:val="00095FD4"/>
    <w:rsid w:val="00096B09"/>
    <w:rsid w:val="00096F25"/>
    <w:rsid w:val="000A04F0"/>
    <w:rsid w:val="000A0CBC"/>
    <w:rsid w:val="000A0DE8"/>
    <w:rsid w:val="000A1345"/>
    <w:rsid w:val="000A15CD"/>
    <w:rsid w:val="000A2AEE"/>
    <w:rsid w:val="000A33F3"/>
    <w:rsid w:val="000A353A"/>
    <w:rsid w:val="000A3968"/>
    <w:rsid w:val="000A4379"/>
    <w:rsid w:val="000A4455"/>
    <w:rsid w:val="000A53EE"/>
    <w:rsid w:val="000A7214"/>
    <w:rsid w:val="000A757C"/>
    <w:rsid w:val="000B088E"/>
    <w:rsid w:val="000B092E"/>
    <w:rsid w:val="000B1479"/>
    <w:rsid w:val="000B1817"/>
    <w:rsid w:val="000B49EC"/>
    <w:rsid w:val="000B4D19"/>
    <w:rsid w:val="000B51E8"/>
    <w:rsid w:val="000B5F9E"/>
    <w:rsid w:val="000B7175"/>
    <w:rsid w:val="000C01E0"/>
    <w:rsid w:val="000C0378"/>
    <w:rsid w:val="000C0B16"/>
    <w:rsid w:val="000C0E57"/>
    <w:rsid w:val="000C1405"/>
    <w:rsid w:val="000C4D4B"/>
    <w:rsid w:val="000C5398"/>
    <w:rsid w:val="000C6263"/>
    <w:rsid w:val="000D1F21"/>
    <w:rsid w:val="000D22BB"/>
    <w:rsid w:val="000D269B"/>
    <w:rsid w:val="000D2CD9"/>
    <w:rsid w:val="000D2CE5"/>
    <w:rsid w:val="000D36A8"/>
    <w:rsid w:val="000D3CEE"/>
    <w:rsid w:val="000D4537"/>
    <w:rsid w:val="000D5C7D"/>
    <w:rsid w:val="000D60A0"/>
    <w:rsid w:val="000D6F4B"/>
    <w:rsid w:val="000D7043"/>
    <w:rsid w:val="000D7DC5"/>
    <w:rsid w:val="000D7E3C"/>
    <w:rsid w:val="000E089D"/>
    <w:rsid w:val="000E1111"/>
    <w:rsid w:val="000E3D47"/>
    <w:rsid w:val="000E3E0E"/>
    <w:rsid w:val="000E4A0D"/>
    <w:rsid w:val="000E4DA0"/>
    <w:rsid w:val="000E6C40"/>
    <w:rsid w:val="000E7FDD"/>
    <w:rsid w:val="000F0147"/>
    <w:rsid w:val="000F0806"/>
    <w:rsid w:val="000F0E54"/>
    <w:rsid w:val="000F18F5"/>
    <w:rsid w:val="000F2542"/>
    <w:rsid w:val="000F292C"/>
    <w:rsid w:val="000F3BF6"/>
    <w:rsid w:val="000F4165"/>
    <w:rsid w:val="000F63FD"/>
    <w:rsid w:val="000F6F3C"/>
    <w:rsid w:val="000F6FC2"/>
    <w:rsid w:val="000F739B"/>
    <w:rsid w:val="000F743B"/>
    <w:rsid w:val="000F7D5F"/>
    <w:rsid w:val="001003AA"/>
    <w:rsid w:val="00100D8D"/>
    <w:rsid w:val="001018E5"/>
    <w:rsid w:val="00101BD5"/>
    <w:rsid w:val="00101D35"/>
    <w:rsid w:val="00101DDA"/>
    <w:rsid w:val="00101F7E"/>
    <w:rsid w:val="00102609"/>
    <w:rsid w:val="00103139"/>
    <w:rsid w:val="00104CBC"/>
    <w:rsid w:val="001065AA"/>
    <w:rsid w:val="00106FDD"/>
    <w:rsid w:val="00107408"/>
    <w:rsid w:val="00107999"/>
    <w:rsid w:val="00111854"/>
    <w:rsid w:val="00111A87"/>
    <w:rsid w:val="00111C42"/>
    <w:rsid w:val="00112782"/>
    <w:rsid w:val="00112F83"/>
    <w:rsid w:val="00114B5F"/>
    <w:rsid w:val="00116A80"/>
    <w:rsid w:val="00116AF0"/>
    <w:rsid w:val="00117A3E"/>
    <w:rsid w:val="00117AD1"/>
    <w:rsid w:val="00117E87"/>
    <w:rsid w:val="00117F78"/>
    <w:rsid w:val="0012019D"/>
    <w:rsid w:val="00121057"/>
    <w:rsid w:val="001217EA"/>
    <w:rsid w:val="00122B97"/>
    <w:rsid w:val="00122CAF"/>
    <w:rsid w:val="0012306B"/>
    <w:rsid w:val="00123644"/>
    <w:rsid w:val="0012460E"/>
    <w:rsid w:val="00124FF4"/>
    <w:rsid w:val="001253C5"/>
    <w:rsid w:val="00125C0D"/>
    <w:rsid w:val="00125C72"/>
    <w:rsid w:val="001261D5"/>
    <w:rsid w:val="00127111"/>
    <w:rsid w:val="00127C20"/>
    <w:rsid w:val="00130674"/>
    <w:rsid w:val="001324EA"/>
    <w:rsid w:val="0013339E"/>
    <w:rsid w:val="001344C9"/>
    <w:rsid w:val="00134F13"/>
    <w:rsid w:val="00135E4B"/>
    <w:rsid w:val="0013650F"/>
    <w:rsid w:val="0013680C"/>
    <w:rsid w:val="001370AB"/>
    <w:rsid w:val="001372D4"/>
    <w:rsid w:val="00137B60"/>
    <w:rsid w:val="0014069B"/>
    <w:rsid w:val="00140BCA"/>
    <w:rsid w:val="00140CD8"/>
    <w:rsid w:val="00140E11"/>
    <w:rsid w:val="001414A2"/>
    <w:rsid w:val="0014246D"/>
    <w:rsid w:val="00145FFF"/>
    <w:rsid w:val="00146221"/>
    <w:rsid w:val="00146590"/>
    <w:rsid w:val="00146A9C"/>
    <w:rsid w:val="00146D17"/>
    <w:rsid w:val="00146E7B"/>
    <w:rsid w:val="001500E4"/>
    <w:rsid w:val="001508BD"/>
    <w:rsid w:val="00150A89"/>
    <w:rsid w:val="00150E9E"/>
    <w:rsid w:val="001515AE"/>
    <w:rsid w:val="00152F43"/>
    <w:rsid w:val="00153ECA"/>
    <w:rsid w:val="00154646"/>
    <w:rsid w:val="00155E61"/>
    <w:rsid w:val="00156A6B"/>
    <w:rsid w:val="001575B7"/>
    <w:rsid w:val="00160632"/>
    <w:rsid w:val="001606AD"/>
    <w:rsid w:val="00160E4E"/>
    <w:rsid w:val="00161201"/>
    <w:rsid w:val="001620C5"/>
    <w:rsid w:val="0016261B"/>
    <w:rsid w:val="0016351A"/>
    <w:rsid w:val="00164006"/>
    <w:rsid w:val="00164ABE"/>
    <w:rsid w:val="00164F1C"/>
    <w:rsid w:val="00165CCB"/>
    <w:rsid w:val="00165E05"/>
    <w:rsid w:val="001665FF"/>
    <w:rsid w:val="00167B0D"/>
    <w:rsid w:val="00170D63"/>
    <w:rsid w:val="00170F31"/>
    <w:rsid w:val="00171FBE"/>
    <w:rsid w:val="00172273"/>
    <w:rsid w:val="00172902"/>
    <w:rsid w:val="00172925"/>
    <w:rsid w:val="00173051"/>
    <w:rsid w:val="0017343E"/>
    <w:rsid w:val="00173897"/>
    <w:rsid w:val="00173C75"/>
    <w:rsid w:val="00174697"/>
    <w:rsid w:val="00175F64"/>
    <w:rsid w:val="00176609"/>
    <w:rsid w:val="001766C5"/>
    <w:rsid w:val="001807F5"/>
    <w:rsid w:val="0018319A"/>
    <w:rsid w:val="00183A08"/>
    <w:rsid w:val="001841D7"/>
    <w:rsid w:val="00184851"/>
    <w:rsid w:val="00184951"/>
    <w:rsid w:val="00185892"/>
    <w:rsid w:val="00185D95"/>
    <w:rsid w:val="00186965"/>
    <w:rsid w:val="001876BA"/>
    <w:rsid w:val="001904C8"/>
    <w:rsid w:val="0019115F"/>
    <w:rsid w:val="00191780"/>
    <w:rsid w:val="0019274D"/>
    <w:rsid w:val="001936B0"/>
    <w:rsid w:val="001939D1"/>
    <w:rsid w:val="001947C3"/>
    <w:rsid w:val="001953D6"/>
    <w:rsid w:val="00195964"/>
    <w:rsid w:val="00195B6E"/>
    <w:rsid w:val="00196EE7"/>
    <w:rsid w:val="001972A1"/>
    <w:rsid w:val="001A0C64"/>
    <w:rsid w:val="001A0FCE"/>
    <w:rsid w:val="001A1063"/>
    <w:rsid w:val="001A11C5"/>
    <w:rsid w:val="001A1D36"/>
    <w:rsid w:val="001A1F78"/>
    <w:rsid w:val="001A2038"/>
    <w:rsid w:val="001A239C"/>
    <w:rsid w:val="001A2C8F"/>
    <w:rsid w:val="001A2E26"/>
    <w:rsid w:val="001A3A77"/>
    <w:rsid w:val="001A45B6"/>
    <w:rsid w:val="001A5100"/>
    <w:rsid w:val="001A5EE2"/>
    <w:rsid w:val="001A617B"/>
    <w:rsid w:val="001A68F4"/>
    <w:rsid w:val="001B00FA"/>
    <w:rsid w:val="001B0420"/>
    <w:rsid w:val="001B3ACE"/>
    <w:rsid w:val="001B3B99"/>
    <w:rsid w:val="001B3CD3"/>
    <w:rsid w:val="001B3D42"/>
    <w:rsid w:val="001B41C0"/>
    <w:rsid w:val="001B44D4"/>
    <w:rsid w:val="001B4D13"/>
    <w:rsid w:val="001B4E9C"/>
    <w:rsid w:val="001B527C"/>
    <w:rsid w:val="001C1C33"/>
    <w:rsid w:val="001C2BA0"/>
    <w:rsid w:val="001C2E22"/>
    <w:rsid w:val="001C422E"/>
    <w:rsid w:val="001C4452"/>
    <w:rsid w:val="001C4639"/>
    <w:rsid w:val="001C465C"/>
    <w:rsid w:val="001C493D"/>
    <w:rsid w:val="001C56CA"/>
    <w:rsid w:val="001C5ABF"/>
    <w:rsid w:val="001C610C"/>
    <w:rsid w:val="001C69D6"/>
    <w:rsid w:val="001C7470"/>
    <w:rsid w:val="001D0545"/>
    <w:rsid w:val="001D07E3"/>
    <w:rsid w:val="001D0B74"/>
    <w:rsid w:val="001D145B"/>
    <w:rsid w:val="001D179A"/>
    <w:rsid w:val="001D211D"/>
    <w:rsid w:val="001D3321"/>
    <w:rsid w:val="001D6C6D"/>
    <w:rsid w:val="001E17A3"/>
    <w:rsid w:val="001E1863"/>
    <w:rsid w:val="001E1E89"/>
    <w:rsid w:val="001E2829"/>
    <w:rsid w:val="001E30A6"/>
    <w:rsid w:val="001E3486"/>
    <w:rsid w:val="001E3923"/>
    <w:rsid w:val="001E410C"/>
    <w:rsid w:val="001E43AE"/>
    <w:rsid w:val="001E446A"/>
    <w:rsid w:val="001E4FB8"/>
    <w:rsid w:val="001E57EB"/>
    <w:rsid w:val="001E5A2B"/>
    <w:rsid w:val="001E6689"/>
    <w:rsid w:val="001E68D4"/>
    <w:rsid w:val="001E77D0"/>
    <w:rsid w:val="001E7B56"/>
    <w:rsid w:val="001F03B0"/>
    <w:rsid w:val="001F065B"/>
    <w:rsid w:val="001F0913"/>
    <w:rsid w:val="001F1031"/>
    <w:rsid w:val="001F1137"/>
    <w:rsid w:val="001F1BF2"/>
    <w:rsid w:val="001F2084"/>
    <w:rsid w:val="001F2485"/>
    <w:rsid w:val="001F267E"/>
    <w:rsid w:val="001F3CA9"/>
    <w:rsid w:val="001F449E"/>
    <w:rsid w:val="001F4A3E"/>
    <w:rsid w:val="001F4EBF"/>
    <w:rsid w:val="001F532D"/>
    <w:rsid w:val="001F5956"/>
    <w:rsid w:val="001F7125"/>
    <w:rsid w:val="001F74E0"/>
    <w:rsid w:val="001F7A86"/>
    <w:rsid w:val="001F7EDF"/>
    <w:rsid w:val="002000A2"/>
    <w:rsid w:val="002005B3"/>
    <w:rsid w:val="0020106B"/>
    <w:rsid w:val="0020118F"/>
    <w:rsid w:val="00201F89"/>
    <w:rsid w:val="00202B29"/>
    <w:rsid w:val="00203824"/>
    <w:rsid w:val="002039FE"/>
    <w:rsid w:val="00203CB6"/>
    <w:rsid w:val="0020409C"/>
    <w:rsid w:val="002048E0"/>
    <w:rsid w:val="0020501E"/>
    <w:rsid w:val="00206413"/>
    <w:rsid w:val="002079A6"/>
    <w:rsid w:val="002079C0"/>
    <w:rsid w:val="00210128"/>
    <w:rsid w:val="00211F8F"/>
    <w:rsid w:val="00212851"/>
    <w:rsid w:val="00212C6E"/>
    <w:rsid w:val="002137F1"/>
    <w:rsid w:val="00214318"/>
    <w:rsid w:val="002153E8"/>
    <w:rsid w:val="00215EAC"/>
    <w:rsid w:val="0021626A"/>
    <w:rsid w:val="00216402"/>
    <w:rsid w:val="002200C5"/>
    <w:rsid w:val="00221157"/>
    <w:rsid w:val="00222D18"/>
    <w:rsid w:val="0022334C"/>
    <w:rsid w:val="00224155"/>
    <w:rsid w:val="00225059"/>
    <w:rsid w:val="0022566C"/>
    <w:rsid w:val="002257DF"/>
    <w:rsid w:val="00226528"/>
    <w:rsid w:val="002278F2"/>
    <w:rsid w:val="00227AB4"/>
    <w:rsid w:val="00230710"/>
    <w:rsid w:val="00230E81"/>
    <w:rsid w:val="0023246A"/>
    <w:rsid w:val="00232883"/>
    <w:rsid w:val="00232F27"/>
    <w:rsid w:val="00233A3C"/>
    <w:rsid w:val="00233F91"/>
    <w:rsid w:val="0023452D"/>
    <w:rsid w:val="00234FD5"/>
    <w:rsid w:val="00237E8B"/>
    <w:rsid w:val="00241772"/>
    <w:rsid w:val="002429C8"/>
    <w:rsid w:val="0024342C"/>
    <w:rsid w:val="00243B21"/>
    <w:rsid w:val="00243D59"/>
    <w:rsid w:val="00243DA5"/>
    <w:rsid w:val="002440EA"/>
    <w:rsid w:val="00245C9C"/>
    <w:rsid w:val="002460EF"/>
    <w:rsid w:val="002464EC"/>
    <w:rsid w:val="002476CE"/>
    <w:rsid w:val="00250327"/>
    <w:rsid w:val="00250D4D"/>
    <w:rsid w:val="00250F45"/>
    <w:rsid w:val="00251502"/>
    <w:rsid w:val="00251BED"/>
    <w:rsid w:val="00251FAD"/>
    <w:rsid w:val="00252294"/>
    <w:rsid w:val="002523A7"/>
    <w:rsid w:val="00253DF8"/>
    <w:rsid w:val="002540B3"/>
    <w:rsid w:val="00254CB5"/>
    <w:rsid w:val="00255414"/>
    <w:rsid w:val="00255655"/>
    <w:rsid w:val="00256AB9"/>
    <w:rsid w:val="00256B59"/>
    <w:rsid w:val="00256C92"/>
    <w:rsid w:val="00261282"/>
    <w:rsid w:val="00262218"/>
    <w:rsid w:val="0026256B"/>
    <w:rsid w:val="002627B3"/>
    <w:rsid w:val="002628E4"/>
    <w:rsid w:val="002637EB"/>
    <w:rsid w:val="00264BA3"/>
    <w:rsid w:val="00264C9B"/>
    <w:rsid w:val="00264F2D"/>
    <w:rsid w:val="00265113"/>
    <w:rsid w:val="002657DF"/>
    <w:rsid w:val="002660C6"/>
    <w:rsid w:val="0026629A"/>
    <w:rsid w:val="00266993"/>
    <w:rsid w:val="002700B0"/>
    <w:rsid w:val="002706E8"/>
    <w:rsid w:val="00270D78"/>
    <w:rsid w:val="00271119"/>
    <w:rsid w:val="00271C2A"/>
    <w:rsid w:val="00271E5E"/>
    <w:rsid w:val="002729D9"/>
    <w:rsid w:val="00272FFC"/>
    <w:rsid w:val="002749AE"/>
    <w:rsid w:val="00274B49"/>
    <w:rsid w:val="00274F15"/>
    <w:rsid w:val="00276957"/>
    <w:rsid w:val="00280138"/>
    <w:rsid w:val="002804E8"/>
    <w:rsid w:val="00280685"/>
    <w:rsid w:val="00280AE9"/>
    <w:rsid w:val="00281424"/>
    <w:rsid w:val="002815E0"/>
    <w:rsid w:val="00281AAC"/>
    <w:rsid w:val="002820DF"/>
    <w:rsid w:val="002834EA"/>
    <w:rsid w:val="00283BEF"/>
    <w:rsid w:val="00283D84"/>
    <w:rsid w:val="002845CB"/>
    <w:rsid w:val="00284EC2"/>
    <w:rsid w:val="00286C00"/>
    <w:rsid w:val="0028727E"/>
    <w:rsid w:val="00287EA7"/>
    <w:rsid w:val="002914C5"/>
    <w:rsid w:val="00291EED"/>
    <w:rsid w:val="0029238E"/>
    <w:rsid w:val="00292901"/>
    <w:rsid w:val="00293511"/>
    <w:rsid w:val="002946A7"/>
    <w:rsid w:val="00294758"/>
    <w:rsid w:val="002951A8"/>
    <w:rsid w:val="00295A91"/>
    <w:rsid w:val="00295E38"/>
    <w:rsid w:val="00296042"/>
    <w:rsid w:val="00296ED8"/>
    <w:rsid w:val="00297003"/>
    <w:rsid w:val="00297B78"/>
    <w:rsid w:val="002A134A"/>
    <w:rsid w:val="002A180A"/>
    <w:rsid w:val="002A1C15"/>
    <w:rsid w:val="002A28E0"/>
    <w:rsid w:val="002A3397"/>
    <w:rsid w:val="002A4DF6"/>
    <w:rsid w:val="002A4FF1"/>
    <w:rsid w:val="002A5205"/>
    <w:rsid w:val="002A6079"/>
    <w:rsid w:val="002A64B2"/>
    <w:rsid w:val="002A704B"/>
    <w:rsid w:val="002B0C85"/>
    <w:rsid w:val="002B0E3C"/>
    <w:rsid w:val="002B1870"/>
    <w:rsid w:val="002B1CF6"/>
    <w:rsid w:val="002B29D4"/>
    <w:rsid w:val="002B3012"/>
    <w:rsid w:val="002B5B4F"/>
    <w:rsid w:val="002B62DB"/>
    <w:rsid w:val="002B6696"/>
    <w:rsid w:val="002B6997"/>
    <w:rsid w:val="002B7339"/>
    <w:rsid w:val="002B7347"/>
    <w:rsid w:val="002C0D82"/>
    <w:rsid w:val="002C11AF"/>
    <w:rsid w:val="002C1555"/>
    <w:rsid w:val="002C23CD"/>
    <w:rsid w:val="002C2762"/>
    <w:rsid w:val="002C333C"/>
    <w:rsid w:val="002C3397"/>
    <w:rsid w:val="002C3CBB"/>
    <w:rsid w:val="002C70DF"/>
    <w:rsid w:val="002C7491"/>
    <w:rsid w:val="002C7E6F"/>
    <w:rsid w:val="002D10CD"/>
    <w:rsid w:val="002D34A4"/>
    <w:rsid w:val="002D3658"/>
    <w:rsid w:val="002D3724"/>
    <w:rsid w:val="002D3BF4"/>
    <w:rsid w:val="002D48A0"/>
    <w:rsid w:val="002D4E8A"/>
    <w:rsid w:val="002D54E1"/>
    <w:rsid w:val="002D55F5"/>
    <w:rsid w:val="002D779F"/>
    <w:rsid w:val="002D7AF0"/>
    <w:rsid w:val="002D7DCE"/>
    <w:rsid w:val="002E058A"/>
    <w:rsid w:val="002E0AD5"/>
    <w:rsid w:val="002E1922"/>
    <w:rsid w:val="002E1A8C"/>
    <w:rsid w:val="002E2AD6"/>
    <w:rsid w:val="002E352C"/>
    <w:rsid w:val="002E3540"/>
    <w:rsid w:val="002E3C19"/>
    <w:rsid w:val="002E3F86"/>
    <w:rsid w:val="002E47B6"/>
    <w:rsid w:val="002E4830"/>
    <w:rsid w:val="002E4CFF"/>
    <w:rsid w:val="002E5015"/>
    <w:rsid w:val="002E55AC"/>
    <w:rsid w:val="002E5A4D"/>
    <w:rsid w:val="002F0C19"/>
    <w:rsid w:val="002F1187"/>
    <w:rsid w:val="002F132F"/>
    <w:rsid w:val="002F15FA"/>
    <w:rsid w:val="002F181B"/>
    <w:rsid w:val="002F20A1"/>
    <w:rsid w:val="002F3713"/>
    <w:rsid w:val="002F39CF"/>
    <w:rsid w:val="002F3C6D"/>
    <w:rsid w:val="002F41FA"/>
    <w:rsid w:val="002F529C"/>
    <w:rsid w:val="002F5FE7"/>
    <w:rsid w:val="002F6488"/>
    <w:rsid w:val="002F6FF2"/>
    <w:rsid w:val="002F70F7"/>
    <w:rsid w:val="002F7913"/>
    <w:rsid w:val="00301749"/>
    <w:rsid w:val="0030209E"/>
    <w:rsid w:val="0030419A"/>
    <w:rsid w:val="00304410"/>
    <w:rsid w:val="00305012"/>
    <w:rsid w:val="003050A3"/>
    <w:rsid w:val="0030547F"/>
    <w:rsid w:val="003056FE"/>
    <w:rsid w:val="00305F27"/>
    <w:rsid w:val="00306704"/>
    <w:rsid w:val="00307183"/>
    <w:rsid w:val="003072E8"/>
    <w:rsid w:val="003079AE"/>
    <w:rsid w:val="00310176"/>
    <w:rsid w:val="00311DBC"/>
    <w:rsid w:val="003121DA"/>
    <w:rsid w:val="00312AA5"/>
    <w:rsid w:val="003136EB"/>
    <w:rsid w:val="00315B76"/>
    <w:rsid w:val="00315D2B"/>
    <w:rsid w:val="00315E46"/>
    <w:rsid w:val="0031610E"/>
    <w:rsid w:val="00316EF3"/>
    <w:rsid w:val="00317088"/>
    <w:rsid w:val="003171CD"/>
    <w:rsid w:val="0031785D"/>
    <w:rsid w:val="00320C17"/>
    <w:rsid w:val="00320E01"/>
    <w:rsid w:val="003213F7"/>
    <w:rsid w:val="00321477"/>
    <w:rsid w:val="00322669"/>
    <w:rsid w:val="00322BE8"/>
    <w:rsid w:val="00323672"/>
    <w:rsid w:val="0032423D"/>
    <w:rsid w:val="0032444D"/>
    <w:rsid w:val="00324A58"/>
    <w:rsid w:val="00324FD1"/>
    <w:rsid w:val="003250F7"/>
    <w:rsid w:val="00325898"/>
    <w:rsid w:val="00325954"/>
    <w:rsid w:val="00325958"/>
    <w:rsid w:val="00326B08"/>
    <w:rsid w:val="00326D02"/>
    <w:rsid w:val="00327C4B"/>
    <w:rsid w:val="003304D8"/>
    <w:rsid w:val="0033161F"/>
    <w:rsid w:val="003316C8"/>
    <w:rsid w:val="00331735"/>
    <w:rsid w:val="00332642"/>
    <w:rsid w:val="00333A0A"/>
    <w:rsid w:val="00334198"/>
    <w:rsid w:val="0033452A"/>
    <w:rsid w:val="0033492B"/>
    <w:rsid w:val="003357F3"/>
    <w:rsid w:val="00335919"/>
    <w:rsid w:val="00336410"/>
    <w:rsid w:val="00336694"/>
    <w:rsid w:val="003370B0"/>
    <w:rsid w:val="00337300"/>
    <w:rsid w:val="0033742A"/>
    <w:rsid w:val="00337B6E"/>
    <w:rsid w:val="00340125"/>
    <w:rsid w:val="0034049B"/>
    <w:rsid w:val="00340711"/>
    <w:rsid w:val="00340C45"/>
    <w:rsid w:val="00341C31"/>
    <w:rsid w:val="00342685"/>
    <w:rsid w:val="003427A2"/>
    <w:rsid w:val="003429DD"/>
    <w:rsid w:val="003430BA"/>
    <w:rsid w:val="003433F3"/>
    <w:rsid w:val="003438A4"/>
    <w:rsid w:val="00343B3F"/>
    <w:rsid w:val="00344618"/>
    <w:rsid w:val="00344D85"/>
    <w:rsid w:val="00345DAF"/>
    <w:rsid w:val="00345F35"/>
    <w:rsid w:val="00346202"/>
    <w:rsid w:val="0034636A"/>
    <w:rsid w:val="0034653D"/>
    <w:rsid w:val="003466EE"/>
    <w:rsid w:val="00347083"/>
    <w:rsid w:val="0034764E"/>
    <w:rsid w:val="00347729"/>
    <w:rsid w:val="003502EC"/>
    <w:rsid w:val="00350637"/>
    <w:rsid w:val="00350AA3"/>
    <w:rsid w:val="00351D79"/>
    <w:rsid w:val="003523AA"/>
    <w:rsid w:val="00352F14"/>
    <w:rsid w:val="003530EC"/>
    <w:rsid w:val="00353252"/>
    <w:rsid w:val="00353355"/>
    <w:rsid w:val="00353C24"/>
    <w:rsid w:val="003550D7"/>
    <w:rsid w:val="0035543A"/>
    <w:rsid w:val="00355FBB"/>
    <w:rsid w:val="00356193"/>
    <w:rsid w:val="00356B5E"/>
    <w:rsid w:val="00357E51"/>
    <w:rsid w:val="003602A5"/>
    <w:rsid w:val="00360AB6"/>
    <w:rsid w:val="00360DF4"/>
    <w:rsid w:val="0036396B"/>
    <w:rsid w:val="00364D9D"/>
    <w:rsid w:val="00365676"/>
    <w:rsid w:val="003657C9"/>
    <w:rsid w:val="00366315"/>
    <w:rsid w:val="00366F2A"/>
    <w:rsid w:val="00367458"/>
    <w:rsid w:val="00367AE6"/>
    <w:rsid w:val="0037021A"/>
    <w:rsid w:val="00370D29"/>
    <w:rsid w:val="003710D8"/>
    <w:rsid w:val="0037295E"/>
    <w:rsid w:val="00372CA0"/>
    <w:rsid w:val="0037304A"/>
    <w:rsid w:val="00373567"/>
    <w:rsid w:val="0037436F"/>
    <w:rsid w:val="003748B7"/>
    <w:rsid w:val="003751F5"/>
    <w:rsid w:val="0037537D"/>
    <w:rsid w:val="00375A8E"/>
    <w:rsid w:val="00375AEE"/>
    <w:rsid w:val="00376BA8"/>
    <w:rsid w:val="00377943"/>
    <w:rsid w:val="00377C4E"/>
    <w:rsid w:val="00380DAB"/>
    <w:rsid w:val="0038101A"/>
    <w:rsid w:val="00381177"/>
    <w:rsid w:val="00382FF3"/>
    <w:rsid w:val="003831A5"/>
    <w:rsid w:val="00384E8C"/>
    <w:rsid w:val="00384FFB"/>
    <w:rsid w:val="00385622"/>
    <w:rsid w:val="00385D34"/>
    <w:rsid w:val="003875EE"/>
    <w:rsid w:val="00390584"/>
    <w:rsid w:val="003913E4"/>
    <w:rsid w:val="00391D78"/>
    <w:rsid w:val="00393872"/>
    <w:rsid w:val="003939F9"/>
    <w:rsid w:val="0039403B"/>
    <w:rsid w:val="00394237"/>
    <w:rsid w:val="00394751"/>
    <w:rsid w:val="0039498A"/>
    <w:rsid w:val="003953BD"/>
    <w:rsid w:val="00395790"/>
    <w:rsid w:val="00396CC9"/>
    <w:rsid w:val="0039778D"/>
    <w:rsid w:val="00397EF6"/>
    <w:rsid w:val="003A0F65"/>
    <w:rsid w:val="003A2326"/>
    <w:rsid w:val="003A238D"/>
    <w:rsid w:val="003A2545"/>
    <w:rsid w:val="003A286D"/>
    <w:rsid w:val="003A2FA5"/>
    <w:rsid w:val="003A36FA"/>
    <w:rsid w:val="003A3E0D"/>
    <w:rsid w:val="003A3F2E"/>
    <w:rsid w:val="003A503F"/>
    <w:rsid w:val="003A59FD"/>
    <w:rsid w:val="003A639B"/>
    <w:rsid w:val="003A7AD8"/>
    <w:rsid w:val="003A7B3A"/>
    <w:rsid w:val="003B0550"/>
    <w:rsid w:val="003B056D"/>
    <w:rsid w:val="003B0702"/>
    <w:rsid w:val="003B0814"/>
    <w:rsid w:val="003B136E"/>
    <w:rsid w:val="003B1790"/>
    <w:rsid w:val="003B179C"/>
    <w:rsid w:val="003B2800"/>
    <w:rsid w:val="003B2B97"/>
    <w:rsid w:val="003B307F"/>
    <w:rsid w:val="003B3A9F"/>
    <w:rsid w:val="003B47C5"/>
    <w:rsid w:val="003B4816"/>
    <w:rsid w:val="003B556F"/>
    <w:rsid w:val="003B5571"/>
    <w:rsid w:val="003B59ED"/>
    <w:rsid w:val="003B62B9"/>
    <w:rsid w:val="003B69A5"/>
    <w:rsid w:val="003B6DA6"/>
    <w:rsid w:val="003C0208"/>
    <w:rsid w:val="003C0433"/>
    <w:rsid w:val="003C046B"/>
    <w:rsid w:val="003C0847"/>
    <w:rsid w:val="003C0C07"/>
    <w:rsid w:val="003C172E"/>
    <w:rsid w:val="003C2B7F"/>
    <w:rsid w:val="003C331E"/>
    <w:rsid w:val="003C3F25"/>
    <w:rsid w:val="003C449C"/>
    <w:rsid w:val="003C515B"/>
    <w:rsid w:val="003C6072"/>
    <w:rsid w:val="003C6717"/>
    <w:rsid w:val="003C75B1"/>
    <w:rsid w:val="003C7A04"/>
    <w:rsid w:val="003D060D"/>
    <w:rsid w:val="003D0662"/>
    <w:rsid w:val="003D098D"/>
    <w:rsid w:val="003D0CEB"/>
    <w:rsid w:val="003D0FC9"/>
    <w:rsid w:val="003D378C"/>
    <w:rsid w:val="003D3FF2"/>
    <w:rsid w:val="003D4668"/>
    <w:rsid w:val="003D4F8B"/>
    <w:rsid w:val="003D5779"/>
    <w:rsid w:val="003D5A94"/>
    <w:rsid w:val="003D63DA"/>
    <w:rsid w:val="003D67B6"/>
    <w:rsid w:val="003D6C8B"/>
    <w:rsid w:val="003D6F24"/>
    <w:rsid w:val="003E07F5"/>
    <w:rsid w:val="003E0848"/>
    <w:rsid w:val="003E0CC4"/>
    <w:rsid w:val="003E18C4"/>
    <w:rsid w:val="003E2616"/>
    <w:rsid w:val="003E3159"/>
    <w:rsid w:val="003E3AB3"/>
    <w:rsid w:val="003E421F"/>
    <w:rsid w:val="003E45E4"/>
    <w:rsid w:val="003E4721"/>
    <w:rsid w:val="003E4BC3"/>
    <w:rsid w:val="003E4D91"/>
    <w:rsid w:val="003E5276"/>
    <w:rsid w:val="003E5495"/>
    <w:rsid w:val="003E6CDB"/>
    <w:rsid w:val="003E77EB"/>
    <w:rsid w:val="003F0541"/>
    <w:rsid w:val="003F05B3"/>
    <w:rsid w:val="003F160F"/>
    <w:rsid w:val="003F1875"/>
    <w:rsid w:val="003F190E"/>
    <w:rsid w:val="003F20DF"/>
    <w:rsid w:val="003F2C59"/>
    <w:rsid w:val="003F37AF"/>
    <w:rsid w:val="003F3D97"/>
    <w:rsid w:val="003F401B"/>
    <w:rsid w:val="003F4C89"/>
    <w:rsid w:val="003F5609"/>
    <w:rsid w:val="003F5E8A"/>
    <w:rsid w:val="003F733C"/>
    <w:rsid w:val="004003A6"/>
    <w:rsid w:val="00400F72"/>
    <w:rsid w:val="0040185B"/>
    <w:rsid w:val="00401AC3"/>
    <w:rsid w:val="00401B95"/>
    <w:rsid w:val="00402354"/>
    <w:rsid w:val="00402667"/>
    <w:rsid w:val="004029E4"/>
    <w:rsid w:val="0040325B"/>
    <w:rsid w:val="00403864"/>
    <w:rsid w:val="0040543E"/>
    <w:rsid w:val="00407637"/>
    <w:rsid w:val="00407E70"/>
    <w:rsid w:val="0041086C"/>
    <w:rsid w:val="00411371"/>
    <w:rsid w:val="004120E1"/>
    <w:rsid w:val="004129E4"/>
    <w:rsid w:val="00413B55"/>
    <w:rsid w:val="00414568"/>
    <w:rsid w:val="0041466B"/>
    <w:rsid w:val="00415186"/>
    <w:rsid w:val="00415837"/>
    <w:rsid w:val="004162C7"/>
    <w:rsid w:val="004163AD"/>
    <w:rsid w:val="0041715A"/>
    <w:rsid w:val="004176D0"/>
    <w:rsid w:val="00417B80"/>
    <w:rsid w:val="00420619"/>
    <w:rsid w:val="00420C37"/>
    <w:rsid w:val="004218B1"/>
    <w:rsid w:val="00421A5A"/>
    <w:rsid w:val="00421E84"/>
    <w:rsid w:val="004220C0"/>
    <w:rsid w:val="00422451"/>
    <w:rsid w:val="00422B1B"/>
    <w:rsid w:val="00423389"/>
    <w:rsid w:val="00424933"/>
    <w:rsid w:val="00424973"/>
    <w:rsid w:val="00425AA4"/>
    <w:rsid w:val="004264F8"/>
    <w:rsid w:val="004274CF"/>
    <w:rsid w:val="00430310"/>
    <w:rsid w:val="00431127"/>
    <w:rsid w:val="004320BD"/>
    <w:rsid w:val="0043232A"/>
    <w:rsid w:val="004333F3"/>
    <w:rsid w:val="00433A19"/>
    <w:rsid w:val="00434467"/>
    <w:rsid w:val="00434894"/>
    <w:rsid w:val="00434E05"/>
    <w:rsid w:val="004351FA"/>
    <w:rsid w:val="004359BE"/>
    <w:rsid w:val="004365BC"/>
    <w:rsid w:val="00436CE3"/>
    <w:rsid w:val="00436D4F"/>
    <w:rsid w:val="00436E57"/>
    <w:rsid w:val="00440606"/>
    <w:rsid w:val="00440EE7"/>
    <w:rsid w:val="00441292"/>
    <w:rsid w:val="0044178F"/>
    <w:rsid w:val="00441EE6"/>
    <w:rsid w:val="00442B59"/>
    <w:rsid w:val="00442D35"/>
    <w:rsid w:val="0044342E"/>
    <w:rsid w:val="00443A84"/>
    <w:rsid w:val="00443AF2"/>
    <w:rsid w:val="00444B39"/>
    <w:rsid w:val="00444CDF"/>
    <w:rsid w:val="00445CD1"/>
    <w:rsid w:val="00446435"/>
    <w:rsid w:val="004468C0"/>
    <w:rsid w:val="00446AC6"/>
    <w:rsid w:val="00447D5B"/>
    <w:rsid w:val="00447FCE"/>
    <w:rsid w:val="00450268"/>
    <w:rsid w:val="00450288"/>
    <w:rsid w:val="00450DEB"/>
    <w:rsid w:val="00451E5F"/>
    <w:rsid w:val="004520DF"/>
    <w:rsid w:val="00453077"/>
    <w:rsid w:val="00453AB8"/>
    <w:rsid w:val="00453AF0"/>
    <w:rsid w:val="00453E0E"/>
    <w:rsid w:val="00454FDA"/>
    <w:rsid w:val="00455380"/>
    <w:rsid w:val="00456023"/>
    <w:rsid w:val="0045672A"/>
    <w:rsid w:val="00457B95"/>
    <w:rsid w:val="00461071"/>
    <w:rsid w:val="00461C56"/>
    <w:rsid w:val="00462040"/>
    <w:rsid w:val="00463017"/>
    <w:rsid w:val="00464A47"/>
    <w:rsid w:val="0046556C"/>
    <w:rsid w:val="0046652E"/>
    <w:rsid w:val="0047007E"/>
    <w:rsid w:val="00470BA8"/>
    <w:rsid w:val="00471089"/>
    <w:rsid w:val="00471720"/>
    <w:rsid w:val="00472BCC"/>
    <w:rsid w:val="0047302B"/>
    <w:rsid w:val="00474547"/>
    <w:rsid w:val="00474D4A"/>
    <w:rsid w:val="004755B0"/>
    <w:rsid w:val="004759D8"/>
    <w:rsid w:val="00476660"/>
    <w:rsid w:val="004775E0"/>
    <w:rsid w:val="00477F8A"/>
    <w:rsid w:val="00480344"/>
    <w:rsid w:val="00480ECE"/>
    <w:rsid w:val="0048109B"/>
    <w:rsid w:val="004812AA"/>
    <w:rsid w:val="00481631"/>
    <w:rsid w:val="0048192E"/>
    <w:rsid w:val="004828CF"/>
    <w:rsid w:val="00484857"/>
    <w:rsid w:val="00487D61"/>
    <w:rsid w:val="00490216"/>
    <w:rsid w:val="0049194C"/>
    <w:rsid w:val="00492345"/>
    <w:rsid w:val="00492A96"/>
    <w:rsid w:val="0049367F"/>
    <w:rsid w:val="00495799"/>
    <w:rsid w:val="00495AAF"/>
    <w:rsid w:val="004961F8"/>
    <w:rsid w:val="004969E0"/>
    <w:rsid w:val="00496AF0"/>
    <w:rsid w:val="00496CE6"/>
    <w:rsid w:val="00496E06"/>
    <w:rsid w:val="004A008A"/>
    <w:rsid w:val="004A05AE"/>
    <w:rsid w:val="004A2192"/>
    <w:rsid w:val="004A23DD"/>
    <w:rsid w:val="004A2B32"/>
    <w:rsid w:val="004A34CD"/>
    <w:rsid w:val="004A37B3"/>
    <w:rsid w:val="004A3B4E"/>
    <w:rsid w:val="004A4C03"/>
    <w:rsid w:val="004A52AC"/>
    <w:rsid w:val="004A6E3D"/>
    <w:rsid w:val="004B0AA4"/>
    <w:rsid w:val="004B11F2"/>
    <w:rsid w:val="004B1D4D"/>
    <w:rsid w:val="004B1E46"/>
    <w:rsid w:val="004B1F6A"/>
    <w:rsid w:val="004B2EDD"/>
    <w:rsid w:val="004B3B69"/>
    <w:rsid w:val="004B5E62"/>
    <w:rsid w:val="004B6CCB"/>
    <w:rsid w:val="004B6D9F"/>
    <w:rsid w:val="004B71B6"/>
    <w:rsid w:val="004B79DE"/>
    <w:rsid w:val="004B7B45"/>
    <w:rsid w:val="004B7F88"/>
    <w:rsid w:val="004C09CF"/>
    <w:rsid w:val="004C193E"/>
    <w:rsid w:val="004C1B55"/>
    <w:rsid w:val="004C2288"/>
    <w:rsid w:val="004C2599"/>
    <w:rsid w:val="004C2A67"/>
    <w:rsid w:val="004C2C83"/>
    <w:rsid w:val="004C32CB"/>
    <w:rsid w:val="004C34F7"/>
    <w:rsid w:val="004C37EE"/>
    <w:rsid w:val="004C3BB0"/>
    <w:rsid w:val="004C5181"/>
    <w:rsid w:val="004C5A87"/>
    <w:rsid w:val="004C5F2A"/>
    <w:rsid w:val="004C63F9"/>
    <w:rsid w:val="004C6A95"/>
    <w:rsid w:val="004C774D"/>
    <w:rsid w:val="004D0ADB"/>
    <w:rsid w:val="004D1035"/>
    <w:rsid w:val="004D107F"/>
    <w:rsid w:val="004D1F27"/>
    <w:rsid w:val="004D2074"/>
    <w:rsid w:val="004D3C42"/>
    <w:rsid w:val="004D3E3B"/>
    <w:rsid w:val="004D4979"/>
    <w:rsid w:val="004D5D79"/>
    <w:rsid w:val="004D6121"/>
    <w:rsid w:val="004D657B"/>
    <w:rsid w:val="004D7136"/>
    <w:rsid w:val="004D74C5"/>
    <w:rsid w:val="004E01EF"/>
    <w:rsid w:val="004E0D94"/>
    <w:rsid w:val="004E10E7"/>
    <w:rsid w:val="004E1B88"/>
    <w:rsid w:val="004E3010"/>
    <w:rsid w:val="004E343E"/>
    <w:rsid w:val="004E3B67"/>
    <w:rsid w:val="004E42B4"/>
    <w:rsid w:val="004E4564"/>
    <w:rsid w:val="004E61BE"/>
    <w:rsid w:val="004E747D"/>
    <w:rsid w:val="004E7657"/>
    <w:rsid w:val="004F01D5"/>
    <w:rsid w:val="004F244B"/>
    <w:rsid w:val="004F35E2"/>
    <w:rsid w:val="004F5218"/>
    <w:rsid w:val="004F5954"/>
    <w:rsid w:val="004F6361"/>
    <w:rsid w:val="004F69AC"/>
    <w:rsid w:val="004F6A2A"/>
    <w:rsid w:val="004F740E"/>
    <w:rsid w:val="00500C00"/>
    <w:rsid w:val="00500FBC"/>
    <w:rsid w:val="00503493"/>
    <w:rsid w:val="00503A64"/>
    <w:rsid w:val="00503BA0"/>
    <w:rsid w:val="00503E94"/>
    <w:rsid w:val="00504215"/>
    <w:rsid w:val="00504408"/>
    <w:rsid w:val="00505CF3"/>
    <w:rsid w:val="00505DCD"/>
    <w:rsid w:val="00506D4D"/>
    <w:rsid w:val="00507F1D"/>
    <w:rsid w:val="005101C0"/>
    <w:rsid w:val="00510AEB"/>
    <w:rsid w:val="00510B43"/>
    <w:rsid w:val="00510D62"/>
    <w:rsid w:val="00510DF7"/>
    <w:rsid w:val="00511412"/>
    <w:rsid w:val="00511931"/>
    <w:rsid w:val="005119E4"/>
    <w:rsid w:val="00511A7E"/>
    <w:rsid w:val="00511AF8"/>
    <w:rsid w:val="005121BC"/>
    <w:rsid w:val="005127A9"/>
    <w:rsid w:val="005129CD"/>
    <w:rsid w:val="00512E81"/>
    <w:rsid w:val="00513B01"/>
    <w:rsid w:val="00515272"/>
    <w:rsid w:val="0051544B"/>
    <w:rsid w:val="00515743"/>
    <w:rsid w:val="005161B7"/>
    <w:rsid w:val="005169D4"/>
    <w:rsid w:val="0051706A"/>
    <w:rsid w:val="00520123"/>
    <w:rsid w:val="005215BE"/>
    <w:rsid w:val="005222AA"/>
    <w:rsid w:val="00523214"/>
    <w:rsid w:val="0052457F"/>
    <w:rsid w:val="00524FF3"/>
    <w:rsid w:val="00525273"/>
    <w:rsid w:val="0052653C"/>
    <w:rsid w:val="00526CE3"/>
    <w:rsid w:val="00526D1C"/>
    <w:rsid w:val="005300CF"/>
    <w:rsid w:val="00532629"/>
    <w:rsid w:val="00532D68"/>
    <w:rsid w:val="00532F04"/>
    <w:rsid w:val="005330F1"/>
    <w:rsid w:val="00533280"/>
    <w:rsid w:val="00533C85"/>
    <w:rsid w:val="00533D71"/>
    <w:rsid w:val="00534EEC"/>
    <w:rsid w:val="00536302"/>
    <w:rsid w:val="00536A74"/>
    <w:rsid w:val="005371E4"/>
    <w:rsid w:val="00537C56"/>
    <w:rsid w:val="00540F01"/>
    <w:rsid w:val="00541310"/>
    <w:rsid w:val="005415AD"/>
    <w:rsid w:val="00541725"/>
    <w:rsid w:val="00542FCA"/>
    <w:rsid w:val="00543142"/>
    <w:rsid w:val="00543614"/>
    <w:rsid w:val="005437F3"/>
    <w:rsid w:val="00543CE7"/>
    <w:rsid w:val="00543FEB"/>
    <w:rsid w:val="00544BD1"/>
    <w:rsid w:val="00545CF5"/>
    <w:rsid w:val="00545F4C"/>
    <w:rsid w:val="00546A07"/>
    <w:rsid w:val="00546B54"/>
    <w:rsid w:val="00547B81"/>
    <w:rsid w:val="00547F11"/>
    <w:rsid w:val="00550178"/>
    <w:rsid w:val="00550B58"/>
    <w:rsid w:val="00550CEE"/>
    <w:rsid w:val="00551CF5"/>
    <w:rsid w:val="00552C6F"/>
    <w:rsid w:val="00552DBA"/>
    <w:rsid w:val="00553CE2"/>
    <w:rsid w:val="005546F0"/>
    <w:rsid w:val="005548E5"/>
    <w:rsid w:val="00554FD4"/>
    <w:rsid w:val="0055565F"/>
    <w:rsid w:val="00555DC2"/>
    <w:rsid w:val="005602B1"/>
    <w:rsid w:val="00560D7A"/>
    <w:rsid w:val="00560EDE"/>
    <w:rsid w:val="00561B85"/>
    <w:rsid w:val="00561F1A"/>
    <w:rsid w:val="00562C27"/>
    <w:rsid w:val="00563CA5"/>
    <w:rsid w:val="00564620"/>
    <w:rsid w:val="005649BE"/>
    <w:rsid w:val="00564AA9"/>
    <w:rsid w:val="00564BFF"/>
    <w:rsid w:val="00564DB3"/>
    <w:rsid w:val="00564FF5"/>
    <w:rsid w:val="0056622F"/>
    <w:rsid w:val="005677F4"/>
    <w:rsid w:val="00570374"/>
    <w:rsid w:val="0057069C"/>
    <w:rsid w:val="00570A54"/>
    <w:rsid w:val="00571A8D"/>
    <w:rsid w:val="00571C21"/>
    <w:rsid w:val="00571F92"/>
    <w:rsid w:val="00572115"/>
    <w:rsid w:val="005746D3"/>
    <w:rsid w:val="00574AED"/>
    <w:rsid w:val="00574E61"/>
    <w:rsid w:val="005751CA"/>
    <w:rsid w:val="005754F1"/>
    <w:rsid w:val="00575E36"/>
    <w:rsid w:val="00576BEC"/>
    <w:rsid w:val="00576CF9"/>
    <w:rsid w:val="00577BCC"/>
    <w:rsid w:val="00577CF2"/>
    <w:rsid w:val="005804EF"/>
    <w:rsid w:val="00580D7C"/>
    <w:rsid w:val="0058285E"/>
    <w:rsid w:val="00582CB5"/>
    <w:rsid w:val="00583893"/>
    <w:rsid w:val="00583B33"/>
    <w:rsid w:val="005847B1"/>
    <w:rsid w:val="00584882"/>
    <w:rsid w:val="00585D91"/>
    <w:rsid w:val="00585E11"/>
    <w:rsid w:val="00586B34"/>
    <w:rsid w:val="00587F3F"/>
    <w:rsid w:val="0059006C"/>
    <w:rsid w:val="005908D0"/>
    <w:rsid w:val="00590B19"/>
    <w:rsid w:val="005920A1"/>
    <w:rsid w:val="005922F4"/>
    <w:rsid w:val="00593907"/>
    <w:rsid w:val="00594643"/>
    <w:rsid w:val="005952AA"/>
    <w:rsid w:val="00595338"/>
    <w:rsid w:val="00597E91"/>
    <w:rsid w:val="005A05E0"/>
    <w:rsid w:val="005A12A4"/>
    <w:rsid w:val="005A28F1"/>
    <w:rsid w:val="005A2CB5"/>
    <w:rsid w:val="005A36F3"/>
    <w:rsid w:val="005A3BC9"/>
    <w:rsid w:val="005A42AB"/>
    <w:rsid w:val="005A4FEC"/>
    <w:rsid w:val="005A56AE"/>
    <w:rsid w:val="005A5DEC"/>
    <w:rsid w:val="005A6989"/>
    <w:rsid w:val="005A721E"/>
    <w:rsid w:val="005A744E"/>
    <w:rsid w:val="005A75F3"/>
    <w:rsid w:val="005A779C"/>
    <w:rsid w:val="005A78E4"/>
    <w:rsid w:val="005B1024"/>
    <w:rsid w:val="005B2A2E"/>
    <w:rsid w:val="005B4334"/>
    <w:rsid w:val="005B498D"/>
    <w:rsid w:val="005B4FF2"/>
    <w:rsid w:val="005B51A7"/>
    <w:rsid w:val="005B61DF"/>
    <w:rsid w:val="005B6243"/>
    <w:rsid w:val="005B6486"/>
    <w:rsid w:val="005C0100"/>
    <w:rsid w:val="005C20FB"/>
    <w:rsid w:val="005C2D8C"/>
    <w:rsid w:val="005C3327"/>
    <w:rsid w:val="005C4B1C"/>
    <w:rsid w:val="005C4C78"/>
    <w:rsid w:val="005C5B66"/>
    <w:rsid w:val="005C5E92"/>
    <w:rsid w:val="005C769A"/>
    <w:rsid w:val="005D0285"/>
    <w:rsid w:val="005D0BB7"/>
    <w:rsid w:val="005D1068"/>
    <w:rsid w:val="005D1E84"/>
    <w:rsid w:val="005D2A15"/>
    <w:rsid w:val="005D2F76"/>
    <w:rsid w:val="005D352C"/>
    <w:rsid w:val="005D3984"/>
    <w:rsid w:val="005D43BA"/>
    <w:rsid w:val="005D5113"/>
    <w:rsid w:val="005E1710"/>
    <w:rsid w:val="005E2B37"/>
    <w:rsid w:val="005E2D5E"/>
    <w:rsid w:val="005E354F"/>
    <w:rsid w:val="005E35E3"/>
    <w:rsid w:val="005E3934"/>
    <w:rsid w:val="005E3C27"/>
    <w:rsid w:val="005E4EBD"/>
    <w:rsid w:val="005E4F75"/>
    <w:rsid w:val="005E52FE"/>
    <w:rsid w:val="005E55E4"/>
    <w:rsid w:val="005E5889"/>
    <w:rsid w:val="005E5D6E"/>
    <w:rsid w:val="005E617A"/>
    <w:rsid w:val="005E6973"/>
    <w:rsid w:val="005F07B4"/>
    <w:rsid w:val="005F1426"/>
    <w:rsid w:val="005F2140"/>
    <w:rsid w:val="005F3D3B"/>
    <w:rsid w:val="005F4AD2"/>
    <w:rsid w:val="005F4B3F"/>
    <w:rsid w:val="005F74AD"/>
    <w:rsid w:val="005F7A21"/>
    <w:rsid w:val="005F7B96"/>
    <w:rsid w:val="00600697"/>
    <w:rsid w:val="006006E4"/>
    <w:rsid w:val="0060158E"/>
    <w:rsid w:val="00601A03"/>
    <w:rsid w:val="00601BA3"/>
    <w:rsid w:val="0060229C"/>
    <w:rsid w:val="00602F77"/>
    <w:rsid w:val="006036FB"/>
    <w:rsid w:val="0060388F"/>
    <w:rsid w:val="00604451"/>
    <w:rsid w:val="00604724"/>
    <w:rsid w:val="00605184"/>
    <w:rsid w:val="006053CB"/>
    <w:rsid w:val="0060678B"/>
    <w:rsid w:val="00607132"/>
    <w:rsid w:val="00610123"/>
    <w:rsid w:val="00611294"/>
    <w:rsid w:val="0061190C"/>
    <w:rsid w:val="00611CCC"/>
    <w:rsid w:val="00613A5D"/>
    <w:rsid w:val="00613CD5"/>
    <w:rsid w:val="00614771"/>
    <w:rsid w:val="00614DB5"/>
    <w:rsid w:val="00615849"/>
    <w:rsid w:val="00616056"/>
    <w:rsid w:val="00616A8A"/>
    <w:rsid w:val="006221DF"/>
    <w:rsid w:val="00622844"/>
    <w:rsid w:val="00623350"/>
    <w:rsid w:val="006235B2"/>
    <w:rsid w:val="006242AF"/>
    <w:rsid w:val="006252F3"/>
    <w:rsid w:val="006257EC"/>
    <w:rsid w:val="0062629D"/>
    <w:rsid w:val="00626C44"/>
    <w:rsid w:val="00631281"/>
    <w:rsid w:val="006318D5"/>
    <w:rsid w:val="0063279B"/>
    <w:rsid w:val="0063356F"/>
    <w:rsid w:val="006335D9"/>
    <w:rsid w:val="00633B35"/>
    <w:rsid w:val="00634F53"/>
    <w:rsid w:val="00635258"/>
    <w:rsid w:val="00636624"/>
    <w:rsid w:val="006368F5"/>
    <w:rsid w:val="00637F16"/>
    <w:rsid w:val="00640453"/>
    <w:rsid w:val="006411C3"/>
    <w:rsid w:val="00641F26"/>
    <w:rsid w:val="0064363A"/>
    <w:rsid w:val="006437EC"/>
    <w:rsid w:val="00643838"/>
    <w:rsid w:val="00644D2C"/>
    <w:rsid w:val="00644DB5"/>
    <w:rsid w:val="00644F37"/>
    <w:rsid w:val="0064556B"/>
    <w:rsid w:val="0064560F"/>
    <w:rsid w:val="00645F63"/>
    <w:rsid w:val="00646647"/>
    <w:rsid w:val="0064682B"/>
    <w:rsid w:val="0064684F"/>
    <w:rsid w:val="0064733D"/>
    <w:rsid w:val="0064775C"/>
    <w:rsid w:val="00647E7F"/>
    <w:rsid w:val="0065049A"/>
    <w:rsid w:val="00650516"/>
    <w:rsid w:val="0065085B"/>
    <w:rsid w:val="00650BA4"/>
    <w:rsid w:val="006510EC"/>
    <w:rsid w:val="0065148E"/>
    <w:rsid w:val="00652315"/>
    <w:rsid w:val="006526D6"/>
    <w:rsid w:val="0065270A"/>
    <w:rsid w:val="00652805"/>
    <w:rsid w:val="006529E4"/>
    <w:rsid w:val="006532B3"/>
    <w:rsid w:val="0065373B"/>
    <w:rsid w:val="006541E6"/>
    <w:rsid w:val="00654531"/>
    <w:rsid w:val="00654EF6"/>
    <w:rsid w:val="00654F43"/>
    <w:rsid w:val="00655D72"/>
    <w:rsid w:val="00655EB5"/>
    <w:rsid w:val="006560C6"/>
    <w:rsid w:val="00656526"/>
    <w:rsid w:val="006573B4"/>
    <w:rsid w:val="00657800"/>
    <w:rsid w:val="00660396"/>
    <w:rsid w:val="00660614"/>
    <w:rsid w:val="00661B6D"/>
    <w:rsid w:val="006627B0"/>
    <w:rsid w:val="00663621"/>
    <w:rsid w:val="006636D1"/>
    <w:rsid w:val="0066409A"/>
    <w:rsid w:val="006641F4"/>
    <w:rsid w:val="00664365"/>
    <w:rsid w:val="00664D37"/>
    <w:rsid w:val="006653D3"/>
    <w:rsid w:val="006663AE"/>
    <w:rsid w:val="00666C35"/>
    <w:rsid w:val="00670B12"/>
    <w:rsid w:val="0067139E"/>
    <w:rsid w:val="00671590"/>
    <w:rsid w:val="00672664"/>
    <w:rsid w:val="0067278A"/>
    <w:rsid w:val="00672AB0"/>
    <w:rsid w:val="0067327F"/>
    <w:rsid w:val="0067783B"/>
    <w:rsid w:val="00677DAA"/>
    <w:rsid w:val="0068234F"/>
    <w:rsid w:val="006837B8"/>
    <w:rsid w:val="006841A9"/>
    <w:rsid w:val="00685924"/>
    <w:rsid w:val="00685B91"/>
    <w:rsid w:val="006866A1"/>
    <w:rsid w:val="006867FB"/>
    <w:rsid w:val="006875C4"/>
    <w:rsid w:val="00690509"/>
    <w:rsid w:val="00690611"/>
    <w:rsid w:val="006908BD"/>
    <w:rsid w:val="00691CAE"/>
    <w:rsid w:val="0069343D"/>
    <w:rsid w:val="00693E7A"/>
    <w:rsid w:val="006942C8"/>
    <w:rsid w:val="00695397"/>
    <w:rsid w:val="006954D7"/>
    <w:rsid w:val="00695CE8"/>
    <w:rsid w:val="006A25EC"/>
    <w:rsid w:val="006A2EA9"/>
    <w:rsid w:val="006A3F2C"/>
    <w:rsid w:val="006A4796"/>
    <w:rsid w:val="006A518A"/>
    <w:rsid w:val="006A54E7"/>
    <w:rsid w:val="006A5D58"/>
    <w:rsid w:val="006B08FF"/>
    <w:rsid w:val="006B2B86"/>
    <w:rsid w:val="006B47EF"/>
    <w:rsid w:val="006B4E3E"/>
    <w:rsid w:val="006B6515"/>
    <w:rsid w:val="006B679E"/>
    <w:rsid w:val="006B68B7"/>
    <w:rsid w:val="006C0746"/>
    <w:rsid w:val="006C0DB7"/>
    <w:rsid w:val="006C119B"/>
    <w:rsid w:val="006C263C"/>
    <w:rsid w:val="006C2FED"/>
    <w:rsid w:val="006C328D"/>
    <w:rsid w:val="006C37D4"/>
    <w:rsid w:val="006C3D3E"/>
    <w:rsid w:val="006C4092"/>
    <w:rsid w:val="006C5A3A"/>
    <w:rsid w:val="006C5E9C"/>
    <w:rsid w:val="006C68B3"/>
    <w:rsid w:val="006C6A33"/>
    <w:rsid w:val="006C6DD6"/>
    <w:rsid w:val="006D04CC"/>
    <w:rsid w:val="006D0A08"/>
    <w:rsid w:val="006D0F48"/>
    <w:rsid w:val="006D47AC"/>
    <w:rsid w:val="006D4DBC"/>
    <w:rsid w:val="006D6604"/>
    <w:rsid w:val="006D6D52"/>
    <w:rsid w:val="006D7009"/>
    <w:rsid w:val="006D7010"/>
    <w:rsid w:val="006D76CE"/>
    <w:rsid w:val="006E070C"/>
    <w:rsid w:val="006E0970"/>
    <w:rsid w:val="006E10BE"/>
    <w:rsid w:val="006E1932"/>
    <w:rsid w:val="006E2E1A"/>
    <w:rsid w:val="006E3714"/>
    <w:rsid w:val="006E3FD1"/>
    <w:rsid w:val="006E51FB"/>
    <w:rsid w:val="006E540E"/>
    <w:rsid w:val="006E5A56"/>
    <w:rsid w:val="006E6198"/>
    <w:rsid w:val="006E6CA7"/>
    <w:rsid w:val="006E7D1F"/>
    <w:rsid w:val="006F0997"/>
    <w:rsid w:val="006F11EA"/>
    <w:rsid w:val="006F141D"/>
    <w:rsid w:val="006F1931"/>
    <w:rsid w:val="006F2353"/>
    <w:rsid w:val="006F2AB4"/>
    <w:rsid w:val="006F2FA1"/>
    <w:rsid w:val="006F35F6"/>
    <w:rsid w:val="006F3D18"/>
    <w:rsid w:val="006F44EE"/>
    <w:rsid w:val="006F487B"/>
    <w:rsid w:val="006F5152"/>
    <w:rsid w:val="006F527D"/>
    <w:rsid w:val="006F5CC8"/>
    <w:rsid w:val="006F764C"/>
    <w:rsid w:val="006F79CF"/>
    <w:rsid w:val="00700066"/>
    <w:rsid w:val="00700562"/>
    <w:rsid w:val="00700A14"/>
    <w:rsid w:val="00701323"/>
    <w:rsid w:val="0070133D"/>
    <w:rsid w:val="00704120"/>
    <w:rsid w:val="00705342"/>
    <w:rsid w:val="007063A9"/>
    <w:rsid w:val="00706400"/>
    <w:rsid w:val="00706ECB"/>
    <w:rsid w:val="00710237"/>
    <w:rsid w:val="00711653"/>
    <w:rsid w:val="007119E8"/>
    <w:rsid w:val="00712878"/>
    <w:rsid w:val="00713629"/>
    <w:rsid w:val="00713B03"/>
    <w:rsid w:val="00713BF3"/>
    <w:rsid w:val="00714032"/>
    <w:rsid w:val="00714778"/>
    <w:rsid w:val="00714A4C"/>
    <w:rsid w:val="00715755"/>
    <w:rsid w:val="00716551"/>
    <w:rsid w:val="007170B9"/>
    <w:rsid w:val="00721D4D"/>
    <w:rsid w:val="00721F27"/>
    <w:rsid w:val="007220A0"/>
    <w:rsid w:val="007220C8"/>
    <w:rsid w:val="00722429"/>
    <w:rsid w:val="00722AC8"/>
    <w:rsid w:val="00722CEF"/>
    <w:rsid w:val="007236EE"/>
    <w:rsid w:val="0072392C"/>
    <w:rsid w:val="007239DE"/>
    <w:rsid w:val="00723C63"/>
    <w:rsid w:val="00723D13"/>
    <w:rsid w:val="00723E2B"/>
    <w:rsid w:val="00724FFC"/>
    <w:rsid w:val="00726F5D"/>
    <w:rsid w:val="00727345"/>
    <w:rsid w:val="007279A6"/>
    <w:rsid w:val="00727A16"/>
    <w:rsid w:val="00727CF5"/>
    <w:rsid w:val="00730243"/>
    <w:rsid w:val="007308EE"/>
    <w:rsid w:val="00730BE0"/>
    <w:rsid w:val="007315E6"/>
    <w:rsid w:val="00731950"/>
    <w:rsid w:val="007319BA"/>
    <w:rsid w:val="00731D51"/>
    <w:rsid w:val="00732650"/>
    <w:rsid w:val="00733399"/>
    <w:rsid w:val="00734062"/>
    <w:rsid w:val="00735360"/>
    <w:rsid w:val="0073589A"/>
    <w:rsid w:val="0073643F"/>
    <w:rsid w:val="007366CB"/>
    <w:rsid w:val="00736967"/>
    <w:rsid w:val="0073738D"/>
    <w:rsid w:val="00740FEE"/>
    <w:rsid w:val="00741462"/>
    <w:rsid w:val="007416B4"/>
    <w:rsid w:val="00741EC7"/>
    <w:rsid w:val="007429E0"/>
    <w:rsid w:val="00742F6E"/>
    <w:rsid w:val="00743107"/>
    <w:rsid w:val="0074370C"/>
    <w:rsid w:val="00743D06"/>
    <w:rsid w:val="00744468"/>
    <w:rsid w:val="0074534D"/>
    <w:rsid w:val="00745CD2"/>
    <w:rsid w:val="00750074"/>
    <w:rsid w:val="0075150E"/>
    <w:rsid w:val="00751AB5"/>
    <w:rsid w:val="007530BD"/>
    <w:rsid w:val="00753D6E"/>
    <w:rsid w:val="0075454C"/>
    <w:rsid w:val="00755032"/>
    <w:rsid w:val="0075583D"/>
    <w:rsid w:val="00755A31"/>
    <w:rsid w:val="00755A34"/>
    <w:rsid w:val="007561D4"/>
    <w:rsid w:val="00756B98"/>
    <w:rsid w:val="00756C1F"/>
    <w:rsid w:val="00756D23"/>
    <w:rsid w:val="007575A9"/>
    <w:rsid w:val="00757A83"/>
    <w:rsid w:val="00757AE1"/>
    <w:rsid w:val="00757F0D"/>
    <w:rsid w:val="00760794"/>
    <w:rsid w:val="00760BE1"/>
    <w:rsid w:val="0076168A"/>
    <w:rsid w:val="00761A8C"/>
    <w:rsid w:val="00761ABC"/>
    <w:rsid w:val="0076268C"/>
    <w:rsid w:val="007636B5"/>
    <w:rsid w:val="00763B06"/>
    <w:rsid w:val="00764137"/>
    <w:rsid w:val="007652D4"/>
    <w:rsid w:val="0076547E"/>
    <w:rsid w:val="0076587B"/>
    <w:rsid w:val="00765E66"/>
    <w:rsid w:val="007668C6"/>
    <w:rsid w:val="007678BD"/>
    <w:rsid w:val="00767D05"/>
    <w:rsid w:val="00767F59"/>
    <w:rsid w:val="0077013A"/>
    <w:rsid w:val="00770B6A"/>
    <w:rsid w:val="0077177A"/>
    <w:rsid w:val="007717A9"/>
    <w:rsid w:val="00771D39"/>
    <w:rsid w:val="00772021"/>
    <w:rsid w:val="00772AB8"/>
    <w:rsid w:val="007731AF"/>
    <w:rsid w:val="00773A50"/>
    <w:rsid w:val="00773D7B"/>
    <w:rsid w:val="0077425C"/>
    <w:rsid w:val="007755E7"/>
    <w:rsid w:val="0077673E"/>
    <w:rsid w:val="00776A89"/>
    <w:rsid w:val="00777865"/>
    <w:rsid w:val="00777E90"/>
    <w:rsid w:val="00782819"/>
    <w:rsid w:val="00782982"/>
    <w:rsid w:val="00783CB8"/>
    <w:rsid w:val="00784E87"/>
    <w:rsid w:val="007852A3"/>
    <w:rsid w:val="007852DD"/>
    <w:rsid w:val="007863E1"/>
    <w:rsid w:val="007900B8"/>
    <w:rsid w:val="00790393"/>
    <w:rsid w:val="00790458"/>
    <w:rsid w:val="0079175A"/>
    <w:rsid w:val="00792DAC"/>
    <w:rsid w:val="00794B0F"/>
    <w:rsid w:val="007954BF"/>
    <w:rsid w:val="00795FEA"/>
    <w:rsid w:val="00797263"/>
    <w:rsid w:val="007A0C34"/>
    <w:rsid w:val="007A1000"/>
    <w:rsid w:val="007A15DC"/>
    <w:rsid w:val="007A18C1"/>
    <w:rsid w:val="007A1C45"/>
    <w:rsid w:val="007A24A3"/>
    <w:rsid w:val="007A2557"/>
    <w:rsid w:val="007A256E"/>
    <w:rsid w:val="007A3063"/>
    <w:rsid w:val="007A3703"/>
    <w:rsid w:val="007A4628"/>
    <w:rsid w:val="007A4975"/>
    <w:rsid w:val="007A4A07"/>
    <w:rsid w:val="007A4C50"/>
    <w:rsid w:val="007A7A4C"/>
    <w:rsid w:val="007A7D8A"/>
    <w:rsid w:val="007B01C1"/>
    <w:rsid w:val="007B06B2"/>
    <w:rsid w:val="007B0E8C"/>
    <w:rsid w:val="007B1F1B"/>
    <w:rsid w:val="007B273E"/>
    <w:rsid w:val="007B29B3"/>
    <w:rsid w:val="007B4162"/>
    <w:rsid w:val="007B475E"/>
    <w:rsid w:val="007B4B29"/>
    <w:rsid w:val="007B4CC9"/>
    <w:rsid w:val="007B5EA8"/>
    <w:rsid w:val="007B6348"/>
    <w:rsid w:val="007B6B91"/>
    <w:rsid w:val="007B6E2A"/>
    <w:rsid w:val="007B6EB6"/>
    <w:rsid w:val="007B7326"/>
    <w:rsid w:val="007B7920"/>
    <w:rsid w:val="007B7A24"/>
    <w:rsid w:val="007C0308"/>
    <w:rsid w:val="007C0834"/>
    <w:rsid w:val="007C0C65"/>
    <w:rsid w:val="007C0D44"/>
    <w:rsid w:val="007C0E3E"/>
    <w:rsid w:val="007C2A9F"/>
    <w:rsid w:val="007C3B5E"/>
    <w:rsid w:val="007C3E31"/>
    <w:rsid w:val="007C3E99"/>
    <w:rsid w:val="007C46F6"/>
    <w:rsid w:val="007C46FA"/>
    <w:rsid w:val="007C4B79"/>
    <w:rsid w:val="007C4ECE"/>
    <w:rsid w:val="007C5773"/>
    <w:rsid w:val="007C601D"/>
    <w:rsid w:val="007C65B3"/>
    <w:rsid w:val="007C6AD4"/>
    <w:rsid w:val="007C7664"/>
    <w:rsid w:val="007D03B1"/>
    <w:rsid w:val="007D0658"/>
    <w:rsid w:val="007D072E"/>
    <w:rsid w:val="007D14EB"/>
    <w:rsid w:val="007D200F"/>
    <w:rsid w:val="007D2FE0"/>
    <w:rsid w:val="007D33DF"/>
    <w:rsid w:val="007D4E78"/>
    <w:rsid w:val="007D5738"/>
    <w:rsid w:val="007D689E"/>
    <w:rsid w:val="007D6CE0"/>
    <w:rsid w:val="007D73A0"/>
    <w:rsid w:val="007E02D7"/>
    <w:rsid w:val="007E0329"/>
    <w:rsid w:val="007E0541"/>
    <w:rsid w:val="007E1217"/>
    <w:rsid w:val="007E183F"/>
    <w:rsid w:val="007E237C"/>
    <w:rsid w:val="007E3931"/>
    <w:rsid w:val="007E397E"/>
    <w:rsid w:val="007E48C3"/>
    <w:rsid w:val="007E4E7C"/>
    <w:rsid w:val="007E4E80"/>
    <w:rsid w:val="007E4EF6"/>
    <w:rsid w:val="007E50F7"/>
    <w:rsid w:val="007E539D"/>
    <w:rsid w:val="007E673F"/>
    <w:rsid w:val="007E6BC8"/>
    <w:rsid w:val="007E7058"/>
    <w:rsid w:val="007E74A5"/>
    <w:rsid w:val="007E7EAB"/>
    <w:rsid w:val="007F03CE"/>
    <w:rsid w:val="007F066A"/>
    <w:rsid w:val="007F08D7"/>
    <w:rsid w:val="007F0F1B"/>
    <w:rsid w:val="007F107D"/>
    <w:rsid w:val="007F1B05"/>
    <w:rsid w:val="007F37A0"/>
    <w:rsid w:val="007F3DAD"/>
    <w:rsid w:val="007F4D96"/>
    <w:rsid w:val="007F5AB8"/>
    <w:rsid w:val="007F6025"/>
    <w:rsid w:val="007F6749"/>
    <w:rsid w:val="007F7050"/>
    <w:rsid w:val="007F7215"/>
    <w:rsid w:val="00800000"/>
    <w:rsid w:val="00801272"/>
    <w:rsid w:val="008014FC"/>
    <w:rsid w:val="00801ACD"/>
    <w:rsid w:val="00801DE5"/>
    <w:rsid w:val="008029C1"/>
    <w:rsid w:val="00804AEF"/>
    <w:rsid w:val="008050C7"/>
    <w:rsid w:val="008069FC"/>
    <w:rsid w:val="0080705C"/>
    <w:rsid w:val="00807546"/>
    <w:rsid w:val="008118C4"/>
    <w:rsid w:val="008119C8"/>
    <w:rsid w:val="00812AC3"/>
    <w:rsid w:val="00812DBA"/>
    <w:rsid w:val="00813177"/>
    <w:rsid w:val="0081326B"/>
    <w:rsid w:val="0081428B"/>
    <w:rsid w:val="008147C9"/>
    <w:rsid w:val="00814AAE"/>
    <w:rsid w:val="00815137"/>
    <w:rsid w:val="00815766"/>
    <w:rsid w:val="008159C7"/>
    <w:rsid w:val="008165D7"/>
    <w:rsid w:val="00817A2B"/>
    <w:rsid w:val="00820A91"/>
    <w:rsid w:val="00821336"/>
    <w:rsid w:val="008221F1"/>
    <w:rsid w:val="00822D87"/>
    <w:rsid w:val="00823229"/>
    <w:rsid w:val="0082339A"/>
    <w:rsid w:val="00823BDD"/>
    <w:rsid w:val="00823FD1"/>
    <w:rsid w:val="008243C2"/>
    <w:rsid w:val="00824BEF"/>
    <w:rsid w:val="00824D6E"/>
    <w:rsid w:val="0082506D"/>
    <w:rsid w:val="00825893"/>
    <w:rsid w:val="00826CF0"/>
    <w:rsid w:val="008275FE"/>
    <w:rsid w:val="00827A83"/>
    <w:rsid w:val="00827B83"/>
    <w:rsid w:val="008302B4"/>
    <w:rsid w:val="008304C3"/>
    <w:rsid w:val="00830986"/>
    <w:rsid w:val="00830D05"/>
    <w:rsid w:val="00832933"/>
    <w:rsid w:val="00832957"/>
    <w:rsid w:val="00832B03"/>
    <w:rsid w:val="00832B83"/>
    <w:rsid w:val="00832EFE"/>
    <w:rsid w:val="008337AC"/>
    <w:rsid w:val="008344C0"/>
    <w:rsid w:val="008353F9"/>
    <w:rsid w:val="008354DE"/>
    <w:rsid w:val="00835535"/>
    <w:rsid w:val="00835C39"/>
    <w:rsid w:val="00835DC6"/>
    <w:rsid w:val="00835F18"/>
    <w:rsid w:val="008374B5"/>
    <w:rsid w:val="008379C7"/>
    <w:rsid w:val="0084013F"/>
    <w:rsid w:val="00840165"/>
    <w:rsid w:val="0084102E"/>
    <w:rsid w:val="00841AB7"/>
    <w:rsid w:val="00841DE8"/>
    <w:rsid w:val="00842A10"/>
    <w:rsid w:val="00842C56"/>
    <w:rsid w:val="00842F63"/>
    <w:rsid w:val="00844409"/>
    <w:rsid w:val="00844978"/>
    <w:rsid w:val="008451CC"/>
    <w:rsid w:val="00845ED9"/>
    <w:rsid w:val="00846AE2"/>
    <w:rsid w:val="008470B2"/>
    <w:rsid w:val="00847F91"/>
    <w:rsid w:val="008502B5"/>
    <w:rsid w:val="00852310"/>
    <w:rsid w:val="00853332"/>
    <w:rsid w:val="0085372C"/>
    <w:rsid w:val="00854476"/>
    <w:rsid w:val="00854996"/>
    <w:rsid w:val="00854D81"/>
    <w:rsid w:val="00854F62"/>
    <w:rsid w:val="00856172"/>
    <w:rsid w:val="00857AEC"/>
    <w:rsid w:val="00860319"/>
    <w:rsid w:val="00860C8F"/>
    <w:rsid w:val="0086135A"/>
    <w:rsid w:val="00863219"/>
    <w:rsid w:val="0086384C"/>
    <w:rsid w:val="00863C8F"/>
    <w:rsid w:val="00863F38"/>
    <w:rsid w:val="008646B7"/>
    <w:rsid w:val="0086515B"/>
    <w:rsid w:val="00865430"/>
    <w:rsid w:val="0086662B"/>
    <w:rsid w:val="00866698"/>
    <w:rsid w:val="008677A7"/>
    <w:rsid w:val="008678B9"/>
    <w:rsid w:val="00867BD4"/>
    <w:rsid w:val="008706AF"/>
    <w:rsid w:val="00871CF5"/>
    <w:rsid w:val="00871D6B"/>
    <w:rsid w:val="008721C2"/>
    <w:rsid w:val="0087298F"/>
    <w:rsid w:val="00872C10"/>
    <w:rsid w:val="00874485"/>
    <w:rsid w:val="00874A46"/>
    <w:rsid w:val="0087514F"/>
    <w:rsid w:val="008760B2"/>
    <w:rsid w:val="008767B1"/>
    <w:rsid w:val="0088018B"/>
    <w:rsid w:val="00881391"/>
    <w:rsid w:val="00881FE2"/>
    <w:rsid w:val="00882E13"/>
    <w:rsid w:val="00883267"/>
    <w:rsid w:val="00884641"/>
    <w:rsid w:val="0088628A"/>
    <w:rsid w:val="008870D2"/>
    <w:rsid w:val="008902AE"/>
    <w:rsid w:val="00890404"/>
    <w:rsid w:val="0089076A"/>
    <w:rsid w:val="0089150B"/>
    <w:rsid w:val="0089180C"/>
    <w:rsid w:val="00891A10"/>
    <w:rsid w:val="008925A5"/>
    <w:rsid w:val="00892992"/>
    <w:rsid w:val="00892E73"/>
    <w:rsid w:val="00894132"/>
    <w:rsid w:val="00894A2A"/>
    <w:rsid w:val="0089516C"/>
    <w:rsid w:val="00895B1D"/>
    <w:rsid w:val="008962F4"/>
    <w:rsid w:val="008966A8"/>
    <w:rsid w:val="00896D30"/>
    <w:rsid w:val="00897A89"/>
    <w:rsid w:val="008A14B0"/>
    <w:rsid w:val="008A14BC"/>
    <w:rsid w:val="008A1A4D"/>
    <w:rsid w:val="008A1DC4"/>
    <w:rsid w:val="008A1EDF"/>
    <w:rsid w:val="008A1F8B"/>
    <w:rsid w:val="008A2339"/>
    <w:rsid w:val="008A3073"/>
    <w:rsid w:val="008A3CE9"/>
    <w:rsid w:val="008A4401"/>
    <w:rsid w:val="008A51E9"/>
    <w:rsid w:val="008A5D51"/>
    <w:rsid w:val="008A6048"/>
    <w:rsid w:val="008A6AD3"/>
    <w:rsid w:val="008A6B34"/>
    <w:rsid w:val="008A6CCB"/>
    <w:rsid w:val="008A7080"/>
    <w:rsid w:val="008A71F5"/>
    <w:rsid w:val="008A773C"/>
    <w:rsid w:val="008A7881"/>
    <w:rsid w:val="008B09FF"/>
    <w:rsid w:val="008B1D44"/>
    <w:rsid w:val="008B2853"/>
    <w:rsid w:val="008B3341"/>
    <w:rsid w:val="008B3498"/>
    <w:rsid w:val="008B3D71"/>
    <w:rsid w:val="008B4A8D"/>
    <w:rsid w:val="008B52B2"/>
    <w:rsid w:val="008B5A19"/>
    <w:rsid w:val="008B5D0F"/>
    <w:rsid w:val="008B5ECE"/>
    <w:rsid w:val="008B69BC"/>
    <w:rsid w:val="008C02CB"/>
    <w:rsid w:val="008C068D"/>
    <w:rsid w:val="008C0A12"/>
    <w:rsid w:val="008C0C3A"/>
    <w:rsid w:val="008C0D49"/>
    <w:rsid w:val="008C38EE"/>
    <w:rsid w:val="008C4752"/>
    <w:rsid w:val="008C4871"/>
    <w:rsid w:val="008C4F16"/>
    <w:rsid w:val="008C55C9"/>
    <w:rsid w:val="008C5991"/>
    <w:rsid w:val="008C651C"/>
    <w:rsid w:val="008C75A5"/>
    <w:rsid w:val="008C7E1C"/>
    <w:rsid w:val="008D0A38"/>
    <w:rsid w:val="008D1A1E"/>
    <w:rsid w:val="008D1CBC"/>
    <w:rsid w:val="008D3610"/>
    <w:rsid w:val="008D4CD9"/>
    <w:rsid w:val="008D72D0"/>
    <w:rsid w:val="008D7E84"/>
    <w:rsid w:val="008D7EB0"/>
    <w:rsid w:val="008E0928"/>
    <w:rsid w:val="008E095C"/>
    <w:rsid w:val="008E0DB2"/>
    <w:rsid w:val="008E1705"/>
    <w:rsid w:val="008E1F39"/>
    <w:rsid w:val="008E2B33"/>
    <w:rsid w:val="008E3456"/>
    <w:rsid w:val="008E39E4"/>
    <w:rsid w:val="008E54FD"/>
    <w:rsid w:val="008E56DD"/>
    <w:rsid w:val="008E6528"/>
    <w:rsid w:val="008E776B"/>
    <w:rsid w:val="008F012B"/>
    <w:rsid w:val="008F0532"/>
    <w:rsid w:val="008F08DC"/>
    <w:rsid w:val="008F0906"/>
    <w:rsid w:val="008F0BF5"/>
    <w:rsid w:val="008F1045"/>
    <w:rsid w:val="008F1389"/>
    <w:rsid w:val="008F14A8"/>
    <w:rsid w:val="008F306C"/>
    <w:rsid w:val="008F3EA0"/>
    <w:rsid w:val="008F4484"/>
    <w:rsid w:val="008F5CEA"/>
    <w:rsid w:val="008F616F"/>
    <w:rsid w:val="008F6487"/>
    <w:rsid w:val="008F79AA"/>
    <w:rsid w:val="00900111"/>
    <w:rsid w:val="009002B3"/>
    <w:rsid w:val="00900848"/>
    <w:rsid w:val="00903032"/>
    <w:rsid w:val="0090358C"/>
    <w:rsid w:val="00903FA4"/>
    <w:rsid w:val="00905589"/>
    <w:rsid w:val="0090602B"/>
    <w:rsid w:val="00907CAC"/>
    <w:rsid w:val="009113F3"/>
    <w:rsid w:val="00911FB8"/>
    <w:rsid w:val="009121A0"/>
    <w:rsid w:val="0091306E"/>
    <w:rsid w:val="0091379E"/>
    <w:rsid w:val="00914879"/>
    <w:rsid w:val="0091489C"/>
    <w:rsid w:val="009152AB"/>
    <w:rsid w:val="0091592F"/>
    <w:rsid w:val="00916F7D"/>
    <w:rsid w:val="00917206"/>
    <w:rsid w:val="00917B23"/>
    <w:rsid w:val="00920208"/>
    <w:rsid w:val="009206F3"/>
    <w:rsid w:val="009217D9"/>
    <w:rsid w:val="009219D4"/>
    <w:rsid w:val="00924528"/>
    <w:rsid w:val="009245F3"/>
    <w:rsid w:val="0092519E"/>
    <w:rsid w:val="009265D5"/>
    <w:rsid w:val="00926EA4"/>
    <w:rsid w:val="00926EAA"/>
    <w:rsid w:val="0093170E"/>
    <w:rsid w:val="00932206"/>
    <w:rsid w:val="009324BA"/>
    <w:rsid w:val="009359A7"/>
    <w:rsid w:val="0093713A"/>
    <w:rsid w:val="009403D2"/>
    <w:rsid w:val="009404F0"/>
    <w:rsid w:val="00940652"/>
    <w:rsid w:val="00940838"/>
    <w:rsid w:val="009426FE"/>
    <w:rsid w:val="0094277A"/>
    <w:rsid w:val="00942D68"/>
    <w:rsid w:val="009441E7"/>
    <w:rsid w:val="0094480E"/>
    <w:rsid w:val="00944F1A"/>
    <w:rsid w:val="00945C15"/>
    <w:rsid w:val="00945FDE"/>
    <w:rsid w:val="00946293"/>
    <w:rsid w:val="00946C63"/>
    <w:rsid w:val="00947397"/>
    <w:rsid w:val="0094752F"/>
    <w:rsid w:val="009502EC"/>
    <w:rsid w:val="00951DE3"/>
    <w:rsid w:val="00953009"/>
    <w:rsid w:val="0095311E"/>
    <w:rsid w:val="00953DEF"/>
    <w:rsid w:val="00953EDF"/>
    <w:rsid w:val="0095428E"/>
    <w:rsid w:val="00955041"/>
    <w:rsid w:val="009558F3"/>
    <w:rsid w:val="00956751"/>
    <w:rsid w:val="00957273"/>
    <w:rsid w:val="009602AF"/>
    <w:rsid w:val="009616FB"/>
    <w:rsid w:val="00961E71"/>
    <w:rsid w:val="00962872"/>
    <w:rsid w:val="00962C66"/>
    <w:rsid w:val="009632BE"/>
    <w:rsid w:val="0096359A"/>
    <w:rsid w:val="009651B5"/>
    <w:rsid w:val="0096583D"/>
    <w:rsid w:val="00965EE7"/>
    <w:rsid w:val="00966103"/>
    <w:rsid w:val="009667A9"/>
    <w:rsid w:val="0096746C"/>
    <w:rsid w:val="00967EBF"/>
    <w:rsid w:val="00967F1D"/>
    <w:rsid w:val="00967FB4"/>
    <w:rsid w:val="0097100D"/>
    <w:rsid w:val="0097192F"/>
    <w:rsid w:val="00972AF2"/>
    <w:rsid w:val="00973152"/>
    <w:rsid w:val="009748C2"/>
    <w:rsid w:val="00974C1B"/>
    <w:rsid w:val="00974C5A"/>
    <w:rsid w:val="00976405"/>
    <w:rsid w:val="00976B77"/>
    <w:rsid w:val="00977B69"/>
    <w:rsid w:val="00980C24"/>
    <w:rsid w:val="00981341"/>
    <w:rsid w:val="00982717"/>
    <w:rsid w:val="009841D9"/>
    <w:rsid w:val="00984C21"/>
    <w:rsid w:val="009863EF"/>
    <w:rsid w:val="00986770"/>
    <w:rsid w:val="00986A1D"/>
    <w:rsid w:val="00987ECF"/>
    <w:rsid w:val="009908C4"/>
    <w:rsid w:val="00990C09"/>
    <w:rsid w:val="00990E35"/>
    <w:rsid w:val="00992006"/>
    <w:rsid w:val="009936FC"/>
    <w:rsid w:val="00995241"/>
    <w:rsid w:val="00995BE8"/>
    <w:rsid w:val="00996456"/>
    <w:rsid w:val="00996BA3"/>
    <w:rsid w:val="0099734C"/>
    <w:rsid w:val="009974D4"/>
    <w:rsid w:val="00997A52"/>
    <w:rsid w:val="009A07F7"/>
    <w:rsid w:val="009A0B61"/>
    <w:rsid w:val="009A172D"/>
    <w:rsid w:val="009A1BA3"/>
    <w:rsid w:val="009A21F7"/>
    <w:rsid w:val="009A2EF3"/>
    <w:rsid w:val="009A2F1B"/>
    <w:rsid w:val="009A34E0"/>
    <w:rsid w:val="009A5297"/>
    <w:rsid w:val="009A5A67"/>
    <w:rsid w:val="009A5DBF"/>
    <w:rsid w:val="009A6F72"/>
    <w:rsid w:val="009A728D"/>
    <w:rsid w:val="009A7ED1"/>
    <w:rsid w:val="009B0750"/>
    <w:rsid w:val="009B13D8"/>
    <w:rsid w:val="009B1726"/>
    <w:rsid w:val="009B1D4F"/>
    <w:rsid w:val="009B3404"/>
    <w:rsid w:val="009B3F45"/>
    <w:rsid w:val="009B3F85"/>
    <w:rsid w:val="009B3FE4"/>
    <w:rsid w:val="009B7204"/>
    <w:rsid w:val="009B76F3"/>
    <w:rsid w:val="009B7C43"/>
    <w:rsid w:val="009C0295"/>
    <w:rsid w:val="009C0BE0"/>
    <w:rsid w:val="009C1BFD"/>
    <w:rsid w:val="009C1C4A"/>
    <w:rsid w:val="009C1D6E"/>
    <w:rsid w:val="009C1F13"/>
    <w:rsid w:val="009C21AF"/>
    <w:rsid w:val="009C3448"/>
    <w:rsid w:val="009C36D8"/>
    <w:rsid w:val="009C36EE"/>
    <w:rsid w:val="009C3ACB"/>
    <w:rsid w:val="009C3FEA"/>
    <w:rsid w:val="009C45A1"/>
    <w:rsid w:val="009C5027"/>
    <w:rsid w:val="009C506B"/>
    <w:rsid w:val="009C6260"/>
    <w:rsid w:val="009C6389"/>
    <w:rsid w:val="009D0829"/>
    <w:rsid w:val="009D0C4D"/>
    <w:rsid w:val="009D16AD"/>
    <w:rsid w:val="009D18E3"/>
    <w:rsid w:val="009D1A98"/>
    <w:rsid w:val="009D1E68"/>
    <w:rsid w:val="009D2441"/>
    <w:rsid w:val="009D251B"/>
    <w:rsid w:val="009D27E0"/>
    <w:rsid w:val="009D2A0E"/>
    <w:rsid w:val="009D3577"/>
    <w:rsid w:val="009D3927"/>
    <w:rsid w:val="009D3ECC"/>
    <w:rsid w:val="009D518B"/>
    <w:rsid w:val="009D61A4"/>
    <w:rsid w:val="009D6539"/>
    <w:rsid w:val="009E0103"/>
    <w:rsid w:val="009E0AF7"/>
    <w:rsid w:val="009E1304"/>
    <w:rsid w:val="009E147A"/>
    <w:rsid w:val="009E30DE"/>
    <w:rsid w:val="009E3CAB"/>
    <w:rsid w:val="009E3FAF"/>
    <w:rsid w:val="009E4271"/>
    <w:rsid w:val="009E433E"/>
    <w:rsid w:val="009E572A"/>
    <w:rsid w:val="009E5C21"/>
    <w:rsid w:val="009E60B3"/>
    <w:rsid w:val="009E6761"/>
    <w:rsid w:val="009E6949"/>
    <w:rsid w:val="009F13B5"/>
    <w:rsid w:val="009F1850"/>
    <w:rsid w:val="009F1E3E"/>
    <w:rsid w:val="009F1EC2"/>
    <w:rsid w:val="009F23A2"/>
    <w:rsid w:val="009F2BCB"/>
    <w:rsid w:val="009F2D17"/>
    <w:rsid w:val="009F342A"/>
    <w:rsid w:val="009F3F4B"/>
    <w:rsid w:val="009F4942"/>
    <w:rsid w:val="009F4996"/>
    <w:rsid w:val="009F4D1B"/>
    <w:rsid w:val="009F504F"/>
    <w:rsid w:val="009F5AB0"/>
    <w:rsid w:val="009F6523"/>
    <w:rsid w:val="00A01350"/>
    <w:rsid w:val="00A01904"/>
    <w:rsid w:val="00A02D71"/>
    <w:rsid w:val="00A02F57"/>
    <w:rsid w:val="00A03512"/>
    <w:rsid w:val="00A04C0D"/>
    <w:rsid w:val="00A04C8A"/>
    <w:rsid w:val="00A04D65"/>
    <w:rsid w:val="00A05425"/>
    <w:rsid w:val="00A05D2D"/>
    <w:rsid w:val="00A07382"/>
    <w:rsid w:val="00A07432"/>
    <w:rsid w:val="00A077DD"/>
    <w:rsid w:val="00A07F7B"/>
    <w:rsid w:val="00A1023B"/>
    <w:rsid w:val="00A1076F"/>
    <w:rsid w:val="00A1174D"/>
    <w:rsid w:val="00A144DC"/>
    <w:rsid w:val="00A14B66"/>
    <w:rsid w:val="00A14E4D"/>
    <w:rsid w:val="00A15DCE"/>
    <w:rsid w:val="00A166B0"/>
    <w:rsid w:val="00A16EBE"/>
    <w:rsid w:val="00A17616"/>
    <w:rsid w:val="00A20EA7"/>
    <w:rsid w:val="00A2117A"/>
    <w:rsid w:val="00A21EAB"/>
    <w:rsid w:val="00A2210F"/>
    <w:rsid w:val="00A2253C"/>
    <w:rsid w:val="00A2271D"/>
    <w:rsid w:val="00A2293E"/>
    <w:rsid w:val="00A229AE"/>
    <w:rsid w:val="00A239E3"/>
    <w:rsid w:val="00A23C88"/>
    <w:rsid w:val="00A24F44"/>
    <w:rsid w:val="00A25134"/>
    <w:rsid w:val="00A25966"/>
    <w:rsid w:val="00A259C1"/>
    <w:rsid w:val="00A25E39"/>
    <w:rsid w:val="00A25E8B"/>
    <w:rsid w:val="00A316EC"/>
    <w:rsid w:val="00A32248"/>
    <w:rsid w:val="00A335D1"/>
    <w:rsid w:val="00A34925"/>
    <w:rsid w:val="00A34983"/>
    <w:rsid w:val="00A35820"/>
    <w:rsid w:val="00A35C52"/>
    <w:rsid w:val="00A37310"/>
    <w:rsid w:val="00A37E2B"/>
    <w:rsid w:val="00A410CB"/>
    <w:rsid w:val="00A424BF"/>
    <w:rsid w:val="00A425DF"/>
    <w:rsid w:val="00A42978"/>
    <w:rsid w:val="00A4339E"/>
    <w:rsid w:val="00A44849"/>
    <w:rsid w:val="00A4494F"/>
    <w:rsid w:val="00A44B34"/>
    <w:rsid w:val="00A46AAD"/>
    <w:rsid w:val="00A46D5C"/>
    <w:rsid w:val="00A472FD"/>
    <w:rsid w:val="00A4742C"/>
    <w:rsid w:val="00A517E0"/>
    <w:rsid w:val="00A51A1A"/>
    <w:rsid w:val="00A525A3"/>
    <w:rsid w:val="00A53017"/>
    <w:rsid w:val="00A53DD3"/>
    <w:rsid w:val="00A545D3"/>
    <w:rsid w:val="00A55A37"/>
    <w:rsid w:val="00A56D46"/>
    <w:rsid w:val="00A57400"/>
    <w:rsid w:val="00A5761C"/>
    <w:rsid w:val="00A57A4C"/>
    <w:rsid w:val="00A6030D"/>
    <w:rsid w:val="00A60640"/>
    <w:rsid w:val="00A613B9"/>
    <w:rsid w:val="00A62431"/>
    <w:rsid w:val="00A62AE6"/>
    <w:rsid w:val="00A62BC9"/>
    <w:rsid w:val="00A635AE"/>
    <w:rsid w:val="00A65245"/>
    <w:rsid w:val="00A6530A"/>
    <w:rsid w:val="00A65790"/>
    <w:rsid w:val="00A65959"/>
    <w:rsid w:val="00A66D2C"/>
    <w:rsid w:val="00A70EB2"/>
    <w:rsid w:val="00A71D72"/>
    <w:rsid w:val="00A72DBD"/>
    <w:rsid w:val="00A738DF"/>
    <w:rsid w:val="00A747B7"/>
    <w:rsid w:val="00A7587A"/>
    <w:rsid w:val="00A7596F"/>
    <w:rsid w:val="00A760B3"/>
    <w:rsid w:val="00A80692"/>
    <w:rsid w:val="00A80D1F"/>
    <w:rsid w:val="00A81590"/>
    <w:rsid w:val="00A81F66"/>
    <w:rsid w:val="00A8237F"/>
    <w:rsid w:val="00A8428D"/>
    <w:rsid w:val="00A8492E"/>
    <w:rsid w:val="00A8577F"/>
    <w:rsid w:val="00A85A67"/>
    <w:rsid w:val="00A879A7"/>
    <w:rsid w:val="00A9011A"/>
    <w:rsid w:val="00A90E5D"/>
    <w:rsid w:val="00A914C2"/>
    <w:rsid w:val="00A9193C"/>
    <w:rsid w:val="00A91B02"/>
    <w:rsid w:val="00A92D8A"/>
    <w:rsid w:val="00A94E11"/>
    <w:rsid w:val="00A9561B"/>
    <w:rsid w:val="00A956B6"/>
    <w:rsid w:val="00A9779C"/>
    <w:rsid w:val="00A97DF1"/>
    <w:rsid w:val="00A97E93"/>
    <w:rsid w:val="00AA0706"/>
    <w:rsid w:val="00AA14BA"/>
    <w:rsid w:val="00AA1A67"/>
    <w:rsid w:val="00AA1D09"/>
    <w:rsid w:val="00AA2024"/>
    <w:rsid w:val="00AA261E"/>
    <w:rsid w:val="00AA2F5F"/>
    <w:rsid w:val="00AA342B"/>
    <w:rsid w:val="00AA377B"/>
    <w:rsid w:val="00AA417A"/>
    <w:rsid w:val="00AA4265"/>
    <w:rsid w:val="00AA5460"/>
    <w:rsid w:val="00AA55A5"/>
    <w:rsid w:val="00AA6515"/>
    <w:rsid w:val="00AB0377"/>
    <w:rsid w:val="00AB1E25"/>
    <w:rsid w:val="00AB212E"/>
    <w:rsid w:val="00AB2278"/>
    <w:rsid w:val="00AB30D3"/>
    <w:rsid w:val="00AB3D19"/>
    <w:rsid w:val="00AB67B1"/>
    <w:rsid w:val="00AB6FB9"/>
    <w:rsid w:val="00AB6FC8"/>
    <w:rsid w:val="00AC0A99"/>
    <w:rsid w:val="00AC115C"/>
    <w:rsid w:val="00AC2F37"/>
    <w:rsid w:val="00AC3073"/>
    <w:rsid w:val="00AC3499"/>
    <w:rsid w:val="00AC4758"/>
    <w:rsid w:val="00AC570F"/>
    <w:rsid w:val="00AC5C29"/>
    <w:rsid w:val="00AC5D76"/>
    <w:rsid w:val="00AC60A1"/>
    <w:rsid w:val="00AC666C"/>
    <w:rsid w:val="00AC72A0"/>
    <w:rsid w:val="00AD0B77"/>
    <w:rsid w:val="00AD0FE5"/>
    <w:rsid w:val="00AD15BF"/>
    <w:rsid w:val="00AD1962"/>
    <w:rsid w:val="00AD1C7E"/>
    <w:rsid w:val="00AD1D64"/>
    <w:rsid w:val="00AD27EB"/>
    <w:rsid w:val="00AD3696"/>
    <w:rsid w:val="00AD38AD"/>
    <w:rsid w:val="00AD448F"/>
    <w:rsid w:val="00AD449E"/>
    <w:rsid w:val="00AD468A"/>
    <w:rsid w:val="00AD5234"/>
    <w:rsid w:val="00AD5E65"/>
    <w:rsid w:val="00AD6237"/>
    <w:rsid w:val="00AD6745"/>
    <w:rsid w:val="00AD7D07"/>
    <w:rsid w:val="00AE0512"/>
    <w:rsid w:val="00AE0717"/>
    <w:rsid w:val="00AE082C"/>
    <w:rsid w:val="00AE2F5B"/>
    <w:rsid w:val="00AE3DAE"/>
    <w:rsid w:val="00AE6A9F"/>
    <w:rsid w:val="00AE789E"/>
    <w:rsid w:val="00AE7A92"/>
    <w:rsid w:val="00AF0422"/>
    <w:rsid w:val="00AF0D21"/>
    <w:rsid w:val="00AF1145"/>
    <w:rsid w:val="00AF18F2"/>
    <w:rsid w:val="00AF26AC"/>
    <w:rsid w:val="00AF3912"/>
    <w:rsid w:val="00AF399F"/>
    <w:rsid w:val="00AF3DDC"/>
    <w:rsid w:val="00AF5022"/>
    <w:rsid w:val="00AF5B5A"/>
    <w:rsid w:val="00AF5C51"/>
    <w:rsid w:val="00AF632B"/>
    <w:rsid w:val="00B000BA"/>
    <w:rsid w:val="00B00387"/>
    <w:rsid w:val="00B004CC"/>
    <w:rsid w:val="00B00592"/>
    <w:rsid w:val="00B0186D"/>
    <w:rsid w:val="00B04038"/>
    <w:rsid w:val="00B04DB2"/>
    <w:rsid w:val="00B04F44"/>
    <w:rsid w:val="00B077C8"/>
    <w:rsid w:val="00B10A54"/>
    <w:rsid w:val="00B11850"/>
    <w:rsid w:val="00B12370"/>
    <w:rsid w:val="00B12659"/>
    <w:rsid w:val="00B14A70"/>
    <w:rsid w:val="00B15BA7"/>
    <w:rsid w:val="00B168D0"/>
    <w:rsid w:val="00B16D03"/>
    <w:rsid w:val="00B17D5D"/>
    <w:rsid w:val="00B20F9F"/>
    <w:rsid w:val="00B21451"/>
    <w:rsid w:val="00B215DF"/>
    <w:rsid w:val="00B21ED9"/>
    <w:rsid w:val="00B22177"/>
    <w:rsid w:val="00B221B7"/>
    <w:rsid w:val="00B22637"/>
    <w:rsid w:val="00B22ABC"/>
    <w:rsid w:val="00B23D13"/>
    <w:rsid w:val="00B24057"/>
    <w:rsid w:val="00B2430E"/>
    <w:rsid w:val="00B24B14"/>
    <w:rsid w:val="00B25AE7"/>
    <w:rsid w:val="00B30897"/>
    <w:rsid w:val="00B310CF"/>
    <w:rsid w:val="00B33210"/>
    <w:rsid w:val="00B33F86"/>
    <w:rsid w:val="00B34A67"/>
    <w:rsid w:val="00B34EE9"/>
    <w:rsid w:val="00B3528E"/>
    <w:rsid w:val="00B36DD6"/>
    <w:rsid w:val="00B37E06"/>
    <w:rsid w:val="00B400F2"/>
    <w:rsid w:val="00B40253"/>
    <w:rsid w:val="00B40A91"/>
    <w:rsid w:val="00B40BAB"/>
    <w:rsid w:val="00B41087"/>
    <w:rsid w:val="00B43481"/>
    <w:rsid w:val="00B4363A"/>
    <w:rsid w:val="00B43D27"/>
    <w:rsid w:val="00B4430C"/>
    <w:rsid w:val="00B44E67"/>
    <w:rsid w:val="00B44F4A"/>
    <w:rsid w:val="00B45C3C"/>
    <w:rsid w:val="00B45FA1"/>
    <w:rsid w:val="00B462F3"/>
    <w:rsid w:val="00B46DE3"/>
    <w:rsid w:val="00B471F7"/>
    <w:rsid w:val="00B50532"/>
    <w:rsid w:val="00B51F5B"/>
    <w:rsid w:val="00B53706"/>
    <w:rsid w:val="00B53F81"/>
    <w:rsid w:val="00B54128"/>
    <w:rsid w:val="00B549B8"/>
    <w:rsid w:val="00B552AA"/>
    <w:rsid w:val="00B555D3"/>
    <w:rsid w:val="00B5690F"/>
    <w:rsid w:val="00B57EB9"/>
    <w:rsid w:val="00B613B1"/>
    <w:rsid w:val="00B61D87"/>
    <w:rsid w:val="00B62237"/>
    <w:rsid w:val="00B63814"/>
    <w:rsid w:val="00B647AE"/>
    <w:rsid w:val="00B65674"/>
    <w:rsid w:val="00B65EB7"/>
    <w:rsid w:val="00B66178"/>
    <w:rsid w:val="00B71652"/>
    <w:rsid w:val="00B71886"/>
    <w:rsid w:val="00B726EC"/>
    <w:rsid w:val="00B739E1"/>
    <w:rsid w:val="00B73E38"/>
    <w:rsid w:val="00B758B7"/>
    <w:rsid w:val="00B76914"/>
    <w:rsid w:val="00B76FD2"/>
    <w:rsid w:val="00B803BA"/>
    <w:rsid w:val="00B80453"/>
    <w:rsid w:val="00B8177F"/>
    <w:rsid w:val="00B81785"/>
    <w:rsid w:val="00B81F4E"/>
    <w:rsid w:val="00B83A0B"/>
    <w:rsid w:val="00B8433F"/>
    <w:rsid w:val="00B84441"/>
    <w:rsid w:val="00B84700"/>
    <w:rsid w:val="00B867DA"/>
    <w:rsid w:val="00B8777A"/>
    <w:rsid w:val="00B9079D"/>
    <w:rsid w:val="00B90884"/>
    <w:rsid w:val="00B91B7A"/>
    <w:rsid w:val="00B9238D"/>
    <w:rsid w:val="00B9369D"/>
    <w:rsid w:val="00B93FB1"/>
    <w:rsid w:val="00B94B95"/>
    <w:rsid w:val="00B951A8"/>
    <w:rsid w:val="00B961A5"/>
    <w:rsid w:val="00B962CD"/>
    <w:rsid w:val="00B965A6"/>
    <w:rsid w:val="00B966B7"/>
    <w:rsid w:val="00B9714C"/>
    <w:rsid w:val="00B97188"/>
    <w:rsid w:val="00B9799F"/>
    <w:rsid w:val="00B97DFF"/>
    <w:rsid w:val="00BA030B"/>
    <w:rsid w:val="00BA0543"/>
    <w:rsid w:val="00BA20AF"/>
    <w:rsid w:val="00BA260F"/>
    <w:rsid w:val="00BA2DF9"/>
    <w:rsid w:val="00BA31E3"/>
    <w:rsid w:val="00BA4178"/>
    <w:rsid w:val="00BA417A"/>
    <w:rsid w:val="00BA4B6F"/>
    <w:rsid w:val="00BA51C4"/>
    <w:rsid w:val="00BA5BCB"/>
    <w:rsid w:val="00BA6DE0"/>
    <w:rsid w:val="00BA752D"/>
    <w:rsid w:val="00BB02CA"/>
    <w:rsid w:val="00BB0E03"/>
    <w:rsid w:val="00BB1CF1"/>
    <w:rsid w:val="00BB22BF"/>
    <w:rsid w:val="00BB29A7"/>
    <w:rsid w:val="00BB3890"/>
    <w:rsid w:val="00BB5007"/>
    <w:rsid w:val="00BB59A5"/>
    <w:rsid w:val="00BB5B50"/>
    <w:rsid w:val="00BB5F21"/>
    <w:rsid w:val="00BB6B8E"/>
    <w:rsid w:val="00BC1D61"/>
    <w:rsid w:val="00BC2429"/>
    <w:rsid w:val="00BC5278"/>
    <w:rsid w:val="00BC5BEC"/>
    <w:rsid w:val="00BC6106"/>
    <w:rsid w:val="00BD0207"/>
    <w:rsid w:val="00BD05B0"/>
    <w:rsid w:val="00BD065B"/>
    <w:rsid w:val="00BD0FFE"/>
    <w:rsid w:val="00BD1D85"/>
    <w:rsid w:val="00BD2468"/>
    <w:rsid w:val="00BD253C"/>
    <w:rsid w:val="00BD36B5"/>
    <w:rsid w:val="00BD4861"/>
    <w:rsid w:val="00BD4A70"/>
    <w:rsid w:val="00BD590B"/>
    <w:rsid w:val="00BD5933"/>
    <w:rsid w:val="00BD6004"/>
    <w:rsid w:val="00BD6B2A"/>
    <w:rsid w:val="00BD70F6"/>
    <w:rsid w:val="00BD76AF"/>
    <w:rsid w:val="00BE03C9"/>
    <w:rsid w:val="00BE2D8D"/>
    <w:rsid w:val="00BE312D"/>
    <w:rsid w:val="00BE49D9"/>
    <w:rsid w:val="00BE5AA4"/>
    <w:rsid w:val="00BE705B"/>
    <w:rsid w:val="00BE7462"/>
    <w:rsid w:val="00BE7FFA"/>
    <w:rsid w:val="00BF0E7E"/>
    <w:rsid w:val="00BF14F4"/>
    <w:rsid w:val="00BF19CA"/>
    <w:rsid w:val="00BF346D"/>
    <w:rsid w:val="00BF3C84"/>
    <w:rsid w:val="00BF5216"/>
    <w:rsid w:val="00C01B6B"/>
    <w:rsid w:val="00C032D7"/>
    <w:rsid w:val="00C03506"/>
    <w:rsid w:val="00C03E2F"/>
    <w:rsid w:val="00C0417E"/>
    <w:rsid w:val="00C048AF"/>
    <w:rsid w:val="00C04987"/>
    <w:rsid w:val="00C04A7A"/>
    <w:rsid w:val="00C04B96"/>
    <w:rsid w:val="00C04BA0"/>
    <w:rsid w:val="00C05FC3"/>
    <w:rsid w:val="00C064AA"/>
    <w:rsid w:val="00C067DF"/>
    <w:rsid w:val="00C06A5F"/>
    <w:rsid w:val="00C06B08"/>
    <w:rsid w:val="00C073A9"/>
    <w:rsid w:val="00C0743B"/>
    <w:rsid w:val="00C07DBA"/>
    <w:rsid w:val="00C07F89"/>
    <w:rsid w:val="00C07FEC"/>
    <w:rsid w:val="00C10DD7"/>
    <w:rsid w:val="00C11DD7"/>
    <w:rsid w:val="00C12335"/>
    <w:rsid w:val="00C12B9F"/>
    <w:rsid w:val="00C12EBD"/>
    <w:rsid w:val="00C1316C"/>
    <w:rsid w:val="00C135DC"/>
    <w:rsid w:val="00C13791"/>
    <w:rsid w:val="00C147D8"/>
    <w:rsid w:val="00C14971"/>
    <w:rsid w:val="00C150FE"/>
    <w:rsid w:val="00C15435"/>
    <w:rsid w:val="00C15880"/>
    <w:rsid w:val="00C158B2"/>
    <w:rsid w:val="00C16629"/>
    <w:rsid w:val="00C16C20"/>
    <w:rsid w:val="00C16D5C"/>
    <w:rsid w:val="00C208E2"/>
    <w:rsid w:val="00C2151C"/>
    <w:rsid w:val="00C23909"/>
    <w:rsid w:val="00C24075"/>
    <w:rsid w:val="00C24207"/>
    <w:rsid w:val="00C245F3"/>
    <w:rsid w:val="00C24D1B"/>
    <w:rsid w:val="00C2633F"/>
    <w:rsid w:val="00C26CAC"/>
    <w:rsid w:val="00C26DE5"/>
    <w:rsid w:val="00C26E91"/>
    <w:rsid w:val="00C320ED"/>
    <w:rsid w:val="00C3227D"/>
    <w:rsid w:val="00C323BF"/>
    <w:rsid w:val="00C3294C"/>
    <w:rsid w:val="00C3379B"/>
    <w:rsid w:val="00C341DA"/>
    <w:rsid w:val="00C3471C"/>
    <w:rsid w:val="00C34E29"/>
    <w:rsid w:val="00C362E1"/>
    <w:rsid w:val="00C36697"/>
    <w:rsid w:val="00C37437"/>
    <w:rsid w:val="00C40463"/>
    <w:rsid w:val="00C40AD8"/>
    <w:rsid w:val="00C41504"/>
    <w:rsid w:val="00C4198C"/>
    <w:rsid w:val="00C421CE"/>
    <w:rsid w:val="00C4260E"/>
    <w:rsid w:val="00C426E4"/>
    <w:rsid w:val="00C43295"/>
    <w:rsid w:val="00C4448F"/>
    <w:rsid w:val="00C4453F"/>
    <w:rsid w:val="00C4483D"/>
    <w:rsid w:val="00C44947"/>
    <w:rsid w:val="00C44CD7"/>
    <w:rsid w:val="00C44E1E"/>
    <w:rsid w:val="00C4778A"/>
    <w:rsid w:val="00C47F2D"/>
    <w:rsid w:val="00C514E5"/>
    <w:rsid w:val="00C52D7E"/>
    <w:rsid w:val="00C5364A"/>
    <w:rsid w:val="00C53A55"/>
    <w:rsid w:val="00C54000"/>
    <w:rsid w:val="00C54025"/>
    <w:rsid w:val="00C54067"/>
    <w:rsid w:val="00C54B76"/>
    <w:rsid w:val="00C5564C"/>
    <w:rsid w:val="00C60617"/>
    <w:rsid w:val="00C60E07"/>
    <w:rsid w:val="00C61091"/>
    <w:rsid w:val="00C62A70"/>
    <w:rsid w:val="00C632BE"/>
    <w:rsid w:val="00C6380D"/>
    <w:rsid w:val="00C6396A"/>
    <w:rsid w:val="00C63AC0"/>
    <w:rsid w:val="00C64320"/>
    <w:rsid w:val="00C64920"/>
    <w:rsid w:val="00C6557B"/>
    <w:rsid w:val="00C65687"/>
    <w:rsid w:val="00C6643C"/>
    <w:rsid w:val="00C66625"/>
    <w:rsid w:val="00C66C3D"/>
    <w:rsid w:val="00C67704"/>
    <w:rsid w:val="00C67EC2"/>
    <w:rsid w:val="00C7083C"/>
    <w:rsid w:val="00C715AE"/>
    <w:rsid w:val="00C71679"/>
    <w:rsid w:val="00C71FF0"/>
    <w:rsid w:val="00C7386D"/>
    <w:rsid w:val="00C74494"/>
    <w:rsid w:val="00C75C1C"/>
    <w:rsid w:val="00C7665D"/>
    <w:rsid w:val="00C76AD9"/>
    <w:rsid w:val="00C76F18"/>
    <w:rsid w:val="00C775AD"/>
    <w:rsid w:val="00C77F61"/>
    <w:rsid w:val="00C833C7"/>
    <w:rsid w:val="00C838BF"/>
    <w:rsid w:val="00C84025"/>
    <w:rsid w:val="00C844B1"/>
    <w:rsid w:val="00C84A25"/>
    <w:rsid w:val="00C85215"/>
    <w:rsid w:val="00C856F2"/>
    <w:rsid w:val="00C85CB6"/>
    <w:rsid w:val="00C862B5"/>
    <w:rsid w:val="00C86CB3"/>
    <w:rsid w:val="00C87022"/>
    <w:rsid w:val="00C876F0"/>
    <w:rsid w:val="00C87BE6"/>
    <w:rsid w:val="00C90B83"/>
    <w:rsid w:val="00C9106F"/>
    <w:rsid w:val="00C91BB1"/>
    <w:rsid w:val="00C926B0"/>
    <w:rsid w:val="00C92ADB"/>
    <w:rsid w:val="00C92E62"/>
    <w:rsid w:val="00C92ED8"/>
    <w:rsid w:val="00C92F6C"/>
    <w:rsid w:val="00C949CD"/>
    <w:rsid w:val="00C94EF1"/>
    <w:rsid w:val="00C97133"/>
    <w:rsid w:val="00C97A3F"/>
    <w:rsid w:val="00CA1EA2"/>
    <w:rsid w:val="00CA21D2"/>
    <w:rsid w:val="00CA263D"/>
    <w:rsid w:val="00CA2EAC"/>
    <w:rsid w:val="00CA30DE"/>
    <w:rsid w:val="00CA317A"/>
    <w:rsid w:val="00CA33BA"/>
    <w:rsid w:val="00CA351F"/>
    <w:rsid w:val="00CA3B4C"/>
    <w:rsid w:val="00CA3E5E"/>
    <w:rsid w:val="00CA616B"/>
    <w:rsid w:val="00CA62D9"/>
    <w:rsid w:val="00CA7C06"/>
    <w:rsid w:val="00CB0797"/>
    <w:rsid w:val="00CB0D80"/>
    <w:rsid w:val="00CB0E0F"/>
    <w:rsid w:val="00CB119E"/>
    <w:rsid w:val="00CB1A39"/>
    <w:rsid w:val="00CB1CD1"/>
    <w:rsid w:val="00CB236D"/>
    <w:rsid w:val="00CB2A31"/>
    <w:rsid w:val="00CB2A58"/>
    <w:rsid w:val="00CB2D2D"/>
    <w:rsid w:val="00CB338F"/>
    <w:rsid w:val="00CB3CB9"/>
    <w:rsid w:val="00CB3E0A"/>
    <w:rsid w:val="00CB5292"/>
    <w:rsid w:val="00CB59F7"/>
    <w:rsid w:val="00CB6378"/>
    <w:rsid w:val="00CB726C"/>
    <w:rsid w:val="00CB7749"/>
    <w:rsid w:val="00CB7BB1"/>
    <w:rsid w:val="00CC02CD"/>
    <w:rsid w:val="00CC0C53"/>
    <w:rsid w:val="00CC129F"/>
    <w:rsid w:val="00CC168B"/>
    <w:rsid w:val="00CC25D6"/>
    <w:rsid w:val="00CC2C13"/>
    <w:rsid w:val="00CC3234"/>
    <w:rsid w:val="00CC4EF7"/>
    <w:rsid w:val="00CC504D"/>
    <w:rsid w:val="00CC6569"/>
    <w:rsid w:val="00CC7364"/>
    <w:rsid w:val="00CD00EE"/>
    <w:rsid w:val="00CD020A"/>
    <w:rsid w:val="00CD06FE"/>
    <w:rsid w:val="00CD188D"/>
    <w:rsid w:val="00CD3E7D"/>
    <w:rsid w:val="00CD563B"/>
    <w:rsid w:val="00CD5EF2"/>
    <w:rsid w:val="00CD6B22"/>
    <w:rsid w:val="00CD6CFF"/>
    <w:rsid w:val="00CD723D"/>
    <w:rsid w:val="00CD7798"/>
    <w:rsid w:val="00CD7905"/>
    <w:rsid w:val="00CD7EB6"/>
    <w:rsid w:val="00CE0445"/>
    <w:rsid w:val="00CE0669"/>
    <w:rsid w:val="00CE11F0"/>
    <w:rsid w:val="00CE29DB"/>
    <w:rsid w:val="00CE2D7A"/>
    <w:rsid w:val="00CE30EB"/>
    <w:rsid w:val="00CE371B"/>
    <w:rsid w:val="00CE4DCB"/>
    <w:rsid w:val="00CE51A7"/>
    <w:rsid w:val="00CE5835"/>
    <w:rsid w:val="00CE6768"/>
    <w:rsid w:val="00CF0251"/>
    <w:rsid w:val="00CF076F"/>
    <w:rsid w:val="00CF0828"/>
    <w:rsid w:val="00CF0BAB"/>
    <w:rsid w:val="00CF0D1C"/>
    <w:rsid w:val="00CF0FB7"/>
    <w:rsid w:val="00CF1345"/>
    <w:rsid w:val="00CF1370"/>
    <w:rsid w:val="00CF1B68"/>
    <w:rsid w:val="00CF2F9F"/>
    <w:rsid w:val="00CF37E5"/>
    <w:rsid w:val="00CF582B"/>
    <w:rsid w:val="00CF5A24"/>
    <w:rsid w:val="00CF5BD3"/>
    <w:rsid w:val="00CF5D37"/>
    <w:rsid w:val="00CF6331"/>
    <w:rsid w:val="00CF6EEE"/>
    <w:rsid w:val="00D0259B"/>
    <w:rsid w:val="00D03609"/>
    <w:rsid w:val="00D0383A"/>
    <w:rsid w:val="00D03D26"/>
    <w:rsid w:val="00D03E98"/>
    <w:rsid w:val="00D04423"/>
    <w:rsid w:val="00D059B2"/>
    <w:rsid w:val="00D10E54"/>
    <w:rsid w:val="00D11296"/>
    <w:rsid w:val="00D11337"/>
    <w:rsid w:val="00D119FD"/>
    <w:rsid w:val="00D1242E"/>
    <w:rsid w:val="00D12BEE"/>
    <w:rsid w:val="00D1368A"/>
    <w:rsid w:val="00D13A5E"/>
    <w:rsid w:val="00D140FF"/>
    <w:rsid w:val="00D15936"/>
    <w:rsid w:val="00D15C78"/>
    <w:rsid w:val="00D15FA1"/>
    <w:rsid w:val="00D1663A"/>
    <w:rsid w:val="00D1693A"/>
    <w:rsid w:val="00D20B3F"/>
    <w:rsid w:val="00D22268"/>
    <w:rsid w:val="00D2293F"/>
    <w:rsid w:val="00D238C6"/>
    <w:rsid w:val="00D23E26"/>
    <w:rsid w:val="00D2406B"/>
    <w:rsid w:val="00D24108"/>
    <w:rsid w:val="00D249F4"/>
    <w:rsid w:val="00D24B3B"/>
    <w:rsid w:val="00D2562D"/>
    <w:rsid w:val="00D25908"/>
    <w:rsid w:val="00D25BAE"/>
    <w:rsid w:val="00D25DE8"/>
    <w:rsid w:val="00D26BB3"/>
    <w:rsid w:val="00D26F82"/>
    <w:rsid w:val="00D2756F"/>
    <w:rsid w:val="00D279DC"/>
    <w:rsid w:val="00D30CD0"/>
    <w:rsid w:val="00D3166B"/>
    <w:rsid w:val="00D31C96"/>
    <w:rsid w:val="00D3306E"/>
    <w:rsid w:val="00D33BDA"/>
    <w:rsid w:val="00D34621"/>
    <w:rsid w:val="00D36CC6"/>
    <w:rsid w:val="00D408BB"/>
    <w:rsid w:val="00D4094B"/>
    <w:rsid w:val="00D417DB"/>
    <w:rsid w:val="00D41BE5"/>
    <w:rsid w:val="00D41C3C"/>
    <w:rsid w:val="00D425EF"/>
    <w:rsid w:val="00D432E6"/>
    <w:rsid w:val="00D434CB"/>
    <w:rsid w:val="00D43FE4"/>
    <w:rsid w:val="00D4427D"/>
    <w:rsid w:val="00D44DEF"/>
    <w:rsid w:val="00D45D80"/>
    <w:rsid w:val="00D45E58"/>
    <w:rsid w:val="00D46661"/>
    <w:rsid w:val="00D47143"/>
    <w:rsid w:val="00D50734"/>
    <w:rsid w:val="00D50E92"/>
    <w:rsid w:val="00D514A8"/>
    <w:rsid w:val="00D52097"/>
    <w:rsid w:val="00D53075"/>
    <w:rsid w:val="00D53CAB"/>
    <w:rsid w:val="00D546B1"/>
    <w:rsid w:val="00D54F67"/>
    <w:rsid w:val="00D5537A"/>
    <w:rsid w:val="00D5559E"/>
    <w:rsid w:val="00D55886"/>
    <w:rsid w:val="00D55DE5"/>
    <w:rsid w:val="00D574B8"/>
    <w:rsid w:val="00D575B4"/>
    <w:rsid w:val="00D60947"/>
    <w:rsid w:val="00D61A23"/>
    <w:rsid w:val="00D6228F"/>
    <w:rsid w:val="00D63DE2"/>
    <w:rsid w:val="00D6429E"/>
    <w:rsid w:val="00D6557A"/>
    <w:rsid w:val="00D66F34"/>
    <w:rsid w:val="00D6748F"/>
    <w:rsid w:val="00D67BF5"/>
    <w:rsid w:val="00D701B0"/>
    <w:rsid w:val="00D7086B"/>
    <w:rsid w:val="00D70CB0"/>
    <w:rsid w:val="00D70E85"/>
    <w:rsid w:val="00D722E1"/>
    <w:rsid w:val="00D72FDA"/>
    <w:rsid w:val="00D73E2B"/>
    <w:rsid w:val="00D74087"/>
    <w:rsid w:val="00D7468D"/>
    <w:rsid w:val="00D74D6B"/>
    <w:rsid w:val="00D7546E"/>
    <w:rsid w:val="00D7584E"/>
    <w:rsid w:val="00D76164"/>
    <w:rsid w:val="00D76BD7"/>
    <w:rsid w:val="00D76F45"/>
    <w:rsid w:val="00D77DEA"/>
    <w:rsid w:val="00D80F05"/>
    <w:rsid w:val="00D80F46"/>
    <w:rsid w:val="00D82347"/>
    <w:rsid w:val="00D8255A"/>
    <w:rsid w:val="00D825D3"/>
    <w:rsid w:val="00D83166"/>
    <w:rsid w:val="00D839CB"/>
    <w:rsid w:val="00D840B1"/>
    <w:rsid w:val="00D85147"/>
    <w:rsid w:val="00D86AAC"/>
    <w:rsid w:val="00D86E77"/>
    <w:rsid w:val="00D902FE"/>
    <w:rsid w:val="00D909DC"/>
    <w:rsid w:val="00D90D83"/>
    <w:rsid w:val="00D91595"/>
    <w:rsid w:val="00D92C04"/>
    <w:rsid w:val="00D9363A"/>
    <w:rsid w:val="00D94687"/>
    <w:rsid w:val="00D947D1"/>
    <w:rsid w:val="00D9535D"/>
    <w:rsid w:val="00D96D44"/>
    <w:rsid w:val="00D97D01"/>
    <w:rsid w:val="00DA182F"/>
    <w:rsid w:val="00DA3018"/>
    <w:rsid w:val="00DA38DB"/>
    <w:rsid w:val="00DA3BDA"/>
    <w:rsid w:val="00DA46A0"/>
    <w:rsid w:val="00DA4CE7"/>
    <w:rsid w:val="00DA5242"/>
    <w:rsid w:val="00DA5FEE"/>
    <w:rsid w:val="00DA6C44"/>
    <w:rsid w:val="00DB04FA"/>
    <w:rsid w:val="00DB0567"/>
    <w:rsid w:val="00DB11C0"/>
    <w:rsid w:val="00DB1465"/>
    <w:rsid w:val="00DB168F"/>
    <w:rsid w:val="00DB1E70"/>
    <w:rsid w:val="00DB1F86"/>
    <w:rsid w:val="00DB2CDA"/>
    <w:rsid w:val="00DB4841"/>
    <w:rsid w:val="00DB48FF"/>
    <w:rsid w:val="00DB52A6"/>
    <w:rsid w:val="00DB6609"/>
    <w:rsid w:val="00DB6F84"/>
    <w:rsid w:val="00DB70AF"/>
    <w:rsid w:val="00DB7839"/>
    <w:rsid w:val="00DB7E65"/>
    <w:rsid w:val="00DC0A30"/>
    <w:rsid w:val="00DC1C6F"/>
    <w:rsid w:val="00DC34B1"/>
    <w:rsid w:val="00DC35C5"/>
    <w:rsid w:val="00DC40BC"/>
    <w:rsid w:val="00DC4F56"/>
    <w:rsid w:val="00DC5650"/>
    <w:rsid w:val="00DC668D"/>
    <w:rsid w:val="00DC6916"/>
    <w:rsid w:val="00DC78B5"/>
    <w:rsid w:val="00DC7EA0"/>
    <w:rsid w:val="00DD0B63"/>
    <w:rsid w:val="00DD1035"/>
    <w:rsid w:val="00DD1381"/>
    <w:rsid w:val="00DD2590"/>
    <w:rsid w:val="00DD2819"/>
    <w:rsid w:val="00DD31FD"/>
    <w:rsid w:val="00DD3A28"/>
    <w:rsid w:val="00DD536E"/>
    <w:rsid w:val="00DD54B6"/>
    <w:rsid w:val="00DD6738"/>
    <w:rsid w:val="00DD7319"/>
    <w:rsid w:val="00DD7455"/>
    <w:rsid w:val="00DD777A"/>
    <w:rsid w:val="00DD7AF5"/>
    <w:rsid w:val="00DD7EDF"/>
    <w:rsid w:val="00DE06E9"/>
    <w:rsid w:val="00DE0BAD"/>
    <w:rsid w:val="00DE1636"/>
    <w:rsid w:val="00DE1CD5"/>
    <w:rsid w:val="00DE22FA"/>
    <w:rsid w:val="00DE247C"/>
    <w:rsid w:val="00DE2DF6"/>
    <w:rsid w:val="00DE3A19"/>
    <w:rsid w:val="00DE426B"/>
    <w:rsid w:val="00DE4709"/>
    <w:rsid w:val="00DE6039"/>
    <w:rsid w:val="00DE60A8"/>
    <w:rsid w:val="00DE6BE5"/>
    <w:rsid w:val="00DE6C8B"/>
    <w:rsid w:val="00DE70E0"/>
    <w:rsid w:val="00DE7AAD"/>
    <w:rsid w:val="00DE7D41"/>
    <w:rsid w:val="00DF0008"/>
    <w:rsid w:val="00DF0FF8"/>
    <w:rsid w:val="00DF13B1"/>
    <w:rsid w:val="00DF23A4"/>
    <w:rsid w:val="00DF3061"/>
    <w:rsid w:val="00DF37B9"/>
    <w:rsid w:val="00DF3963"/>
    <w:rsid w:val="00DF3B9C"/>
    <w:rsid w:val="00DF4215"/>
    <w:rsid w:val="00DF4C79"/>
    <w:rsid w:val="00DF56BA"/>
    <w:rsid w:val="00DF5B06"/>
    <w:rsid w:val="00DF7BB1"/>
    <w:rsid w:val="00DF7F81"/>
    <w:rsid w:val="00E000EF"/>
    <w:rsid w:val="00E00E4E"/>
    <w:rsid w:val="00E00F69"/>
    <w:rsid w:val="00E00FDA"/>
    <w:rsid w:val="00E01292"/>
    <w:rsid w:val="00E01C3C"/>
    <w:rsid w:val="00E01CC4"/>
    <w:rsid w:val="00E01DA2"/>
    <w:rsid w:val="00E039D6"/>
    <w:rsid w:val="00E03BD0"/>
    <w:rsid w:val="00E04177"/>
    <w:rsid w:val="00E051EA"/>
    <w:rsid w:val="00E05986"/>
    <w:rsid w:val="00E07813"/>
    <w:rsid w:val="00E078CA"/>
    <w:rsid w:val="00E079AF"/>
    <w:rsid w:val="00E10D65"/>
    <w:rsid w:val="00E10DA7"/>
    <w:rsid w:val="00E11927"/>
    <w:rsid w:val="00E121BA"/>
    <w:rsid w:val="00E1258C"/>
    <w:rsid w:val="00E1351A"/>
    <w:rsid w:val="00E13BB6"/>
    <w:rsid w:val="00E13E68"/>
    <w:rsid w:val="00E143FF"/>
    <w:rsid w:val="00E1477D"/>
    <w:rsid w:val="00E14823"/>
    <w:rsid w:val="00E16125"/>
    <w:rsid w:val="00E17884"/>
    <w:rsid w:val="00E17A72"/>
    <w:rsid w:val="00E20D18"/>
    <w:rsid w:val="00E21A50"/>
    <w:rsid w:val="00E23CDB"/>
    <w:rsid w:val="00E23F1C"/>
    <w:rsid w:val="00E242F6"/>
    <w:rsid w:val="00E24D92"/>
    <w:rsid w:val="00E24E40"/>
    <w:rsid w:val="00E25F58"/>
    <w:rsid w:val="00E263B0"/>
    <w:rsid w:val="00E269BD"/>
    <w:rsid w:val="00E2795E"/>
    <w:rsid w:val="00E30968"/>
    <w:rsid w:val="00E311DF"/>
    <w:rsid w:val="00E316CF"/>
    <w:rsid w:val="00E32B76"/>
    <w:rsid w:val="00E33B5C"/>
    <w:rsid w:val="00E342A0"/>
    <w:rsid w:val="00E3517C"/>
    <w:rsid w:val="00E35CE6"/>
    <w:rsid w:val="00E366BD"/>
    <w:rsid w:val="00E36DD2"/>
    <w:rsid w:val="00E373FD"/>
    <w:rsid w:val="00E37454"/>
    <w:rsid w:val="00E37895"/>
    <w:rsid w:val="00E41A24"/>
    <w:rsid w:val="00E41F0E"/>
    <w:rsid w:val="00E42406"/>
    <w:rsid w:val="00E4283E"/>
    <w:rsid w:val="00E42C97"/>
    <w:rsid w:val="00E42E85"/>
    <w:rsid w:val="00E43078"/>
    <w:rsid w:val="00E430DD"/>
    <w:rsid w:val="00E43FA1"/>
    <w:rsid w:val="00E44295"/>
    <w:rsid w:val="00E44DC4"/>
    <w:rsid w:val="00E45AF0"/>
    <w:rsid w:val="00E4676F"/>
    <w:rsid w:val="00E47B28"/>
    <w:rsid w:val="00E47BC3"/>
    <w:rsid w:val="00E51806"/>
    <w:rsid w:val="00E51DCB"/>
    <w:rsid w:val="00E51DE5"/>
    <w:rsid w:val="00E521AC"/>
    <w:rsid w:val="00E52359"/>
    <w:rsid w:val="00E52E77"/>
    <w:rsid w:val="00E53319"/>
    <w:rsid w:val="00E536F8"/>
    <w:rsid w:val="00E53FBA"/>
    <w:rsid w:val="00E5429F"/>
    <w:rsid w:val="00E54B14"/>
    <w:rsid w:val="00E54E25"/>
    <w:rsid w:val="00E554C4"/>
    <w:rsid w:val="00E558D4"/>
    <w:rsid w:val="00E562A9"/>
    <w:rsid w:val="00E56529"/>
    <w:rsid w:val="00E56663"/>
    <w:rsid w:val="00E56C5A"/>
    <w:rsid w:val="00E57FA2"/>
    <w:rsid w:val="00E57FD4"/>
    <w:rsid w:val="00E600EC"/>
    <w:rsid w:val="00E62576"/>
    <w:rsid w:val="00E62C9E"/>
    <w:rsid w:val="00E62D8F"/>
    <w:rsid w:val="00E63D5D"/>
    <w:rsid w:val="00E64267"/>
    <w:rsid w:val="00E642C0"/>
    <w:rsid w:val="00E64B93"/>
    <w:rsid w:val="00E651D1"/>
    <w:rsid w:val="00E664F4"/>
    <w:rsid w:val="00E666A6"/>
    <w:rsid w:val="00E66CFB"/>
    <w:rsid w:val="00E6719F"/>
    <w:rsid w:val="00E67A1D"/>
    <w:rsid w:val="00E67DF6"/>
    <w:rsid w:val="00E70016"/>
    <w:rsid w:val="00E70769"/>
    <w:rsid w:val="00E71BFA"/>
    <w:rsid w:val="00E7243F"/>
    <w:rsid w:val="00E72479"/>
    <w:rsid w:val="00E725E2"/>
    <w:rsid w:val="00E72AAD"/>
    <w:rsid w:val="00E72DB4"/>
    <w:rsid w:val="00E73BD5"/>
    <w:rsid w:val="00E7483E"/>
    <w:rsid w:val="00E74F17"/>
    <w:rsid w:val="00E7562E"/>
    <w:rsid w:val="00E75CCC"/>
    <w:rsid w:val="00E80032"/>
    <w:rsid w:val="00E80CFE"/>
    <w:rsid w:val="00E80D39"/>
    <w:rsid w:val="00E81DBB"/>
    <w:rsid w:val="00E858EF"/>
    <w:rsid w:val="00E85FF0"/>
    <w:rsid w:val="00E8617F"/>
    <w:rsid w:val="00E86FDB"/>
    <w:rsid w:val="00E87734"/>
    <w:rsid w:val="00E878BD"/>
    <w:rsid w:val="00E90016"/>
    <w:rsid w:val="00E900D5"/>
    <w:rsid w:val="00E9041F"/>
    <w:rsid w:val="00E90A31"/>
    <w:rsid w:val="00E91D48"/>
    <w:rsid w:val="00E92191"/>
    <w:rsid w:val="00E9446E"/>
    <w:rsid w:val="00E94B19"/>
    <w:rsid w:val="00E94B44"/>
    <w:rsid w:val="00E94D1D"/>
    <w:rsid w:val="00E94EAF"/>
    <w:rsid w:val="00E9516D"/>
    <w:rsid w:val="00E97BEC"/>
    <w:rsid w:val="00E97EDA"/>
    <w:rsid w:val="00EA0386"/>
    <w:rsid w:val="00EA1748"/>
    <w:rsid w:val="00EA276E"/>
    <w:rsid w:val="00EA31E2"/>
    <w:rsid w:val="00EA3348"/>
    <w:rsid w:val="00EA397E"/>
    <w:rsid w:val="00EA444A"/>
    <w:rsid w:val="00EA49F0"/>
    <w:rsid w:val="00EA4DCD"/>
    <w:rsid w:val="00EA5286"/>
    <w:rsid w:val="00EA534C"/>
    <w:rsid w:val="00EA6C29"/>
    <w:rsid w:val="00EB0A1F"/>
    <w:rsid w:val="00EB1DF3"/>
    <w:rsid w:val="00EB1EBE"/>
    <w:rsid w:val="00EB2C52"/>
    <w:rsid w:val="00EB3289"/>
    <w:rsid w:val="00EB3926"/>
    <w:rsid w:val="00EB4706"/>
    <w:rsid w:val="00EB5737"/>
    <w:rsid w:val="00EB648C"/>
    <w:rsid w:val="00EB6D47"/>
    <w:rsid w:val="00EB7A10"/>
    <w:rsid w:val="00EC17AE"/>
    <w:rsid w:val="00EC1B49"/>
    <w:rsid w:val="00EC2867"/>
    <w:rsid w:val="00EC33FF"/>
    <w:rsid w:val="00EC3F50"/>
    <w:rsid w:val="00EC4C90"/>
    <w:rsid w:val="00EC6C80"/>
    <w:rsid w:val="00EC74C4"/>
    <w:rsid w:val="00ED0182"/>
    <w:rsid w:val="00ED023C"/>
    <w:rsid w:val="00ED0899"/>
    <w:rsid w:val="00ED0EEA"/>
    <w:rsid w:val="00ED1A01"/>
    <w:rsid w:val="00ED2522"/>
    <w:rsid w:val="00ED2C66"/>
    <w:rsid w:val="00ED2DAF"/>
    <w:rsid w:val="00ED47B9"/>
    <w:rsid w:val="00ED47E7"/>
    <w:rsid w:val="00ED4F39"/>
    <w:rsid w:val="00ED5C26"/>
    <w:rsid w:val="00ED5C4C"/>
    <w:rsid w:val="00ED5C79"/>
    <w:rsid w:val="00ED6552"/>
    <w:rsid w:val="00ED71E6"/>
    <w:rsid w:val="00ED760F"/>
    <w:rsid w:val="00ED788A"/>
    <w:rsid w:val="00EE17A0"/>
    <w:rsid w:val="00EE19C7"/>
    <w:rsid w:val="00EE24F6"/>
    <w:rsid w:val="00EE2DD0"/>
    <w:rsid w:val="00EE330C"/>
    <w:rsid w:val="00EE3F86"/>
    <w:rsid w:val="00EE58CB"/>
    <w:rsid w:val="00EE59B8"/>
    <w:rsid w:val="00EE6A2F"/>
    <w:rsid w:val="00EE6C45"/>
    <w:rsid w:val="00EF0EB2"/>
    <w:rsid w:val="00EF20B8"/>
    <w:rsid w:val="00EF2A23"/>
    <w:rsid w:val="00EF55CE"/>
    <w:rsid w:val="00EF5F3D"/>
    <w:rsid w:val="00EF65DC"/>
    <w:rsid w:val="00EF70EE"/>
    <w:rsid w:val="00F01992"/>
    <w:rsid w:val="00F04AD4"/>
    <w:rsid w:val="00F054D1"/>
    <w:rsid w:val="00F0576E"/>
    <w:rsid w:val="00F05806"/>
    <w:rsid w:val="00F05985"/>
    <w:rsid w:val="00F116D7"/>
    <w:rsid w:val="00F12CB8"/>
    <w:rsid w:val="00F14C14"/>
    <w:rsid w:val="00F14D18"/>
    <w:rsid w:val="00F14DDA"/>
    <w:rsid w:val="00F15343"/>
    <w:rsid w:val="00F17F5A"/>
    <w:rsid w:val="00F215B2"/>
    <w:rsid w:val="00F21C27"/>
    <w:rsid w:val="00F22835"/>
    <w:rsid w:val="00F22DE4"/>
    <w:rsid w:val="00F22DF1"/>
    <w:rsid w:val="00F22F73"/>
    <w:rsid w:val="00F22F9C"/>
    <w:rsid w:val="00F237CE"/>
    <w:rsid w:val="00F2506E"/>
    <w:rsid w:val="00F260C6"/>
    <w:rsid w:val="00F264AE"/>
    <w:rsid w:val="00F2746B"/>
    <w:rsid w:val="00F27698"/>
    <w:rsid w:val="00F2789D"/>
    <w:rsid w:val="00F27E5A"/>
    <w:rsid w:val="00F30B8D"/>
    <w:rsid w:val="00F320E8"/>
    <w:rsid w:val="00F32123"/>
    <w:rsid w:val="00F32255"/>
    <w:rsid w:val="00F322A5"/>
    <w:rsid w:val="00F3242E"/>
    <w:rsid w:val="00F32CFA"/>
    <w:rsid w:val="00F33E67"/>
    <w:rsid w:val="00F341E4"/>
    <w:rsid w:val="00F3471E"/>
    <w:rsid w:val="00F34F60"/>
    <w:rsid w:val="00F35118"/>
    <w:rsid w:val="00F35BB2"/>
    <w:rsid w:val="00F35E18"/>
    <w:rsid w:val="00F35E49"/>
    <w:rsid w:val="00F40DF9"/>
    <w:rsid w:val="00F40E25"/>
    <w:rsid w:val="00F410FA"/>
    <w:rsid w:val="00F4126A"/>
    <w:rsid w:val="00F41D5A"/>
    <w:rsid w:val="00F43997"/>
    <w:rsid w:val="00F43C51"/>
    <w:rsid w:val="00F44292"/>
    <w:rsid w:val="00F44DEA"/>
    <w:rsid w:val="00F45F78"/>
    <w:rsid w:val="00F46351"/>
    <w:rsid w:val="00F463C4"/>
    <w:rsid w:val="00F46849"/>
    <w:rsid w:val="00F46ABB"/>
    <w:rsid w:val="00F47CE6"/>
    <w:rsid w:val="00F52EB2"/>
    <w:rsid w:val="00F53B9E"/>
    <w:rsid w:val="00F55D45"/>
    <w:rsid w:val="00F56356"/>
    <w:rsid w:val="00F5655A"/>
    <w:rsid w:val="00F568C6"/>
    <w:rsid w:val="00F57E37"/>
    <w:rsid w:val="00F60A89"/>
    <w:rsid w:val="00F60C40"/>
    <w:rsid w:val="00F64191"/>
    <w:rsid w:val="00F65781"/>
    <w:rsid w:val="00F66492"/>
    <w:rsid w:val="00F66549"/>
    <w:rsid w:val="00F67412"/>
    <w:rsid w:val="00F70251"/>
    <w:rsid w:val="00F71998"/>
    <w:rsid w:val="00F72184"/>
    <w:rsid w:val="00F72484"/>
    <w:rsid w:val="00F73C7D"/>
    <w:rsid w:val="00F73D07"/>
    <w:rsid w:val="00F74175"/>
    <w:rsid w:val="00F765FE"/>
    <w:rsid w:val="00F80303"/>
    <w:rsid w:val="00F8096B"/>
    <w:rsid w:val="00F81717"/>
    <w:rsid w:val="00F81B83"/>
    <w:rsid w:val="00F826E6"/>
    <w:rsid w:val="00F82930"/>
    <w:rsid w:val="00F83CB4"/>
    <w:rsid w:val="00F83F8A"/>
    <w:rsid w:val="00F84344"/>
    <w:rsid w:val="00F850EB"/>
    <w:rsid w:val="00F85F1C"/>
    <w:rsid w:val="00F85FFA"/>
    <w:rsid w:val="00F8708E"/>
    <w:rsid w:val="00F87854"/>
    <w:rsid w:val="00F87D75"/>
    <w:rsid w:val="00F901B4"/>
    <w:rsid w:val="00F9094D"/>
    <w:rsid w:val="00F90A6D"/>
    <w:rsid w:val="00F90EA1"/>
    <w:rsid w:val="00F916AC"/>
    <w:rsid w:val="00F9216C"/>
    <w:rsid w:val="00F933AF"/>
    <w:rsid w:val="00F934D4"/>
    <w:rsid w:val="00F9362C"/>
    <w:rsid w:val="00F94090"/>
    <w:rsid w:val="00F94FA9"/>
    <w:rsid w:val="00F9520E"/>
    <w:rsid w:val="00F956CB"/>
    <w:rsid w:val="00F95C0C"/>
    <w:rsid w:val="00F963B4"/>
    <w:rsid w:val="00F96510"/>
    <w:rsid w:val="00F96E4E"/>
    <w:rsid w:val="00F97C64"/>
    <w:rsid w:val="00FA093D"/>
    <w:rsid w:val="00FA09F9"/>
    <w:rsid w:val="00FA0FCB"/>
    <w:rsid w:val="00FA1875"/>
    <w:rsid w:val="00FA2A88"/>
    <w:rsid w:val="00FA4293"/>
    <w:rsid w:val="00FA46F5"/>
    <w:rsid w:val="00FA5071"/>
    <w:rsid w:val="00FA5312"/>
    <w:rsid w:val="00FA5F9B"/>
    <w:rsid w:val="00FA6951"/>
    <w:rsid w:val="00FA717B"/>
    <w:rsid w:val="00FB0915"/>
    <w:rsid w:val="00FB0CB3"/>
    <w:rsid w:val="00FB13A3"/>
    <w:rsid w:val="00FB1820"/>
    <w:rsid w:val="00FB1A34"/>
    <w:rsid w:val="00FB20E2"/>
    <w:rsid w:val="00FB21AC"/>
    <w:rsid w:val="00FB2B5F"/>
    <w:rsid w:val="00FB354E"/>
    <w:rsid w:val="00FB355B"/>
    <w:rsid w:val="00FB35F8"/>
    <w:rsid w:val="00FB379A"/>
    <w:rsid w:val="00FB4313"/>
    <w:rsid w:val="00FB4940"/>
    <w:rsid w:val="00FB4972"/>
    <w:rsid w:val="00FB6111"/>
    <w:rsid w:val="00FB6B9C"/>
    <w:rsid w:val="00FB6BBC"/>
    <w:rsid w:val="00FB6BEE"/>
    <w:rsid w:val="00FB6E16"/>
    <w:rsid w:val="00FB6F77"/>
    <w:rsid w:val="00FB7E47"/>
    <w:rsid w:val="00FC044E"/>
    <w:rsid w:val="00FC1BBD"/>
    <w:rsid w:val="00FC1CB1"/>
    <w:rsid w:val="00FC25E9"/>
    <w:rsid w:val="00FC323F"/>
    <w:rsid w:val="00FC4D29"/>
    <w:rsid w:val="00FC530D"/>
    <w:rsid w:val="00FC5EF2"/>
    <w:rsid w:val="00FC60CA"/>
    <w:rsid w:val="00FC6A3D"/>
    <w:rsid w:val="00FD14A8"/>
    <w:rsid w:val="00FD163C"/>
    <w:rsid w:val="00FD1827"/>
    <w:rsid w:val="00FD25E2"/>
    <w:rsid w:val="00FD272D"/>
    <w:rsid w:val="00FD39A7"/>
    <w:rsid w:val="00FD3E64"/>
    <w:rsid w:val="00FD43F6"/>
    <w:rsid w:val="00FD4A15"/>
    <w:rsid w:val="00FD4C6A"/>
    <w:rsid w:val="00FD564D"/>
    <w:rsid w:val="00FD5B3E"/>
    <w:rsid w:val="00FD6757"/>
    <w:rsid w:val="00FD6C19"/>
    <w:rsid w:val="00FD7240"/>
    <w:rsid w:val="00FD7B29"/>
    <w:rsid w:val="00FE0186"/>
    <w:rsid w:val="00FE03C3"/>
    <w:rsid w:val="00FE0D9C"/>
    <w:rsid w:val="00FE1983"/>
    <w:rsid w:val="00FE2417"/>
    <w:rsid w:val="00FE36C2"/>
    <w:rsid w:val="00FE4CE0"/>
    <w:rsid w:val="00FE585A"/>
    <w:rsid w:val="00FE5F12"/>
    <w:rsid w:val="00FE5FD1"/>
    <w:rsid w:val="00FE68C7"/>
    <w:rsid w:val="00FE6BD8"/>
    <w:rsid w:val="00FE7455"/>
    <w:rsid w:val="00FE7A98"/>
    <w:rsid w:val="00FF03F3"/>
    <w:rsid w:val="00FF07C4"/>
    <w:rsid w:val="00FF0C53"/>
    <w:rsid w:val="00FF1BEB"/>
    <w:rsid w:val="00FF215A"/>
    <w:rsid w:val="00FF45FB"/>
    <w:rsid w:val="00FF4B8A"/>
    <w:rsid w:val="00FF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aliases w:val="Heading 1.I - Testimony"/>
    <w:basedOn w:val="Normal"/>
    <w:next w:val="Normal"/>
    <w:link w:val="Heading1Char"/>
    <w:qFormat/>
    <w:rsid w:val="006B4E3E"/>
    <w:pPr>
      <w:keepNext/>
      <w:numPr>
        <w:numId w:val="1"/>
      </w:numPr>
      <w:spacing w:line="480" w:lineRule="auto"/>
      <w:outlineLvl w:val="0"/>
    </w:pPr>
    <w:rPr>
      <w:b/>
      <w:bCs/>
    </w:rPr>
  </w:style>
  <w:style w:type="paragraph" w:styleId="Heading2">
    <w:name w:val="heading 2"/>
    <w:basedOn w:val="Heading3"/>
    <w:next w:val="Normal"/>
    <w:link w:val="Heading2Char"/>
    <w:uiPriority w:val="9"/>
    <w:unhideWhenUsed/>
    <w:qFormat/>
    <w:rsid w:val="005649BE"/>
    <w:pPr>
      <w:ind w:left="3600"/>
      <w:outlineLvl w:val="1"/>
    </w:pPr>
  </w:style>
  <w:style w:type="paragraph" w:styleId="Heading3">
    <w:name w:val="heading 3"/>
    <w:aliases w:val="Heading 1.A - Testimony"/>
    <w:basedOn w:val="Normal"/>
    <w:next w:val="Normal"/>
    <w:link w:val="Heading3Char"/>
    <w:qFormat/>
    <w:rsid w:val="006B4E3E"/>
    <w:pPr>
      <w:keepNext/>
      <w:numPr>
        <w:ilvl w:val="2"/>
        <w:numId w:val="1"/>
      </w:numPr>
      <w:spacing w:line="480" w:lineRule="auto"/>
      <w:outlineLvl w:val="2"/>
    </w:pPr>
    <w:rPr>
      <w:b/>
      <w:bCs/>
    </w:rPr>
  </w:style>
  <w:style w:type="paragraph" w:styleId="Heading4">
    <w:name w:val="heading 4"/>
    <w:basedOn w:val="Heading3"/>
    <w:next w:val="Normal"/>
    <w:link w:val="Heading4Char"/>
    <w:uiPriority w:val="9"/>
    <w:unhideWhenUsed/>
    <w:qFormat/>
    <w:rsid w:val="004E0D94"/>
    <w:pPr>
      <w:outlineLvl w:val="3"/>
    </w:pPr>
  </w:style>
  <w:style w:type="paragraph" w:styleId="Heading5">
    <w:name w:val="heading 5"/>
    <w:basedOn w:val="Normal"/>
    <w:next w:val="Normal"/>
    <w:link w:val="Heading5Char"/>
    <w:uiPriority w:val="9"/>
    <w:unhideWhenUsed/>
    <w:qFormat/>
    <w:rsid w:val="00FD5B3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1.1 - Testimony"/>
    <w:basedOn w:val="Heading2"/>
    <w:next w:val="Normal"/>
    <w:link w:val="Heading6Char"/>
    <w:autoRedefine/>
    <w:uiPriority w:val="9"/>
    <w:unhideWhenUsed/>
    <w:qFormat/>
    <w:rsid w:val="00E43FA1"/>
    <w:pPr>
      <w:numPr>
        <w:ilvl w:val="0"/>
        <w:numId w:val="3"/>
      </w:numPr>
      <w:outlineLvl w:val="5"/>
    </w:pPr>
  </w:style>
  <w:style w:type="paragraph" w:styleId="Heading7">
    <w:name w:val="heading 7"/>
    <w:basedOn w:val="Normal"/>
    <w:next w:val="Normal"/>
    <w:link w:val="Heading7Char"/>
    <w:uiPriority w:val="9"/>
    <w:unhideWhenUsed/>
    <w:qFormat/>
    <w:rsid w:val="00FD5B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I - Testimony Char"/>
    <w:link w:val="Heading1"/>
    <w:rsid w:val="006B4E3E"/>
    <w:rPr>
      <w:rFonts w:eastAsia="Times New Roman"/>
      <w:b/>
      <w:bCs/>
      <w:sz w:val="24"/>
      <w:szCs w:val="24"/>
    </w:rPr>
  </w:style>
  <w:style w:type="character" w:customStyle="1" w:styleId="Heading3Char">
    <w:name w:val="Heading 3 Char"/>
    <w:aliases w:val="Heading 1.A - Testimony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1.1 - Testimony Char"/>
    <w:basedOn w:val="DefaultParagraphFont"/>
    <w:link w:val="Heading6"/>
    <w:uiPriority w:val="9"/>
    <w:rsid w:val="00E43FA1"/>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421E84"/>
    <w:rPr>
      <w:rFonts w:eastAsia="Calibr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21E84"/>
  </w:style>
  <w:style w:type="character" w:styleId="FootnoteReference">
    <w:name w:val="footnote reference"/>
    <w:basedOn w:val="DefaultParagraphFont"/>
    <w:unhideWhenUsed/>
    <w:qFormat/>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uiPriority w:val="99"/>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uiPriority w:val="99"/>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unhideWhenUsed/>
    <w:rsid w:val="003831A5"/>
    <w:rPr>
      <w:sz w:val="20"/>
      <w:szCs w:val="20"/>
    </w:rPr>
  </w:style>
  <w:style w:type="character" w:customStyle="1" w:styleId="CommentTextChar">
    <w:name w:val="Comment Text Char"/>
    <w:basedOn w:val="DefaultParagraphFont"/>
    <w:link w:val="CommentText"/>
    <w:uiPriority w:val="99"/>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uiPriority w:val="99"/>
    <w:rsid w:val="0017343E"/>
    <w:rPr>
      <w:rFonts w:eastAsia="Times New Roman"/>
      <w:b/>
      <w:sz w:val="24"/>
    </w:rPr>
  </w:style>
  <w:style w:type="character" w:styleId="Strong">
    <w:name w:val="Strong"/>
    <w:aliases w:val="Quote - Testimony"/>
    <w:qFormat/>
    <w:rsid w:val="00DC34B1"/>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 w:type="character" w:customStyle="1" w:styleId="citation">
    <w:name w:val="citation"/>
    <w:basedOn w:val="DefaultParagraphFont"/>
    <w:rsid w:val="007B6B91"/>
  </w:style>
  <w:style w:type="paragraph" w:styleId="BodyText">
    <w:name w:val="Body Text"/>
    <w:basedOn w:val="Normal"/>
    <w:link w:val="BodyTextChar"/>
    <w:uiPriority w:val="99"/>
    <w:semiHidden/>
    <w:unhideWhenUsed/>
    <w:rsid w:val="009F3F4B"/>
    <w:pPr>
      <w:spacing w:after="120"/>
    </w:pPr>
  </w:style>
  <w:style w:type="character" w:customStyle="1" w:styleId="BodyTextChar">
    <w:name w:val="Body Text Char"/>
    <w:basedOn w:val="DefaultParagraphFont"/>
    <w:link w:val="BodyText"/>
    <w:uiPriority w:val="99"/>
    <w:semiHidden/>
    <w:rsid w:val="009F3F4B"/>
    <w:rPr>
      <w:rFonts w:eastAsia="Times New Roman"/>
      <w:sz w:val="24"/>
      <w:szCs w:val="24"/>
    </w:rPr>
  </w:style>
  <w:style w:type="paragraph" w:customStyle="1" w:styleId="plain">
    <w:name w:val="plain"/>
    <w:basedOn w:val="Normal"/>
    <w:link w:val="plainChar"/>
    <w:uiPriority w:val="99"/>
    <w:rsid w:val="00A25E39"/>
    <w:pPr>
      <w:spacing w:line="240" w:lineRule="atLeast"/>
    </w:pPr>
    <w:rPr>
      <w:rFonts w:ascii="CG Times (WN)" w:eastAsia="SimSun" w:hAnsi="CG Times (WN)"/>
      <w:szCs w:val="20"/>
      <w:lang w:eastAsia="zh-CN"/>
    </w:rPr>
  </w:style>
  <w:style w:type="character" w:customStyle="1" w:styleId="plainChar">
    <w:name w:val="plain Char"/>
    <w:link w:val="plain"/>
    <w:uiPriority w:val="99"/>
    <w:locked/>
    <w:rsid w:val="00A25E39"/>
    <w:rPr>
      <w:rFonts w:ascii="CG Times (WN)" w:eastAsia="SimSun" w:hAnsi="CG Times (WN)"/>
      <w:sz w:val="24"/>
      <w:lang w:eastAsia="zh-CN"/>
    </w:rPr>
  </w:style>
  <w:style w:type="paragraph" w:styleId="BodyText3">
    <w:name w:val="Body Text 3"/>
    <w:basedOn w:val="Normal"/>
    <w:link w:val="BodyText3Char"/>
    <w:uiPriority w:val="99"/>
    <w:semiHidden/>
    <w:unhideWhenUsed/>
    <w:rsid w:val="00A25E39"/>
    <w:pPr>
      <w:spacing w:after="120"/>
    </w:pPr>
    <w:rPr>
      <w:sz w:val="16"/>
      <w:szCs w:val="16"/>
    </w:rPr>
  </w:style>
  <w:style w:type="character" w:customStyle="1" w:styleId="BodyText3Char">
    <w:name w:val="Body Text 3 Char"/>
    <w:basedOn w:val="DefaultParagraphFont"/>
    <w:link w:val="BodyText3"/>
    <w:uiPriority w:val="99"/>
    <w:semiHidden/>
    <w:rsid w:val="00A25E39"/>
    <w:rPr>
      <w:rFonts w:eastAsia="Times New Roman"/>
      <w:sz w:val="16"/>
      <w:szCs w:val="16"/>
    </w:rPr>
  </w:style>
  <w:style w:type="paragraph" w:customStyle="1" w:styleId="Answer0">
    <w:name w:val="Answer"/>
    <w:basedOn w:val="Normal"/>
    <w:uiPriority w:val="99"/>
    <w:rsid w:val="00A25E39"/>
    <w:pPr>
      <w:spacing w:before="120" w:after="120" w:line="480" w:lineRule="auto"/>
      <w:ind w:left="720" w:hanging="720"/>
    </w:pPr>
    <w:rPr>
      <w:szCs w:val="20"/>
      <w:lang w:eastAsia="zh-CN"/>
    </w:rPr>
  </w:style>
  <w:style w:type="paragraph" w:styleId="NormalWeb">
    <w:name w:val="Normal (Web)"/>
    <w:basedOn w:val="Normal"/>
    <w:uiPriority w:val="99"/>
    <w:semiHidden/>
    <w:unhideWhenUsed/>
    <w:rsid w:val="00EA276E"/>
    <w:pPr>
      <w:spacing w:before="100" w:beforeAutospacing="1" w:after="240"/>
    </w:pPr>
  </w:style>
  <w:style w:type="paragraph" w:styleId="DocumentMap">
    <w:name w:val="Document Map"/>
    <w:basedOn w:val="Normal"/>
    <w:link w:val="DocumentMapChar"/>
    <w:uiPriority w:val="99"/>
    <w:semiHidden/>
    <w:unhideWhenUsed/>
    <w:rsid w:val="00AD0FE5"/>
    <w:rPr>
      <w:rFonts w:ascii="Tahoma" w:hAnsi="Tahoma" w:cs="Tahoma"/>
      <w:sz w:val="16"/>
      <w:szCs w:val="16"/>
    </w:rPr>
  </w:style>
  <w:style w:type="character" w:customStyle="1" w:styleId="DocumentMapChar">
    <w:name w:val="Document Map Char"/>
    <w:basedOn w:val="DefaultParagraphFont"/>
    <w:link w:val="DocumentMap"/>
    <w:uiPriority w:val="99"/>
    <w:semiHidden/>
    <w:rsid w:val="00AD0F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aliases w:val="Heading 1.I - Testimony"/>
    <w:basedOn w:val="Normal"/>
    <w:next w:val="Normal"/>
    <w:link w:val="Heading1Char"/>
    <w:qFormat/>
    <w:rsid w:val="006B4E3E"/>
    <w:pPr>
      <w:keepNext/>
      <w:numPr>
        <w:numId w:val="1"/>
      </w:numPr>
      <w:spacing w:line="480" w:lineRule="auto"/>
      <w:outlineLvl w:val="0"/>
    </w:pPr>
    <w:rPr>
      <w:b/>
      <w:bCs/>
    </w:rPr>
  </w:style>
  <w:style w:type="paragraph" w:styleId="Heading2">
    <w:name w:val="heading 2"/>
    <w:basedOn w:val="Heading3"/>
    <w:next w:val="Normal"/>
    <w:link w:val="Heading2Char"/>
    <w:uiPriority w:val="9"/>
    <w:unhideWhenUsed/>
    <w:qFormat/>
    <w:rsid w:val="005649BE"/>
    <w:pPr>
      <w:ind w:left="3600"/>
      <w:outlineLvl w:val="1"/>
    </w:pPr>
  </w:style>
  <w:style w:type="paragraph" w:styleId="Heading3">
    <w:name w:val="heading 3"/>
    <w:aliases w:val="Heading 1.A - Testimony"/>
    <w:basedOn w:val="Normal"/>
    <w:next w:val="Normal"/>
    <w:link w:val="Heading3Char"/>
    <w:qFormat/>
    <w:rsid w:val="006B4E3E"/>
    <w:pPr>
      <w:keepNext/>
      <w:numPr>
        <w:ilvl w:val="2"/>
        <w:numId w:val="1"/>
      </w:numPr>
      <w:spacing w:line="480" w:lineRule="auto"/>
      <w:outlineLvl w:val="2"/>
    </w:pPr>
    <w:rPr>
      <w:b/>
      <w:bCs/>
    </w:rPr>
  </w:style>
  <w:style w:type="paragraph" w:styleId="Heading4">
    <w:name w:val="heading 4"/>
    <w:basedOn w:val="Heading3"/>
    <w:next w:val="Normal"/>
    <w:link w:val="Heading4Char"/>
    <w:uiPriority w:val="9"/>
    <w:unhideWhenUsed/>
    <w:qFormat/>
    <w:rsid w:val="004E0D94"/>
    <w:pPr>
      <w:outlineLvl w:val="3"/>
    </w:pPr>
  </w:style>
  <w:style w:type="paragraph" w:styleId="Heading5">
    <w:name w:val="heading 5"/>
    <w:basedOn w:val="Normal"/>
    <w:next w:val="Normal"/>
    <w:link w:val="Heading5Char"/>
    <w:uiPriority w:val="9"/>
    <w:unhideWhenUsed/>
    <w:qFormat/>
    <w:rsid w:val="00FD5B3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1.1 - Testimony"/>
    <w:basedOn w:val="Heading2"/>
    <w:next w:val="Normal"/>
    <w:link w:val="Heading6Char"/>
    <w:autoRedefine/>
    <w:uiPriority w:val="9"/>
    <w:unhideWhenUsed/>
    <w:qFormat/>
    <w:rsid w:val="00E43FA1"/>
    <w:pPr>
      <w:numPr>
        <w:ilvl w:val="0"/>
        <w:numId w:val="3"/>
      </w:numPr>
      <w:outlineLvl w:val="5"/>
    </w:pPr>
  </w:style>
  <w:style w:type="paragraph" w:styleId="Heading7">
    <w:name w:val="heading 7"/>
    <w:basedOn w:val="Normal"/>
    <w:next w:val="Normal"/>
    <w:link w:val="Heading7Char"/>
    <w:uiPriority w:val="9"/>
    <w:unhideWhenUsed/>
    <w:qFormat/>
    <w:rsid w:val="00FD5B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I - Testimony Char"/>
    <w:link w:val="Heading1"/>
    <w:rsid w:val="006B4E3E"/>
    <w:rPr>
      <w:rFonts w:eastAsia="Times New Roman"/>
      <w:b/>
      <w:bCs/>
      <w:sz w:val="24"/>
      <w:szCs w:val="24"/>
    </w:rPr>
  </w:style>
  <w:style w:type="character" w:customStyle="1" w:styleId="Heading3Char">
    <w:name w:val="Heading 3 Char"/>
    <w:aliases w:val="Heading 1.A - Testimony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1.1 - Testimony Char"/>
    <w:basedOn w:val="DefaultParagraphFont"/>
    <w:link w:val="Heading6"/>
    <w:uiPriority w:val="9"/>
    <w:rsid w:val="00E43FA1"/>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421E84"/>
    <w:rPr>
      <w:rFonts w:eastAsia="Calibr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21E84"/>
  </w:style>
  <w:style w:type="character" w:styleId="FootnoteReference">
    <w:name w:val="footnote reference"/>
    <w:basedOn w:val="DefaultParagraphFont"/>
    <w:unhideWhenUsed/>
    <w:qFormat/>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uiPriority w:val="99"/>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uiPriority w:val="99"/>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unhideWhenUsed/>
    <w:rsid w:val="003831A5"/>
    <w:rPr>
      <w:sz w:val="20"/>
      <w:szCs w:val="20"/>
    </w:rPr>
  </w:style>
  <w:style w:type="character" w:customStyle="1" w:styleId="CommentTextChar">
    <w:name w:val="Comment Text Char"/>
    <w:basedOn w:val="DefaultParagraphFont"/>
    <w:link w:val="CommentText"/>
    <w:uiPriority w:val="99"/>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uiPriority w:val="99"/>
    <w:rsid w:val="0017343E"/>
    <w:rPr>
      <w:rFonts w:eastAsia="Times New Roman"/>
      <w:b/>
      <w:sz w:val="24"/>
    </w:rPr>
  </w:style>
  <w:style w:type="character" w:styleId="Strong">
    <w:name w:val="Strong"/>
    <w:aliases w:val="Quote - Testimony"/>
    <w:qFormat/>
    <w:rsid w:val="00DC34B1"/>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 w:type="character" w:customStyle="1" w:styleId="citation">
    <w:name w:val="citation"/>
    <w:basedOn w:val="DefaultParagraphFont"/>
    <w:rsid w:val="007B6B91"/>
  </w:style>
  <w:style w:type="paragraph" w:styleId="BodyText">
    <w:name w:val="Body Text"/>
    <w:basedOn w:val="Normal"/>
    <w:link w:val="BodyTextChar"/>
    <w:uiPriority w:val="99"/>
    <w:semiHidden/>
    <w:unhideWhenUsed/>
    <w:rsid w:val="009F3F4B"/>
    <w:pPr>
      <w:spacing w:after="120"/>
    </w:pPr>
  </w:style>
  <w:style w:type="character" w:customStyle="1" w:styleId="BodyTextChar">
    <w:name w:val="Body Text Char"/>
    <w:basedOn w:val="DefaultParagraphFont"/>
    <w:link w:val="BodyText"/>
    <w:uiPriority w:val="99"/>
    <w:semiHidden/>
    <w:rsid w:val="009F3F4B"/>
    <w:rPr>
      <w:rFonts w:eastAsia="Times New Roman"/>
      <w:sz w:val="24"/>
      <w:szCs w:val="24"/>
    </w:rPr>
  </w:style>
  <w:style w:type="paragraph" w:customStyle="1" w:styleId="plain">
    <w:name w:val="plain"/>
    <w:basedOn w:val="Normal"/>
    <w:link w:val="plainChar"/>
    <w:uiPriority w:val="99"/>
    <w:rsid w:val="00A25E39"/>
    <w:pPr>
      <w:spacing w:line="240" w:lineRule="atLeast"/>
    </w:pPr>
    <w:rPr>
      <w:rFonts w:ascii="CG Times (WN)" w:eastAsia="SimSun" w:hAnsi="CG Times (WN)"/>
      <w:szCs w:val="20"/>
      <w:lang w:eastAsia="zh-CN"/>
    </w:rPr>
  </w:style>
  <w:style w:type="character" w:customStyle="1" w:styleId="plainChar">
    <w:name w:val="plain Char"/>
    <w:link w:val="plain"/>
    <w:uiPriority w:val="99"/>
    <w:locked/>
    <w:rsid w:val="00A25E39"/>
    <w:rPr>
      <w:rFonts w:ascii="CG Times (WN)" w:eastAsia="SimSun" w:hAnsi="CG Times (WN)"/>
      <w:sz w:val="24"/>
      <w:lang w:eastAsia="zh-CN"/>
    </w:rPr>
  </w:style>
  <w:style w:type="paragraph" w:styleId="BodyText3">
    <w:name w:val="Body Text 3"/>
    <w:basedOn w:val="Normal"/>
    <w:link w:val="BodyText3Char"/>
    <w:uiPriority w:val="99"/>
    <w:semiHidden/>
    <w:unhideWhenUsed/>
    <w:rsid w:val="00A25E39"/>
    <w:pPr>
      <w:spacing w:after="120"/>
    </w:pPr>
    <w:rPr>
      <w:sz w:val="16"/>
      <w:szCs w:val="16"/>
    </w:rPr>
  </w:style>
  <w:style w:type="character" w:customStyle="1" w:styleId="BodyText3Char">
    <w:name w:val="Body Text 3 Char"/>
    <w:basedOn w:val="DefaultParagraphFont"/>
    <w:link w:val="BodyText3"/>
    <w:uiPriority w:val="99"/>
    <w:semiHidden/>
    <w:rsid w:val="00A25E39"/>
    <w:rPr>
      <w:rFonts w:eastAsia="Times New Roman"/>
      <w:sz w:val="16"/>
      <w:szCs w:val="16"/>
    </w:rPr>
  </w:style>
  <w:style w:type="paragraph" w:customStyle="1" w:styleId="Answer0">
    <w:name w:val="Answer"/>
    <w:basedOn w:val="Normal"/>
    <w:uiPriority w:val="99"/>
    <w:rsid w:val="00A25E39"/>
    <w:pPr>
      <w:spacing w:before="120" w:after="120" w:line="480" w:lineRule="auto"/>
      <w:ind w:left="720" w:hanging="720"/>
    </w:pPr>
    <w:rPr>
      <w:szCs w:val="20"/>
      <w:lang w:eastAsia="zh-CN"/>
    </w:rPr>
  </w:style>
  <w:style w:type="paragraph" w:styleId="NormalWeb">
    <w:name w:val="Normal (Web)"/>
    <w:basedOn w:val="Normal"/>
    <w:uiPriority w:val="99"/>
    <w:semiHidden/>
    <w:unhideWhenUsed/>
    <w:rsid w:val="00EA276E"/>
    <w:pPr>
      <w:spacing w:before="100" w:beforeAutospacing="1" w:after="240"/>
    </w:pPr>
  </w:style>
  <w:style w:type="paragraph" w:styleId="DocumentMap">
    <w:name w:val="Document Map"/>
    <w:basedOn w:val="Normal"/>
    <w:link w:val="DocumentMapChar"/>
    <w:uiPriority w:val="99"/>
    <w:semiHidden/>
    <w:unhideWhenUsed/>
    <w:rsid w:val="00AD0FE5"/>
    <w:rPr>
      <w:rFonts w:ascii="Tahoma" w:hAnsi="Tahoma" w:cs="Tahoma"/>
      <w:sz w:val="16"/>
      <w:szCs w:val="16"/>
    </w:rPr>
  </w:style>
  <w:style w:type="character" w:customStyle="1" w:styleId="DocumentMapChar">
    <w:name w:val="Document Map Char"/>
    <w:basedOn w:val="DefaultParagraphFont"/>
    <w:link w:val="DocumentMap"/>
    <w:uiPriority w:val="99"/>
    <w:semiHidden/>
    <w:rsid w:val="00AD0F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920003">
      <w:bodyDiv w:val="1"/>
      <w:marLeft w:val="0"/>
      <w:marRight w:val="0"/>
      <w:marTop w:val="0"/>
      <w:marBottom w:val="0"/>
      <w:divBdr>
        <w:top w:val="none" w:sz="0" w:space="0" w:color="auto"/>
        <w:left w:val="none" w:sz="0" w:space="0" w:color="auto"/>
        <w:bottom w:val="none" w:sz="0" w:space="0" w:color="auto"/>
        <w:right w:val="none" w:sz="0" w:space="0" w:color="auto"/>
      </w:divBdr>
    </w:div>
    <w:div w:id="1542087023">
      <w:bodyDiv w:val="1"/>
      <w:marLeft w:val="0"/>
      <w:marRight w:val="0"/>
      <w:marTop w:val="0"/>
      <w:marBottom w:val="0"/>
      <w:divBdr>
        <w:top w:val="none" w:sz="0" w:space="0" w:color="auto"/>
        <w:left w:val="none" w:sz="0" w:space="0" w:color="auto"/>
        <w:bottom w:val="none" w:sz="0" w:space="0" w:color="auto"/>
        <w:right w:val="none" w:sz="0" w:space="0" w:color="auto"/>
      </w:divBdr>
    </w:div>
    <w:div w:id="1640960632">
      <w:bodyDiv w:val="1"/>
      <w:marLeft w:val="0"/>
      <w:marRight w:val="0"/>
      <w:marTop w:val="0"/>
      <w:marBottom w:val="0"/>
      <w:divBdr>
        <w:top w:val="none" w:sz="0" w:space="0" w:color="auto"/>
        <w:left w:val="none" w:sz="0" w:space="0" w:color="auto"/>
        <w:bottom w:val="none" w:sz="0" w:space="0" w:color="auto"/>
        <w:right w:val="none" w:sz="0" w:space="0" w:color="auto"/>
      </w:divBdr>
      <w:divsChild>
        <w:div w:id="1644969861">
          <w:marLeft w:val="0"/>
          <w:marRight w:val="0"/>
          <w:marTop w:val="100"/>
          <w:marBottom w:val="100"/>
          <w:divBdr>
            <w:top w:val="none" w:sz="0" w:space="0" w:color="auto"/>
            <w:left w:val="none" w:sz="0" w:space="0" w:color="auto"/>
            <w:bottom w:val="none" w:sz="0" w:space="0" w:color="auto"/>
            <w:right w:val="none" w:sz="0" w:space="0" w:color="auto"/>
          </w:divBdr>
          <w:divsChild>
            <w:div w:id="2130317292">
              <w:marLeft w:val="75"/>
              <w:marRight w:val="75"/>
              <w:marTop w:val="0"/>
              <w:marBottom w:val="0"/>
              <w:divBdr>
                <w:top w:val="none" w:sz="0" w:space="0" w:color="auto"/>
                <w:left w:val="none" w:sz="0" w:space="0" w:color="auto"/>
                <w:bottom w:val="none" w:sz="0" w:space="0" w:color="auto"/>
                <w:right w:val="none" w:sz="0" w:space="0" w:color="auto"/>
              </w:divBdr>
              <w:divsChild>
                <w:div w:id="1374891675">
                  <w:marLeft w:val="3255"/>
                  <w:marRight w:val="0"/>
                  <w:marTop w:val="0"/>
                  <w:marBottom w:val="0"/>
                  <w:divBdr>
                    <w:top w:val="none" w:sz="0" w:space="0" w:color="auto"/>
                    <w:left w:val="none" w:sz="0" w:space="0" w:color="auto"/>
                    <w:bottom w:val="none" w:sz="0" w:space="0" w:color="auto"/>
                    <w:right w:val="none" w:sz="0" w:space="0" w:color="auto"/>
                  </w:divBdr>
                  <w:divsChild>
                    <w:div w:id="480584035">
                      <w:marLeft w:val="0"/>
                      <w:marRight w:val="0"/>
                      <w:marTop w:val="0"/>
                      <w:marBottom w:val="0"/>
                      <w:divBdr>
                        <w:top w:val="none" w:sz="0" w:space="0" w:color="auto"/>
                        <w:left w:val="none" w:sz="0" w:space="0" w:color="auto"/>
                        <w:bottom w:val="none" w:sz="0" w:space="0" w:color="auto"/>
                        <w:right w:val="none" w:sz="0" w:space="0" w:color="auto"/>
                      </w:divBdr>
                      <w:divsChild>
                        <w:div w:id="564295148">
                          <w:marLeft w:val="0"/>
                          <w:marRight w:val="0"/>
                          <w:marTop w:val="0"/>
                          <w:marBottom w:val="0"/>
                          <w:divBdr>
                            <w:top w:val="none" w:sz="0" w:space="0" w:color="auto"/>
                            <w:left w:val="none" w:sz="0" w:space="0" w:color="auto"/>
                            <w:bottom w:val="none" w:sz="0" w:space="0" w:color="auto"/>
                            <w:right w:val="none" w:sz="0" w:space="0" w:color="auto"/>
                          </w:divBdr>
                        </w:div>
                        <w:div w:id="2144810600">
                          <w:marLeft w:val="0"/>
                          <w:marRight w:val="0"/>
                          <w:marTop w:val="0"/>
                          <w:marBottom w:val="0"/>
                          <w:divBdr>
                            <w:top w:val="none" w:sz="0" w:space="0" w:color="auto"/>
                            <w:left w:val="none" w:sz="0" w:space="0" w:color="auto"/>
                            <w:bottom w:val="none" w:sz="0" w:space="0" w:color="auto"/>
                            <w:right w:val="none" w:sz="0" w:space="0" w:color="auto"/>
                          </w:divBdr>
                        </w:div>
                        <w:div w:id="1438214726">
                          <w:marLeft w:val="0"/>
                          <w:marRight w:val="0"/>
                          <w:marTop w:val="0"/>
                          <w:marBottom w:val="0"/>
                          <w:divBdr>
                            <w:top w:val="none" w:sz="0" w:space="0" w:color="auto"/>
                            <w:left w:val="none" w:sz="0" w:space="0" w:color="auto"/>
                            <w:bottom w:val="none" w:sz="0" w:space="0" w:color="auto"/>
                            <w:right w:val="none" w:sz="0" w:space="0" w:color="auto"/>
                          </w:divBdr>
                        </w:div>
                        <w:div w:id="651376296">
                          <w:marLeft w:val="0"/>
                          <w:marRight w:val="0"/>
                          <w:marTop w:val="0"/>
                          <w:marBottom w:val="0"/>
                          <w:divBdr>
                            <w:top w:val="none" w:sz="0" w:space="0" w:color="auto"/>
                            <w:left w:val="none" w:sz="0" w:space="0" w:color="auto"/>
                            <w:bottom w:val="none" w:sz="0" w:space="0" w:color="auto"/>
                            <w:right w:val="none" w:sz="0" w:space="0" w:color="auto"/>
                          </w:divBdr>
                        </w:div>
                        <w:div w:id="1619413554">
                          <w:marLeft w:val="0"/>
                          <w:marRight w:val="0"/>
                          <w:marTop w:val="0"/>
                          <w:marBottom w:val="0"/>
                          <w:divBdr>
                            <w:top w:val="none" w:sz="0" w:space="0" w:color="auto"/>
                            <w:left w:val="none" w:sz="0" w:space="0" w:color="auto"/>
                            <w:bottom w:val="none" w:sz="0" w:space="0" w:color="auto"/>
                            <w:right w:val="none" w:sz="0" w:space="0" w:color="auto"/>
                          </w:divBdr>
                        </w:div>
                        <w:div w:id="1280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asb.org" TargetMode="External"/><Relationship Id="rId2" Type="http://schemas.openxmlformats.org/officeDocument/2006/relationships/hyperlink" Target="http://www.fasb.org" TargetMode="External"/><Relationship Id="rId1" Type="http://schemas.openxmlformats.org/officeDocument/2006/relationships/hyperlink" Target="http://www.f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35779-C05A-4C34-A4DC-3DA52E0A3A10}"/>
</file>

<file path=customXml/itemProps2.xml><?xml version="1.0" encoding="utf-8"?>
<ds:datastoreItem xmlns:ds="http://schemas.openxmlformats.org/officeDocument/2006/customXml" ds:itemID="{659C2E42-57EE-4FFE-A073-65583DB8138C}"/>
</file>

<file path=customXml/itemProps3.xml><?xml version="1.0" encoding="utf-8"?>
<ds:datastoreItem xmlns:ds="http://schemas.openxmlformats.org/officeDocument/2006/customXml" ds:itemID="{8E8E7F5C-9101-4B6A-88C4-48DAE12D5586}"/>
</file>

<file path=customXml/itemProps4.xml><?xml version="1.0" encoding="utf-8"?>
<ds:datastoreItem xmlns:ds="http://schemas.openxmlformats.org/officeDocument/2006/customXml" ds:itemID="{FB465BA4-D7D8-47AD-AF97-C682424C143E}"/>
</file>

<file path=customXml/itemProps5.xml><?xml version="1.0" encoding="utf-8"?>
<ds:datastoreItem xmlns:ds="http://schemas.openxmlformats.org/officeDocument/2006/customXml" ds:itemID="{CD391AB5-B6DF-4856-99D9-D2DBD021DFC3}"/>
</file>

<file path=docProps/app.xml><?xml version="1.0" encoding="utf-8"?>
<Properties xmlns="http://schemas.openxmlformats.org/officeDocument/2006/extended-properties" xmlns:vt="http://schemas.openxmlformats.org/officeDocument/2006/docPropsVTypes">
  <Template>Normal.dotm</Template>
  <TotalTime>36</TotalTime>
  <Pages>51</Pages>
  <Words>9933</Words>
  <Characters>56623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Mickelson, Christopher (UTC)</dc:creator>
  <cp:lastModifiedBy>Krista Gross</cp:lastModifiedBy>
  <cp:revision>11</cp:revision>
  <cp:lastPrinted>2013-08-14T17:51:00Z</cp:lastPrinted>
  <dcterms:created xsi:type="dcterms:W3CDTF">2013-08-14T14:38:00Z</dcterms:created>
  <dcterms:modified xsi:type="dcterms:W3CDTF">2013-08-14T17:51:00Z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