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C3" w:rsidRPr="004611C3" w:rsidRDefault="004611C3" w:rsidP="00BF05CC">
      <w:pPr>
        <w:ind w:left="4320"/>
        <w:rPr>
          <w:b/>
          <w:szCs w:val="20"/>
          <w:lang w:eastAsia="zh-CN"/>
        </w:rPr>
      </w:pPr>
      <w:r w:rsidRPr="004611C3">
        <w:rPr>
          <w:b/>
          <w:szCs w:val="20"/>
          <w:lang w:eastAsia="zh-CN"/>
        </w:rPr>
        <w:t>EXHIBIT NO. ___(</w:t>
      </w:r>
      <w:r w:rsidR="00BC57A0">
        <w:rPr>
          <w:b/>
          <w:szCs w:val="20"/>
          <w:lang w:eastAsia="zh-CN"/>
        </w:rPr>
        <w:t>PKW</w:t>
      </w:r>
      <w:r w:rsidRPr="004611C3">
        <w:rPr>
          <w:b/>
          <w:szCs w:val="20"/>
          <w:lang w:eastAsia="zh-CN"/>
        </w:rPr>
        <w:t>-1</w:t>
      </w:r>
      <w:r w:rsidR="00C175EB">
        <w:rPr>
          <w:b/>
          <w:szCs w:val="20"/>
          <w:lang w:eastAsia="zh-CN"/>
        </w:rPr>
        <w:t>C</w:t>
      </w:r>
      <w:r w:rsidRPr="004611C3">
        <w:rPr>
          <w:b/>
          <w:szCs w:val="20"/>
          <w:lang w:eastAsia="zh-CN"/>
        </w:rPr>
        <w:t>T)</w:t>
      </w:r>
    </w:p>
    <w:p w:rsidR="00290C67" w:rsidRPr="004611C3" w:rsidRDefault="004611C3" w:rsidP="00827831">
      <w:pPr>
        <w:ind w:left="4320"/>
        <w:rPr>
          <w:b/>
          <w:szCs w:val="20"/>
          <w:lang w:eastAsia="zh-CN"/>
        </w:rPr>
      </w:pPr>
      <w:r w:rsidRPr="004611C3">
        <w:rPr>
          <w:b/>
          <w:szCs w:val="20"/>
          <w:lang w:eastAsia="zh-CN"/>
        </w:rPr>
        <w:t>DOCKET</w:t>
      </w:r>
      <w:r w:rsidR="00827831">
        <w:rPr>
          <w:b/>
          <w:szCs w:val="20"/>
          <w:lang w:eastAsia="zh-CN"/>
        </w:rPr>
        <w:t>S</w:t>
      </w:r>
      <w:r w:rsidR="00416F78">
        <w:rPr>
          <w:b/>
          <w:szCs w:val="20"/>
          <w:lang w:eastAsia="zh-CN"/>
        </w:rPr>
        <w:t xml:space="preserve"> </w:t>
      </w:r>
      <w:r w:rsidRPr="004611C3">
        <w:rPr>
          <w:b/>
          <w:szCs w:val="20"/>
          <w:lang w:eastAsia="zh-CN"/>
        </w:rPr>
        <w:t>U</w:t>
      </w:r>
      <w:r w:rsidR="00290C67">
        <w:rPr>
          <w:b/>
          <w:szCs w:val="20"/>
          <w:lang w:eastAsia="zh-CN"/>
        </w:rPr>
        <w:t>E</w:t>
      </w:r>
      <w:r w:rsidRPr="004611C3">
        <w:rPr>
          <w:b/>
          <w:szCs w:val="20"/>
          <w:lang w:eastAsia="zh-CN"/>
        </w:rPr>
        <w:t>-</w:t>
      </w:r>
      <w:r w:rsidR="00BC57A0">
        <w:rPr>
          <w:b/>
          <w:szCs w:val="20"/>
          <w:lang w:eastAsia="zh-CN"/>
        </w:rPr>
        <w:t>17</w:t>
      </w:r>
      <w:r w:rsidRPr="004611C3">
        <w:rPr>
          <w:b/>
          <w:szCs w:val="20"/>
          <w:lang w:eastAsia="zh-CN"/>
        </w:rPr>
        <w:t>____</w:t>
      </w:r>
      <w:r w:rsidR="00827831">
        <w:rPr>
          <w:b/>
          <w:szCs w:val="20"/>
          <w:lang w:eastAsia="zh-CN"/>
        </w:rPr>
        <w:t>/</w:t>
      </w:r>
      <w:r w:rsidR="00290C67" w:rsidRPr="004611C3">
        <w:rPr>
          <w:b/>
          <w:szCs w:val="20"/>
          <w:lang w:eastAsia="zh-CN"/>
        </w:rPr>
        <w:t>U</w:t>
      </w:r>
      <w:r w:rsidR="00290C67">
        <w:rPr>
          <w:b/>
          <w:szCs w:val="20"/>
          <w:lang w:eastAsia="zh-CN"/>
        </w:rPr>
        <w:t>G</w:t>
      </w:r>
      <w:r w:rsidR="00290C67" w:rsidRPr="004611C3">
        <w:rPr>
          <w:b/>
          <w:szCs w:val="20"/>
          <w:lang w:eastAsia="zh-CN"/>
        </w:rPr>
        <w:t>-1</w:t>
      </w:r>
      <w:r w:rsidR="00BC57A0">
        <w:rPr>
          <w:b/>
          <w:szCs w:val="20"/>
          <w:lang w:eastAsia="zh-CN"/>
        </w:rPr>
        <w:t>7</w:t>
      </w:r>
      <w:r w:rsidR="00290C67" w:rsidRPr="004611C3">
        <w:rPr>
          <w:b/>
          <w:szCs w:val="20"/>
          <w:lang w:eastAsia="zh-CN"/>
        </w:rPr>
        <w:t>____</w:t>
      </w:r>
    </w:p>
    <w:p w:rsidR="00290C67" w:rsidRPr="004611C3" w:rsidRDefault="00290C67" w:rsidP="00BF05CC">
      <w:pPr>
        <w:ind w:left="4320"/>
        <w:rPr>
          <w:b/>
          <w:szCs w:val="20"/>
          <w:lang w:eastAsia="zh-CN"/>
        </w:rPr>
      </w:pPr>
      <w:r>
        <w:rPr>
          <w:b/>
          <w:szCs w:val="20"/>
          <w:lang w:eastAsia="zh-CN"/>
        </w:rPr>
        <w:t>201</w:t>
      </w:r>
      <w:r w:rsidR="009E1D54">
        <w:rPr>
          <w:b/>
          <w:szCs w:val="20"/>
          <w:lang w:eastAsia="zh-CN"/>
        </w:rPr>
        <w:t>7</w:t>
      </w:r>
      <w:r>
        <w:rPr>
          <w:b/>
          <w:szCs w:val="20"/>
          <w:lang w:eastAsia="zh-CN"/>
        </w:rPr>
        <w:t xml:space="preserve"> </w:t>
      </w:r>
      <w:r w:rsidR="004E2ED8">
        <w:rPr>
          <w:b/>
          <w:szCs w:val="20"/>
          <w:lang w:eastAsia="zh-CN"/>
        </w:rPr>
        <w:t xml:space="preserve">PSE </w:t>
      </w:r>
      <w:r>
        <w:rPr>
          <w:b/>
          <w:szCs w:val="20"/>
          <w:lang w:eastAsia="zh-CN"/>
        </w:rPr>
        <w:t>GENERAL RATE CASE</w:t>
      </w:r>
    </w:p>
    <w:p w:rsidR="004611C3" w:rsidRPr="004611C3" w:rsidRDefault="004611C3" w:rsidP="00BF05CC">
      <w:pPr>
        <w:ind w:left="4320"/>
        <w:rPr>
          <w:b/>
          <w:szCs w:val="20"/>
          <w:lang w:eastAsia="zh-CN"/>
        </w:rPr>
      </w:pPr>
      <w:r w:rsidRPr="004611C3">
        <w:rPr>
          <w:b/>
          <w:szCs w:val="20"/>
          <w:lang w:eastAsia="zh-CN"/>
        </w:rPr>
        <w:t>WITNESS:</w:t>
      </w:r>
      <w:r w:rsidR="00BD560E">
        <w:rPr>
          <w:b/>
          <w:szCs w:val="20"/>
          <w:lang w:eastAsia="zh-CN"/>
        </w:rPr>
        <w:t xml:space="preserve"> </w:t>
      </w:r>
      <w:r w:rsidR="000B78B7">
        <w:rPr>
          <w:b/>
          <w:szCs w:val="20"/>
          <w:lang w:eastAsia="zh-CN"/>
        </w:rPr>
        <w:t>PAUL K. WETHERBEE</w:t>
      </w:r>
    </w:p>
    <w:p w:rsidR="00FB09A7" w:rsidRDefault="00FB09A7" w:rsidP="00BF05CC">
      <w:pPr>
        <w:pStyle w:val="center"/>
        <w:keepNext/>
        <w:keepLines w:val="0"/>
        <w:spacing w:before="0" w:line="240" w:lineRule="auto"/>
      </w:pPr>
    </w:p>
    <w:p w:rsidR="00FB09A7" w:rsidRDefault="00FB09A7" w:rsidP="00BF05CC">
      <w:pPr>
        <w:pStyle w:val="center"/>
        <w:keepNext/>
        <w:keepLines w:val="0"/>
        <w:spacing w:before="0" w:line="240" w:lineRule="auto"/>
        <w:rPr>
          <w:b/>
        </w:rPr>
      </w:pPr>
    </w:p>
    <w:p w:rsidR="00FB09A7" w:rsidRDefault="00FB09A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r w:rsidRPr="00EF16DB">
        <w:rPr>
          <w:b/>
        </w:rPr>
        <w:t>BEFORE THE</w:t>
      </w:r>
    </w:p>
    <w:p w:rsidR="00517897" w:rsidRPr="00EF16DB" w:rsidRDefault="00517897" w:rsidP="00BF05CC">
      <w:pPr>
        <w:pStyle w:val="center"/>
        <w:keepNext/>
        <w:keepLines w:val="0"/>
        <w:spacing w:before="0" w:line="240" w:lineRule="auto"/>
        <w:rPr>
          <w:b/>
        </w:rPr>
      </w:pPr>
      <w:smartTag w:uri="urn:schemas-microsoft-com:office:smarttags" w:element="place">
        <w:smartTag w:uri="urn:schemas-microsoft-com:office:smarttags" w:element="State">
          <w:r w:rsidRPr="00EF16DB">
            <w:rPr>
              <w:b/>
            </w:rPr>
            <w:t>WASHINGTON</w:t>
          </w:r>
        </w:smartTag>
      </w:smartTag>
      <w:r w:rsidRPr="00EF16DB">
        <w:rPr>
          <w:b/>
        </w:rPr>
        <w:t xml:space="preserve"> UTILITIES AND TRANSPORTATION COMMISSION</w:t>
      </w:r>
    </w:p>
    <w:p w:rsidR="00517897" w:rsidRPr="00EF16DB" w:rsidRDefault="0051789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p>
    <w:tbl>
      <w:tblPr>
        <w:tblW w:w="90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545"/>
      </w:tblGrid>
      <w:tr w:rsidR="004611C3" w:rsidRPr="004611C3" w:rsidTr="00A5658C">
        <w:tc>
          <w:tcPr>
            <w:tcW w:w="4536" w:type="dxa"/>
            <w:tcBorders>
              <w:top w:val="nil"/>
              <w:left w:val="nil"/>
            </w:tcBorders>
          </w:tcPr>
          <w:p w:rsidR="00695C07" w:rsidRPr="00695C07" w:rsidRDefault="00695C07" w:rsidP="00BF05CC">
            <w:pPr>
              <w:spacing w:before="180" w:after="180"/>
              <w:rPr>
                <w:b/>
                <w:szCs w:val="20"/>
                <w:lang w:eastAsia="zh-CN"/>
              </w:rPr>
            </w:pPr>
            <w:r w:rsidRPr="00695C07">
              <w:rPr>
                <w:b/>
                <w:szCs w:val="20"/>
                <w:lang w:eastAsia="zh-CN"/>
              </w:rPr>
              <w:t>WASHINGTON UTILITIES AND TRANSPORTATION COMMISSION,</w:t>
            </w:r>
          </w:p>
          <w:p w:rsidR="00695C07" w:rsidRPr="00695C07" w:rsidRDefault="00695C07" w:rsidP="004E2ED8">
            <w:pPr>
              <w:spacing w:before="180" w:after="180"/>
              <w:ind w:left="720" w:right="270"/>
              <w:jc w:val="right"/>
              <w:rPr>
                <w:b/>
                <w:szCs w:val="20"/>
                <w:lang w:eastAsia="zh-CN"/>
              </w:rPr>
            </w:pPr>
            <w:r w:rsidRPr="00695C07">
              <w:rPr>
                <w:b/>
                <w:szCs w:val="20"/>
                <w:lang w:eastAsia="zh-CN"/>
              </w:rPr>
              <w:t>Complainant,</w:t>
            </w:r>
          </w:p>
          <w:p w:rsidR="00695C07" w:rsidRPr="00695C07" w:rsidRDefault="00695C07" w:rsidP="00BF05CC">
            <w:pPr>
              <w:spacing w:before="180" w:after="180"/>
              <w:ind w:left="1440"/>
              <w:rPr>
                <w:b/>
                <w:szCs w:val="20"/>
                <w:lang w:eastAsia="zh-CN"/>
              </w:rPr>
            </w:pPr>
            <w:r w:rsidRPr="00695C07">
              <w:rPr>
                <w:b/>
                <w:szCs w:val="20"/>
                <w:lang w:eastAsia="zh-CN"/>
              </w:rPr>
              <w:t>v.</w:t>
            </w:r>
          </w:p>
          <w:p w:rsidR="00695C07" w:rsidRPr="00695C07" w:rsidRDefault="00695C07" w:rsidP="00BF05CC">
            <w:pPr>
              <w:spacing w:before="180" w:after="180"/>
              <w:rPr>
                <w:b/>
                <w:szCs w:val="20"/>
                <w:lang w:eastAsia="zh-CN"/>
              </w:rPr>
            </w:pPr>
            <w:r w:rsidRPr="00695C07">
              <w:rPr>
                <w:b/>
                <w:szCs w:val="20"/>
                <w:lang w:eastAsia="zh-CN"/>
              </w:rPr>
              <w:t xml:space="preserve">PUGET SOUND ENERGY, </w:t>
            </w:r>
          </w:p>
          <w:p w:rsidR="00695C07" w:rsidRPr="004611C3" w:rsidRDefault="00695C07" w:rsidP="004E2ED8">
            <w:pPr>
              <w:spacing w:before="180" w:after="180"/>
              <w:ind w:left="720" w:right="270"/>
              <w:jc w:val="right"/>
              <w:rPr>
                <w:b/>
                <w:szCs w:val="20"/>
                <w:lang w:eastAsia="zh-CN"/>
              </w:rPr>
            </w:pPr>
            <w:r w:rsidRPr="00695C07">
              <w:rPr>
                <w:b/>
                <w:szCs w:val="20"/>
                <w:lang w:eastAsia="zh-CN"/>
              </w:rPr>
              <w:t>Respondent</w:t>
            </w:r>
            <w:r>
              <w:rPr>
                <w:b/>
                <w:szCs w:val="20"/>
                <w:lang w:eastAsia="zh-CN"/>
              </w:rPr>
              <w:t>.</w:t>
            </w:r>
          </w:p>
        </w:tc>
        <w:tc>
          <w:tcPr>
            <w:tcW w:w="4545" w:type="dxa"/>
            <w:tcBorders>
              <w:top w:val="nil"/>
              <w:bottom w:val="nil"/>
              <w:right w:val="nil"/>
            </w:tcBorders>
            <w:vAlign w:val="center"/>
          </w:tcPr>
          <w:p w:rsidR="004611C3" w:rsidRPr="004611C3" w:rsidRDefault="00416F78" w:rsidP="00416F78">
            <w:pPr>
              <w:keepNext/>
              <w:keepLines/>
              <w:spacing w:before="180" w:after="180"/>
              <w:ind w:left="324"/>
              <w:rPr>
                <w:b/>
                <w:szCs w:val="20"/>
                <w:lang w:eastAsia="zh-CN"/>
              </w:rPr>
            </w:pPr>
            <w:r w:rsidRPr="004611C3">
              <w:rPr>
                <w:b/>
                <w:szCs w:val="20"/>
                <w:lang w:eastAsia="zh-CN"/>
              </w:rPr>
              <w:t xml:space="preserve">Docket </w:t>
            </w:r>
            <w:r w:rsidR="004611C3" w:rsidRPr="004611C3">
              <w:rPr>
                <w:b/>
                <w:szCs w:val="20"/>
                <w:lang w:eastAsia="zh-CN"/>
              </w:rPr>
              <w:t>U</w:t>
            </w:r>
            <w:r w:rsidR="00695C07">
              <w:rPr>
                <w:b/>
                <w:szCs w:val="20"/>
                <w:lang w:eastAsia="zh-CN"/>
              </w:rPr>
              <w:t>E</w:t>
            </w:r>
            <w:r w:rsidR="004611C3" w:rsidRPr="004611C3">
              <w:rPr>
                <w:b/>
                <w:szCs w:val="20"/>
                <w:lang w:eastAsia="zh-CN"/>
              </w:rPr>
              <w:t>-1</w:t>
            </w:r>
            <w:r w:rsidR="00BC57A0">
              <w:rPr>
                <w:b/>
                <w:szCs w:val="20"/>
                <w:lang w:eastAsia="zh-CN"/>
              </w:rPr>
              <w:t>7</w:t>
            </w:r>
            <w:r w:rsidR="004611C3" w:rsidRPr="004611C3">
              <w:rPr>
                <w:b/>
                <w:szCs w:val="20"/>
                <w:lang w:eastAsia="zh-CN"/>
              </w:rPr>
              <w:t>____</w:t>
            </w:r>
            <w:r w:rsidR="00DD4FDE">
              <w:rPr>
                <w:b/>
                <w:szCs w:val="20"/>
                <w:lang w:eastAsia="zh-CN"/>
              </w:rPr>
              <w:br/>
            </w:r>
            <w:r w:rsidRPr="004611C3">
              <w:rPr>
                <w:b/>
                <w:szCs w:val="20"/>
                <w:lang w:eastAsia="zh-CN"/>
              </w:rPr>
              <w:t xml:space="preserve">Docket </w:t>
            </w:r>
            <w:r w:rsidR="00DD4FDE" w:rsidRPr="004611C3">
              <w:rPr>
                <w:b/>
                <w:szCs w:val="20"/>
                <w:lang w:eastAsia="zh-CN"/>
              </w:rPr>
              <w:t>U</w:t>
            </w:r>
            <w:r w:rsidR="00DD4FDE">
              <w:rPr>
                <w:b/>
                <w:szCs w:val="20"/>
                <w:lang w:eastAsia="zh-CN"/>
              </w:rPr>
              <w:t>G</w:t>
            </w:r>
            <w:r w:rsidR="00DD4FDE" w:rsidRPr="004611C3">
              <w:rPr>
                <w:b/>
                <w:szCs w:val="20"/>
                <w:lang w:eastAsia="zh-CN"/>
              </w:rPr>
              <w:t>-1</w:t>
            </w:r>
            <w:r w:rsidR="00BC57A0">
              <w:rPr>
                <w:b/>
                <w:szCs w:val="20"/>
                <w:lang w:eastAsia="zh-CN"/>
              </w:rPr>
              <w:t>7</w:t>
            </w:r>
            <w:r w:rsidR="00DD4FDE" w:rsidRPr="004611C3">
              <w:rPr>
                <w:b/>
                <w:szCs w:val="20"/>
                <w:lang w:eastAsia="zh-CN"/>
              </w:rPr>
              <w:t>____</w:t>
            </w:r>
          </w:p>
        </w:tc>
      </w:tr>
    </w:tbl>
    <w:p w:rsidR="002E4864" w:rsidRDefault="002E4864" w:rsidP="00BF05CC">
      <w:pPr>
        <w:pStyle w:val="center"/>
        <w:keepNext/>
        <w:keepLines w:val="0"/>
        <w:spacing w:before="0" w:line="240" w:lineRule="auto"/>
        <w:rPr>
          <w:b/>
        </w:rPr>
      </w:pPr>
    </w:p>
    <w:p w:rsidR="00E41D7A" w:rsidRDefault="00E41D7A" w:rsidP="00BF05CC">
      <w:pPr>
        <w:pStyle w:val="center"/>
        <w:keepNext/>
        <w:keepLines w:val="0"/>
        <w:spacing w:before="0" w:line="240" w:lineRule="auto"/>
        <w:rPr>
          <w:b/>
        </w:rPr>
      </w:pPr>
    </w:p>
    <w:p w:rsidR="00460AD4" w:rsidRPr="00EF16DB" w:rsidRDefault="00460AD4" w:rsidP="00BF05CC">
      <w:pPr>
        <w:pStyle w:val="center"/>
        <w:keepNext/>
        <w:keepLines w:val="0"/>
        <w:spacing w:before="0" w:line="240" w:lineRule="auto"/>
        <w:rPr>
          <w:b/>
        </w:rPr>
      </w:pPr>
    </w:p>
    <w:p w:rsidR="00416F78" w:rsidRDefault="00517897" w:rsidP="00BF05CC">
      <w:pPr>
        <w:pStyle w:val="center"/>
        <w:keepNext/>
        <w:keepLines w:val="0"/>
        <w:spacing w:before="0" w:line="240" w:lineRule="auto"/>
        <w:rPr>
          <w:b/>
        </w:rPr>
      </w:pPr>
      <w:proofErr w:type="spellStart"/>
      <w:r w:rsidRPr="00EF16DB">
        <w:rPr>
          <w:b/>
        </w:rPr>
        <w:t>PREFILED</w:t>
      </w:r>
      <w:proofErr w:type="spellEnd"/>
      <w:r w:rsidRPr="00EF16DB">
        <w:rPr>
          <w:b/>
        </w:rPr>
        <w:t xml:space="preserve"> </w:t>
      </w:r>
      <w:r w:rsidR="004611C3">
        <w:rPr>
          <w:b/>
        </w:rPr>
        <w:t>DI</w:t>
      </w:r>
      <w:r w:rsidR="0063582B">
        <w:rPr>
          <w:b/>
        </w:rPr>
        <w:t>R</w:t>
      </w:r>
      <w:r w:rsidR="004611C3">
        <w:rPr>
          <w:b/>
        </w:rPr>
        <w:t xml:space="preserve">ECT </w:t>
      </w:r>
      <w:r w:rsidRPr="00EF16DB">
        <w:rPr>
          <w:b/>
        </w:rPr>
        <w:t>TESTIMONY (CONFIDENTIAL) OF</w:t>
      </w:r>
    </w:p>
    <w:p w:rsidR="00416F78" w:rsidRDefault="00416F78" w:rsidP="00BF05CC">
      <w:pPr>
        <w:pStyle w:val="center"/>
        <w:keepNext/>
        <w:keepLines w:val="0"/>
        <w:spacing w:before="0" w:line="240" w:lineRule="auto"/>
        <w:rPr>
          <w:b/>
        </w:rPr>
      </w:pPr>
    </w:p>
    <w:p w:rsidR="00416F78" w:rsidRDefault="00BC57A0" w:rsidP="00BF05CC">
      <w:pPr>
        <w:pStyle w:val="center"/>
        <w:keepNext/>
        <w:keepLines w:val="0"/>
        <w:spacing w:before="0" w:line="240" w:lineRule="auto"/>
        <w:rPr>
          <w:b/>
        </w:rPr>
      </w:pPr>
      <w:r>
        <w:rPr>
          <w:b/>
          <w:szCs w:val="20"/>
        </w:rPr>
        <w:t>PAUL K. WETHERBEE</w:t>
      </w:r>
    </w:p>
    <w:p w:rsidR="00416F78" w:rsidRDefault="00416F78" w:rsidP="00BF05CC">
      <w:pPr>
        <w:pStyle w:val="center"/>
        <w:keepNext/>
        <w:keepLines w:val="0"/>
        <w:spacing w:before="0" w:line="240" w:lineRule="auto"/>
        <w:rPr>
          <w:b/>
        </w:rPr>
      </w:pPr>
    </w:p>
    <w:p w:rsidR="00517897" w:rsidRPr="00EF16DB" w:rsidRDefault="00517897" w:rsidP="00BF05CC">
      <w:pPr>
        <w:pStyle w:val="center"/>
        <w:keepNext/>
        <w:keepLines w:val="0"/>
        <w:spacing w:before="0" w:line="240" w:lineRule="auto"/>
        <w:rPr>
          <w:b/>
        </w:rPr>
      </w:pPr>
      <w:r w:rsidRPr="00EF16DB">
        <w:rPr>
          <w:b/>
        </w:rPr>
        <w:t xml:space="preserve">ON BEHALF OF PUGET </w:t>
      </w:r>
      <w:r w:rsidR="004611C3">
        <w:rPr>
          <w:b/>
        </w:rPr>
        <w:t>SOUND ENERGY</w:t>
      </w:r>
    </w:p>
    <w:p w:rsidR="00517897" w:rsidRPr="00EF16DB" w:rsidRDefault="00517897" w:rsidP="00BF05CC">
      <w:pPr>
        <w:pStyle w:val="center"/>
        <w:keepNext/>
        <w:keepLines w:val="0"/>
        <w:spacing w:before="0" w:line="240" w:lineRule="auto"/>
        <w:rPr>
          <w:b/>
        </w:rPr>
      </w:pPr>
    </w:p>
    <w:p w:rsidR="00517897" w:rsidRDefault="00517897" w:rsidP="00BF05CC">
      <w:pPr>
        <w:pStyle w:val="center"/>
        <w:keepNext/>
        <w:keepLines w:val="0"/>
        <w:spacing w:before="0" w:line="240" w:lineRule="auto"/>
        <w:rPr>
          <w:b/>
        </w:rPr>
      </w:pPr>
    </w:p>
    <w:p w:rsidR="00695C07" w:rsidRDefault="00695C07" w:rsidP="00BF05CC">
      <w:pPr>
        <w:pStyle w:val="center"/>
        <w:keepNext/>
        <w:keepLines w:val="0"/>
        <w:spacing w:before="0" w:line="240" w:lineRule="auto"/>
        <w:rPr>
          <w:b/>
        </w:rPr>
      </w:pPr>
    </w:p>
    <w:p w:rsidR="00695C07" w:rsidRDefault="00C6419C" w:rsidP="00BF05CC">
      <w:pPr>
        <w:pStyle w:val="center"/>
        <w:keepNext/>
        <w:keepLines w:val="0"/>
        <w:spacing w:before="0" w:line="240" w:lineRule="auto"/>
        <w:rPr>
          <w:b/>
        </w:rPr>
      </w:pPr>
      <w:r>
        <w:rPr>
          <w:b/>
          <w:noProof/>
          <w:lang w:eastAsia="en-US"/>
        </w:rPr>
        <mc:AlternateContent>
          <mc:Choice Requires="wpg">
            <w:drawing>
              <wp:anchor distT="0" distB="0" distL="114300" distR="114300" simplePos="0" relativeHeight="251674624" behindDoc="0" locked="0" layoutInCell="1" allowOverlap="1" wp14:anchorId="16D0E66B" wp14:editId="67244CD1">
                <wp:simplePos x="0" y="0"/>
                <wp:positionH relativeFrom="column">
                  <wp:posOffset>1285240</wp:posOffset>
                </wp:positionH>
                <wp:positionV relativeFrom="paragraph">
                  <wp:posOffset>-1270</wp:posOffset>
                </wp:positionV>
                <wp:extent cx="3000375" cy="650240"/>
                <wp:effectExtent l="0" t="0" r="952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0375" cy="650240"/>
                          <a:chOff x="4401" y="11656"/>
                          <a:chExt cx="4320" cy="780"/>
                        </a:xfrm>
                      </wpg:grpSpPr>
                      <wps:wsp>
                        <wps:cNvPr id="13"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C6419C"/>
                          </w:txbxContent>
                        </wps:txbx>
                        <wps:bodyPr rot="0" vert="horz" wrap="square" lIns="91440" tIns="91440" rIns="91440" bIns="91440" anchor="t" anchorCtr="0" upright="1">
                          <a:noAutofit/>
                        </wps:bodyPr>
                      </wps:wsp>
                      <wps:wsp>
                        <wps:cNvPr id="15"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7C3D2B"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7C3D2B" w:rsidRPr="007C3D2B" w:rsidRDefault="007C3D2B"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01.2pt;margin-top:-.1pt;width:236.25pt;height:51.2pt;z-index:251674624"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">
                <v:shapetype id="_x0000_t202" coordsize="21600,21600" o:spt="202" path="m,l,21600r21600,l21600,xe">
                  <v:stroke joinstyle="miter"/>
                  <v:path gradientshapeok="t" o:connecttype="rect"/>
                </v:shapetype>
                <v:shape id="Text Box 12" o:spid="_x0000_s1027"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blsAA&#10;AADbAAAADwAAAGRycy9kb3ducmV2LnhtbERPS4vCMBC+C/sfwgh701RXRLpGEWFBb77Y3ePQTNNi&#10;MylNrNVfbwTB23x8z5kvO1uJlhpfOlYwGiYgiDOnSzYKTsefwQyED8gaK8ek4EYelouP3hxT7a68&#10;p/YQjIgh7FNUUIRQp1L6rCCLfuhq4sjlrrEYImyM1A1eY7it5DhJptJiybGhwJrWBWXnw8Uq+DPT&#10;bbWbnXU++b//jsylbdfbXKnPfrf6BhGoC2/xy73Rcf4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WblsAAAADbAAAADwAAAAAAAAAAAAAAAACYAgAAZHJzL2Rvd25y&#10;ZXYueG1sUEsFBgAAAAAEAAQA9QAAAIUDAAAAAA==&#10;" fillcolor="gray" stroked="f">
                  <v:textbox inset=",7.2pt,,7.2pt">
                    <w:txbxContent>
                      <w:p w:rsidR="007C3D2B" w:rsidRDefault="007C3D2B" w:rsidP="00C6419C"/>
                    </w:txbxContent>
                  </v:textbox>
                </v:shape>
                <v:shape id="Text Box 13" o:spid="_x0000_s1028"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vO8MA&#10;AADbAAAADwAAAGRycy9kb3ducmV2LnhtbESPQWuDQBCF74X+h2UKuZS6JkUp1k0IQiDkErTF8+BO&#10;VerOWncTzb/PFgq9fcO8ee9NvlvMIK40ud6ygnUUgyBurO65VfD5cXh5A+E8ssbBMim4kYPd9vEh&#10;x0zbmUu6Vr4VwYRdhgo678dMStd0ZNBFdiQOuy87GfRhnFqpJ5yDuRnkJo5TabDnkNDhSEVHzXd1&#10;MQqKUx2w/DnX9euQpKdqLp6LVqnV07J/B+Fp8f/iv+ujDvUT+P0lAM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NvO8MAAADbAAAADwAAAAAAAAAAAAAAAACYAgAAZHJzL2Rv&#10;d25yZXYueG1sUEsFBgAAAAAEAAQA9QAAAIgDAAAAAA==&#10;" strokeweight="1.5pt">
                  <v:textbox inset=",7.2pt,,7.2pt">
                    <w:txbxContent>
                      <w:p w:rsidR="007C3D2B" w:rsidRDefault="007C3D2B"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Redacted</w:t>
                        </w:r>
                      </w:p>
                      <w:p w:rsidR="007C3D2B" w:rsidRPr="007C3D2B" w:rsidRDefault="007C3D2B" w:rsidP="00C6419C">
                        <w:pPr>
                          <w:pStyle w:val="plain"/>
                          <w:jc w:val="center"/>
                          <w:rPr>
                            <w:rFonts w:ascii="Times New Roman Bold" w:hAnsi="Times New Roman Bold"/>
                            <w:b/>
                            <w:smallCaps/>
                            <w:snapToGrid w:val="0"/>
                            <w:lang w:eastAsia="en-US"/>
                          </w:rPr>
                        </w:pPr>
                        <w:r>
                          <w:rPr>
                            <w:rFonts w:ascii="Times New Roman Bold" w:hAnsi="Times New Roman Bold"/>
                            <w:b/>
                            <w:smallCaps/>
                            <w:snapToGrid w:val="0"/>
                            <w:lang w:eastAsia="en-US"/>
                          </w:rPr>
                          <w:t>Version</w:t>
                        </w:r>
                      </w:p>
                    </w:txbxContent>
                  </v:textbox>
                </v:shape>
              </v:group>
            </w:pict>
          </mc:Fallback>
        </mc:AlternateContent>
      </w:r>
    </w:p>
    <w:p w:rsidR="00695C07" w:rsidRDefault="00695C07"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827831" w:rsidRDefault="00827831"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DD4FDE" w:rsidRDefault="00DD4FDE" w:rsidP="00BF05CC">
      <w:pPr>
        <w:pStyle w:val="center"/>
        <w:keepNext/>
        <w:keepLines w:val="0"/>
        <w:spacing w:before="0" w:line="240" w:lineRule="auto"/>
        <w:rPr>
          <w:b/>
        </w:rPr>
      </w:pPr>
    </w:p>
    <w:p w:rsidR="00695C07" w:rsidRDefault="00695C07" w:rsidP="00BF05CC">
      <w:pPr>
        <w:pStyle w:val="center"/>
        <w:keepNext/>
        <w:keepLines w:val="0"/>
        <w:spacing w:before="0" w:line="240" w:lineRule="auto"/>
        <w:rPr>
          <w:b/>
        </w:rPr>
      </w:pPr>
    </w:p>
    <w:p w:rsidR="00517897" w:rsidRPr="00EF16DB" w:rsidRDefault="00BC57A0" w:rsidP="00BF05CC">
      <w:pPr>
        <w:keepNext/>
        <w:jc w:val="center"/>
        <w:rPr>
          <w:rFonts w:eastAsia="SimSun"/>
          <w:b/>
        </w:rPr>
      </w:pPr>
      <w:r>
        <w:rPr>
          <w:b/>
        </w:rPr>
        <w:t>JANUARY</w:t>
      </w:r>
      <w:r w:rsidR="00695C07">
        <w:rPr>
          <w:b/>
        </w:rPr>
        <w:t xml:space="preserve"> </w:t>
      </w:r>
      <w:r w:rsidR="00103D80">
        <w:rPr>
          <w:b/>
        </w:rPr>
        <w:t>13</w:t>
      </w:r>
      <w:r w:rsidR="00F07711" w:rsidRPr="00EF16DB">
        <w:rPr>
          <w:b/>
        </w:rPr>
        <w:t xml:space="preserve">, </w:t>
      </w:r>
      <w:r w:rsidR="00517897" w:rsidRPr="00EF16DB">
        <w:rPr>
          <w:b/>
        </w:rPr>
        <w:t>20</w:t>
      </w:r>
      <w:r w:rsidR="004611C3">
        <w:rPr>
          <w:b/>
        </w:rPr>
        <w:t>1</w:t>
      </w:r>
      <w:r>
        <w:rPr>
          <w:b/>
        </w:rPr>
        <w:t>7</w:t>
      </w:r>
    </w:p>
    <w:p w:rsidR="00517897" w:rsidRPr="00EF16DB" w:rsidRDefault="00517897" w:rsidP="00BF05CC">
      <w:pPr>
        <w:keepNext/>
        <w:jc w:val="center"/>
        <w:rPr>
          <w:rFonts w:eastAsia="SimSun"/>
          <w:b/>
        </w:rPr>
        <w:sectPr w:rsidR="00517897" w:rsidRPr="00EF16DB" w:rsidSect="00E05C6E">
          <w:headerReference w:type="even" r:id="rId14"/>
          <w:headerReference w:type="default" r:id="rId15"/>
          <w:footerReference w:type="first" r:id="rId16"/>
          <w:pgSz w:w="12240" w:h="15840" w:code="1"/>
          <w:pgMar w:top="1440" w:right="1440" w:bottom="1440" w:left="2160" w:header="720" w:footer="864" w:gutter="0"/>
          <w:pgNumType w:start="1"/>
          <w:cols w:space="720"/>
          <w:rtlGutter/>
        </w:sectPr>
      </w:pPr>
    </w:p>
    <w:p w:rsidR="00F07711" w:rsidRPr="00EF16DB" w:rsidRDefault="004611C3" w:rsidP="00BF05CC">
      <w:pPr>
        <w:keepNext/>
        <w:spacing w:before="240" w:after="480"/>
        <w:ind w:left="720" w:right="720"/>
        <w:jc w:val="center"/>
        <w:rPr>
          <w:rStyle w:val="Strong"/>
          <w:rFonts w:eastAsia="SimSun"/>
        </w:rPr>
      </w:pPr>
      <w:r>
        <w:rPr>
          <w:rStyle w:val="Strong"/>
          <w:rFonts w:eastAsia="SimSun"/>
        </w:rPr>
        <w:lastRenderedPageBreak/>
        <w:t>PUGET SOUND ENERGY</w:t>
      </w:r>
    </w:p>
    <w:p w:rsidR="00F07711" w:rsidRPr="00C06DEC" w:rsidRDefault="00F07711" w:rsidP="00BF05CC">
      <w:pPr>
        <w:keepNext/>
        <w:spacing w:before="240" w:after="480"/>
        <w:jc w:val="center"/>
        <w:rPr>
          <w:rFonts w:eastAsia="SimSun"/>
        </w:rPr>
      </w:pPr>
      <w:proofErr w:type="spellStart"/>
      <w:r w:rsidRPr="00EF16DB">
        <w:rPr>
          <w:rStyle w:val="Strong"/>
          <w:rFonts w:eastAsia="SimSun"/>
        </w:rPr>
        <w:t>PREFILED</w:t>
      </w:r>
      <w:proofErr w:type="spellEnd"/>
      <w:r w:rsidRPr="00EF16DB">
        <w:rPr>
          <w:rStyle w:val="Strong"/>
          <w:rFonts w:eastAsia="SimSun"/>
        </w:rPr>
        <w:t xml:space="preserve"> </w:t>
      </w:r>
      <w:r w:rsidR="004611C3">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BC57A0">
        <w:rPr>
          <w:b/>
          <w:szCs w:val="20"/>
          <w:lang w:eastAsia="zh-CN"/>
        </w:rPr>
        <w:t>PAUL K. WETHERBEE</w:t>
      </w:r>
    </w:p>
    <w:p w:rsidR="00FC7A2F" w:rsidRPr="00FE3925" w:rsidRDefault="00F07711" w:rsidP="00BF05CC">
      <w:pPr>
        <w:keepNext/>
        <w:spacing w:before="240" w:after="480"/>
        <w:ind w:left="547" w:right="547"/>
        <w:jc w:val="center"/>
        <w:rPr>
          <w:rFonts w:eastAsia="SimSun"/>
        </w:rPr>
      </w:pPr>
      <w:bookmarkStart w:id="2" w:name="TOCTitle"/>
      <w:r w:rsidRPr="00FE3925">
        <w:rPr>
          <w:b/>
        </w:rPr>
        <w:t>CONTENTS</w:t>
      </w:r>
      <w:bookmarkEnd w:id="2"/>
    </w:p>
    <w:p w:rsidR="00A14353" w:rsidRPr="00A14353" w:rsidRDefault="00FC7A2F">
      <w:pPr>
        <w:pStyle w:val="TOC1"/>
        <w:rPr>
          <w:rFonts w:asciiTheme="minorHAnsi" w:eastAsiaTheme="minorEastAsia" w:hAnsiTheme="minorHAnsi" w:cstheme="minorBidi"/>
          <w:color w:val="auto"/>
          <w:sz w:val="22"/>
          <w:szCs w:val="22"/>
          <w:lang w:eastAsia="en-US"/>
        </w:rPr>
      </w:pPr>
      <w:r w:rsidRPr="00A14353">
        <w:rPr>
          <w:color w:val="auto"/>
        </w:rPr>
        <w:fldChar w:fldCharType="begin"/>
      </w:r>
      <w:r w:rsidRPr="00A14353">
        <w:rPr>
          <w:color w:val="auto"/>
        </w:rPr>
        <w:instrText xml:space="preserve"> TOC \o "1-3" \h \z \u </w:instrText>
      </w:r>
      <w:r w:rsidRPr="00A14353">
        <w:rPr>
          <w:color w:val="auto"/>
        </w:rPr>
        <w:fldChar w:fldCharType="separate"/>
      </w:r>
      <w:hyperlink w:anchor="_Toc471319017" w:history="1">
        <w:r w:rsidR="00A14353" w:rsidRPr="00A14353">
          <w:rPr>
            <w:rStyle w:val="Hyperlink"/>
            <w:color w:val="auto"/>
          </w:rPr>
          <w:t>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INTRODUCTION</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_Toc471319017 \h </w:instrText>
        </w:r>
        <w:r w:rsidR="00A14353" w:rsidRPr="00A14353">
          <w:rPr>
            <w:webHidden/>
            <w:color w:val="auto"/>
          </w:rPr>
        </w:r>
        <w:r w:rsidR="00A14353" w:rsidRPr="00A14353">
          <w:rPr>
            <w:webHidden/>
            <w:color w:val="auto"/>
          </w:rPr>
          <w:fldChar w:fldCharType="separate"/>
        </w:r>
        <w:r w:rsidR="00EB0B4D">
          <w:rPr>
            <w:webHidden/>
            <w:color w:val="auto"/>
          </w:rPr>
          <w:t>1</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18" w:history="1">
        <w:r w:rsidR="00A14353" w:rsidRPr="00A14353">
          <w:rPr>
            <w:rStyle w:val="Hyperlink"/>
            <w:color w:val="auto"/>
          </w:rPr>
          <w:t>II.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VOLATILITY AND RISK IN PSE’S ELECTRIC RESOURCE PORTFOLIO</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_Toc471319018 \h </w:instrText>
        </w:r>
        <w:r w:rsidR="00A14353" w:rsidRPr="00A14353">
          <w:rPr>
            <w:webHidden/>
            <w:color w:val="auto"/>
          </w:rPr>
        </w:r>
        <w:r w:rsidR="00A14353" w:rsidRPr="00A14353">
          <w:rPr>
            <w:webHidden/>
            <w:color w:val="auto"/>
          </w:rPr>
          <w:fldChar w:fldCharType="separate"/>
        </w:r>
        <w:r w:rsidR="00EB0B4D">
          <w:rPr>
            <w:webHidden/>
            <w:color w:val="auto"/>
          </w:rPr>
          <w:t>4</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19" w:history="1">
        <w:r w:rsidR="00A14353" w:rsidRPr="00A14353">
          <w:rPr>
            <w:rStyle w:val="Hyperlink"/>
            <w:color w:val="auto"/>
          </w:rPr>
          <w:t>III.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PSE’S MANAGEMENT OF POWER COST RISK</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_Toc471319019 \h </w:instrText>
        </w:r>
        <w:r w:rsidR="00A14353" w:rsidRPr="00A14353">
          <w:rPr>
            <w:webHidden/>
            <w:color w:val="auto"/>
          </w:rPr>
        </w:r>
        <w:r w:rsidR="00A14353" w:rsidRPr="00A14353">
          <w:rPr>
            <w:webHidden/>
            <w:color w:val="auto"/>
          </w:rPr>
          <w:fldChar w:fldCharType="separate"/>
        </w:r>
        <w:r w:rsidR="00EB0B4D">
          <w:rPr>
            <w:webHidden/>
            <w:color w:val="auto"/>
          </w:rPr>
          <w:t>10</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20" w:history="1">
        <w:r w:rsidR="00A14353" w:rsidRPr="00A14353">
          <w:rPr>
            <w:rStyle w:val="Hyperlink"/>
            <w:color w:val="auto"/>
          </w:rPr>
          <w:t>IV.</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BPA’S 2018-2019 RATE CASE</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_Toc471319020 \h </w:instrText>
        </w:r>
        <w:r w:rsidR="00A14353" w:rsidRPr="00A14353">
          <w:rPr>
            <w:webHidden/>
            <w:color w:val="auto"/>
          </w:rPr>
        </w:r>
        <w:r w:rsidR="00A14353" w:rsidRPr="00A14353">
          <w:rPr>
            <w:webHidden/>
            <w:color w:val="auto"/>
          </w:rPr>
          <w:fldChar w:fldCharType="separate"/>
        </w:r>
        <w:r w:rsidR="00EB0B4D">
          <w:rPr>
            <w:webHidden/>
            <w:color w:val="auto"/>
          </w:rPr>
          <w:t>13</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21" w:history="1">
        <w:r w:rsidR="00A14353" w:rsidRPr="00A14353">
          <w:rPr>
            <w:rStyle w:val="Hyperlink"/>
            <w:color w:val="auto"/>
          </w:rPr>
          <w:t>V.</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TRANSMISSION CONTRACT RENEWALS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_Toc471319021 \h </w:instrText>
        </w:r>
        <w:r w:rsidR="00A14353" w:rsidRPr="00A14353">
          <w:rPr>
            <w:webHidden/>
            <w:color w:val="auto"/>
          </w:rPr>
        </w:r>
        <w:r w:rsidR="00A14353" w:rsidRPr="00A14353">
          <w:rPr>
            <w:webHidden/>
            <w:color w:val="auto"/>
          </w:rPr>
          <w:fldChar w:fldCharType="separate"/>
        </w:r>
        <w:r w:rsidR="00EB0B4D">
          <w:rPr>
            <w:webHidden/>
            <w:color w:val="auto"/>
          </w:rPr>
          <w:t>14</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22" w:history="1">
        <w:r w:rsidR="00A14353" w:rsidRPr="00A14353">
          <w:rPr>
            <w:rStyle w:val="Hyperlink"/>
            <w:color w:val="auto"/>
          </w:rPr>
          <w:t>A.</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Transmission Contract Renewals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_Toc471319022 \h </w:instrText>
        </w:r>
        <w:r w:rsidR="00A14353" w:rsidRPr="00A14353">
          <w:rPr>
            <w:webHidden/>
            <w:color w:val="auto"/>
          </w:rPr>
        </w:r>
        <w:r w:rsidR="00A14353" w:rsidRPr="00A14353">
          <w:rPr>
            <w:webHidden/>
            <w:color w:val="auto"/>
          </w:rPr>
          <w:fldChar w:fldCharType="separate"/>
        </w:r>
        <w:r w:rsidR="00EB0B4D">
          <w:rPr>
            <w:webHidden/>
            <w:color w:val="auto"/>
          </w:rPr>
          <w:t>17</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23" w:history="1">
        <w:r w:rsidR="00A14353" w:rsidRPr="00A14353">
          <w:rPr>
            <w:rStyle w:val="Hyperlink"/>
            <w:color w:val="auto"/>
          </w:rPr>
          <w:t>1.</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Mid-C Transmission Renewals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_Toc471319023 \h </w:instrText>
        </w:r>
        <w:r w:rsidR="00A14353" w:rsidRPr="00A14353">
          <w:rPr>
            <w:webHidden/>
            <w:color w:val="auto"/>
          </w:rPr>
        </w:r>
        <w:r w:rsidR="00A14353" w:rsidRPr="00A14353">
          <w:rPr>
            <w:webHidden/>
            <w:color w:val="auto"/>
          </w:rPr>
          <w:fldChar w:fldCharType="separate"/>
        </w:r>
        <w:r w:rsidR="00EB0B4D">
          <w:rPr>
            <w:webHidden/>
            <w:color w:val="auto"/>
          </w:rPr>
          <w:t>17</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24" w:history="1">
        <w:r w:rsidR="00A14353" w:rsidRPr="00A14353">
          <w:rPr>
            <w:rStyle w:val="Hyperlink"/>
            <w:color w:val="auto"/>
          </w:rPr>
          <w:t>2.</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Existing Generation Resource/Load Transmission Renewals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_Toc471319024 \h </w:instrText>
        </w:r>
        <w:r w:rsidR="00A14353" w:rsidRPr="00A14353">
          <w:rPr>
            <w:webHidden/>
            <w:color w:val="auto"/>
          </w:rPr>
        </w:r>
        <w:r w:rsidR="00A14353" w:rsidRPr="00A14353">
          <w:rPr>
            <w:webHidden/>
            <w:color w:val="auto"/>
          </w:rPr>
          <w:fldChar w:fldCharType="separate"/>
        </w:r>
        <w:r w:rsidR="00EB0B4D">
          <w:rPr>
            <w:webHidden/>
            <w:color w:val="auto"/>
          </w:rPr>
          <w:t>24</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25" w:history="1">
        <w:r w:rsidR="00A14353" w:rsidRPr="00A14353">
          <w:rPr>
            <w:rStyle w:val="Hyperlink"/>
            <w:color w:val="auto"/>
          </w:rPr>
          <w:t>3.</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Summary of Transmission Contract Renewals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_Toc471319025 \h </w:instrText>
        </w:r>
        <w:r w:rsidR="00A14353" w:rsidRPr="00A14353">
          <w:rPr>
            <w:webHidden/>
            <w:color w:val="auto"/>
          </w:rPr>
        </w:r>
        <w:r w:rsidR="00A14353" w:rsidRPr="00A14353">
          <w:rPr>
            <w:webHidden/>
            <w:color w:val="auto"/>
          </w:rPr>
          <w:fldChar w:fldCharType="separate"/>
        </w:r>
        <w:r w:rsidR="00EB0B4D">
          <w:rPr>
            <w:webHidden/>
            <w:color w:val="auto"/>
          </w:rPr>
          <w:t>29</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26" w:history="1">
        <w:r w:rsidR="00A14353" w:rsidRPr="00A14353">
          <w:rPr>
            <w:rStyle w:val="Hyperlink"/>
            <w:color w:val="auto"/>
          </w:rPr>
          <w:t>B.</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New and Potential New Transmission for Existing Generation Facilities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_Toc471319026 \h </w:instrText>
        </w:r>
        <w:r w:rsidR="00A14353" w:rsidRPr="00A14353">
          <w:rPr>
            <w:webHidden/>
            <w:color w:val="auto"/>
          </w:rPr>
        </w:r>
        <w:r w:rsidR="00A14353" w:rsidRPr="00A14353">
          <w:rPr>
            <w:webHidden/>
            <w:color w:val="auto"/>
          </w:rPr>
          <w:fldChar w:fldCharType="separate"/>
        </w:r>
        <w:r w:rsidR="00EB0B4D">
          <w:rPr>
            <w:webHidden/>
            <w:color w:val="auto"/>
          </w:rPr>
          <w:t>30</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27" w:history="1">
        <w:r w:rsidR="00A14353" w:rsidRPr="00A14353">
          <w:rPr>
            <w:rStyle w:val="Hyperlink"/>
            <w:color w:val="auto"/>
          </w:rPr>
          <w:t>1.</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Transmission Contract (20 MW) Associated with Goldendale</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_Toc471319027 \h </w:instrText>
        </w:r>
        <w:r w:rsidR="00A14353" w:rsidRPr="00A14353">
          <w:rPr>
            <w:webHidden/>
            <w:color w:val="auto"/>
          </w:rPr>
        </w:r>
        <w:r w:rsidR="00A14353" w:rsidRPr="00A14353">
          <w:rPr>
            <w:webHidden/>
            <w:color w:val="auto"/>
          </w:rPr>
          <w:fldChar w:fldCharType="separate"/>
        </w:r>
        <w:r w:rsidR="00EB0B4D">
          <w:rPr>
            <w:webHidden/>
            <w:color w:val="auto"/>
          </w:rPr>
          <w:t>31</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28" w:history="1">
        <w:r w:rsidR="00A14353" w:rsidRPr="00A14353">
          <w:rPr>
            <w:rStyle w:val="Hyperlink"/>
            <w:color w:val="auto"/>
          </w:rPr>
          <w:t>2.</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Transmission Contracts (15 MW and 18 MW) Associated with Mint Farm and Goldendale, Respectively</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_Toc471319028 \h </w:instrText>
        </w:r>
        <w:r w:rsidR="00A14353" w:rsidRPr="00A14353">
          <w:rPr>
            <w:webHidden/>
            <w:color w:val="auto"/>
          </w:rPr>
        </w:r>
        <w:r w:rsidR="00A14353" w:rsidRPr="00A14353">
          <w:rPr>
            <w:webHidden/>
            <w:color w:val="auto"/>
          </w:rPr>
          <w:fldChar w:fldCharType="separate"/>
        </w:r>
        <w:r w:rsidR="00EB0B4D">
          <w:rPr>
            <w:webHidden/>
            <w:color w:val="auto"/>
          </w:rPr>
          <w:t>32</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29" w:history="1">
        <w:r w:rsidR="00A14353" w:rsidRPr="00A14353">
          <w:rPr>
            <w:rStyle w:val="Hyperlink"/>
            <w:color w:val="auto"/>
          </w:rPr>
          <w:t>3.</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Summary of the Potential New Transmission Contracts for Existing Generation Facilities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_Toc471319029 \h </w:instrText>
        </w:r>
        <w:r w:rsidR="00A14353" w:rsidRPr="00A14353">
          <w:rPr>
            <w:webHidden/>
            <w:color w:val="auto"/>
          </w:rPr>
        </w:r>
        <w:r w:rsidR="00A14353" w:rsidRPr="00A14353">
          <w:rPr>
            <w:webHidden/>
            <w:color w:val="auto"/>
          </w:rPr>
          <w:fldChar w:fldCharType="separate"/>
        </w:r>
        <w:r w:rsidR="00EB0B4D">
          <w:rPr>
            <w:webHidden/>
            <w:color w:val="auto"/>
          </w:rPr>
          <w:t>33</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30" w:history="1">
        <w:r w:rsidR="00A14353" w:rsidRPr="00A14353">
          <w:rPr>
            <w:rStyle w:val="Hyperlink"/>
            <w:color w:val="auto"/>
          </w:rPr>
          <w:t>VI.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NATURAL GAS RESOURCES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_Toc471319030 \h </w:instrText>
        </w:r>
        <w:r w:rsidR="00A14353" w:rsidRPr="00A14353">
          <w:rPr>
            <w:webHidden/>
            <w:color w:val="auto"/>
          </w:rPr>
        </w:r>
        <w:r w:rsidR="00A14353" w:rsidRPr="00A14353">
          <w:rPr>
            <w:webHidden/>
            <w:color w:val="auto"/>
          </w:rPr>
          <w:fldChar w:fldCharType="separate"/>
        </w:r>
        <w:r w:rsidR="00EB0B4D">
          <w:rPr>
            <w:webHidden/>
            <w:color w:val="auto"/>
          </w:rPr>
          <w:t>35</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31" w:history="1">
        <w:r w:rsidR="00A14353" w:rsidRPr="00A14353">
          <w:rPr>
            <w:rStyle w:val="Hyperlink"/>
            <w:color w:val="auto"/>
          </w:rPr>
          <w:t>A.</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Overview of Gas Transportation</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_Toc471319031 \h </w:instrText>
        </w:r>
        <w:r w:rsidR="00A14353" w:rsidRPr="00A14353">
          <w:rPr>
            <w:webHidden/>
            <w:color w:val="auto"/>
          </w:rPr>
        </w:r>
        <w:r w:rsidR="00A14353" w:rsidRPr="00A14353">
          <w:rPr>
            <w:webHidden/>
            <w:color w:val="auto"/>
          </w:rPr>
          <w:fldChar w:fldCharType="separate"/>
        </w:r>
        <w:r w:rsidR="00EB0B4D">
          <w:rPr>
            <w:webHidden/>
            <w:color w:val="auto"/>
          </w:rPr>
          <w:t>35</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32" w:history="1">
        <w:r w:rsidR="00A14353" w:rsidRPr="00A14353">
          <w:rPr>
            <w:rStyle w:val="Hyperlink"/>
            <w:color w:val="auto"/>
          </w:rPr>
          <w:t>B.</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New and Renewed Resources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_Toc471319032 \h </w:instrText>
        </w:r>
        <w:r w:rsidR="00A14353" w:rsidRPr="00A14353">
          <w:rPr>
            <w:webHidden/>
            <w:color w:val="auto"/>
          </w:rPr>
        </w:r>
        <w:r w:rsidR="00A14353" w:rsidRPr="00A14353">
          <w:rPr>
            <w:webHidden/>
            <w:color w:val="auto"/>
          </w:rPr>
          <w:fldChar w:fldCharType="separate"/>
        </w:r>
        <w:r w:rsidR="00EB0B4D">
          <w:rPr>
            <w:webHidden/>
            <w:color w:val="auto"/>
          </w:rPr>
          <w:t>37</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33" w:history="1">
        <w:r w:rsidR="00A14353" w:rsidRPr="00A14353">
          <w:rPr>
            <w:rStyle w:val="Hyperlink"/>
            <w:color w:val="auto"/>
          </w:rPr>
          <w:t>C.</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Pipeline Capacity Costs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_Toc471319033 \h </w:instrText>
        </w:r>
        <w:r w:rsidR="00A14353" w:rsidRPr="00A14353">
          <w:rPr>
            <w:webHidden/>
            <w:color w:val="auto"/>
          </w:rPr>
        </w:r>
        <w:r w:rsidR="00A14353" w:rsidRPr="00A14353">
          <w:rPr>
            <w:webHidden/>
            <w:color w:val="auto"/>
          </w:rPr>
          <w:fldChar w:fldCharType="separate"/>
        </w:r>
        <w:r w:rsidR="00EB0B4D">
          <w:rPr>
            <w:webHidden/>
            <w:color w:val="auto"/>
          </w:rPr>
          <w:t>43</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34" w:history="1">
        <w:r w:rsidR="00A14353" w:rsidRPr="00A14353">
          <w:rPr>
            <w:rStyle w:val="Hyperlink"/>
            <w:color w:val="auto"/>
          </w:rPr>
          <w:t>D.</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Graphic Representation of Natural Gas Resources Held by the Gas-for-Power Portfolio</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_Toc471319034 \h </w:instrText>
        </w:r>
        <w:r w:rsidR="00A14353" w:rsidRPr="00A14353">
          <w:rPr>
            <w:webHidden/>
            <w:color w:val="auto"/>
          </w:rPr>
        </w:r>
        <w:r w:rsidR="00A14353" w:rsidRPr="00A14353">
          <w:rPr>
            <w:webHidden/>
            <w:color w:val="auto"/>
          </w:rPr>
          <w:fldChar w:fldCharType="separate"/>
        </w:r>
        <w:r w:rsidR="00EB0B4D">
          <w:rPr>
            <w:webHidden/>
            <w:color w:val="auto"/>
          </w:rPr>
          <w:t>44</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35" w:history="1">
        <w:r w:rsidR="00A14353" w:rsidRPr="00A14353">
          <w:rPr>
            <w:rStyle w:val="Hyperlink"/>
            <w:color w:val="auto"/>
          </w:rPr>
          <w:t>VII.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ENERGY IMBALANCE MARKET</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_Toc471319035 \h </w:instrText>
        </w:r>
        <w:r w:rsidR="00A14353" w:rsidRPr="00A14353">
          <w:rPr>
            <w:webHidden/>
            <w:color w:val="auto"/>
          </w:rPr>
        </w:r>
        <w:r w:rsidR="00A14353" w:rsidRPr="00A14353">
          <w:rPr>
            <w:webHidden/>
            <w:color w:val="auto"/>
          </w:rPr>
          <w:fldChar w:fldCharType="separate"/>
        </w:r>
        <w:r w:rsidR="00EB0B4D">
          <w:rPr>
            <w:webHidden/>
            <w:color w:val="auto"/>
          </w:rPr>
          <w:t>45</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36" w:history="1">
        <w:r w:rsidR="00A14353" w:rsidRPr="00A14353">
          <w:rPr>
            <w:rStyle w:val="Hyperlink"/>
            <w:color w:val="auto"/>
          </w:rPr>
          <w:t>VIII.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WASHINGTON’S CLEAN AIR RULE</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_Toc471319036 \h </w:instrText>
        </w:r>
        <w:r w:rsidR="00A14353" w:rsidRPr="00A14353">
          <w:rPr>
            <w:webHidden/>
            <w:color w:val="auto"/>
          </w:rPr>
        </w:r>
        <w:r w:rsidR="00A14353" w:rsidRPr="00A14353">
          <w:rPr>
            <w:webHidden/>
            <w:color w:val="auto"/>
          </w:rPr>
          <w:fldChar w:fldCharType="separate"/>
        </w:r>
        <w:r w:rsidR="00EB0B4D">
          <w:rPr>
            <w:webHidden/>
            <w:color w:val="auto"/>
          </w:rPr>
          <w:t>47</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37" w:history="1">
        <w:r w:rsidR="00A14353" w:rsidRPr="00A14353">
          <w:rPr>
            <w:rStyle w:val="Hyperlink"/>
            <w:color w:val="auto"/>
          </w:rPr>
          <w:t>IX.</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PROJECTED RATE YEAR POWER COSTS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_Toc471319037 \h </w:instrText>
        </w:r>
        <w:r w:rsidR="00A14353" w:rsidRPr="00A14353">
          <w:rPr>
            <w:webHidden/>
            <w:color w:val="auto"/>
          </w:rPr>
        </w:r>
        <w:r w:rsidR="00A14353" w:rsidRPr="00A14353">
          <w:rPr>
            <w:webHidden/>
            <w:color w:val="auto"/>
          </w:rPr>
          <w:fldChar w:fldCharType="separate"/>
        </w:r>
        <w:r w:rsidR="00EB0B4D">
          <w:rPr>
            <w:webHidden/>
            <w:color w:val="auto"/>
          </w:rPr>
          <w:t>49</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38" w:history="1">
        <w:r w:rsidR="00A14353" w:rsidRPr="00A14353">
          <w:rPr>
            <w:rStyle w:val="Hyperlink"/>
            <w:color w:val="auto"/>
          </w:rPr>
          <w:t>A.</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Overview of Projected Power Costs for this Proceeding</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_Toc471319038 \h </w:instrText>
        </w:r>
        <w:r w:rsidR="00A14353" w:rsidRPr="00A14353">
          <w:rPr>
            <w:webHidden/>
            <w:color w:val="auto"/>
          </w:rPr>
        </w:r>
        <w:r w:rsidR="00A14353" w:rsidRPr="00A14353">
          <w:rPr>
            <w:webHidden/>
            <w:color w:val="auto"/>
          </w:rPr>
          <w:fldChar w:fldCharType="separate"/>
        </w:r>
        <w:r w:rsidR="00EB0B4D">
          <w:rPr>
            <w:webHidden/>
            <w:color w:val="auto"/>
          </w:rPr>
          <w:t>49</w:t>
        </w:r>
        <w:r w:rsidR="00A14353" w:rsidRPr="00A14353">
          <w:rPr>
            <w:webHidden/>
            <w:color w:val="auto"/>
          </w:rPr>
          <w:fldChar w:fldCharType="end"/>
        </w:r>
      </w:hyperlink>
    </w:p>
    <w:p w:rsidR="00A14353" w:rsidRPr="00A14353" w:rsidRDefault="0003665B">
      <w:pPr>
        <w:pStyle w:val="TOC2"/>
        <w:rPr>
          <w:rFonts w:asciiTheme="minorHAnsi" w:eastAsiaTheme="minorEastAsia" w:hAnsiTheme="minorHAnsi" w:cstheme="minorBidi"/>
          <w:color w:val="auto"/>
          <w:sz w:val="22"/>
          <w:szCs w:val="22"/>
          <w:lang w:eastAsia="en-US"/>
        </w:rPr>
      </w:pPr>
      <w:hyperlink w:anchor="_Toc471319039" w:history="1">
        <w:r w:rsidR="00A14353" w:rsidRPr="00A14353">
          <w:rPr>
            <w:rStyle w:val="Hyperlink"/>
            <w:color w:val="auto"/>
          </w:rPr>
          <w:t>B.</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Power Cost Assumptions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_Toc471319039 \h </w:instrText>
        </w:r>
        <w:r w:rsidR="00A14353" w:rsidRPr="00A14353">
          <w:rPr>
            <w:webHidden/>
            <w:color w:val="auto"/>
          </w:rPr>
        </w:r>
        <w:r w:rsidR="00A14353" w:rsidRPr="00A14353">
          <w:rPr>
            <w:webHidden/>
            <w:color w:val="auto"/>
          </w:rPr>
          <w:fldChar w:fldCharType="separate"/>
        </w:r>
        <w:r w:rsidR="00EB0B4D">
          <w:rPr>
            <w:webHidden/>
            <w:color w:val="auto"/>
          </w:rPr>
          <w:t>58</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40" w:history="1">
        <w:r w:rsidR="00A14353" w:rsidRPr="00A14353">
          <w:rPr>
            <w:rStyle w:val="Hyperlink"/>
            <w:color w:val="auto"/>
          </w:rPr>
          <w:t>1.</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Rate Year Power Supply Resources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_Toc471319040 \h </w:instrText>
        </w:r>
        <w:r w:rsidR="00A14353" w:rsidRPr="00A14353">
          <w:rPr>
            <w:webHidden/>
            <w:color w:val="auto"/>
          </w:rPr>
        </w:r>
        <w:r w:rsidR="00A14353" w:rsidRPr="00A14353">
          <w:rPr>
            <w:webHidden/>
            <w:color w:val="auto"/>
          </w:rPr>
          <w:fldChar w:fldCharType="separate"/>
        </w:r>
        <w:r w:rsidR="00EB0B4D">
          <w:rPr>
            <w:webHidden/>
            <w:color w:val="auto"/>
          </w:rPr>
          <w:t>58</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41" w:history="1">
        <w:r w:rsidR="00A14353" w:rsidRPr="00A14353">
          <w:rPr>
            <w:rStyle w:val="Hyperlink"/>
            <w:color w:val="auto"/>
          </w:rPr>
          <w:t>2.</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Operating and Maintenance Costs of Gas-Fired Resources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_Toc471319041 \h </w:instrText>
        </w:r>
        <w:r w:rsidR="00A14353" w:rsidRPr="00A14353">
          <w:rPr>
            <w:webHidden/>
            <w:color w:val="auto"/>
          </w:rPr>
        </w:r>
        <w:r w:rsidR="00A14353" w:rsidRPr="00A14353">
          <w:rPr>
            <w:webHidden/>
            <w:color w:val="auto"/>
          </w:rPr>
          <w:fldChar w:fldCharType="separate"/>
        </w:r>
        <w:r w:rsidR="00EB0B4D">
          <w:rPr>
            <w:webHidden/>
            <w:color w:val="auto"/>
          </w:rPr>
          <w:t>60</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42" w:history="1">
        <w:r w:rsidR="00A14353" w:rsidRPr="00A14353">
          <w:rPr>
            <w:rStyle w:val="Hyperlink"/>
            <w:color w:val="auto"/>
          </w:rPr>
          <w:t>3.</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Projected Hydro Availability</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_Toc471319042 \h </w:instrText>
        </w:r>
        <w:r w:rsidR="00A14353" w:rsidRPr="00A14353">
          <w:rPr>
            <w:webHidden/>
            <w:color w:val="auto"/>
          </w:rPr>
        </w:r>
        <w:r w:rsidR="00A14353" w:rsidRPr="00A14353">
          <w:rPr>
            <w:webHidden/>
            <w:color w:val="auto"/>
          </w:rPr>
          <w:fldChar w:fldCharType="separate"/>
        </w:r>
        <w:r w:rsidR="00EB0B4D">
          <w:rPr>
            <w:webHidden/>
            <w:color w:val="auto"/>
          </w:rPr>
          <w:t>64</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43" w:history="1">
        <w:r w:rsidR="00A14353" w:rsidRPr="00A14353">
          <w:rPr>
            <w:rStyle w:val="Hyperlink"/>
            <w:color w:val="auto"/>
          </w:rPr>
          <w:t>4.</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Natural Gas Prices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_Toc471319043 \h </w:instrText>
        </w:r>
        <w:r w:rsidR="00A14353" w:rsidRPr="00A14353">
          <w:rPr>
            <w:webHidden/>
            <w:color w:val="auto"/>
          </w:rPr>
        </w:r>
        <w:r w:rsidR="00A14353" w:rsidRPr="00A14353">
          <w:rPr>
            <w:webHidden/>
            <w:color w:val="auto"/>
          </w:rPr>
          <w:fldChar w:fldCharType="separate"/>
        </w:r>
        <w:r w:rsidR="00EB0B4D">
          <w:rPr>
            <w:webHidden/>
            <w:color w:val="auto"/>
          </w:rPr>
          <w:t>65</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44" w:history="1">
        <w:r w:rsidR="00A14353" w:rsidRPr="00A14353">
          <w:rPr>
            <w:rStyle w:val="Hyperlink"/>
            <w:color w:val="auto"/>
          </w:rPr>
          <w:t>5.</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Projected Wind Generation</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_Toc471319044 \h </w:instrText>
        </w:r>
        <w:r w:rsidR="00A14353" w:rsidRPr="00A14353">
          <w:rPr>
            <w:webHidden/>
            <w:color w:val="auto"/>
          </w:rPr>
        </w:r>
        <w:r w:rsidR="00A14353" w:rsidRPr="00A14353">
          <w:rPr>
            <w:webHidden/>
            <w:color w:val="auto"/>
          </w:rPr>
          <w:fldChar w:fldCharType="separate"/>
        </w:r>
        <w:r w:rsidR="00EB0B4D">
          <w:rPr>
            <w:webHidden/>
            <w:color w:val="auto"/>
          </w:rPr>
          <w:t>70</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45" w:history="1">
        <w:r w:rsidR="00A14353" w:rsidRPr="00A14353">
          <w:rPr>
            <w:rStyle w:val="Hyperlink"/>
            <w:color w:val="auto"/>
          </w:rPr>
          <w:t>6.</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Load Forecast</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_Toc471319045 \h </w:instrText>
        </w:r>
        <w:r w:rsidR="00A14353" w:rsidRPr="00A14353">
          <w:rPr>
            <w:webHidden/>
            <w:color w:val="auto"/>
          </w:rPr>
        </w:r>
        <w:r w:rsidR="00A14353" w:rsidRPr="00A14353">
          <w:rPr>
            <w:webHidden/>
            <w:color w:val="auto"/>
          </w:rPr>
          <w:fldChar w:fldCharType="separate"/>
        </w:r>
        <w:r w:rsidR="00EB0B4D">
          <w:rPr>
            <w:webHidden/>
            <w:color w:val="auto"/>
          </w:rPr>
          <w:t>72</w:t>
        </w:r>
        <w:r w:rsidR="00A14353" w:rsidRPr="00A14353">
          <w:rPr>
            <w:webHidden/>
            <w:color w:val="auto"/>
          </w:rPr>
          <w:fldChar w:fldCharType="end"/>
        </w:r>
      </w:hyperlink>
    </w:p>
    <w:p w:rsidR="00A14353" w:rsidRPr="00A14353" w:rsidRDefault="0003665B">
      <w:pPr>
        <w:pStyle w:val="TOC3"/>
        <w:rPr>
          <w:rFonts w:asciiTheme="minorHAnsi" w:eastAsiaTheme="minorEastAsia" w:hAnsiTheme="minorHAnsi" w:cstheme="minorBidi"/>
          <w:color w:val="auto"/>
          <w:sz w:val="22"/>
          <w:szCs w:val="22"/>
          <w:lang w:eastAsia="en-US"/>
        </w:rPr>
      </w:pPr>
      <w:hyperlink w:anchor="_Toc471319046" w:history="1">
        <w:r w:rsidR="00A14353" w:rsidRPr="00A14353">
          <w:rPr>
            <w:rStyle w:val="Hyperlink"/>
            <w:color w:val="auto"/>
          </w:rPr>
          <w:t>7.</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Clean Air Rule</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_Toc471319046 \h </w:instrText>
        </w:r>
        <w:r w:rsidR="00A14353" w:rsidRPr="00A14353">
          <w:rPr>
            <w:webHidden/>
            <w:color w:val="auto"/>
          </w:rPr>
        </w:r>
        <w:r w:rsidR="00A14353" w:rsidRPr="00A14353">
          <w:rPr>
            <w:webHidden/>
            <w:color w:val="auto"/>
          </w:rPr>
          <w:fldChar w:fldCharType="separate"/>
        </w:r>
        <w:r w:rsidR="00EB0B4D">
          <w:rPr>
            <w:webHidden/>
            <w:color w:val="auto"/>
          </w:rPr>
          <w:t>73</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47" w:history="1">
        <w:r w:rsidR="00A14353" w:rsidRPr="00A14353">
          <w:rPr>
            <w:rStyle w:val="Hyperlink"/>
            <w:color w:val="auto"/>
          </w:rPr>
          <w:t>X.</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COMPARISON OF PROJECTED POWER COSTS TO THE PROJECTED POWER COSTS CURRENTLY IN RATES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_Toc471319047 \h </w:instrText>
        </w:r>
        <w:r w:rsidR="00A14353" w:rsidRPr="00A14353">
          <w:rPr>
            <w:webHidden/>
            <w:color w:val="auto"/>
          </w:rPr>
        </w:r>
        <w:r w:rsidR="00A14353" w:rsidRPr="00A14353">
          <w:rPr>
            <w:webHidden/>
            <w:color w:val="auto"/>
          </w:rPr>
          <w:fldChar w:fldCharType="separate"/>
        </w:r>
        <w:r w:rsidR="00EB0B4D">
          <w:rPr>
            <w:webHidden/>
            <w:color w:val="auto"/>
          </w:rPr>
          <w:t>74</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48" w:history="1">
        <w:r w:rsidR="00A14353" w:rsidRPr="00A14353">
          <w:rPr>
            <w:rStyle w:val="Hyperlink"/>
            <w:color w:val="auto"/>
          </w:rPr>
          <w:t>XI.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STATUS OF WHITE RIVER SURPLUS PROPERTIES</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_Toc471319048 \h </w:instrText>
        </w:r>
        <w:r w:rsidR="00A14353" w:rsidRPr="00A14353">
          <w:rPr>
            <w:webHidden/>
            <w:color w:val="auto"/>
          </w:rPr>
        </w:r>
        <w:r w:rsidR="00A14353" w:rsidRPr="00A14353">
          <w:rPr>
            <w:webHidden/>
            <w:color w:val="auto"/>
          </w:rPr>
          <w:fldChar w:fldCharType="separate"/>
        </w:r>
        <w:r w:rsidR="00EB0B4D">
          <w:rPr>
            <w:webHidden/>
            <w:color w:val="auto"/>
          </w:rPr>
          <w:t>76</w:t>
        </w:r>
        <w:r w:rsidR="00A14353" w:rsidRPr="00A14353">
          <w:rPr>
            <w:webHidden/>
            <w:color w:val="auto"/>
          </w:rPr>
          <w:fldChar w:fldCharType="end"/>
        </w:r>
      </w:hyperlink>
    </w:p>
    <w:p w:rsidR="00A14353" w:rsidRPr="00A14353" w:rsidRDefault="0003665B">
      <w:pPr>
        <w:pStyle w:val="TOC1"/>
        <w:rPr>
          <w:rFonts w:asciiTheme="minorHAnsi" w:eastAsiaTheme="minorEastAsia" w:hAnsiTheme="minorHAnsi" w:cstheme="minorBidi"/>
          <w:color w:val="auto"/>
          <w:sz w:val="22"/>
          <w:szCs w:val="22"/>
          <w:lang w:eastAsia="en-US"/>
        </w:rPr>
      </w:pPr>
      <w:hyperlink w:anchor="_Toc471319049" w:history="1">
        <w:r w:rsidR="00A14353" w:rsidRPr="00A14353">
          <w:rPr>
            <w:rStyle w:val="Hyperlink"/>
            <w:color w:val="auto"/>
          </w:rPr>
          <w:t>XII.</w:t>
        </w:r>
        <w:r w:rsidR="00A14353" w:rsidRPr="00A14353">
          <w:rPr>
            <w:rFonts w:asciiTheme="minorHAnsi" w:eastAsiaTheme="minorEastAsia" w:hAnsiTheme="minorHAnsi" w:cstheme="minorBidi"/>
            <w:color w:val="auto"/>
            <w:sz w:val="22"/>
            <w:szCs w:val="22"/>
            <w:lang w:eastAsia="en-US"/>
          </w:rPr>
          <w:tab/>
        </w:r>
        <w:r w:rsidR="00A14353" w:rsidRPr="00A14353">
          <w:rPr>
            <w:rStyle w:val="Hyperlink"/>
            <w:color w:val="auto"/>
          </w:rPr>
          <w:t>CONCLUSION</w:t>
        </w:r>
        <w:r w:rsidR="00A14353" w:rsidRPr="00A14353">
          <w:rPr>
            <w:webHidden/>
            <w:color w:val="auto"/>
          </w:rPr>
          <w:tab/>
        </w:r>
        <w:r w:rsidR="00A14353" w:rsidRPr="00A14353">
          <w:rPr>
            <w:webHidden/>
            <w:color w:val="auto"/>
          </w:rPr>
          <w:fldChar w:fldCharType="begin"/>
        </w:r>
        <w:r w:rsidR="00A14353" w:rsidRPr="00A14353">
          <w:rPr>
            <w:webHidden/>
            <w:color w:val="auto"/>
          </w:rPr>
          <w:instrText xml:space="preserve"> PAGEREF _Toc471319049 \h </w:instrText>
        </w:r>
        <w:r w:rsidR="00A14353" w:rsidRPr="00A14353">
          <w:rPr>
            <w:webHidden/>
            <w:color w:val="auto"/>
          </w:rPr>
        </w:r>
        <w:r w:rsidR="00A14353" w:rsidRPr="00A14353">
          <w:rPr>
            <w:webHidden/>
            <w:color w:val="auto"/>
          </w:rPr>
          <w:fldChar w:fldCharType="separate"/>
        </w:r>
        <w:r w:rsidR="00EB0B4D">
          <w:rPr>
            <w:webHidden/>
            <w:color w:val="auto"/>
          </w:rPr>
          <w:t>82</w:t>
        </w:r>
        <w:r w:rsidR="00A14353" w:rsidRPr="00A14353">
          <w:rPr>
            <w:webHidden/>
            <w:color w:val="auto"/>
          </w:rPr>
          <w:fldChar w:fldCharType="end"/>
        </w:r>
      </w:hyperlink>
    </w:p>
    <w:p w:rsidR="00FC7A2F" w:rsidRPr="00E139E7" w:rsidRDefault="00FC7A2F" w:rsidP="00B91E54">
      <w:pPr>
        <w:pStyle w:val="TOC1"/>
        <w:tabs>
          <w:tab w:val="clear" w:pos="8640"/>
          <w:tab w:val="clear" w:pos="9000"/>
          <w:tab w:val="left" w:leader="dot" w:pos="8280"/>
        </w:tabs>
        <w:spacing w:line="240" w:lineRule="auto"/>
        <w:rPr>
          <w:color w:val="auto"/>
        </w:rPr>
      </w:pPr>
      <w:r w:rsidRPr="00A14353">
        <w:rPr>
          <w:color w:val="auto"/>
        </w:rPr>
        <w:fldChar w:fldCharType="end"/>
      </w:r>
    </w:p>
    <w:p w:rsidR="00F12DC2" w:rsidRPr="00E139E7" w:rsidRDefault="00F12DC2" w:rsidP="00BF05CC">
      <w:pPr>
        <w:pStyle w:val="TOC1"/>
        <w:keepNext/>
        <w:rPr>
          <w:color w:val="auto"/>
        </w:rPr>
        <w:sectPr w:rsidR="00F12DC2" w:rsidRPr="00E139E7" w:rsidSect="003E15A5">
          <w:headerReference w:type="default" r:id="rId17"/>
          <w:footerReference w:type="default" r:id="rId18"/>
          <w:footerReference w:type="first" r:id="rId19"/>
          <w:pgSz w:w="12240" w:h="15840" w:code="1"/>
          <w:pgMar w:top="1440" w:right="1440" w:bottom="1440" w:left="2160" w:header="864" w:footer="576" w:gutter="0"/>
          <w:pgNumType w:fmt="lowerRoman" w:start="1"/>
          <w:cols w:space="720"/>
        </w:sectPr>
      </w:pPr>
    </w:p>
    <w:p w:rsidR="00C15079" w:rsidRPr="00E139E7" w:rsidRDefault="00C15079" w:rsidP="00C15079">
      <w:pPr>
        <w:keepNext/>
        <w:spacing w:before="240" w:after="480"/>
        <w:ind w:left="720" w:right="720"/>
        <w:jc w:val="center"/>
        <w:rPr>
          <w:rStyle w:val="Strong"/>
          <w:rFonts w:eastAsia="SimSun"/>
        </w:rPr>
      </w:pPr>
      <w:bookmarkStart w:id="6" w:name="_Toc117411518"/>
      <w:bookmarkStart w:id="7" w:name="_Toc125892215"/>
      <w:bookmarkStart w:id="8" w:name="_Toc126495831"/>
      <w:r w:rsidRPr="00E139E7">
        <w:rPr>
          <w:rStyle w:val="Strong"/>
          <w:rFonts w:eastAsia="SimSun"/>
        </w:rPr>
        <w:lastRenderedPageBreak/>
        <w:t>PUGET SOUND ENERGY</w:t>
      </w:r>
    </w:p>
    <w:p w:rsidR="00517897" w:rsidRPr="00B95BF1" w:rsidRDefault="00C15079" w:rsidP="005E5570">
      <w:pPr>
        <w:keepNext/>
        <w:spacing w:before="240" w:after="480"/>
        <w:jc w:val="center"/>
        <w:rPr>
          <w:rStyle w:val="Strong"/>
          <w:rFonts w:eastAsia="SimSun"/>
          <w:b w:val="0"/>
        </w:rPr>
      </w:pPr>
      <w:bookmarkStart w:id="9" w:name="_Toc161487050"/>
      <w:bookmarkStart w:id="10" w:name="_Toc162007393"/>
      <w:bookmarkStart w:id="11" w:name="_Toc181442358"/>
      <w:bookmarkStart w:id="12" w:name="_Toc179284150"/>
      <w:bookmarkStart w:id="13" w:name="_Toc182774604"/>
      <w:proofErr w:type="spellStart"/>
      <w:r w:rsidRPr="00EF16DB">
        <w:rPr>
          <w:rStyle w:val="Strong"/>
          <w:rFonts w:eastAsia="SimSun"/>
        </w:rPr>
        <w:t>PREFILED</w:t>
      </w:r>
      <w:proofErr w:type="spellEnd"/>
      <w:r w:rsidRPr="00EF16DB">
        <w:rPr>
          <w:rStyle w:val="Strong"/>
          <w:rFonts w:eastAsia="SimSun"/>
        </w:rPr>
        <w:t xml:space="preserve"> </w:t>
      </w:r>
      <w:r>
        <w:rPr>
          <w:rStyle w:val="Strong"/>
          <w:rFonts w:eastAsia="SimSun"/>
        </w:rPr>
        <w:t xml:space="preserve">DIRECT </w:t>
      </w:r>
      <w:r w:rsidRPr="00EF16DB">
        <w:rPr>
          <w:rStyle w:val="Strong"/>
          <w:rFonts w:eastAsia="SimSun"/>
        </w:rPr>
        <w:t xml:space="preserve">TESTIMONY </w:t>
      </w:r>
      <w:r w:rsidRPr="00EF16DB">
        <w:rPr>
          <w:rFonts w:eastAsia="SimSun"/>
          <w:b/>
          <w:color w:val="000000"/>
        </w:rPr>
        <w:t xml:space="preserve">(CONFIDENTIAL) </w:t>
      </w:r>
      <w:r w:rsidRPr="00EF16DB">
        <w:rPr>
          <w:rStyle w:val="Strong"/>
          <w:rFonts w:eastAsia="SimSun"/>
        </w:rPr>
        <w:t>OF</w:t>
      </w:r>
      <w:r w:rsidRPr="00EF16DB">
        <w:rPr>
          <w:rStyle w:val="Strong"/>
          <w:rFonts w:eastAsia="SimSun"/>
          <w:b w:val="0"/>
        </w:rPr>
        <w:br/>
      </w:r>
      <w:r w:rsidR="00BC57A0">
        <w:rPr>
          <w:b/>
          <w:szCs w:val="20"/>
          <w:lang w:eastAsia="zh-CN"/>
        </w:rPr>
        <w:t>PAUL K. WETHERBEE</w:t>
      </w:r>
    </w:p>
    <w:p w:rsidR="00866BF4" w:rsidRDefault="00866BF4" w:rsidP="00866BF4">
      <w:pPr>
        <w:pStyle w:val="Heading1"/>
      </w:pPr>
      <w:bookmarkStart w:id="14" w:name="_Toc471319017"/>
      <w:bookmarkStart w:id="15" w:name="_Toc126768441"/>
      <w:bookmarkStart w:id="16" w:name="_Toc143679892"/>
      <w:bookmarkEnd w:id="6"/>
      <w:bookmarkEnd w:id="7"/>
      <w:bookmarkEnd w:id="8"/>
      <w:bookmarkEnd w:id="9"/>
      <w:bookmarkEnd w:id="10"/>
      <w:bookmarkEnd w:id="11"/>
      <w:bookmarkEnd w:id="12"/>
      <w:bookmarkEnd w:id="13"/>
      <w:r>
        <w:t>I.</w:t>
      </w:r>
      <w:r>
        <w:tab/>
        <w:t>INTRODUCTION</w:t>
      </w:r>
      <w:bookmarkEnd w:id="14"/>
    </w:p>
    <w:p w:rsidR="00866BF4" w:rsidRDefault="00866BF4" w:rsidP="00866BF4">
      <w:pPr>
        <w:pStyle w:val="question"/>
      </w:pPr>
      <w:r>
        <w:t>Q.</w:t>
      </w:r>
      <w:r>
        <w:tab/>
        <w:t>Please state your name, business address, and position with Puget Sound Energy.</w:t>
      </w:r>
    </w:p>
    <w:p w:rsidR="00866BF4" w:rsidRDefault="00866BF4" w:rsidP="00866BF4">
      <w:pPr>
        <w:pStyle w:val="answer"/>
      </w:pPr>
      <w:r>
        <w:t>A.</w:t>
      </w:r>
      <w:r>
        <w:tab/>
        <w:t xml:space="preserve">My name is </w:t>
      </w:r>
      <w:r w:rsidR="00BC57A0">
        <w:t>Paul K. Wetherbee</w:t>
      </w:r>
      <w:r>
        <w:t>.</w:t>
      </w:r>
      <w:r w:rsidR="00404C71">
        <w:t xml:space="preserve"> </w:t>
      </w:r>
      <w:r>
        <w:t>My business address is 10885 NE Fourth Street, P.O. Box 97034, Bellevue, WA 98009-9734.</w:t>
      </w:r>
      <w:r w:rsidR="00404C71">
        <w:t xml:space="preserve"> </w:t>
      </w:r>
      <w:r>
        <w:t xml:space="preserve">I am the Director, Energy Supply </w:t>
      </w:r>
      <w:r w:rsidR="00BA6364">
        <w:t>Merchant</w:t>
      </w:r>
      <w:r w:rsidR="004E2ED8">
        <w:t xml:space="preserve"> for Puget Sound Energy</w:t>
      </w:r>
      <w:r>
        <w:t xml:space="preserve"> (</w:t>
      </w:r>
      <w:r w:rsidR="009F02BA">
        <w:t>“</w:t>
      </w:r>
      <w:r>
        <w:t>PSE</w:t>
      </w:r>
      <w:r w:rsidR="009F02BA">
        <w:t>”</w:t>
      </w:r>
      <w:r>
        <w:t>).</w:t>
      </w:r>
    </w:p>
    <w:p w:rsidR="00866BF4" w:rsidRDefault="00866BF4" w:rsidP="00866BF4">
      <w:pPr>
        <w:pStyle w:val="question"/>
      </w:pPr>
      <w:r>
        <w:t>Q.</w:t>
      </w:r>
      <w:r>
        <w:tab/>
        <w:t>Have you prepared an exhibit describing your education, relevant employment experience, and other professional qualifications?</w:t>
      </w:r>
    </w:p>
    <w:p w:rsidR="00866BF4" w:rsidRDefault="00866BF4" w:rsidP="00866BF4">
      <w:pPr>
        <w:pStyle w:val="answer"/>
      </w:pPr>
      <w:r>
        <w:t>A.</w:t>
      </w:r>
      <w:r>
        <w:tab/>
        <w:t>Yes, I have.</w:t>
      </w:r>
      <w:r w:rsidR="00404C71">
        <w:t xml:space="preserve"> </w:t>
      </w:r>
      <w:r>
        <w:t>It is Exhibit No.</w:t>
      </w:r>
      <w:r w:rsidR="00CC65A7">
        <w:t> </w:t>
      </w:r>
      <w:r>
        <w:t>___(</w:t>
      </w:r>
      <w:r w:rsidR="00BC57A0">
        <w:t>PKW</w:t>
      </w:r>
      <w:r>
        <w:t>-2).</w:t>
      </w:r>
    </w:p>
    <w:p w:rsidR="00866BF4" w:rsidRDefault="00866BF4" w:rsidP="00866BF4">
      <w:pPr>
        <w:pStyle w:val="question"/>
      </w:pPr>
      <w:r>
        <w:t>Q.</w:t>
      </w:r>
      <w:r>
        <w:tab/>
        <w:t xml:space="preserve">What are your duties as </w:t>
      </w:r>
      <w:r w:rsidR="00827831">
        <w:t xml:space="preserve">Director, Energy Supply </w:t>
      </w:r>
      <w:r w:rsidR="00BA6364">
        <w:t>Merchant</w:t>
      </w:r>
      <w:r w:rsidR="00827831">
        <w:t xml:space="preserve"> </w:t>
      </w:r>
      <w:r>
        <w:t>at PSE?</w:t>
      </w:r>
    </w:p>
    <w:p w:rsidR="0028229C" w:rsidRDefault="00866BF4" w:rsidP="00866BF4">
      <w:pPr>
        <w:pStyle w:val="answer"/>
      </w:pPr>
      <w:r>
        <w:t>A.</w:t>
      </w:r>
      <w:r>
        <w:tab/>
        <w:t xml:space="preserve">As </w:t>
      </w:r>
      <w:r w:rsidR="00827831">
        <w:t xml:space="preserve">Director, Energy Supply </w:t>
      </w:r>
      <w:r w:rsidR="00BA6364">
        <w:t>Merchant</w:t>
      </w:r>
      <w:r>
        <w:t xml:space="preserve">, my responsibilities include </w:t>
      </w:r>
      <w:r w:rsidR="0028229C">
        <w:t>the following:</w:t>
      </w:r>
    </w:p>
    <w:p w:rsidR="0028229C" w:rsidRDefault="0028229C" w:rsidP="0028229C">
      <w:pPr>
        <w:pStyle w:val="List"/>
      </w:pPr>
      <w:r>
        <w:t>(i)</w:t>
      </w:r>
      <w:r>
        <w:tab/>
      </w:r>
      <w:r w:rsidR="00866BF4">
        <w:t xml:space="preserve">managing </w:t>
      </w:r>
      <w:r w:rsidR="00BA6364">
        <w:t>the dispatch of PSE</w:t>
      </w:r>
      <w:r w:rsidR="009F02BA">
        <w:t>’</w:t>
      </w:r>
      <w:r w:rsidR="00BA6364">
        <w:t>s portfolio of generation assets, related transmission, and associated environmental attributes</w:t>
      </w:r>
      <w:r w:rsidR="00866BF4">
        <w:t>;</w:t>
      </w:r>
    </w:p>
    <w:p w:rsidR="0028229C" w:rsidRDefault="0028229C" w:rsidP="0028229C">
      <w:pPr>
        <w:pStyle w:val="List"/>
      </w:pPr>
      <w:r>
        <w:t>(ii)</w:t>
      </w:r>
      <w:r>
        <w:tab/>
      </w:r>
      <w:r w:rsidR="00866BF4">
        <w:t xml:space="preserve">directing the </w:t>
      </w:r>
      <w:r w:rsidR="00BA6364">
        <w:t>Front Office power and gas trading operations and the hedging program functions</w:t>
      </w:r>
      <w:r w:rsidR="00866BF4">
        <w:t>; and</w:t>
      </w:r>
    </w:p>
    <w:p w:rsidR="00866BF4" w:rsidRDefault="00BA6364" w:rsidP="0028229C">
      <w:pPr>
        <w:pStyle w:val="List"/>
      </w:pPr>
      <w:r>
        <w:t>(iii</w:t>
      </w:r>
      <w:r w:rsidR="0028229C">
        <w:t>)</w:t>
      </w:r>
      <w:r w:rsidR="0028229C">
        <w:tab/>
      </w:r>
      <w:r w:rsidR="00866BF4">
        <w:t xml:space="preserve">oversight of the </w:t>
      </w:r>
      <w:r>
        <w:t>long-term gas transport capacity position</w:t>
      </w:r>
      <w:r w:rsidR="00866BF4">
        <w:t>.</w:t>
      </w:r>
    </w:p>
    <w:p w:rsidR="00866BF4" w:rsidRDefault="00866BF4" w:rsidP="00866BF4">
      <w:pPr>
        <w:pStyle w:val="question"/>
      </w:pPr>
      <w:r>
        <w:lastRenderedPageBreak/>
        <w:t>Q.</w:t>
      </w:r>
      <w:r>
        <w:tab/>
        <w:t xml:space="preserve">What is the nature of your </w:t>
      </w:r>
      <w:proofErr w:type="spellStart"/>
      <w:r>
        <w:t>prefiled</w:t>
      </w:r>
      <w:proofErr w:type="spellEnd"/>
      <w:r>
        <w:t xml:space="preserve"> direct testimony in this proceeding?</w:t>
      </w:r>
    </w:p>
    <w:p w:rsidR="00866BF4" w:rsidRDefault="00866BF4" w:rsidP="00866BF4">
      <w:pPr>
        <w:pStyle w:val="answer"/>
      </w:pPr>
      <w:r>
        <w:t>A.</w:t>
      </w:r>
      <w:r>
        <w:tab/>
        <w:t xml:space="preserve">This </w:t>
      </w:r>
      <w:proofErr w:type="spellStart"/>
      <w:r>
        <w:t>prefiled</w:t>
      </w:r>
      <w:proofErr w:type="spellEnd"/>
      <w:r>
        <w:t xml:space="preserve"> direct testimony addresses the following issues relevant to power costs for this proceeding</w:t>
      </w:r>
      <w:r w:rsidR="009F02BA">
        <w:t>’</w:t>
      </w:r>
      <w:r>
        <w:t>s rate year</w:t>
      </w:r>
      <w:r w:rsidR="0028229C">
        <w:t>—</w:t>
      </w:r>
      <w:r w:rsidR="00BC57A0">
        <w:t>January</w:t>
      </w:r>
      <w:r w:rsidR="0028229C">
        <w:t> </w:t>
      </w:r>
      <w:r>
        <w:t>1, 201</w:t>
      </w:r>
      <w:r w:rsidR="00BC57A0">
        <w:t>8</w:t>
      </w:r>
      <w:r>
        <w:t xml:space="preserve"> through </w:t>
      </w:r>
      <w:r w:rsidR="00BC57A0">
        <w:t>December</w:t>
      </w:r>
      <w:r w:rsidR="0028229C">
        <w:t> </w:t>
      </w:r>
      <w:r w:rsidR="00BC57A0">
        <w:t>31</w:t>
      </w:r>
      <w:r>
        <w:t xml:space="preserve">, 2018 (the </w:t>
      </w:r>
      <w:r w:rsidR="009F02BA">
        <w:t>“</w:t>
      </w:r>
      <w:r>
        <w:t>rate year</w:t>
      </w:r>
      <w:r w:rsidR="009F02BA">
        <w:t>”</w:t>
      </w:r>
      <w:r>
        <w:t>):</w:t>
      </w:r>
    </w:p>
    <w:p w:rsidR="00866BF4" w:rsidRDefault="00866BF4" w:rsidP="00866BF4">
      <w:pPr>
        <w:pStyle w:val="List"/>
      </w:pPr>
      <w:r>
        <w:t>(i)</w:t>
      </w:r>
      <w:r>
        <w:tab/>
        <w:t>PSE</w:t>
      </w:r>
      <w:r w:rsidR="009F02BA">
        <w:t>’</w:t>
      </w:r>
      <w:r>
        <w:t>s power portfolio</w:t>
      </w:r>
      <w:r w:rsidR="00404C71">
        <w:t xml:space="preserve"> </w:t>
      </w:r>
      <w:r>
        <w:t>risks;</w:t>
      </w:r>
      <w:r w:rsidR="009573C0">
        <w:rPr>
          <w:rStyle w:val="FootnoteReference"/>
        </w:rPr>
        <w:footnoteReference w:id="2"/>
      </w:r>
    </w:p>
    <w:p w:rsidR="00866BF4" w:rsidRDefault="00866BF4" w:rsidP="00866BF4">
      <w:pPr>
        <w:pStyle w:val="List"/>
      </w:pPr>
      <w:r>
        <w:t>(ii)</w:t>
      </w:r>
      <w:r>
        <w:tab/>
        <w:t>PSE</w:t>
      </w:r>
      <w:r w:rsidR="009F02BA">
        <w:t>’</w:t>
      </w:r>
      <w:r>
        <w:t>s structures and policies to manage these risks, including, but not limited to, hedging strategies;</w:t>
      </w:r>
    </w:p>
    <w:p w:rsidR="00866BF4" w:rsidRDefault="00866BF4" w:rsidP="00866BF4">
      <w:pPr>
        <w:pStyle w:val="List"/>
      </w:pPr>
      <w:r>
        <w:t>(iii)</w:t>
      </w:r>
      <w:r>
        <w:tab/>
        <w:t>the impact of the BPA</w:t>
      </w:r>
      <w:r w:rsidR="009F02BA">
        <w:t>’</w:t>
      </w:r>
      <w:r>
        <w:t>s upcoming rate proceeding and renewal of and additions to PSE</w:t>
      </w:r>
      <w:r w:rsidR="009F02BA">
        <w:t>’</w:t>
      </w:r>
      <w:r>
        <w:t>s transmission contracts with BPA;</w:t>
      </w:r>
    </w:p>
    <w:p w:rsidR="00866BF4" w:rsidRDefault="00866BF4" w:rsidP="00866BF4">
      <w:pPr>
        <w:pStyle w:val="List"/>
      </w:pPr>
      <w:r>
        <w:t>(</w:t>
      </w:r>
      <w:r w:rsidR="00F33FA5">
        <w:t>iv)</w:t>
      </w:r>
      <w:r w:rsidR="00F33FA5">
        <w:tab/>
        <w:t>the impact of PSE</w:t>
      </w:r>
      <w:r w:rsidR="009F02BA">
        <w:t>’</w:t>
      </w:r>
      <w:r w:rsidR="00F33FA5">
        <w:t>s new gas-</w:t>
      </w:r>
      <w:r>
        <w:t>for</w:t>
      </w:r>
      <w:r w:rsidR="00F33FA5">
        <w:t>-</w:t>
      </w:r>
      <w:r>
        <w:t>power transportation contracts which provide access to natural gas resources for its natural gas-fired generation facilities;</w:t>
      </w:r>
    </w:p>
    <w:p w:rsidR="00BC57A0" w:rsidRDefault="00BC57A0" w:rsidP="00866BF4">
      <w:pPr>
        <w:pStyle w:val="List"/>
      </w:pPr>
      <w:r>
        <w:t>(v)</w:t>
      </w:r>
      <w:r>
        <w:tab/>
        <w:t>PSE</w:t>
      </w:r>
      <w:r w:rsidR="009F02BA">
        <w:t>’</w:t>
      </w:r>
      <w:r>
        <w:t>s involvement in</w:t>
      </w:r>
      <w:r w:rsidR="004F7432" w:rsidRPr="004F7432">
        <w:t xml:space="preserve"> </w:t>
      </w:r>
      <w:r w:rsidR="004F7432">
        <w:t>the</w:t>
      </w:r>
      <w:r w:rsidR="00827831">
        <w:t xml:space="preserve"> CAISO</w:t>
      </w:r>
      <w:r w:rsidR="004F7432">
        <w:t xml:space="preserve"> Energy Imbalance Market (</w:t>
      </w:r>
      <w:r w:rsidR="009F02BA">
        <w:t>“</w:t>
      </w:r>
      <w:r w:rsidR="004F7432">
        <w:t>EIM</w:t>
      </w:r>
      <w:r w:rsidR="009F02BA">
        <w:t>”</w:t>
      </w:r>
      <w:r w:rsidR="004F7432">
        <w:t xml:space="preserve">) and </w:t>
      </w:r>
      <w:r>
        <w:t>the treatment of PSE</w:t>
      </w:r>
      <w:r w:rsidR="009F02BA">
        <w:t>’</w:t>
      </w:r>
      <w:r>
        <w:t>s costs associated with</w:t>
      </w:r>
      <w:r w:rsidR="004F7432">
        <w:t xml:space="preserve"> the EIM</w:t>
      </w:r>
      <w:r>
        <w:t xml:space="preserve"> in </w:t>
      </w:r>
      <w:r w:rsidR="004F7432">
        <w:t>power costs</w:t>
      </w:r>
      <w:r>
        <w:t xml:space="preserve"> in this proceeding;</w:t>
      </w:r>
    </w:p>
    <w:p w:rsidR="00BC57A0" w:rsidRDefault="00BC57A0" w:rsidP="00866BF4">
      <w:pPr>
        <w:pStyle w:val="List"/>
      </w:pPr>
      <w:r>
        <w:t>(vi)</w:t>
      </w:r>
      <w:r>
        <w:tab/>
        <w:t>the impact of Washington</w:t>
      </w:r>
      <w:r w:rsidR="009F02BA">
        <w:t>’</w:t>
      </w:r>
      <w:r>
        <w:t xml:space="preserve">s Clean Air Rule </w:t>
      </w:r>
      <w:r w:rsidR="001C4EBE">
        <w:t>(</w:t>
      </w:r>
      <w:r w:rsidR="009F02BA">
        <w:t>“</w:t>
      </w:r>
      <w:r w:rsidR="001C4EBE">
        <w:t>CAR</w:t>
      </w:r>
      <w:r w:rsidR="009F02BA">
        <w:t>”</w:t>
      </w:r>
      <w:r w:rsidR="001C4EBE">
        <w:t xml:space="preserve">) </w:t>
      </w:r>
      <w:r>
        <w:t>on PSE</w:t>
      </w:r>
      <w:r w:rsidR="009F02BA">
        <w:t>’</w:t>
      </w:r>
      <w:r>
        <w:t>s energy supply operations;</w:t>
      </w:r>
    </w:p>
    <w:p w:rsidR="00866BF4" w:rsidRDefault="009F02BA" w:rsidP="00866BF4">
      <w:pPr>
        <w:pStyle w:val="List"/>
      </w:pPr>
      <w:r>
        <w:t>s</w:t>
      </w:r>
      <w:r w:rsidR="00866BF4">
        <w:t>(</w:t>
      </w:r>
      <w:r w:rsidR="00E6746A">
        <w:t>vii</w:t>
      </w:r>
      <w:r w:rsidR="00866BF4">
        <w:t>)</w:t>
      </w:r>
      <w:r w:rsidR="00866BF4">
        <w:tab/>
        <w:t>PSE</w:t>
      </w:r>
      <w:r>
        <w:t>’</w:t>
      </w:r>
      <w:r w:rsidR="00866BF4">
        <w:t>s projected rate year power costs for this proceeding, including changes in resources available to PSE to meet customer demand</w:t>
      </w:r>
      <w:r w:rsidR="00CC65A7">
        <w:t>;</w:t>
      </w:r>
    </w:p>
    <w:p w:rsidR="00866BF4" w:rsidRDefault="00866BF4" w:rsidP="00866BF4">
      <w:pPr>
        <w:pStyle w:val="List"/>
      </w:pPr>
      <w:r>
        <w:t>(</w:t>
      </w:r>
      <w:r w:rsidR="00E6746A">
        <w:t>viii</w:t>
      </w:r>
      <w:r>
        <w:t>)</w:t>
      </w:r>
      <w:r>
        <w:tab/>
        <w:t>a comparison of PSE</w:t>
      </w:r>
      <w:r w:rsidR="009F02BA">
        <w:t>’</w:t>
      </w:r>
      <w:r>
        <w:t>s projected rate year power costs for this proceeding to those currently in rates</w:t>
      </w:r>
      <w:r w:rsidR="00E6746A">
        <w:t>; and</w:t>
      </w:r>
    </w:p>
    <w:p w:rsidR="00E6746A" w:rsidRDefault="00E6746A" w:rsidP="00E6746A">
      <w:pPr>
        <w:pStyle w:val="List"/>
      </w:pPr>
      <w:r>
        <w:t>(ix)</w:t>
      </w:r>
      <w:r>
        <w:tab/>
      </w:r>
      <w:r w:rsidR="00016CF1">
        <w:t>a s</w:t>
      </w:r>
      <w:r w:rsidR="003735A0">
        <w:t>tatus</w:t>
      </w:r>
      <w:r>
        <w:t xml:space="preserve"> of </w:t>
      </w:r>
      <w:r w:rsidR="00016CF1">
        <w:t xml:space="preserve">the </w:t>
      </w:r>
      <w:r>
        <w:t xml:space="preserve">White River </w:t>
      </w:r>
      <w:r w:rsidR="00016CF1">
        <w:t>s</w:t>
      </w:r>
      <w:r>
        <w:t xml:space="preserve">urplus </w:t>
      </w:r>
      <w:r w:rsidR="00016CF1">
        <w:t>p</w:t>
      </w:r>
      <w:r>
        <w:t>roperties.</w:t>
      </w:r>
    </w:p>
    <w:p w:rsidR="0021617F" w:rsidRPr="000F0271" w:rsidRDefault="0021617F" w:rsidP="0021617F">
      <w:pPr>
        <w:pStyle w:val="question"/>
      </w:pPr>
      <w:r w:rsidRPr="000F0271">
        <w:lastRenderedPageBreak/>
        <w:t>Q.</w:t>
      </w:r>
      <w:r w:rsidRPr="000F0271">
        <w:tab/>
      </w:r>
      <w:r w:rsidRPr="00837D01">
        <w:t xml:space="preserve">What is the </w:t>
      </w:r>
      <w:r w:rsidR="009F02BA">
        <w:t>basis for the power cost</w:t>
      </w:r>
      <w:r>
        <w:t xml:space="preserve"> rates that are in place today</w:t>
      </w:r>
      <w:r w:rsidRPr="00837D01">
        <w:t>?</w:t>
      </w:r>
    </w:p>
    <w:p w:rsidR="0021617F" w:rsidRDefault="0021617F" w:rsidP="009F02BA">
      <w:pPr>
        <w:pStyle w:val="answer"/>
        <w:rPr>
          <w:b/>
          <w:bCs/>
        </w:rPr>
      </w:pPr>
      <w:r w:rsidRPr="0021617F">
        <w:t>A.</w:t>
      </w:r>
      <w:r w:rsidRPr="0021617F">
        <w:tab/>
        <w:t>In Sep</w:t>
      </w:r>
      <w:r>
        <w:t>tember</w:t>
      </w:r>
      <w:r w:rsidR="009F02BA">
        <w:rPr>
          <w:b/>
          <w:bCs/>
        </w:rPr>
        <w:t xml:space="preserve"> </w:t>
      </w:r>
      <w:r>
        <w:t>2016, in Docket UE-161135, PSE filed with the Commission a limited update to its power costs (</w:t>
      </w:r>
      <w:r w:rsidR="009F02BA">
        <w:rPr>
          <w:b/>
          <w:bCs/>
        </w:rPr>
        <w:t>“</w:t>
      </w:r>
      <w:r>
        <w:t>2016 Power Cost Update</w:t>
      </w:r>
      <w:r w:rsidR="009F02BA">
        <w:rPr>
          <w:b/>
          <w:bCs/>
        </w:rPr>
        <w:t>”</w:t>
      </w:r>
      <w:r>
        <w:t xml:space="preserve">).  These new power costs projections were based on the final power costs in the 2014 </w:t>
      </w:r>
      <w:r w:rsidR="009F02BA" w:rsidRPr="0061725F">
        <w:rPr>
          <w:bCs/>
        </w:rPr>
        <w:t>power cost only rate case</w:t>
      </w:r>
      <w:r w:rsidR="009F02BA">
        <w:rPr>
          <w:b/>
          <w:bCs/>
        </w:rPr>
        <w:t xml:space="preserve"> (“</w:t>
      </w:r>
      <w:proofErr w:type="spellStart"/>
      <w:r>
        <w:t>PCORC</w:t>
      </w:r>
      <w:proofErr w:type="spellEnd"/>
      <w:r w:rsidR="009F02BA">
        <w:rPr>
          <w:b/>
          <w:bCs/>
        </w:rPr>
        <w:t>”)</w:t>
      </w:r>
      <w:r>
        <w:t>, which was the last proceeding in which the Commission completed a full review of PSE</w:t>
      </w:r>
      <w:r w:rsidR="009F02BA">
        <w:rPr>
          <w:b/>
          <w:bCs/>
        </w:rPr>
        <w:t>’</w:t>
      </w:r>
      <w:r>
        <w:t>s power costs.  In this limited update, input assumptions related to the Centralia Coal Transition purchase power agreement, forward gas prices, and hedged volumes were updated, and power costs were re-estimated given these changes.  The rates from this update were allowed to go into effect by operation of law effective December 1, 2016.</w:t>
      </w:r>
    </w:p>
    <w:p w:rsidR="00AA701A" w:rsidRDefault="00AA701A" w:rsidP="00AA701A">
      <w:pPr>
        <w:pStyle w:val="NestedAnswer"/>
      </w:pPr>
      <w:r>
        <w:t xml:space="preserve">Because the 2016 Power Cost Update included only limited changes to the 2014 </w:t>
      </w:r>
      <w:proofErr w:type="spellStart"/>
      <w:r>
        <w:t>PCORC</w:t>
      </w:r>
      <w:proofErr w:type="spellEnd"/>
      <w:r>
        <w:t xml:space="preserve">, </w:t>
      </w:r>
      <w:r w:rsidR="00A609B9">
        <w:t>this</w:t>
      </w:r>
      <w:r>
        <w:t xml:space="preserve"> testimony describes PSE</w:t>
      </w:r>
      <w:r w:rsidR="009F02BA">
        <w:t>’</w:t>
      </w:r>
      <w:r>
        <w:t xml:space="preserve">s analysis in this proceeding relative to the analysis in the 2014 </w:t>
      </w:r>
      <w:proofErr w:type="spellStart"/>
      <w:r>
        <w:t>PCORC</w:t>
      </w:r>
      <w:proofErr w:type="spellEnd"/>
      <w:r>
        <w:t>.  Comparisons to current rates relate to the 2016 Power Cost Update.</w:t>
      </w:r>
    </w:p>
    <w:p w:rsidR="00AE6C19" w:rsidRPr="000F0271" w:rsidRDefault="00AE6C19" w:rsidP="00AE6C19">
      <w:pPr>
        <w:pStyle w:val="question"/>
      </w:pPr>
      <w:r w:rsidRPr="000F0271">
        <w:t>Q.</w:t>
      </w:r>
      <w:r w:rsidRPr="000F0271">
        <w:tab/>
      </w:r>
      <w:r>
        <w:t>How do the proposed costs compare with costs currently in rates</w:t>
      </w:r>
      <w:r w:rsidRPr="00837D01">
        <w:t>?</w:t>
      </w:r>
    </w:p>
    <w:p w:rsidR="00866BF4" w:rsidRPr="00AE6C19" w:rsidRDefault="00AE6C19" w:rsidP="009F02BA">
      <w:pPr>
        <w:pStyle w:val="answer"/>
        <w:rPr>
          <w:b/>
          <w:bCs/>
        </w:rPr>
      </w:pPr>
      <w:r w:rsidRPr="00AE6C19">
        <w:t>A.</w:t>
      </w:r>
      <w:r w:rsidRPr="00AE6C19">
        <w:tab/>
      </w:r>
      <w:r w:rsidR="00866BF4" w:rsidRPr="00AE6C19">
        <w:t>PSE</w:t>
      </w:r>
      <w:r w:rsidR="009F02BA">
        <w:rPr>
          <w:b/>
          <w:bCs/>
        </w:rPr>
        <w:t>’</w:t>
      </w:r>
      <w:r w:rsidR="00866BF4" w:rsidRPr="00AE6C19">
        <w:t xml:space="preserve">s power cost projections for the rate year are </w:t>
      </w:r>
      <w:r w:rsidR="00E42AE8" w:rsidRPr="00AE6C19">
        <w:t>higher</w:t>
      </w:r>
      <w:r w:rsidR="00866BF4" w:rsidRPr="00AE6C19">
        <w:t xml:space="preserve"> </w:t>
      </w:r>
      <w:r w:rsidR="00E42AE8" w:rsidRPr="00AE6C19">
        <w:t>than the amount set in rates</w:t>
      </w:r>
      <w:r w:rsidR="003735A0" w:rsidRPr="00AE6C19">
        <w:t xml:space="preserve"> effective</w:t>
      </w:r>
      <w:r w:rsidR="00E42AE8" w:rsidRPr="00AE6C19">
        <w:t xml:space="preserve"> December</w:t>
      </w:r>
      <w:r w:rsidR="008F6098" w:rsidRPr="00AE6C19">
        <w:t> </w:t>
      </w:r>
      <w:r w:rsidR="00E42AE8" w:rsidRPr="00AE6C19">
        <w:t xml:space="preserve">1, 2016 as a result of the </w:t>
      </w:r>
      <w:r w:rsidR="00103D80" w:rsidRPr="00AE6C19">
        <w:t>2016 Power Cost Update</w:t>
      </w:r>
      <w:r w:rsidR="00D27E51" w:rsidRPr="00AE6C19">
        <w:t xml:space="preserve"> </w:t>
      </w:r>
      <w:r w:rsidR="00866BF4" w:rsidRPr="00AE6C19">
        <w:t xml:space="preserve">by </w:t>
      </w:r>
      <w:r w:rsidR="00404C71" w:rsidRPr="00AE6C19">
        <w:t>$</w:t>
      </w:r>
      <w:r w:rsidR="00E42AE8" w:rsidRPr="00AE6C19">
        <w:t>3</w:t>
      </w:r>
      <w:r w:rsidR="001E6E1A" w:rsidRPr="00AE6C19">
        <w:t>1.2</w:t>
      </w:r>
      <w:r w:rsidR="00404C71" w:rsidRPr="00AE6C19">
        <w:t> </w:t>
      </w:r>
      <w:r w:rsidR="00866BF4" w:rsidRPr="00AE6C19">
        <w:t>million,</w:t>
      </w:r>
      <w:r w:rsidR="00404C71" w:rsidRPr="00AE6C19">
        <w:t xml:space="preserve"> </w:t>
      </w:r>
      <w:r w:rsidR="00866BF4" w:rsidRPr="00AE6C19">
        <w:t xml:space="preserve">or </w:t>
      </w:r>
      <w:r w:rsidR="001E6E1A" w:rsidRPr="00AE6C19">
        <w:t>4</w:t>
      </w:r>
      <w:r w:rsidR="00E42AE8" w:rsidRPr="00AE6C19">
        <w:t>.4</w:t>
      </w:r>
      <w:r w:rsidR="00404C71" w:rsidRPr="00AE6C19">
        <w:t> </w:t>
      </w:r>
      <w:r w:rsidR="00866BF4" w:rsidRPr="00AE6C19">
        <w:t>percent.</w:t>
      </w:r>
      <w:r w:rsidR="00404C71" w:rsidRPr="00AE6C19">
        <w:t xml:space="preserve"> </w:t>
      </w:r>
      <w:r w:rsidR="00E42AE8" w:rsidRPr="00AE6C19">
        <w:t>A</w:t>
      </w:r>
      <w:r w:rsidR="009C38C0" w:rsidRPr="00AE6C19">
        <w:t xml:space="preserve"> </w:t>
      </w:r>
      <w:r w:rsidR="00E42AE8" w:rsidRPr="00AE6C19">
        <w:t>primary</w:t>
      </w:r>
      <w:r w:rsidR="009C38C0" w:rsidRPr="00AE6C19">
        <w:t xml:space="preserve"> reason for the inc</w:t>
      </w:r>
      <w:r w:rsidR="00866BF4" w:rsidRPr="00AE6C19">
        <w:t>rease in projected power costs from those currently set in rates is</w:t>
      </w:r>
      <w:r w:rsidR="00E42AE8" w:rsidRPr="00AE6C19">
        <w:t xml:space="preserve"> the impact of compliance with the Clean Air Rule (</w:t>
      </w:r>
      <w:r w:rsidR="009F02BA">
        <w:rPr>
          <w:b/>
          <w:bCs/>
        </w:rPr>
        <w:t>“</w:t>
      </w:r>
      <w:r w:rsidR="00E42AE8" w:rsidRPr="00AE6C19">
        <w:t>CAR</w:t>
      </w:r>
      <w:r w:rsidR="009F02BA">
        <w:rPr>
          <w:b/>
          <w:bCs/>
        </w:rPr>
        <w:t>”</w:t>
      </w:r>
      <w:r w:rsidR="00E42AE8" w:rsidRPr="00AE6C19">
        <w:t>)</w:t>
      </w:r>
      <w:r w:rsidR="00711C0F" w:rsidRPr="00AE6C19">
        <w:t>.</w:t>
      </w:r>
      <w:r w:rsidR="00E22080" w:rsidRPr="00AE6C19" w:rsidDel="00E22080">
        <w:t xml:space="preserve"> </w:t>
      </w:r>
      <w:r w:rsidR="00E22080" w:rsidRPr="00AE6C19">
        <w:t>Other</w:t>
      </w:r>
      <w:r w:rsidR="009E1D54" w:rsidRPr="00AE6C19">
        <w:t xml:space="preserve"> </w:t>
      </w:r>
      <w:r w:rsidR="00E22080" w:rsidRPr="00AE6C19">
        <w:t>causes of increases to</w:t>
      </w:r>
      <w:r w:rsidR="00866BF4" w:rsidRPr="00AE6C19">
        <w:t xml:space="preserve"> power cost</w:t>
      </w:r>
      <w:r w:rsidR="00E22080" w:rsidRPr="00AE6C19">
        <w:t>s</w:t>
      </w:r>
      <w:r w:rsidR="009E1D54" w:rsidRPr="00AE6C19">
        <w:t xml:space="preserve"> </w:t>
      </w:r>
      <w:r w:rsidR="00E22080" w:rsidRPr="00AE6C19">
        <w:t>include updates to existing contracts, higher load, and transmission rate increases</w:t>
      </w:r>
      <w:r w:rsidR="00866BF4" w:rsidRPr="00AE6C19">
        <w:t>.</w:t>
      </w:r>
      <w:r w:rsidR="00404C71" w:rsidRPr="00AE6C19">
        <w:t xml:space="preserve"> </w:t>
      </w:r>
      <w:r w:rsidR="00E22080" w:rsidRPr="00AE6C19">
        <w:t xml:space="preserve">These increases </w:t>
      </w:r>
      <w:r w:rsidR="001E6E1A" w:rsidRPr="00AE6C19">
        <w:t xml:space="preserve">to power costs </w:t>
      </w:r>
      <w:r w:rsidR="00E22080" w:rsidRPr="00AE6C19">
        <w:t xml:space="preserve">are partially offset by lower costs related to expiration of </w:t>
      </w:r>
      <w:r w:rsidR="00E22080" w:rsidRPr="00AE6C19">
        <w:lastRenderedPageBreak/>
        <w:t>certain contracts.</w:t>
      </w:r>
      <w:r w:rsidR="001C4EBE" w:rsidRPr="00AE6C19">
        <w:t xml:space="preserve"> The proposed power costs are $7.1 million below the amount approved in the 2014 </w:t>
      </w:r>
      <w:proofErr w:type="spellStart"/>
      <w:r w:rsidR="001C4EBE" w:rsidRPr="00AE6C19">
        <w:t>PCORC</w:t>
      </w:r>
      <w:proofErr w:type="spellEnd"/>
      <w:r w:rsidR="001C4EBE" w:rsidRPr="00AE6C19">
        <w:t>.</w:t>
      </w:r>
    </w:p>
    <w:p w:rsidR="00866BF4" w:rsidRDefault="00866BF4" w:rsidP="00D51825">
      <w:pPr>
        <w:pStyle w:val="Heading1"/>
      </w:pPr>
      <w:bookmarkStart w:id="17" w:name="_Toc471319018"/>
      <w:r>
        <w:t>II.</w:t>
      </w:r>
      <w:r>
        <w:tab/>
        <w:t>VOLATILITY AND RISK IN PSE</w:t>
      </w:r>
      <w:r w:rsidR="009F02BA">
        <w:t>’</w:t>
      </w:r>
      <w:r>
        <w:t>S</w:t>
      </w:r>
      <w:r>
        <w:br/>
        <w:t>ELECTRIC RESOURCE PORTFOLIO</w:t>
      </w:r>
      <w:bookmarkEnd w:id="17"/>
    </w:p>
    <w:p w:rsidR="000F0271" w:rsidRPr="000F0271" w:rsidRDefault="000F0271" w:rsidP="000F0271">
      <w:pPr>
        <w:pStyle w:val="question"/>
      </w:pPr>
      <w:r w:rsidRPr="000F0271">
        <w:t>Q.</w:t>
      </w:r>
      <w:r w:rsidRPr="000F0271">
        <w:tab/>
      </w:r>
      <w:r w:rsidRPr="00837D01">
        <w:t>What is the nature of PSE</w:t>
      </w:r>
      <w:r w:rsidR="009F02BA">
        <w:t>’</w:t>
      </w:r>
      <w:r w:rsidRPr="00837D01">
        <w:t>s load and resources to serve that load?</w:t>
      </w:r>
    </w:p>
    <w:p w:rsidR="00454F91" w:rsidRDefault="000F0271" w:rsidP="00016CF1">
      <w:pPr>
        <w:pStyle w:val="question"/>
        <w:keepNext w:val="0"/>
        <w:keepLines w:val="0"/>
        <w:rPr>
          <w:b w:val="0"/>
        </w:rPr>
      </w:pPr>
      <w:r w:rsidRPr="00837D01">
        <w:rPr>
          <w:b w:val="0"/>
        </w:rPr>
        <w:t>A.</w:t>
      </w:r>
      <w:r w:rsidRPr="00837D01">
        <w:rPr>
          <w:b w:val="0"/>
        </w:rPr>
        <w:tab/>
      </w:r>
      <w:r w:rsidR="00EA671A">
        <w:rPr>
          <w:b w:val="0"/>
        </w:rPr>
        <w:t>PSE</w:t>
      </w:r>
      <w:r w:rsidR="009F02BA">
        <w:rPr>
          <w:b w:val="0"/>
        </w:rPr>
        <w:t>’</w:t>
      </w:r>
      <w:r w:rsidR="00EA671A">
        <w:rPr>
          <w:b w:val="0"/>
        </w:rPr>
        <w:t>s electric load is primarily driven by residential and commercial customers, with a portion coming from industrial customers. Forecaste</w:t>
      </w:r>
      <w:r w:rsidR="00B92973">
        <w:rPr>
          <w:b w:val="0"/>
        </w:rPr>
        <w:t>d load for the 2</w:t>
      </w:r>
      <w:r w:rsidR="00016CF1">
        <w:rPr>
          <w:b w:val="0"/>
        </w:rPr>
        <w:t>018 </w:t>
      </w:r>
      <w:r w:rsidR="00B92973">
        <w:rPr>
          <w:b w:val="0"/>
        </w:rPr>
        <w:t>rate year is 2,657</w:t>
      </w:r>
      <w:r w:rsidR="00016CF1">
        <w:rPr>
          <w:b w:val="0"/>
        </w:rPr>
        <w:t> </w:t>
      </w:r>
      <w:r w:rsidR="00973881" w:rsidRPr="00973881">
        <w:rPr>
          <w:b w:val="0"/>
        </w:rPr>
        <w:t xml:space="preserve">average megawatts </w:t>
      </w:r>
      <w:r w:rsidR="00973881">
        <w:rPr>
          <w:b w:val="0"/>
        </w:rPr>
        <w:t>(</w:t>
      </w:r>
      <w:r w:rsidR="009F02BA">
        <w:rPr>
          <w:b w:val="0"/>
        </w:rPr>
        <w:t>“</w:t>
      </w:r>
      <w:proofErr w:type="spellStart"/>
      <w:r w:rsidR="00B92973">
        <w:rPr>
          <w:b w:val="0"/>
        </w:rPr>
        <w:t>aMW</w:t>
      </w:r>
      <w:proofErr w:type="spellEnd"/>
      <w:r w:rsidR="009F02BA">
        <w:rPr>
          <w:b w:val="0"/>
        </w:rPr>
        <w:t>”</w:t>
      </w:r>
      <w:r w:rsidR="00973881">
        <w:rPr>
          <w:b w:val="0"/>
        </w:rPr>
        <w:t>)</w:t>
      </w:r>
      <w:r w:rsidR="00CC6FD9">
        <w:rPr>
          <w:b w:val="0"/>
        </w:rPr>
        <w:t xml:space="preserve"> with</w:t>
      </w:r>
      <w:r w:rsidR="00B92973">
        <w:rPr>
          <w:b w:val="0"/>
        </w:rPr>
        <w:t xml:space="preserve"> </w:t>
      </w:r>
      <w:r w:rsidR="00CC6FD9">
        <w:rPr>
          <w:b w:val="0"/>
        </w:rPr>
        <w:t>a</w:t>
      </w:r>
      <w:r w:rsidR="00B92973">
        <w:rPr>
          <w:b w:val="0"/>
        </w:rPr>
        <w:t xml:space="preserve"> peak demand </w:t>
      </w:r>
      <w:r w:rsidR="00CC6FD9">
        <w:rPr>
          <w:b w:val="0"/>
        </w:rPr>
        <w:t>of</w:t>
      </w:r>
      <w:r w:rsidR="00016CF1">
        <w:rPr>
          <w:b w:val="0"/>
        </w:rPr>
        <w:t xml:space="preserve"> 4,990 </w:t>
      </w:r>
      <w:r w:rsidR="00B92973">
        <w:rPr>
          <w:b w:val="0"/>
        </w:rPr>
        <w:t>MW.</w:t>
      </w:r>
      <w:r w:rsidR="00342C42">
        <w:rPr>
          <w:b w:val="0"/>
        </w:rPr>
        <w:t xml:space="preserve"> The difference between average energy and peak demand illustrates the seasonal nature of PSE</w:t>
      </w:r>
      <w:r w:rsidR="009F02BA">
        <w:rPr>
          <w:b w:val="0"/>
        </w:rPr>
        <w:t>’</w:t>
      </w:r>
      <w:r w:rsidR="00342C42">
        <w:rPr>
          <w:b w:val="0"/>
        </w:rPr>
        <w:t>s load.</w:t>
      </w:r>
      <w:r w:rsidR="00B92973">
        <w:rPr>
          <w:b w:val="0"/>
        </w:rPr>
        <w:t xml:space="preserve"> </w:t>
      </w:r>
      <w:r w:rsidR="00D11E34">
        <w:rPr>
          <w:b w:val="0"/>
        </w:rPr>
        <w:t xml:space="preserve">PSE </w:t>
      </w:r>
      <w:r w:rsidR="00454F91">
        <w:rPr>
          <w:b w:val="0"/>
        </w:rPr>
        <w:t>owns</w:t>
      </w:r>
      <w:r w:rsidR="00D11E34">
        <w:rPr>
          <w:b w:val="0"/>
        </w:rPr>
        <w:t xml:space="preserve"> a mix of thermal, wind and hydroelectric resources to serve its load.</w:t>
      </w:r>
      <w:r w:rsidR="00B92973">
        <w:rPr>
          <w:b w:val="0"/>
        </w:rPr>
        <w:t xml:space="preserve"> </w:t>
      </w:r>
      <w:r w:rsidR="00176F60">
        <w:rPr>
          <w:b w:val="0"/>
        </w:rPr>
        <w:t xml:space="preserve">These resources alone are not sufficient to meet customer demand in all hours of the year. Therefore PSE relies on contracts with non-utility generators and market purchases to meet its load. </w:t>
      </w:r>
      <w:r w:rsidR="00B92973">
        <w:rPr>
          <w:b w:val="0"/>
        </w:rPr>
        <w:t>PSE holds transmission capacity that enables it to buy and sell power on the market</w:t>
      </w:r>
      <w:r w:rsidR="00176F60">
        <w:rPr>
          <w:b w:val="0"/>
        </w:rPr>
        <w:t>, primarily</w:t>
      </w:r>
      <w:r w:rsidR="00B92973">
        <w:rPr>
          <w:b w:val="0"/>
        </w:rPr>
        <w:t xml:space="preserve"> at the Mid-C trading hub.</w:t>
      </w:r>
    </w:p>
    <w:p w:rsidR="00866BF4" w:rsidRDefault="00866BF4" w:rsidP="00866BF4">
      <w:pPr>
        <w:pStyle w:val="question"/>
      </w:pPr>
      <w:r>
        <w:t>Q.</w:t>
      </w:r>
      <w:r>
        <w:tab/>
        <w:t>Why is energy risk management a concern to PSE?</w:t>
      </w:r>
    </w:p>
    <w:p w:rsidR="00866BF4" w:rsidRDefault="00866BF4" w:rsidP="00866BF4">
      <w:pPr>
        <w:pStyle w:val="answer"/>
      </w:pPr>
      <w:r>
        <w:t>A.</w:t>
      </w:r>
      <w:r>
        <w:tab/>
      </w:r>
      <w:r w:rsidR="00EC6DBB">
        <w:t>PSE</w:t>
      </w:r>
      <w:r w:rsidR="009F02BA">
        <w:t>’</w:t>
      </w:r>
      <w:r w:rsidR="00EC6DBB">
        <w:t>s controlled resources are not sufficient to meet PSE</w:t>
      </w:r>
      <w:r w:rsidR="009F02BA">
        <w:t>’</w:t>
      </w:r>
      <w:r w:rsidR="00EC6DBB">
        <w:t>s load obligation at all times, and under certain market conditions it is more economical to buy power on the market and wheel it to the load center than to run PSE</w:t>
      </w:r>
      <w:r w:rsidR="009F02BA">
        <w:t>’</w:t>
      </w:r>
      <w:r w:rsidR="00EC6DBB">
        <w:t xml:space="preserve">s generating units. PSE engages in market transactions to </w:t>
      </w:r>
      <w:r w:rsidR="00E56EE7">
        <w:t xml:space="preserve">supplement its owned resources and </w:t>
      </w:r>
      <w:r w:rsidR="00EC6DBB">
        <w:t xml:space="preserve">provide reliable electric service every hour of every day at a reasonable cost to customers. </w:t>
      </w:r>
      <w:r>
        <w:lastRenderedPageBreak/>
        <w:t>PSE</w:t>
      </w:r>
      <w:r w:rsidR="009F02BA">
        <w:t>’</w:t>
      </w:r>
      <w:r>
        <w:t>s power resource portfolio is subject to significant volatility and risk that ultimately have a substantial impact on energy costs.</w:t>
      </w:r>
    </w:p>
    <w:p w:rsidR="00866BF4" w:rsidRDefault="00866BF4" w:rsidP="00866BF4">
      <w:pPr>
        <w:pStyle w:val="question"/>
      </w:pPr>
      <w:r>
        <w:t>Q.</w:t>
      </w:r>
      <w:r>
        <w:tab/>
        <w:t>What drives volatility and risk in the power portfolio?</w:t>
      </w:r>
    </w:p>
    <w:p w:rsidR="00866BF4" w:rsidRDefault="00866BF4" w:rsidP="00866BF4">
      <w:pPr>
        <w:pStyle w:val="answer"/>
      </w:pPr>
      <w:r>
        <w:t>A.</w:t>
      </w:r>
      <w:r>
        <w:tab/>
        <w:t>PSE</w:t>
      </w:r>
      <w:r w:rsidR="009F02BA">
        <w:t>’</w:t>
      </w:r>
      <w:r>
        <w:t>s power supply portfolio contains a diverse mix of resources with widely differing operating and cost characteristics.</w:t>
      </w:r>
      <w:r w:rsidR="00404C71">
        <w:t xml:space="preserve"> </w:t>
      </w:r>
      <w:r>
        <w:t>Although there are many complex variables embedded in the portfolio, the major drivers of power cost volatility are:</w:t>
      </w:r>
    </w:p>
    <w:p w:rsidR="00D51825" w:rsidRDefault="00866BF4" w:rsidP="00D51825">
      <w:pPr>
        <w:pStyle w:val="List"/>
      </w:pPr>
      <w:r>
        <w:t>(i)</w:t>
      </w:r>
      <w:r>
        <w:tab/>
        <w:t>streamflow variation affecting the supply of hydroelectric generation;</w:t>
      </w:r>
    </w:p>
    <w:p w:rsidR="00D51825" w:rsidRDefault="00866BF4" w:rsidP="00D51825">
      <w:pPr>
        <w:pStyle w:val="List"/>
      </w:pPr>
      <w:r>
        <w:t>(ii)</w:t>
      </w:r>
      <w:r>
        <w:tab/>
        <w:t>weather and economic uncertainty affecting power usage;</w:t>
      </w:r>
    </w:p>
    <w:p w:rsidR="00D51825" w:rsidRDefault="00866BF4" w:rsidP="00D51825">
      <w:pPr>
        <w:pStyle w:val="List"/>
      </w:pPr>
      <w:r>
        <w:t>(iii)</w:t>
      </w:r>
      <w:r>
        <w:tab/>
        <w:t>variations in market conditions resulting in changes to wholesale gas and electric prices;</w:t>
      </w:r>
    </w:p>
    <w:p w:rsidR="00D51825" w:rsidRDefault="00866BF4" w:rsidP="00D51825">
      <w:pPr>
        <w:pStyle w:val="List"/>
      </w:pPr>
      <w:r>
        <w:t>(iv)</w:t>
      </w:r>
      <w:r>
        <w:tab/>
        <w:t>risk of forced generation outages;</w:t>
      </w:r>
    </w:p>
    <w:p w:rsidR="00D51825" w:rsidRDefault="00866BF4" w:rsidP="00D51825">
      <w:pPr>
        <w:pStyle w:val="List"/>
      </w:pPr>
      <w:r>
        <w:t>(v)</w:t>
      </w:r>
      <w:r>
        <w:tab/>
        <w:t>variability of wind generation; and</w:t>
      </w:r>
    </w:p>
    <w:p w:rsidR="00866BF4" w:rsidRDefault="00866BF4" w:rsidP="00D51825">
      <w:pPr>
        <w:pStyle w:val="List"/>
      </w:pPr>
      <w:r>
        <w:t>(vi)</w:t>
      </w:r>
      <w:r>
        <w:tab/>
        <w:t>transmission and transportation constraints.</w:t>
      </w:r>
    </w:p>
    <w:p w:rsidR="00866BF4" w:rsidRDefault="00866BF4" w:rsidP="00D51825">
      <w:pPr>
        <w:pStyle w:val="NestedAnswer"/>
      </w:pPr>
      <w:r>
        <w:t>All of these have an impact on load and resources, which PSE may balance with wholesale market purchases and sales.</w:t>
      </w:r>
    </w:p>
    <w:p w:rsidR="00866BF4" w:rsidRDefault="00866BF4" w:rsidP="00866BF4">
      <w:pPr>
        <w:pStyle w:val="question"/>
      </w:pPr>
      <w:r>
        <w:t>Q.</w:t>
      </w:r>
      <w:r>
        <w:tab/>
        <w:t>Please describe the volatility related to variations in streamflow affecting hydroelectric supply.</w:t>
      </w:r>
    </w:p>
    <w:p w:rsidR="00866BF4" w:rsidRDefault="00866BF4" w:rsidP="00866BF4">
      <w:pPr>
        <w:pStyle w:val="answer"/>
      </w:pPr>
      <w:r>
        <w:t>A.</w:t>
      </w:r>
      <w:r>
        <w:tab/>
        <w:t>There are four main variations in streamflow that affect hydroelectric supply:</w:t>
      </w:r>
    </w:p>
    <w:p w:rsidR="00D51825" w:rsidRDefault="00866BF4" w:rsidP="00D51825">
      <w:pPr>
        <w:pStyle w:val="List"/>
      </w:pPr>
      <w:r>
        <w:t>(i)</w:t>
      </w:r>
      <w:r>
        <w:tab/>
        <w:t>below average runoffs;</w:t>
      </w:r>
    </w:p>
    <w:p w:rsidR="00D51825" w:rsidRDefault="00866BF4" w:rsidP="00D51825">
      <w:pPr>
        <w:pStyle w:val="List"/>
      </w:pPr>
      <w:r>
        <w:t>(ii)</w:t>
      </w:r>
      <w:r>
        <w:tab/>
        <w:t>average runoffs;</w:t>
      </w:r>
    </w:p>
    <w:p w:rsidR="00D51825" w:rsidRDefault="00866BF4" w:rsidP="00D51825">
      <w:pPr>
        <w:pStyle w:val="List"/>
      </w:pPr>
      <w:r>
        <w:t>(iii)</w:t>
      </w:r>
      <w:r>
        <w:tab/>
        <w:t>above average runoffs; and</w:t>
      </w:r>
    </w:p>
    <w:p w:rsidR="00866BF4" w:rsidRDefault="00866BF4" w:rsidP="00D51825">
      <w:pPr>
        <w:pStyle w:val="List"/>
      </w:pPr>
      <w:r>
        <w:t>(iv)</w:t>
      </w:r>
      <w:r>
        <w:tab/>
        <w:t>the timing or shape of the runoff.</w:t>
      </w:r>
    </w:p>
    <w:p w:rsidR="00866BF4" w:rsidRDefault="00866BF4" w:rsidP="00D51825">
      <w:pPr>
        <w:pStyle w:val="NestedAnswer"/>
      </w:pPr>
      <w:r>
        <w:lastRenderedPageBreak/>
        <w:t>During an average streamflow year, 20</w:t>
      </w:r>
      <w:r w:rsidR="00CC65A7">
        <w:t> </w:t>
      </w:r>
      <w:r>
        <w:t>percent of PSE</w:t>
      </w:r>
      <w:r w:rsidR="009F02BA">
        <w:t>’</w:t>
      </w:r>
      <w:r>
        <w:t>s electric load is met by hydroelectric resources.</w:t>
      </w:r>
      <w:r w:rsidR="00404C71">
        <w:t xml:space="preserve"> </w:t>
      </w:r>
      <w:r>
        <w:t>During poor streamflow conditions, PSE may need to purchase supplemental power or run gas-fired generating units more than it otherwise would in order to serve its customer load, both of which are more costly than hydro resources.</w:t>
      </w:r>
      <w:r w:rsidR="00404C71">
        <w:t xml:space="preserve"> </w:t>
      </w:r>
      <w:r>
        <w:t>During favorable streamflow conditions, PSE may need to purchase less or sell surplus power in the wholesale power markets to balance its supply portfolio which can greatly affect PSE</w:t>
      </w:r>
      <w:r w:rsidR="009F02BA">
        <w:t>’</w:t>
      </w:r>
      <w:r>
        <w:t>s power costs.</w:t>
      </w:r>
      <w:r w:rsidR="00404C71">
        <w:t xml:space="preserve"> </w:t>
      </w:r>
      <w:r>
        <w:t>The regional market price of power is heavily influenced by hydro conditions each year.</w:t>
      </w:r>
      <w:r w:rsidR="00404C71">
        <w:t xml:space="preserve"> </w:t>
      </w:r>
      <w:r>
        <w:t xml:space="preserve">Typically, market power prices tend to be higher during a </w:t>
      </w:r>
      <w:r w:rsidR="009F02BA">
        <w:t>“</w:t>
      </w:r>
      <w:r>
        <w:t>dry</w:t>
      </w:r>
      <w:r w:rsidR="009F02BA">
        <w:t>”</w:t>
      </w:r>
      <w:r>
        <w:t xml:space="preserve"> (or below average runoff) year and lower during a </w:t>
      </w:r>
      <w:r w:rsidR="009F02BA">
        <w:t>“</w:t>
      </w:r>
      <w:r>
        <w:t>wet</w:t>
      </w:r>
      <w:r w:rsidR="009F02BA">
        <w:t>”</w:t>
      </w:r>
      <w:r>
        <w:t xml:space="preserve"> (or above average runoff) year.</w:t>
      </w:r>
      <w:r w:rsidR="00404C71">
        <w:t xml:space="preserve"> </w:t>
      </w:r>
      <w:r>
        <w:t>In all of the runoff conditions, the timing or shape of the runoff also influences the market price of power.</w:t>
      </w:r>
    </w:p>
    <w:p w:rsidR="00866BF4" w:rsidRDefault="00866BF4" w:rsidP="00866BF4">
      <w:pPr>
        <w:pStyle w:val="question"/>
      </w:pPr>
      <w:r>
        <w:t>Q.</w:t>
      </w:r>
      <w:r>
        <w:tab/>
        <w:t>Please describe the volatility that is related to load and temperature uncertainty.</w:t>
      </w:r>
    </w:p>
    <w:p w:rsidR="00866BF4" w:rsidRDefault="00866BF4" w:rsidP="00866BF4">
      <w:pPr>
        <w:pStyle w:val="answer"/>
      </w:pPr>
      <w:r>
        <w:t>A.</w:t>
      </w:r>
      <w:r>
        <w:tab/>
        <w:t>The level of PSE</w:t>
      </w:r>
      <w:r w:rsidR="009F02BA">
        <w:t>’</w:t>
      </w:r>
      <w:r>
        <w:t>s electric retail load is correlated with temperature.</w:t>
      </w:r>
      <w:r w:rsidR="00404C71">
        <w:t xml:space="preserve"> </w:t>
      </w:r>
      <w:r>
        <w:t>The correlation of load and temperature is especially apparent considering how PSE</w:t>
      </w:r>
      <w:r w:rsidR="009F02BA">
        <w:t>’</w:t>
      </w:r>
      <w:r>
        <w:t>s load increases as temperatures decline during the winter heating season.</w:t>
      </w:r>
      <w:r w:rsidR="00404C71">
        <w:t xml:space="preserve"> </w:t>
      </w:r>
      <w:r>
        <w:t>In light of the significant electric heating load in PSE</w:t>
      </w:r>
      <w:r w:rsidR="009F02BA">
        <w:t>’</w:t>
      </w:r>
      <w:r>
        <w:t>s service territory, PSE</w:t>
      </w:r>
      <w:r w:rsidR="009F02BA">
        <w:t>’</w:t>
      </w:r>
      <w:r>
        <w:t>s costs related to load and temperature uncertainty can be significant.</w:t>
      </w:r>
    </w:p>
    <w:p w:rsidR="00866BF4" w:rsidRDefault="00866BF4" w:rsidP="00D51825">
      <w:pPr>
        <w:pStyle w:val="NestedAnswer"/>
      </w:pPr>
      <w:r>
        <w:t>Although still a winter peaking utility, PSE also experiences summer peaking demand.</w:t>
      </w:r>
      <w:r w:rsidR="00404C71">
        <w:t xml:space="preserve"> </w:t>
      </w:r>
      <w:r>
        <w:t>This is due in part to increasing use of electric air conditioning and presents another example of electric load volatility attributable to temperature.</w:t>
      </w:r>
    </w:p>
    <w:p w:rsidR="00866BF4" w:rsidRDefault="00866BF4" w:rsidP="00866BF4">
      <w:pPr>
        <w:pStyle w:val="question"/>
      </w:pPr>
      <w:r>
        <w:lastRenderedPageBreak/>
        <w:t>Q.</w:t>
      </w:r>
      <w:r>
        <w:tab/>
        <w:t>Please describe the risks related to market price volatility.</w:t>
      </w:r>
    </w:p>
    <w:p w:rsidR="00866BF4" w:rsidRDefault="00866BF4" w:rsidP="00866BF4">
      <w:pPr>
        <w:pStyle w:val="answer"/>
      </w:pPr>
      <w:r>
        <w:t>A.</w:t>
      </w:r>
      <w:r>
        <w:tab/>
        <w:t>The previously discussed volume-related risks directly affect PSE</w:t>
      </w:r>
      <w:r w:rsidR="009F02BA">
        <w:t>’</w:t>
      </w:r>
      <w:r>
        <w:t>s exposure to market prices.</w:t>
      </w:r>
      <w:r w:rsidR="00404C71">
        <w:t xml:space="preserve"> </w:t>
      </w:r>
      <w:r>
        <w:t>As resource generation and load demand change, PSE may be subject to significant price-related risk associated with the expected volume of purchases and sales of power in the wholesale markets and the need to purchase or sell natural gas in connection with the operation of its gas-fueled generating units.</w:t>
      </w:r>
    </w:p>
    <w:p w:rsidR="00866BF4" w:rsidRDefault="00866BF4" w:rsidP="00866BF4">
      <w:pPr>
        <w:pStyle w:val="question"/>
      </w:pPr>
      <w:r>
        <w:t>Q.</w:t>
      </w:r>
      <w:r>
        <w:tab/>
        <w:t>Please describe the volatility related to forced outages.</w:t>
      </w:r>
    </w:p>
    <w:p w:rsidR="00866BF4" w:rsidRDefault="00866BF4" w:rsidP="001F6B6E">
      <w:pPr>
        <w:pStyle w:val="answer"/>
        <w:keepNext/>
        <w:keepLines/>
      </w:pPr>
      <w:r>
        <w:t>A.</w:t>
      </w:r>
      <w:r>
        <w:tab/>
        <w:t>As shown in Table</w:t>
      </w:r>
      <w:r w:rsidR="00CC65A7">
        <w:t> </w:t>
      </w:r>
      <w:r>
        <w:t>1 below, for the rate year, PSE will rely on approximately 2,</w:t>
      </w:r>
      <w:r w:rsidR="009F3E44">
        <w:t>581 </w:t>
      </w:r>
      <w:r>
        <w:t>megawatts (</w:t>
      </w:r>
      <w:r w:rsidR="009F02BA">
        <w:t>“</w:t>
      </w:r>
      <w:r>
        <w:t>MW</w:t>
      </w:r>
      <w:r w:rsidR="009F02BA">
        <w:t>”</w:t>
      </w:r>
      <w:r>
        <w:t>) of thermal generating units to help meet its customer loads.</w:t>
      </w:r>
    </w:p>
    <w:p w:rsidR="00866BF4" w:rsidRPr="00D51825" w:rsidRDefault="00D51825" w:rsidP="00A53969">
      <w:pPr>
        <w:pStyle w:val="TableHeader"/>
        <w:widowControl/>
        <w:ind w:left="1710" w:right="1620"/>
        <w:rPr>
          <w:szCs w:val="20"/>
          <w:lang w:eastAsia="zh-CN"/>
        </w:rPr>
      </w:pPr>
      <w:r w:rsidRPr="00D51825">
        <w:t>Table</w:t>
      </w:r>
      <w:r w:rsidR="00830C5F">
        <w:t> </w:t>
      </w:r>
      <w:r w:rsidRPr="00D51825">
        <w:t xml:space="preserve">1. </w:t>
      </w:r>
      <w:r w:rsidR="00866BF4" w:rsidRPr="00D51825">
        <w:t>PSE</w:t>
      </w:r>
      <w:r w:rsidR="009F02BA">
        <w:t>’</w:t>
      </w:r>
      <w:r w:rsidR="00866BF4" w:rsidRPr="00D51825">
        <w:t>s Thermal Generation Units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1403"/>
      </w:tblGrid>
      <w:tr w:rsidR="00D51825" w:rsidRPr="00214F2D" w:rsidTr="00D51825">
        <w:trPr>
          <w:jc w:val="center"/>
        </w:trPr>
        <w:tc>
          <w:tcPr>
            <w:tcW w:w="4087" w:type="dxa"/>
          </w:tcPr>
          <w:p w:rsidR="00D51825" w:rsidRPr="00214F2D" w:rsidRDefault="0028229C" w:rsidP="00A53969">
            <w:pPr>
              <w:pStyle w:val="answer"/>
              <w:keepNext/>
              <w:keepLines/>
              <w:spacing w:before="60" w:after="60" w:line="240" w:lineRule="auto"/>
              <w:ind w:left="0" w:firstLine="0"/>
              <w:rPr>
                <w:szCs w:val="24"/>
              </w:rPr>
            </w:pPr>
            <w:r w:rsidRPr="00214F2D">
              <w:rPr>
                <w:szCs w:val="24"/>
              </w:rPr>
              <w:t>Colstrip</w:t>
            </w:r>
            <w:r w:rsidR="00F54729" w:rsidRPr="00214F2D">
              <w:rPr>
                <w:szCs w:val="24"/>
              </w:rPr>
              <w:t xml:space="preserve"> Generating Station</w:t>
            </w:r>
          </w:p>
        </w:tc>
        <w:tc>
          <w:tcPr>
            <w:tcW w:w="1403" w:type="dxa"/>
          </w:tcPr>
          <w:p w:rsidR="00D51825" w:rsidRPr="00214F2D" w:rsidRDefault="00D51825" w:rsidP="00AC7D81">
            <w:pPr>
              <w:pStyle w:val="answer"/>
              <w:keepNext/>
              <w:keepLines/>
              <w:spacing w:before="60" w:after="60" w:line="240" w:lineRule="auto"/>
              <w:ind w:left="0" w:firstLine="0"/>
              <w:jc w:val="right"/>
              <w:rPr>
                <w:szCs w:val="24"/>
              </w:rPr>
            </w:pPr>
            <w:r w:rsidRPr="00214F2D">
              <w:rPr>
                <w:szCs w:val="24"/>
              </w:rPr>
              <w:t>658</w:t>
            </w:r>
            <w:r w:rsidR="00CC65A7" w:rsidRPr="00214F2D">
              <w:rPr>
                <w:szCs w:val="24"/>
              </w:rPr>
              <w:t> </w:t>
            </w:r>
            <w:r w:rsidRPr="00214F2D">
              <w:rPr>
                <w:szCs w:val="24"/>
              </w:rPr>
              <w:t>MW</w:t>
            </w:r>
          </w:p>
        </w:tc>
      </w:tr>
      <w:tr w:rsidR="00D51825" w:rsidRPr="00214F2D" w:rsidTr="00D51825">
        <w:trPr>
          <w:jc w:val="center"/>
        </w:trPr>
        <w:tc>
          <w:tcPr>
            <w:tcW w:w="4087" w:type="dxa"/>
          </w:tcPr>
          <w:p w:rsidR="00D51825" w:rsidRPr="00214F2D" w:rsidRDefault="00D51825" w:rsidP="00A53969">
            <w:pPr>
              <w:pStyle w:val="answer"/>
              <w:keepNext/>
              <w:keepLines/>
              <w:spacing w:before="60" w:after="60" w:line="240" w:lineRule="auto"/>
              <w:ind w:left="0" w:firstLine="0"/>
              <w:rPr>
                <w:szCs w:val="24"/>
              </w:rPr>
            </w:pPr>
            <w:r w:rsidRPr="00214F2D">
              <w:rPr>
                <w:szCs w:val="24"/>
              </w:rPr>
              <w:t>Goldendale</w:t>
            </w:r>
            <w:r w:rsidR="00F54729" w:rsidRPr="00214F2D">
              <w:rPr>
                <w:szCs w:val="24"/>
              </w:rPr>
              <w:t xml:space="preserve"> Generating Station</w:t>
            </w:r>
          </w:p>
        </w:tc>
        <w:tc>
          <w:tcPr>
            <w:tcW w:w="1403" w:type="dxa"/>
          </w:tcPr>
          <w:p w:rsidR="00D51825" w:rsidRPr="00214F2D" w:rsidRDefault="00195AEB" w:rsidP="00A53969">
            <w:pPr>
              <w:pStyle w:val="answer"/>
              <w:keepNext/>
              <w:keepLines/>
              <w:spacing w:before="60" w:after="60" w:line="240" w:lineRule="auto"/>
              <w:ind w:left="0" w:firstLine="0"/>
              <w:jc w:val="right"/>
              <w:rPr>
                <w:szCs w:val="24"/>
              </w:rPr>
            </w:pPr>
            <w:r w:rsidRPr="00214F2D">
              <w:rPr>
                <w:szCs w:val="24"/>
              </w:rPr>
              <w:t>300 </w:t>
            </w:r>
            <w:r w:rsidR="00D51825" w:rsidRPr="00214F2D">
              <w:rPr>
                <w:szCs w:val="24"/>
              </w:rPr>
              <w:t>MW</w:t>
            </w:r>
          </w:p>
        </w:tc>
      </w:tr>
      <w:tr w:rsidR="00D51825" w:rsidRPr="00214F2D" w:rsidTr="00D51825">
        <w:trPr>
          <w:jc w:val="center"/>
        </w:trPr>
        <w:tc>
          <w:tcPr>
            <w:tcW w:w="4087" w:type="dxa"/>
          </w:tcPr>
          <w:p w:rsidR="00D51825" w:rsidRPr="00214F2D" w:rsidRDefault="00D51825" w:rsidP="00A53969">
            <w:pPr>
              <w:pStyle w:val="answer"/>
              <w:keepNext/>
              <w:keepLines/>
              <w:spacing w:before="60" w:after="60" w:line="240" w:lineRule="auto"/>
              <w:ind w:left="0" w:firstLine="0"/>
              <w:rPr>
                <w:szCs w:val="24"/>
              </w:rPr>
            </w:pPr>
            <w:r w:rsidRPr="00214F2D">
              <w:rPr>
                <w:szCs w:val="24"/>
              </w:rPr>
              <w:t>Mint Farm</w:t>
            </w:r>
            <w:r w:rsidR="00F54729" w:rsidRPr="00214F2D">
              <w:rPr>
                <w:szCs w:val="24"/>
              </w:rPr>
              <w:t xml:space="preserve"> Generating Station</w:t>
            </w:r>
          </w:p>
        </w:tc>
        <w:tc>
          <w:tcPr>
            <w:tcW w:w="1403" w:type="dxa"/>
          </w:tcPr>
          <w:p w:rsidR="00D51825" w:rsidRPr="00214F2D" w:rsidRDefault="00195AEB" w:rsidP="00A53969">
            <w:pPr>
              <w:pStyle w:val="answer"/>
              <w:keepNext/>
              <w:keepLines/>
              <w:spacing w:before="60" w:after="60" w:line="240" w:lineRule="auto"/>
              <w:ind w:left="0" w:firstLine="0"/>
              <w:jc w:val="right"/>
              <w:rPr>
                <w:szCs w:val="24"/>
              </w:rPr>
            </w:pPr>
            <w:r w:rsidRPr="00214F2D">
              <w:rPr>
                <w:szCs w:val="24"/>
              </w:rPr>
              <w:t>314 </w:t>
            </w:r>
            <w:r w:rsidR="00D51825" w:rsidRPr="00214F2D">
              <w:rPr>
                <w:szCs w:val="24"/>
              </w:rPr>
              <w:t>MW</w:t>
            </w:r>
          </w:p>
        </w:tc>
      </w:tr>
      <w:tr w:rsidR="00D51825" w:rsidRPr="00214F2D" w:rsidTr="00D51825">
        <w:trPr>
          <w:jc w:val="center"/>
        </w:trPr>
        <w:tc>
          <w:tcPr>
            <w:tcW w:w="4087" w:type="dxa"/>
          </w:tcPr>
          <w:p w:rsidR="00D51825" w:rsidRPr="00214F2D" w:rsidRDefault="00D51825" w:rsidP="00A53969">
            <w:pPr>
              <w:pStyle w:val="answer"/>
              <w:keepNext/>
              <w:keepLines/>
              <w:spacing w:before="60" w:after="60" w:line="240" w:lineRule="auto"/>
              <w:ind w:left="0" w:firstLine="0"/>
              <w:rPr>
                <w:szCs w:val="24"/>
              </w:rPr>
            </w:pPr>
            <w:r w:rsidRPr="00214F2D">
              <w:rPr>
                <w:szCs w:val="24"/>
              </w:rPr>
              <w:t>Ferndale</w:t>
            </w:r>
            <w:r w:rsidR="00F54729" w:rsidRPr="00214F2D">
              <w:rPr>
                <w:szCs w:val="24"/>
              </w:rPr>
              <w:t xml:space="preserve"> Generating Station</w:t>
            </w:r>
          </w:p>
        </w:tc>
        <w:tc>
          <w:tcPr>
            <w:tcW w:w="1403" w:type="dxa"/>
          </w:tcPr>
          <w:p w:rsidR="00D51825" w:rsidRPr="00214F2D" w:rsidRDefault="00D51825" w:rsidP="00A53969">
            <w:pPr>
              <w:pStyle w:val="answer"/>
              <w:keepNext/>
              <w:keepLines/>
              <w:spacing w:before="60" w:after="60" w:line="240" w:lineRule="auto"/>
              <w:ind w:left="0" w:firstLine="0"/>
              <w:jc w:val="right"/>
              <w:rPr>
                <w:szCs w:val="24"/>
              </w:rPr>
            </w:pPr>
            <w:r w:rsidRPr="00214F2D">
              <w:rPr>
                <w:szCs w:val="24"/>
              </w:rPr>
              <w:t>271</w:t>
            </w:r>
            <w:r w:rsidR="00CC65A7" w:rsidRPr="00214F2D">
              <w:rPr>
                <w:szCs w:val="24"/>
              </w:rPr>
              <w:t> </w:t>
            </w:r>
            <w:r w:rsidRPr="00214F2D">
              <w:rPr>
                <w:szCs w:val="24"/>
              </w:rPr>
              <w:t>MW</w:t>
            </w:r>
          </w:p>
        </w:tc>
      </w:tr>
      <w:tr w:rsidR="00D51825" w:rsidRPr="00214F2D" w:rsidTr="00D51825">
        <w:trPr>
          <w:jc w:val="center"/>
        </w:trPr>
        <w:tc>
          <w:tcPr>
            <w:tcW w:w="4087" w:type="dxa"/>
          </w:tcPr>
          <w:p w:rsidR="00D51825" w:rsidRPr="00214F2D" w:rsidRDefault="00D51825" w:rsidP="0028229C">
            <w:pPr>
              <w:pStyle w:val="answer"/>
              <w:keepNext/>
              <w:keepLines/>
              <w:spacing w:before="60" w:after="60" w:line="240" w:lineRule="auto"/>
              <w:ind w:left="0" w:firstLine="0"/>
              <w:rPr>
                <w:szCs w:val="24"/>
              </w:rPr>
            </w:pPr>
            <w:r w:rsidRPr="00214F2D">
              <w:rPr>
                <w:szCs w:val="24"/>
              </w:rPr>
              <w:t>Frederickson</w:t>
            </w:r>
            <w:r w:rsidR="00F54729" w:rsidRPr="00214F2D">
              <w:rPr>
                <w:szCs w:val="24"/>
              </w:rPr>
              <w:t xml:space="preserve"> Generating Station</w:t>
            </w:r>
          </w:p>
        </w:tc>
        <w:tc>
          <w:tcPr>
            <w:tcW w:w="1403" w:type="dxa"/>
          </w:tcPr>
          <w:p w:rsidR="00D51825" w:rsidRPr="00214F2D" w:rsidRDefault="00D51825" w:rsidP="00A53969">
            <w:pPr>
              <w:pStyle w:val="answer"/>
              <w:keepNext/>
              <w:keepLines/>
              <w:spacing w:before="60" w:after="60" w:line="240" w:lineRule="auto"/>
              <w:ind w:left="0" w:firstLine="0"/>
              <w:jc w:val="right"/>
              <w:rPr>
                <w:szCs w:val="24"/>
              </w:rPr>
            </w:pPr>
            <w:r w:rsidRPr="00214F2D">
              <w:rPr>
                <w:szCs w:val="24"/>
              </w:rPr>
              <w:t>134</w:t>
            </w:r>
            <w:r w:rsidR="00CC65A7" w:rsidRPr="00214F2D">
              <w:rPr>
                <w:szCs w:val="24"/>
              </w:rPr>
              <w:t> </w:t>
            </w:r>
            <w:r w:rsidRPr="00214F2D">
              <w:rPr>
                <w:szCs w:val="24"/>
              </w:rPr>
              <w:t>MW</w:t>
            </w:r>
          </w:p>
        </w:tc>
      </w:tr>
      <w:tr w:rsidR="00D51825" w:rsidRPr="00214F2D" w:rsidTr="00D51825">
        <w:trPr>
          <w:jc w:val="center"/>
        </w:trPr>
        <w:tc>
          <w:tcPr>
            <w:tcW w:w="4087" w:type="dxa"/>
          </w:tcPr>
          <w:p w:rsidR="00D51825" w:rsidRPr="00214F2D" w:rsidRDefault="00D51825" w:rsidP="00A53969">
            <w:pPr>
              <w:pStyle w:val="answer"/>
              <w:keepNext/>
              <w:keepLines/>
              <w:spacing w:before="60" w:after="60" w:line="240" w:lineRule="auto"/>
              <w:ind w:left="0" w:firstLine="0"/>
              <w:rPr>
                <w:szCs w:val="24"/>
              </w:rPr>
            </w:pPr>
            <w:proofErr w:type="spellStart"/>
            <w:r w:rsidRPr="00214F2D">
              <w:rPr>
                <w:szCs w:val="24"/>
              </w:rPr>
              <w:t>Encogen</w:t>
            </w:r>
            <w:proofErr w:type="spellEnd"/>
            <w:r w:rsidR="00F54729" w:rsidRPr="00214F2D">
              <w:rPr>
                <w:szCs w:val="24"/>
              </w:rPr>
              <w:t xml:space="preserve"> Generating Station</w:t>
            </w:r>
          </w:p>
        </w:tc>
        <w:tc>
          <w:tcPr>
            <w:tcW w:w="1403" w:type="dxa"/>
          </w:tcPr>
          <w:p w:rsidR="00D51825" w:rsidRPr="00214F2D" w:rsidRDefault="00D51825" w:rsidP="00A53969">
            <w:pPr>
              <w:pStyle w:val="answer"/>
              <w:keepNext/>
              <w:keepLines/>
              <w:spacing w:before="60" w:after="60" w:line="240" w:lineRule="auto"/>
              <w:ind w:left="0" w:firstLine="0"/>
              <w:jc w:val="right"/>
              <w:rPr>
                <w:szCs w:val="24"/>
              </w:rPr>
            </w:pPr>
            <w:r w:rsidRPr="00214F2D">
              <w:rPr>
                <w:szCs w:val="24"/>
              </w:rPr>
              <w:t>166</w:t>
            </w:r>
            <w:r w:rsidR="00CC65A7" w:rsidRPr="00214F2D">
              <w:rPr>
                <w:szCs w:val="24"/>
              </w:rPr>
              <w:t> </w:t>
            </w:r>
            <w:r w:rsidRPr="00214F2D">
              <w:rPr>
                <w:szCs w:val="24"/>
              </w:rPr>
              <w:t>MW</w:t>
            </w:r>
          </w:p>
        </w:tc>
      </w:tr>
      <w:tr w:rsidR="00D51825" w:rsidRPr="00214F2D" w:rsidTr="00D51825">
        <w:trPr>
          <w:jc w:val="center"/>
        </w:trPr>
        <w:tc>
          <w:tcPr>
            <w:tcW w:w="4087" w:type="dxa"/>
          </w:tcPr>
          <w:p w:rsidR="00D51825" w:rsidRPr="00214F2D" w:rsidRDefault="00D51825" w:rsidP="00A53969">
            <w:pPr>
              <w:pStyle w:val="answer"/>
              <w:keepNext/>
              <w:keepLines/>
              <w:spacing w:before="60" w:after="60" w:line="240" w:lineRule="auto"/>
              <w:ind w:left="0" w:firstLine="0"/>
              <w:rPr>
                <w:szCs w:val="24"/>
              </w:rPr>
            </w:pPr>
            <w:r w:rsidRPr="00214F2D">
              <w:rPr>
                <w:szCs w:val="24"/>
              </w:rPr>
              <w:t>Sumas</w:t>
            </w:r>
            <w:r w:rsidR="00F54729" w:rsidRPr="00214F2D">
              <w:rPr>
                <w:szCs w:val="24"/>
              </w:rPr>
              <w:t xml:space="preserve"> Generating Station</w:t>
            </w:r>
          </w:p>
        </w:tc>
        <w:tc>
          <w:tcPr>
            <w:tcW w:w="1403" w:type="dxa"/>
          </w:tcPr>
          <w:p w:rsidR="00D51825" w:rsidRPr="00214F2D" w:rsidRDefault="00D51825" w:rsidP="00A53969">
            <w:pPr>
              <w:pStyle w:val="answer"/>
              <w:keepNext/>
              <w:keepLines/>
              <w:spacing w:before="60" w:after="60" w:line="240" w:lineRule="auto"/>
              <w:ind w:left="0" w:firstLine="0"/>
              <w:jc w:val="right"/>
              <w:rPr>
                <w:szCs w:val="24"/>
              </w:rPr>
            </w:pPr>
            <w:r w:rsidRPr="00214F2D">
              <w:rPr>
                <w:szCs w:val="24"/>
              </w:rPr>
              <w:t>123</w:t>
            </w:r>
            <w:r w:rsidR="00CC65A7" w:rsidRPr="00214F2D">
              <w:rPr>
                <w:szCs w:val="24"/>
              </w:rPr>
              <w:t> </w:t>
            </w:r>
            <w:r w:rsidRPr="00214F2D">
              <w:rPr>
                <w:szCs w:val="24"/>
              </w:rPr>
              <w:t>MW</w:t>
            </w:r>
          </w:p>
        </w:tc>
      </w:tr>
      <w:tr w:rsidR="00D51825" w:rsidRPr="00214F2D" w:rsidTr="00D51825">
        <w:trPr>
          <w:jc w:val="center"/>
        </w:trPr>
        <w:tc>
          <w:tcPr>
            <w:tcW w:w="4087" w:type="dxa"/>
            <w:tcBorders>
              <w:bottom w:val="single" w:sz="4" w:space="0" w:color="auto"/>
            </w:tcBorders>
          </w:tcPr>
          <w:p w:rsidR="00D51825" w:rsidRPr="00214F2D" w:rsidRDefault="00D51825" w:rsidP="00A53969">
            <w:pPr>
              <w:pStyle w:val="answer"/>
              <w:keepNext/>
              <w:keepLines/>
              <w:spacing w:before="60" w:after="60" w:line="240" w:lineRule="auto"/>
              <w:ind w:left="0" w:firstLine="0"/>
              <w:rPr>
                <w:szCs w:val="24"/>
              </w:rPr>
            </w:pPr>
            <w:r w:rsidRPr="00214F2D">
              <w:rPr>
                <w:szCs w:val="24"/>
              </w:rPr>
              <w:t>Simple Cycle Combustion Turbines</w:t>
            </w:r>
          </w:p>
        </w:tc>
        <w:tc>
          <w:tcPr>
            <w:tcW w:w="1403" w:type="dxa"/>
            <w:tcBorders>
              <w:bottom w:val="single" w:sz="4" w:space="0" w:color="auto"/>
            </w:tcBorders>
          </w:tcPr>
          <w:p w:rsidR="00D51825" w:rsidRPr="00214F2D" w:rsidRDefault="00D51825" w:rsidP="00A53969">
            <w:pPr>
              <w:pStyle w:val="answer"/>
              <w:keepNext/>
              <w:keepLines/>
              <w:spacing w:before="60" w:after="60" w:line="240" w:lineRule="auto"/>
              <w:ind w:left="0" w:firstLine="0"/>
              <w:jc w:val="right"/>
              <w:rPr>
                <w:szCs w:val="24"/>
              </w:rPr>
            </w:pPr>
            <w:r w:rsidRPr="00214F2D">
              <w:rPr>
                <w:szCs w:val="24"/>
              </w:rPr>
              <w:t>61</w:t>
            </w:r>
            <w:r w:rsidR="00195AEB" w:rsidRPr="00214F2D">
              <w:rPr>
                <w:szCs w:val="24"/>
              </w:rPr>
              <w:t>5</w:t>
            </w:r>
            <w:r w:rsidR="00CC65A7" w:rsidRPr="00214F2D">
              <w:rPr>
                <w:szCs w:val="24"/>
              </w:rPr>
              <w:t> </w:t>
            </w:r>
            <w:r w:rsidRPr="00214F2D">
              <w:rPr>
                <w:szCs w:val="24"/>
              </w:rPr>
              <w:t>MW</w:t>
            </w:r>
          </w:p>
        </w:tc>
      </w:tr>
      <w:tr w:rsidR="00D51825" w:rsidRPr="00214F2D" w:rsidTr="00D51825">
        <w:trPr>
          <w:jc w:val="center"/>
        </w:trPr>
        <w:tc>
          <w:tcPr>
            <w:tcW w:w="4087" w:type="dxa"/>
            <w:tcBorders>
              <w:top w:val="single" w:sz="4" w:space="0" w:color="auto"/>
            </w:tcBorders>
          </w:tcPr>
          <w:p w:rsidR="00D51825" w:rsidRPr="00214F2D" w:rsidRDefault="00532EE6" w:rsidP="00D51825">
            <w:pPr>
              <w:pStyle w:val="answer"/>
              <w:spacing w:before="60" w:after="60" w:line="240" w:lineRule="auto"/>
              <w:ind w:left="0" w:firstLine="0"/>
              <w:rPr>
                <w:b/>
                <w:szCs w:val="24"/>
              </w:rPr>
            </w:pPr>
            <w:r w:rsidRPr="00214F2D">
              <w:rPr>
                <w:b/>
                <w:szCs w:val="24"/>
              </w:rPr>
              <w:t>Total MW</w:t>
            </w:r>
          </w:p>
        </w:tc>
        <w:tc>
          <w:tcPr>
            <w:tcW w:w="1403" w:type="dxa"/>
            <w:tcBorders>
              <w:top w:val="single" w:sz="4" w:space="0" w:color="auto"/>
            </w:tcBorders>
          </w:tcPr>
          <w:p w:rsidR="00D51825" w:rsidRPr="00214F2D" w:rsidRDefault="00D51825" w:rsidP="00AC7D81">
            <w:pPr>
              <w:pStyle w:val="answer"/>
              <w:spacing w:before="60" w:after="60" w:line="240" w:lineRule="auto"/>
              <w:ind w:left="0" w:firstLine="0"/>
              <w:jc w:val="right"/>
              <w:rPr>
                <w:b/>
                <w:szCs w:val="24"/>
              </w:rPr>
            </w:pPr>
            <w:r w:rsidRPr="00214F2D">
              <w:rPr>
                <w:b/>
                <w:szCs w:val="24"/>
              </w:rPr>
              <w:t>2,</w:t>
            </w:r>
            <w:r w:rsidR="00195AEB" w:rsidRPr="00214F2D">
              <w:rPr>
                <w:b/>
                <w:szCs w:val="24"/>
              </w:rPr>
              <w:t>581 </w:t>
            </w:r>
            <w:r w:rsidRPr="00214F2D">
              <w:rPr>
                <w:b/>
                <w:szCs w:val="24"/>
              </w:rPr>
              <w:t>MW</w:t>
            </w:r>
          </w:p>
        </w:tc>
      </w:tr>
    </w:tbl>
    <w:p w:rsidR="00866BF4" w:rsidRDefault="00866BF4" w:rsidP="00F54729">
      <w:pPr>
        <w:pStyle w:val="NestedAnswer"/>
        <w:keepNext/>
        <w:keepLines/>
        <w:spacing w:before="280"/>
      </w:pPr>
      <w:r>
        <w:t xml:space="preserve">The capacities shown </w:t>
      </w:r>
      <w:r w:rsidR="00F54729">
        <w:t xml:space="preserve">in Table 1 </w:t>
      </w:r>
      <w:r>
        <w:t>represent the current operational capacities at International Standard Organization conditions.</w:t>
      </w:r>
      <w:r w:rsidR="00404C71">
        <w:t xml:space="preserve"> </w:t>
      </w:r>
      <w:r>
        <w:t>These units include:</w:t>
      </w:r>
    </w:p>
    <w:p w:rsidR="00866BF4" w:rsidRDefault="00866BF4" w:rsidP="00D62BA5">
      <w:pPr>
        <w:pStyle w:val="List"/>
      </w:pPr>
      <w:r>
        <w:t>(i)</w:t>
      </w:r>
      <w:r>
        <w:tab/>
        <w:t>658</w:t>
      </w:r>
      <w:r w:rsidR="00CC65A7">
        <w:t> </w:t>
      </w:r>
      <w:r>
        <w:t>MW of large, base-load coal generation with low variable fuel costs;</w:t>
      </w:r>
    </w:p>
    <w:p w:rsidR="00866BF4" w:rsidRDefault="00866BF4" w:rsidP="00D62BA5">
      <w:pPr>
        <w:pStyle w:val="List"/>
      </w:pPr>
      <w:r>
        <w:lastRenderedPageBreak/>
        <w:t>(ii)</w:t>
      </w:r>
      <w:r>
        <w:tab/>
        <w:t>1,</w:t>
      </w:r>
      <w:r w:rsidR="00F44CDB">
        <w:t>308 </w:t>
      </w:r>
      <w:r>
        <w:t>MW of gas-fired, combined-cycle combustion turbines with moderate heat rate</w:t>
      </w:r>
      <w:r w:rsidR="001C4EBE">
        <w:t>s</w:t>
      </w:r>
      <w:r>
        <w:t>; and</w:t>
      </w:r>
    </w:p>
    <w:p w:rsidR="00866BF4" w:rsidRDefault="00866BF4" w:rsidP="00D62BA5">
      <w:pPr>
        <w:pStyle w:val="List"/>
      </w:pPr>
      <w:r>
        <w:t>(iii)</w:t>
      </w:r>
      <w:r>
        <w:tab/>
      </w:r>
      <w:r w:rsidR="00F44CDB">
        <w:t>615 </w:t>
      </w:r>
      <w:r>
        <w:t>MW of relatively less-efficient, simple-cycle gas and oil-fired combustion turbine generation.</w:t>
      </w:r>
    </w:p>
    <w:p w:rsidR="00866BF4" w:rsidRDefault="00866BF4" w:rsidP="00D62BA5">
      <w:pPr>
        <w:pStyle w:val="NestedAnswer"/>
      </w:pPr>
      <w:r>
        <w:t>Equipment failure, fire, electrical disturbances, transmission outages or other such events typically cause forced outages.</w:t>
      </w:r>
      <w:r w:rsidR="00404C71">
        <w:t xml:space="preserve"> </w:t>
      </w:r>
      <w:r>
        <w:t>Forced outages at any of these units can expose PSE to significant price volatility in its power supply portfolio.</w:t>
      </w:r>
    </w:p>
    <w:p w:rsidR="00866BF4" w:rsidRDefault="00866BF4" w:rsidP="00866BF4">
      <w:pPr>
        <w:pStyle w:val="question"/>
      </w:pPr>
      <w:r>
        <w:t>Q.</w:t>
      </w:r>
      <w:r>
        <w:tab/>
        <w:t>Please explain the variability of wind generation.</w:t>
      </w:r>
    </w:p>
    <w:p w:rsidR="00CC65A7" w:rsidRDefault="00866BF4" w:rsidP="00866BF4">
      <w:pPr>
        <w:pStyle w:val="answer"/>
      </w:pPr>
      <w:r>
        <w:t>A.</w:t>
      </w:r>
      <w:r>
        <w:tab/>
        <w:t>PSE</w:t>
      </w:r>
      <w:r w:rsidR="009F02BA">
        <w:t>’</w:t>
      </w:r>
      <w:r>
        <w:t>s power portfolio benefits from 823</w:t>
      </w:r>
      <w:r w:rsidR="00CC65A7">
        <w:t> </w:t>
      </w:r>
      <w:r>
        <w:t>MW of wind generation.</w:t>
      </w:r>
      <w:r w:rsidR="00404C71">
        <w:t xml:space="preserve"> </w:t>
      </w:r>
      <w:r>
        <w:t>Wind resources, however, have significant variability as evidenced by comparing short-term wind generation forecasts to actual generation.</w:t>
      </w:r>
      <w:r w:rsidR="00404C71">
        <w:t xml:space="preserve"> </w:t>
      </w:r>
      <w:r>
        <w:t>PSE must manage this short-term generation variability by:</w:t>
      </w:r>
    </w:p>
    <w:p w:rsidR="00CC65A7" w:rsidRDefault="00866BF4" w:rsidP="00CC65A7">
      <w:pPr>
        <w:pStyle w:val="List"/>
      </w:pPr>
      <w:r>
        <w:t>(1)</w:t>
      </w:r>
      <w:r w:rsidR="00CC65A7">
        <w:tab/>
      </w:r>
      <w:r>
        <w:t>purchasing wind integration services from BPA;</w:t>
      </w:r>
    </w:p>
    <w:p w:rsidR="00CC65A7" w:rsidRDefault="00866BF4" w:rsidP="00CC65A7">
      <w:pPr>
        <w:pStyle w:val="List"/>
      </w:pPr>
      <w:r>
        <w:t>(2)</w:t>
      </w:r>
      <w:r w:rsidR="00CC65A7">
        <w:tab/>
      </w:r>
      <w:r>
        <w:t>reshaping contracted Mid-C hydro generation; and</w:t>
      </w:r>
    </w:p>
    <w:p w:rsidR="00CC65A7" w:rsidRDefault="00866BF4" w:rsidP="00CC65A7">
      <w:pPr>
        <w:pStyle w:val="List"/>
      </w:pPr>
      <w:r>
        <w:t>(3)</w:t>
      </w:r>
      <w:r w:rsidR="00CC65A7">
        <w:tab/>
      </w:r>
      <w:r>
        <w:t>utilizing other generating assets within its system to accommodate the variable output of the wind facilities.</w:t>
      </w:r>
    </w:p>
    <w:p w:rsidR="00866BF4" w:rsidRDefault="00866BF4" w:rsidP="00CC65A7">
      <w:pPr>
        <w:pStyle w:val="NestedAnswer"/>
      </w:pPr>
      <w:r>
        <w:t>Such reshaping takes place on a day-ahead and real-time basis and affects PSE</w:t>
      </w:r>
      <w:r w:rsidR="009F02BA">
        <w:t>’</w:t>
      </w:r>
      <w:r>
        <w:t>s power costs as PSE must adjust other resources</w:t>
      </w:r>
      <w:r w:rsidR="009F02BA">
        <w:t>’</w:t>
      </w:r>
      <w:r>
        <w:t xml:space="preserve"> generation levels on a day-ahead and real-time basis to accommodate forecast and actual fluctuations in wind generation.</w:t>
      </w:r>
      <w:r w:rsidR="00404C71">
        <w:t xml:space="preserve"> </w:t>
      </w:r>
      <w:r>
        <w:t>Table</w:t>
      </w:r>
      <w:r w:rsidR="00CC65A7">
        <w:t> </w:t>
      </w:r>
      <w:r>
        <w:t>2 below provides a summary of PSE</w:t>
      </w:r>
      <w:r w:rsidR="009F02BA">
        <w:t>’</w:t>
      </w:r>
      <w:r>
        <w:t>s expected rate ye</w:t>
      </w:r>
      <w:r w:rsidR="0061725F">
        <w:t>ar wind generation and capacity.</w:t>
      </w:r>
    </w:p>
    <w:p w:rsidR="00866BF4" w:rsidRDefault="00D62BA5" w:rsidP="00A53969">
      <w:pPr>
        <w:pStyle w:val="TableHeader"/>
        <w:widowControl/>
        <w:ind w:left="720" w:right="630"/>
      </w:pPr>
      <w:r>
        <w:lastRenderedPageBreak/>
        <w:t>Table</w:t>
      </w:r>
      <w:r w:rsidR="00CC65A7">
        <w:t> </w:t>
      </w:r>
      <w:r>
        <w:t xml:space="preserve">2. </w:t>
      </w:r>
      <w:r w:rsidR="00CC65A7">
        <w:t>PSE</w:t>
      </w:r>
      <w:r w:rsidR="009F02BA">
        <w:t>’</w:t>
      </w:r>
      <w:r w:rsidR="00CC65A7">
        <w:t>s Wind Generation Capacity</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1250"/>
        <w:gridCol w:w="1150"/>
        <w:gridCol w:w="1376"/>
        <w:gridCol w:w="1250"/>
      </w:tblGrid>
      <w:tr w:rsidR="00D62BA5" w:rsidRPr="00F9417D" w:rsidTr="00D62BA5">
        <w:trPr>
          <w:jc w:val="center"/>
        </w:trPr>
        <w:tc>
          <w:tcPr>
            <w:tcW w:w="2523" w:type="dxa"/>
            <w:tcBorders>
              <w:bottom w:val="single" w:sz="4" w:space="0" w:color="auto"/>
            </w:tcBorders>
            <w:vAlign w:val="bottom"/>
          </w:tcPr>
          <w:p w:rsidR="00D62BA5" w:rsidRPr="00F9417D" w:rsidRDefault="00D62BA5" w:rsidP="00A53969">
            <w:pPr>
              <w:pStyle w:val="answer"/>
              <w:keepNext/>
              <w:keepLines/>
              <w:spacing w:before="60" w:after="60" w:line="240" w:lineRule="auto"/>
              <w:ind w:left="0" w:firstLine="0"/>
              <w:jc w:val="center"/>
              <w:rPr>
                <w:b/>
                <w:szCs w:val="24"/>
              </w:rPr>
            </w:pPr>
            <w:r w:rsidRPr="00F9417D">
              <w:rPr>
                <w:b/>
                <w:szCs w:val="24"/>
              </w:rPr>
              <w:t>Resource</w:t>
            </w:r>
          </w:p>
        </w:tc>
        <w:tc>
          <w:tcPr>
            <w:tcW w:w="1250" w:type="dxa"/>
            <w:tcBorders>
              <w:bottom w:val="single" w:sz="4" w:space="0" w:color="auto"/>
            </w:tcBorders>
            <w:vAlign w:val="bottom"/>
          </w:tcPr>
          <w:p w:rsidR="00D62BA5" w:rsidRPr="00F9417D" w:rsidRDefault="00D62BA5" w:rsidP="00A53969">
            <w:pPr>
              <w:pStyle w:val="answer"/>
              <w:keepNext/>
              <w:keepLines/>
              <w:spacing w:before="60" w:after="60" w:line="240" w:lineRule="auto"/>
              <w:ind w:left="0" w:firstLine="0"/>
              <w:jc w:val="center"/>
              <w:rPr>
                <w:b/>
                <w:szCs w:val="24"/>
              </w:rPr>
            </w:pPr>
            <w:r w:rsidRPr="00F9417D">
              <w:rPr>
                <w:b/>
                <w:szCs w:val="24"/>
              </w:rPr>
              <w:t>Capacity</w:t>
            </w:r>
            <w:r w:rsidRPr="00F9417D">
              <w:rPr>
                <w:b/>
                <w:szCs w:val="24"/>
              </w:rPr>
              <w:br/>
              <w:t>(MW)</w:t>
            </w:r>
          </w:p>
        </w:tc>
        <w:tc>
          <w:tcPr>
            <w:tcW w:w="1070" w:type="dxa"/>
            <w:tcBorders>
              <w:bottom w:val="single" w:sz="4" w:space="0" w:color="auto"/>
            </w:tcBorders>
            <w:vAlign w:val="bottom"/>
          </w:tcPr>
          <w:p w:rsidR="00D62BA5" w:rsidRPr="00F9417D" w:rsidRDefault="00D62BA5" w:rsidP="00A53969">
            <w:pPr>
              <w:pStyle w:val="answer"/>
              <w:keepNext/>
              <w:keepLines/>
              <w:spacing w:before="60" w:after="60" w:line="240" w:lineRule="auto"/>
              <w:ind w:left="0" w:firstLine="0"/>
              <w:jc w:val="center"/>
              <w:rPr>
                <w:b/>
                <w:szCs w:val="24"/>
              </w:rPr>
            </w:pPr>
            <w:r w:rsidRPr="00F9417D">
              <w:rPr>
                <w:b/>
                <w:szCs w:val="24"/>
              </w:rPr>
              <w:t>#</w:t>
            </w:r>
            <w:r w:rsidRPr="00F9417D">
              <w:rPr>
                <w:b/>
                <w:szCs w:val="24"/>
              </w:rPr>
              <w:br/>
              <w:t>Turbines</w:t>
            </w:r>
          </w:p>
        </w:tc>
        <w:tc>
          <w:tcPr>
            <w:tcW w:w="1363" w:type="dxa"/>
            <w:tcBorders>
              <w:bottom w:val="single" w:sz="4" w:space="0" w:color="auto"/>
            </w:tcBorders>
            <w:vAlign w:val="bottom"/>
          </w:tcPr>
          <w:p w:rsidR="00D62BA5" w:rsidRPr="00F9417D" w:rsidRDefault="00D62BA5" w:rsidP="00A53969">
            <w:pPr>
              <w:pStyle w:val="answer"/>
              <w:keepNext/>
              <w:keepLines/>
              <w:spacing w:before="60" w:after="60" w:line="240" w:lineRule="auto"/>
              <w:ind w:left="0" w:firstLine="0"/>
              <w:jc w:val="center"/>
              <w:rPr>
                <w:b/>
                <w:szCs w:val="24"/>
              </w:rPr>
            </w:pPr>
            <w:r w:rsidRPr="00F9417D">
              <w:rPr>
                <w:b/>
                <w:szCs w:val="24"/>
              </w:rPr>
              <w:t>Rate Year</w:t>
            </w:r>
            <w:r w:rsidRPr="00F9417D">
              <w:rPr>
                <w:b/>
                <w:szCs w:val="24"/>
              </w:rPr>
              <w:br/>
              <w:t>Generation</w:t>
            </w:r>
            <w:r w:rsidRPr="00F9417D">
              <w:rPr>
                <w:b/>
                <w:szCs w:val="24"/>
              </w:rPr>
              <w:br/>
              <w:t>(MWhs)</w:t>
            </w:r>
          </w:p>
        </w:tc>
        <w:tc>
          <w:tcPr>
            <w:tcW w:w="1250" w:type="dxa"/>
            <w:tcBorders>
              <w:bottom w:val="single" w:sz="4" w:space="0" w:color="auto"/>
            </w:tcBorders>
            <w:vAlign w:val="bottom"/>
          </w:tcPr>
          <w:p w:rsidR="00D62BA5" w:rsidRPr="00F9417D" w:rsidRDefault="00D62BA5" w:rsidP="00A53969">
            <w:pPr>
              <w:pStyle w:val="answer"/>
              <w:keepNext/>
              <w:keepLines/>
              <w:spacing w:before="60" w:after="60" w:line="240" w:lineRule="auto"/>
              <w:ind w:left="0" w:firstLine="0"/>
              <w:jc w:val="center"/>
              <w:rPr>
                <w:b/>
                <w:szCs w:val="24"/>
              </w:rPr>
            </w:pPr>
            <w:r w:rsidRPr="00F9417D">
              <w:rPr>
                <w:b/>
                <w:szCs w:val="24"/>
              </w:rPr>
              <w:t>Capacity</w:t>
            </w:r>
            <w:r w:rsidRPr="00F9417D">
              <w:rPr>
                <w:b/>
                <w:szCs w:val="24"/>
              </w:rPr>
              <w:br/>
              <w:t>Factor</w:t>
            </w:r>
          </w:p>
        </w:tc>
      </w:tr>
      <w:tr w:rsidR="00D62BA5" w:rsidRPr="00F9417D" w:rsidTr="00D62BA5">
        <w:trPr>
          <w:jc w:val="center"/>
        </w:trPr>
        <w:tc>
          <w:tcPr>
            <w:tcW w:w="2523" w:type="dxa"/>
            <w:tcBorders>
              <w:top w:val="single" w:sz="4" w:space="0" w:color="auto"/>
            </w:tcBorders>
          </w:tcPr>
          <w:p w:rsidR="00D62BA5" w:rsidRPr="00F9417D" w:rsidRDefault="00D62BA5" w:rsidP="00A53969">
            <w:pPr>
              <w:pStyle w:val="answer"/>
              <w:keepNext/>
              <w:keepLines/>
              <w:spacing w:before="60" w:after="60" w:line="240" w:lineRule="auto"/>
              <w:ind w:left="0" w:firstLine="0"/>
              <w:rPr>
                <w:szCs w:val="24"/>
              </w:rPr>
            </w:pPr>
            <w:r w:rsidRPr="00F9417D">
              <w:rPr>
                <w:szCs w:val="24"/>
              </w:rPr>
              <w:t>Hopkins Ridge</w:t>
            </w:r>
          </w:p>
        </w:tc>
        <w:tc>
          <w:tcPr>
            <w:tcW w:w="1250" w:type="dxa"/>
            <w:tcBorders>
              <w:top w:val="single" w:sz="4" w:space="0" w:color="auto"/>
            </w:tcBorders>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157</w:t>
            </w:r>
          </w:p>
        </w:tc>
        <w:tc>
          <w:tcPr>
            <w:tcW w:w="1070" w:type="dxa"/>
            <w:tcBorders>
              <w:top w:val="single" w:sz="4" w:space="0" w:color="auto"/>
            </w:tcBorders>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87</w:t>
            </w:r>
          </w:p>
        </w:tc>
        <w:tc>
          <w:tcPr>
            <w:tcW w:w="1363" w:type="dxa"/>
            <w:tcBorders>
              <w:top w:val="single" w:sz="4" w:space="0" w:color="auto"/>
            </w:tcBorders>
          </w:tcPr>
          <w:p w:rsidR="00D62BA5" w:rsidRPr="00F9417D" w:rsidRDefault="007C3D2B" w:rsidP="00264AF2">
            <w:pPr>
              <w:pStyle w:val="answer"/>
              <w:keepNext/>
              <w:keepLines/>
              <w:spacing w:before="60" w:after="60" w:line="240" w:lineRule="auto"/>
              <w:ind w:left="0" w:firstLine="0"/>
              <w:jc w:val="right"/>
              <w:rPr>
                <w:szCs w:val="24"/>
              </w:rPr>
            </w:pPr>
            <w:r>
              <w:rPr>
                <w:szCs w:val="24"/>
                <w:highlight w:val="lightGray"/>
                <w:bdr w:val="single" w:sz="4" w:space="0" w:color="auto"/>
              </w:rPr>
              <w:t>█████</w:t>
            </w:r>
          </w:p>
        </w:tc>
        <w:tc>
          <w:tcPr>
            <w:tcW w:w="1250" w:type="dxa"/>
            <w:tcBorders>
              <w:top w:val="single" w:sz="4" w:space="0" w:color="auto"/>
            </w:tcBorders>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r>
      <w:tr w:rsidR="00D62BA5" w:rsidRPr="00F9417D" w:rsidTr="00D62BA5">
        <w:trPr>
          <w:jc w:val="center"/>
        </w:trPr>
        <w:tc>
          <w:tcPr>
            <w:tcW w:w="2523" w:type="dxa"/>
          </w:tcPr>
          <w:p w:rsidR="00D62BA5" w:rsidRPr="00F9417D" w:rsidRDefault="00D62BA5" w:rsidP="00A53969">
            <w:pPr>
              <w:pStyle w:val="answer"/>
              <w:keepNext/>
              <w:keepLines/>
              <w:spacing w:before="60" w:after="60" w:line="240" w:lineRule="auto"/>
              <w:ind w:left="0" w:firstLine="0"/>
              <w:rPr>
                <w:szCs w:val="24"/>
              </w:rPr>
            </w:pPr>
            <w:r w:rsidRPr="00F9417D">
              <w:rPr>
                <w:szCs w:val="24"/>
              </w:rPr>
              <w:t>Wild Horse</w:t>
            </w:r>
          </w:p>
        </w:tc>
        <w:tc>
          <w:tcPr>
            <w:tcW w:w="1250" w:type="dxa"/>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229</w:t>
            </w:r>
          </w:p>
        </w:tc>
        <w:tc>
          <w:tcPr>
            <w:tcW w:w="1070" w:type="dxa"/>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127</w:t>
            </w:r>
          </w:p>
        </w:tc>
        <w:tc>
          <w:tcPr>
            <w:tcW w:w="1363" w:type="dxa"/>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c>
          <w:tcPr>
            <w:tcW w:w="1250" w:type="dxa"/>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r>
      <w:tr w:rsidR="00D62BA5" w:rsidRPr="00F9417D" w:rsidTr="00D62BA5">
        <w:trPr>
          <w:jc w:val="center"/>
        </w:trPr>
        <w:tc>
          <w:tcPr>
            <w:tcW w:w="2523" w:type="dxa"/>
          </w:tcPr>
          <w:p w:rsidR="00D62BA5" w:rsidRPr="00F9417D" w:rsidRDefault="00D62BA5" w:rsidP="00A53969">
            <w:pPr>
              <w:pStyle w:val="answer"/>
              <w:keepNext/>
              <w:keepLines/>
              <w:spacing w:before="60" w:after="60" w:line="240" w:lineRule="auto"/>
              <w:ind w:left="0" w:firstLine="0"/>
              <w:rPr>
                <w:szCs w:val="24"/>
              </w:rPr>
            </w:pPr>
            <w:r w:rsidRPr="00F9417D">
              <w:rPr>
                <w:szCs w:val="24"/>
              </w:rPr>
              <w:t>Wild Horse Expansion</w:t>
            </w:r>
          </w:p>
        </w:tc>
        <w:tc>
          <w:tcPr>
            <w:tcW w:w="1250" w:type="dxa"/>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44</w:t>
            </w:r>
          </w:p>
        </w:tc>
        <w:tc>
          <w:tcPr>
            <w:tcW w:w="1070" w:type="dxa"/>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22</w:t>
            </w:r>
          </w:p>
        </w:tc>
        <w:tc>
          <w:tcPr>
            <w:tcW w:w="1363" w:type="dxa"/>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c>
          <w:tcPr>
            <w:tcW w:w="1250" w:type="dxa"/>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r>
      <w:tr w:rsidR="00D62BA5" w:rsidRPr="00F9417D" w:rsidTr="00D62BA5">
        <w:trPr>
          <w:jc w:val="center"/>
        </w:trPr>
        <w:tc>
          <w:tcPr>
            <w:tcW w:w="2523" w:type="dxa"/>
          </w:tcPr>
          <w:p w:rsidR="00D62BA5" w:rsidRPr="00F9417D" w:rsidRDefault="00D62BA5" w:rsidP="00A53969">
            <w:pPr>
              <w:pStyle w:val="answer"/>
              <w:keepNext/>
              <w:keepLines/>
              <w:spacing w:before="60" w:after="60" w:line="240" w:lineRule="auto"/>
              <w:ind w:left="0" w:firstLine="0"/>
              <w:rPr>
                <w:szCs w:val="24"/>
              </w:rPr>
            </w:pPr>
            <w:proofErr w:type="spellStart"/>
            <w:r w:rsidRPr="00F9417D">
              <w:rPr>
                <w:szCs w:val="24"/>
              </w:rPr>
              <w:t>LSR</w:t>
            </w:r>
            <w:proofErr w:type="spellEnd"/>
            <w:r w:rsidRPr="00F9417D">
              <w:rPr>
                <w:szCs w:val="24"/>
              </w:rPr>
              <w:t xml:space="preserve"> Phase 1</w:t>
            </w:r>
          </w:p>
        </w:tc>
        <w:tc>
          <w:tcPr>
            <w:tcW w:w="1250" w:type="dxa"/>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343</w:t>
            </w:r>
          </w:p>
        </w:tc>
        <w:tc>
          <w:tcPr>
            <w:tcW w:w="1070" w:type="dxa"/>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149</w:t>
            </w:r>
          </w:p>
        </w:tc>
        <w:tc>
          <w:tcPr>
            <w:tcW w:w="1363" w:type="dxa"/>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c>
          <w:tcPr>
            <w:tcW w:w="1250" w:type="dxa"/>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r>
      <w:tr w:rsidR="00D62BA5" w:rsidRPr="00F9417D" w:rsidTr="00D62BA5">
        <w:trPr>
          <w:jc w:val="center"/>
        </w:trPr>
        <w:tc>
          <w:tcPr>
            <w:tcW w:w="2523" w:type="dxa"/>
            <w:tcBorders>
              <w:bottom w:val="single" w:sz="4" w:space="0" w:color="auto"/>
            </w:tcBorders>
          </w:tcPr>
          <w:p w:rsidR="00D62BA5" w:rsidRPr="00F9417D" w:rsidRDefault="00D62BA5" w:rsidP="00A53969">
            <w:pPr>
              <w:pStyle w:val="answer"/>
              <w:keepNext/>
              <w:keepLines/>
              <w:spacing w:before="60" w:after="60" w:line="240" w:lineRule="auto"/>
              <w:ind w:left="0" w:firstLine="0"/>
              <w:rPr>
                <w:szCs w:val="24"/>
              </w:rPr>
            </w:pPr>
            <w:r w:rsidRPr="00F9417D">
              <w:rPr>
                <w:szCs w:val="24"/>
              </w:rPr>
              <w:t xml:space="preserve">Klondike III </w:t>
            </w:r>
            <w:proofErr w:type="spellStart"/>
            <w:r w:rsidRPr="00F9417D">
              <w:rPr>
                <w:szCs w:val="24"/>
              </w:rPr>
              <w:t>PPA</w:t>
            </w:r>
            <w:proofErr w:type="spellEnd"/>
          </w:p>
        </w:tc>
        <w:tc>
          <w:tcPr>
            <w:tcW w:w="1250" w:type="dxa"/>
            <w:tcBorders>
              <w:bottom w:val="single" w:sz="4" w:space="0" w:color="auto"/>
            </w:tcBorders>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50</w:t>
            </w:r>
          </w:p>
        </w:tc>
        <w:tc>
          <w:tcPr>
            <w:tcW w:w="1070" w:type="dxa"/>
            <w:tcBorders>
              <w:bottom w:val="single" w:sz="4" w:space="0" w:color="auto"/>
            </w:tcBorders>
          </w:tcPr>
          <w:p w:rsidR="00D62BA5" w:rsidRPr="00F9417D" w:rsidRDefault="00D62BA5" w:rsidP="00A53969">
            <w:pPr>
              <w:pStyle w:val="answer"/>
              <w:keepNext/>
              <w:keepLines/>
              <w:spacing w:before="60" w:after="60" w:line="240" w:lineRule="auto"/>
              <w:ind w:left="0" w:firstLine="0"/>
              <w:jc w:val="right"/>
              <w:rPr>
                <w:szCs w:val="24"/>
              </w:rPr>
            </w:pPr>
            <w:r w:rsidRPr="00F9417D">
              <w:rPr>
                <w:szCs w:val="24"/>
              </w:rPr>
              <w:t>N/A</w:t>
            </w:r>
          </w:p>
        </w:tc>
        <w:tc>
          <w:tcPr>
            <w:tcW w:w="1363" w:type="dxa"/>
            <w:tcBorders>
              <w:bottom w:val="single" w:sz="4" w:space="0" w:color="auto"/>
            </w:tcBorders>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c>
          <w:tcPr>
            <w:tcW w:w="1250" w:type="dxa"/>
            <w:tcBorders>
              <w:bottom w:val="single" w:sz="4" w:space="0" w:color="auto"/>
            </w:tcBorders>
          </w:tcPr>
          <w:p w:rsidR="00D62BA5" w:rsidRPr="00F9417D" w:rsidRDefault="007C3D2B" w:rsidP="00A53969">
            <w:pPr>
              <w:pStyle w:val="answer"/>
              <w:keepNext/>
              <w:keepLines/>
              <w:spacing w:before="60" w:after="60" w:line="240" w:lineRule="auto"/>
              <w:ind w:left="0" w:firstLine="0"/>
              <w:jc w:val="right"/>
              <w:rPr>
                <w:szCs w:val="24"/>
              </w:rPr>
            </w:pPr>
            <w:r>
              <w:rPr>
                <w:szCs w:val="24"/>
                <w:highlight w:val="lightGray"/>
                <w:bdr w:val="single" w:sz="4" w:space="0" w:color="auto"/>
              </w:rPr>
              <w:t>████</w:t>
            </w:r>
          </w:p>
        </w:tc>
      </w:tr>
      <w:tr w:rsidR="00D62BA5" w:rsidRPr="00F9417D" w:rsidTr="00D62BA5">
        <w:trPr>
          <w:jc w:val="center"/>
        </w:trPr>
        <w:tc>
          <w:tcPr>
            <w:tcW w:w="2523" w:type="dxa"/>
            <w:tcBorders>
              <w:top w:val="single" w:sz="4" w:space="0" w:color="auto"/>
            </w:tcBorders>
          </w:tcPr>
          <w:p w:rsidR="00D62BA5" w:rsidRPr="00F9417D" w:rsidRDefault="00D62BA5" w:rsidP="00D62BA5">
            <w:pPr>
              <w:pStyle w:val="answer"/>
              <w:spacing w:before="60" w:after="60" w:line="240" w:lineRule="auto"/>
              <w:ind w:left="0" w:firstLine="0"/>
              <w:rPr>
                <w:b/>
                <w:szCs w:val="24"/>
              </w:rPr>
            </w:pPr>
            <w:r w:rsidRPr="00F9417D">
              <w:rPr>
                <w:b/>
                <w:szCs w:val="24"/>
              </w:rPr>
              <w:t>Total</w:t>
            </w:r>
          </w:p>
        </w:tc>
        <w:tc>
          <w:tcPr>
            <w:tcW w:w="1250" w:type="dxa"/>
            <w:tcBorders>
              <w:top w:val="single" w:sz="4" w:space="0" w:color="auto"/>
            </w:tcBorders>
          </w:tcPr>
          <w:p w:rsidR="00D62BA5" w:rsidRPr="00F9417D" w:rsidRDefault="00D62BA5" w:rsidP="00D62BA5">
            <w:pPr>
              <w:pStyle w:val="answer"/>
              <w:spacing w:before="60" w:after="60" w:line="240" w:lineRule="auto"/>
              <w:ind w:left="0" w:firstLine="0"/>
              <w:jc w:val="right"/>
              <w:rPr>
                <w:b/>
                <w:szCs w:val="24"/>
              </w:rPr>
            </w:pPr>
            <w:r w:rsidRPr="00F9417D">
              <w:rPr>
                <w:b/>
                <w:szCs w:val="24"/>
              </w:rPr>
              <w:t>823</w:t>
            </w:r>
          </w:p>
        </w:tc>
        <w:tc>
          <w:tcPr>
            <w:tcW w:w="1070" w:type="dxa"/>
            <w:tcBorders>
              <w:top w:val="single" w:sz="4" w:space="0" w:color="auto"/>
            </w:tcBorders>
          </w:tcPr>
          <w:p w:rsidR="00D62BA5" w:rsidRPr="00F9417D" w:rsidRDefault="00D62BA5" w:rsidP="00D62BA5">
            <w:pPr>
              <w:pStyle w:val="answer"/>
              <w:spacing w:before="60" w:after="60" w:line="240" w:lineRule="auto"/>
              <w:ind w:left="0" w:firstLine="0"/>
              <w:jc w:val="right"/>
              <w:rPr>
                <w:b/>
                <w:szCs w:val="24"/>
              </w:rPr>
            </w:pPr>
            <w:r w:rsidRPr="00F9417D">
              <w:rPr>
                <w:b/>
                <w:szCs w:val="24"/>
              </w:rPr>
              <w:t>385</w:t>
            </w:r>
          </w:p>
        </w:tc>
        <w:tc>
          <w:tcPr>
            <w:tcW w:w="1363" w:type="dxa"/>
            <w:tcBorders>
              <w:top w:val="single" w:sz="4" w:space="0" w:color="auto"/>
            </w:tcBorders>
          </w:tcPr>
          <w:p w:rsidR="00D62BA5" w:rsidRPr="00F9417D" w:rsidRDefault="00E836F6" w:rsidP="00FB3C93">
            <w:pPr>
              <w:pStyle w:val="answer"/>
              <w:spacing w:before="60" w:after="60" w:line="240" w:lineRule="auto"/>
              <w:ind w:left="0" w:firstLine="0"/>
              <w:jc w:val="right"/>
              <w:rPr>
                <w:b/>
                <w:szCs w:val="24"/>
              </w:rPr>
            </w:pPr>
            <w:r w:rsidRPr="00F9417D">
              <w:rPr>
                <w:b/>
                <w:szCs w:val="24"/>
              </w:rPr>
              <w:t>2,074,320</w:t>
            </w:r>
          </w:p>
        </w:tc>
        <w:tc>
          <w:tcPr>
            <w:tcW w:w="1250" w:type="dxa"/>
            <w:tcBorders>
              <w:top w:val="single" w:sz="4" w:space="0" w:color="auto"/>
            </w:tcBorders>
          </w:tcPr>
          <w:p w:rsidR="00D62BA5" w:rsidRPr="00F9417D" w:rsidRDefault="00D62BA5" w:rsidP="00D62BA5">
            <w:pPr>
              <w:pStyle w:val="answer"/>
              <w:spacing w:before="60" w:after="60" w:line="240" w:lineRule="auto"/>
              <w:ind w:left="0" w:firstLine="0"/>
              <w:jc w:val="right"/>
              <w:rPr>
                <w:b/>
                <w:szCs w:val="24"/>
              </w:rPr>
            </w:pPr>
            <w:r w:rsidRPr="00F9417D">
              <w:rPr>
                <w:b/>
                <w:szCs w:val="24"/>
              </w:rPr>
              <w:t>N/A</w:t>
            </w:r>
          </w:p>
        </w:tc>
      </w:tr>
    </w:tbl>
    <w:p w:rsidR="00866BF4" w:rsidRDefault="00866BF4" w:rsidP="00D62BA5">
      <w:pPr>
        <w:pStyle w:val="question"/>
        <w:spacing w:before="280"/>
      </w:pPr>
      <w:r>
        <w:t>Q.</w:t>
      </w:r>
      <w:r>
        <w:tab/>
        <w:t>What risks are related to transmission and transportation constraints?</w:t>
      </w:r>
    </w:p>
    <w:p w:rsidR="00866BF4" w:rsidRDefault="00866BF4" w:rsidP="00866BF4">
      <w:pPr>
        <w:pStyle w:val="answer"/>
      </w:pPr>
      <w:r>
        <w:t>A.</w:t>
      </w:r>
      <w:r>
        <w:tab/>
        <w:t>PSE is exposed to transmission and natural gas transportation risks, such as pipeline outages, curtailments of transmission due to de-ratings,</w:t>
      </w:r>
      <w:r w:rsidR="009573C0">
        <w:rPr>
          <w:rStyle w:val="FootnoteReference"/>
        </w:rPr>
        <w:footnoteReference w:id="3"/>
      </w:r>
      <w:r w:rsidR="00404C71">
        <w:t xml:space="preserve"> </w:t>
      </w:r>
      <w:r>
        <w:t>and forced outages.</w:t>
      </w:r>
      <w:r w:rsidR="00404C71">
        <w:t xml:space="preserve"> </w:t>
      </w:r>
      <w:r>
        <w:t>For example, if power cannot be wheeled</w:t>
      </w:r>
      <w:r w:rsidR="009573C0">
        <w:rPr>
          <w:rStyle w:val="FootnoteReference"/>
        </w:rPr>
        <w:footnoteReference w:id="4"/>
      </w:r>
      <w:r w:rsidR="00404C71">
        <w:t xml:space="preserve"> </w:t>
      </w:r>
      <w:r>
        <w:t>from the Mid-C trading hub to PSE</w:t>
      </w:r>
      <w:r w:rsidR="009F02BA">
        <w:t>’</w:t>
      </w:r>
      <w:r>
        <w:t>s system, PSE would be forced to meet load by dispatching other resources or making market purchases from unconstrained points that may be higher cost.</w:t>
      </w:r>
    </w:p>
    <w:p w:rsidR="00866BF4" w:rsidRDefault="00866BF4" w:rsidP="00866BF4">
      <w:pPr>
        <w:pStyle w:val="question"/>
      </w:pPr>
      <w:r>
        <w:t>Q.</w:t>
      </w:r>
      <w:r>
        <w:tab/>
        <w:t>Are PSE</w:t>
      </w:r>
      <w:r w:rsidR="009F02BA">
        <w:t>’</w:t>
      </w:r>
      <w:r>
        <w:t>s power costs subject to other risks?</w:t>
      </w:r>
    </w:p>
    <w:p w:rsidR="00866BF4" w:rsidRDefault="00A609B9" w:rsidP="00866BF4">
      <w:pPr>
        <w:pStyle w:val="answer"/>
      </w:pPr>
      <w:r w:rsidRPr="00F9417D">
        <w:rPr>
          <w:b/>
          <w:noProof/>
          <w:szCs w:val="24"/>
          <w:lang w:eastAsia="en-US"/>
        </w:rPr>
        <mc:AlternateContent>
          <mc:Choice Requires="wpg">
            <w:drawing>
              <wp:anchor distT="0" distB="0" distL="114300" distR="114300" simplePos="0" relativeHeight="251697152" behindDoc="0" locked="0" layoutInCell="1" allowOverlap="1" wp14:anchorId="1DB2128E" wp14:editId="537E8955">
                <wp:simplePos x="0" y="0"/>
                <wp:positionH relativeFrom="column">
                  <wp:posOffset>1873250</wp:posOffset>
                </wp:positionH>
                <wp:positionV relativeFrom="paragraph">
                  <wp:posOffset>3095625</wp:posOffset>
                </wp:positionV>
                <wp:extent cx="1546860" cy="65024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650240"/>
                          <a:chOff x="4401" y="11656"/>
                          <a:chExt cx="4320" cy="780"/>
                        </a:xfrm>
                      </wpg:grpSpPr>
                      <wps:wsp>
                        <wps:cNvPr id="27"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564992"/>
                          </w:txbxContent>
                        </wps:txbx>
                        <wps:bodyPr rot="0" vert="horz" wrap="square" lIns="91440" tIns="91440" rIns="91440" bIns="91440" anchor="t" anchorCtr="0" upright="1">
                          <a:noAutofit/>
                        </wps:bodyPr>
                      </wps:wsp>
                      <wps:wsp>
                        <wps:cNvPr id="28"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9" style="position:absolute;left:0;text-align:left;margin-left:147.5pt;margin-top:243.75pt;width:121.8pt;height:51.2pt;z-index:251697152"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">
                <v:shape id="Text Box 12" o:spid="_x0000_s1030"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KMQA&#10;AADbAAAADwAAAGRycy9kb3ducmV2LnhtbESPQWvCQBSE70L/w/IKvenGUFRSVylCod6qlrbHR/Zl&#10;E8y+DdnNmvbXdwXB4zAz3zDr7WhbEan3jWMF81kGgrh0umGj4PP0Nl2B8AFZY+uYFPySh+3mYbLG&#10;QrsLHygegxEJwr5ABXUIXSGlL2uy6GeuI05e5XqLIcneSN3jJcFtK/MsW0iLDaeFGjva1VSej4NV&#10;8G0W+/ZjddbV88/f19wMMe72lVJPj+PrC4hAY7iHb+13rSBfwvVL+g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VyjEAAAA2wAAAA8AAAAAAAAAAAAAAAAAmAIAAGRycy9k&#10;b3ducmV2LnhtbFBLBQYAAAAABAAEAPUAAACJAwAAAAA=&#10;" fillcolor="gray" stroked="f">
                  <v:textbox inset=",7.2pt,,7.2pt">
                    <w:txbxContent>
                      <w:p w:rsidR="007C3D2B" w:rsidRDefault="007C3D2B" w:rsidP="00564992"/>
                    </w:txbxContent>
                  </v:textbox>
                </v:shape>
                <v:shape id="Text Box 13" o:spid="_x0000_s1031"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4KGMQA&#10;AADbAAAADwAAAGRycy9kb3ducmV2LnhtbESPQWvCQBCF7wX/wzJCL6VuqiiSuooEBPFSjJLzkJ0m&#10;odnZmN2a9N93DoK3GebNe+/b7EbXqjv1ofFs4GOWgCIuvW24MnC9HN7XoEJEtth6JgN/FGC3nbxs&#10;MLV+4DPd81gpMeGQooE6xi7VOpQ1OQwz3xHL7dv3DqOsfaVtj4OYu1bPk2SlHTYsCTV2lNVU/uS/&#10;zkB2KmQ8376KYtEuV6d8yN6yypjX6bj/BBVpjE/x4/toDcylrL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ChjEAAAA2wAAAA8AAAAAAAAAAAAAAAAAmAIAAGRycy9k&#10;b3ducmV2LnhtbFBLBQYAAAAABAAEAPUAAACJAwAAAAA=&#10;" strokeweight="1.5pt">
                  <v:textbox inset=",7.2pt,,7.2pt">
                    <w:txbxContent>
                      <w:p w:rsid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v:textbox>
                </v:shape>
              </v:group>
            </w:pict>
          </mc:Fallback>
        </mc:AlternateContent>
      </w:r>
      <w:r w:rsidR="00866BF4">
        <w:t>A.</w:t>
      </w:r>
      <w:r w:rsidR="00866BF4">
        <w:tab/>
        <w:t>Yes.</w:t>
      </w:r>
      <w:r w:rsidR="00404C71">
        <w:t xml:space="preserve"> </w:t>
      </w:r>
      <w:r w:rsidR="00866BF4">
        <w:t>Examples of other risks to PSE</w:t>
      </w:r>
      <w:r w:rsidR="009F02BA">
        <w:t>’</w:t>
      </w:r>
      <w:r w:rsidR="00866BF4">
        <w:t>s power costs include, but are not limited to counterparty credit risk and execution risk.</w:t>
      </w:r>
      <w:r w:rsidR="00404C71">
        <w:t xml:space="preserve"> </w:t>
      </w:r>
      <w:r w:rsidR="00866BF4">
        <w:t>Counterparty credit risk refers to the risk of default by PSE</w:t>
      </w:r>
      <w:r w:rsidR="009F02BA">
        <w:t>’</w:t>
      </w:r>
      <w:r w:rsidR="00866BF4">
        <w:t>s counterparties on contractual obligations.</w:t>
      </w:r>
      <w:r w:rsidR="00404C71">
        <w:t xml:space="preserve"> </w:t>
      </w:r>
      <w:r w:rsidR="00866BF4">
        <w:t xml:space="preserve">Execution risk refers to the ability to execute wholesale market transactions and includes, for </w:t>
      </w:r>
      <w:r w:rsidR="00866BF4">
        <w:lastRenderedPageBreak/>
        <w:t>example, counterparty credit requirements, PSE</w:t>
      </w:r>
      <w:r w:rsidR="009F02BA">
        <w:t>’</w:t>
      </w:r>
      <w:r w:rsidR="00866BF4">
        <w:t>s credit standing, and contractual requirements.</w:t>
      </w:r>
    </w:p>
    <w:p w:rsidR="00866BF4" w:rsidRDefault="00866BF4" w:rsidP="00D62BA5">
      <w:pPr>
        <w:pStyle w:val="Heading1"/>
      </w:pPr>
      <w:bookmarkStart w:id="18" w:name="_Toc471319019"/>
      <w:r>
        <w:t>III.</w:t>
      </w:r>
      <w:r>
        <w:tab/>
        <w:t>PSE</w:t>
      </w:r>
      <w:r w:rsidR="009F02BA">
        <w:t>’</w:t>
      </w:r>
      <w:r>
        <w:t>S MANAGEMENT OF POWER COST RISK</w:t>
      </w:r>
      <w:bookmarkEnd w:id="18"/>
    </w:p>
    <w:p w:rsidR="00866BF4" w:rsidRDefault="00866BF4" w:rsidP="00866BF4">
      <w:pPr>
        <w:pStyle w:val="question"/>
      </w:pPr>
      <w:r>
        <w:t>Q.</w:t>
      </w:r>
      <w:r>
        <w:tab/>
        <w:t>How does PSE manage the volatility of power costs?</w:t>
      </w:r>
    </w:p>
    <w:p w:rsidR="00866BF4" w:rsidRDefault="00866BF4" w:rsidP="00866BF4">
      <w:pPr>
        <w:pStyle w:val="answer"/>
      </w:pPr>
      <w:r>
        <w:t>A.</w:t>
      </w:r>
      <w:r>
        <w:tab/>
        <w:t>PSE has had organizational structures, policies and overarching strategies in place for many years to provide oversight and control of PSE</w:t>
      </w:r>
      <w:r w:rsidR="009F02BA">
        <w:t>’</w:t>
      </w:r>
      <w:r>
        <w:t>s energy portfolio management activities, many of which must be undertaken on an hourly and daily basis by PSE</w:t>
      </w:r>
      <w:r w:rsidR="009F02BA">
        <w:t>’</w:t>
      </w:r>
      <w:r>
        <w:t>s experienced energy traders.</w:t>
      </w:r>
      <w:r w:rsidR="00404C71">
        <w:t xml:space="preserve"> </w:t>
      </w:r>
      <w:r>
        <w:t>PSE also uses modeling tools that assist in projecting whether its power and gas portfolios will be surplus or deficit in future periods.</w:t>
      </w:r>
      <w:r w:rsidR="00404C71">
        <w:t xml:space="preserve"> </w:t>
      </w:r>
      <w:r>
        <w:t>PSE uses these tools to develop and implement hedging strategies to reduce the supply and cost risks associated with the power portfolio volatility.</w:t>
      </w:r>
    </w:p>
    <w:p w:rsidR="00866BF4" w:rsidRDefault="00866BF4" w:rsidP="00D62BA5">
      <w:pPr>
        <w:pStyle w:val="question"/>
      </w:pPr>
      <w:r>
        <w:t>Q.</w:t>
      </w:r>
      <w:r>
        <w:tab/>
        <w:t>Please summarize PSE</w:t>
      </w:r>
      <w:r w:rsidR="009F02BA">
        <w:t>’</w:t>
      </w:r>
      <w:r>
        <w:t>s efforts with respect to developing and implementing hedging strategies for its electric portfolio.</w:t>
      </w:r>
    </w:p>
    <w:p w:rsidR="00866BF4" w:rsidRDefault="00866BF4" w:rsidP="00866BF4">
      <w:pPr>
        <w:pStyle w:val="answer"/>
      </w:pPr>
      <w:r>
        <w:t>A.</w:t>
      </w:r>
      <w:r>
        <w:tab/>
        <w:t>PSE manages its electric portfolio within a dynamic and complex environment by relying on:</w:t>
      </w:r>
    </w:p>
    <w:p w:rsidR="00866BF4" w:rsidRDefault="00866BF4" w:rsidP="00D62BA5">
      <w:pPr>
        <w:pStyle w:val="List"/>
        <w:numPr>
          <w:ilvl w:val="0"/>
          <w:numId w:val="39"/>
        </w:numPr>
        <w:ind w:hanging="720"/>
      </w:pPr>
      <w:r>
        <w:t>internal organizations and trained staff dedicated to managing portfolio risks;</w:t>
      </w:r>
    </w:p>
    <w:p w:rsidR="00866BF4" w:rsidRDefault="00866BF4" w:rsidP="00D62BA5">
      <w:pPr>
        <w:pStyle w:val="List"/>
        <w:numPr>
          <w:ilvl w:val="0"/>
          <w:numId w:val="39"/>
        </w:numPr>
        <w:ind w:hanging="720"/>
      </w:pPr>
      <w:r>
        <w:t>executive and Board of Director-level oversight of staff</w:t>
      </w:r>
      <w:r w:rsidR="009F02BA">
        <w:t>’</w:t>
      </w:r>
      <w:r>
        <w:t>s portfolio management activities;</w:t>
      </w:r>
    </w:p>
    <w:p w:rsidR="00866BF4" w:rsidRDefault="00866BF4" w:rsidP="00D62BA5">
      <w:pPr>
        <w:pStyle w:val="List"/>
        <w:numPr>
          <w:ilvl w:val="0"/>
          <w:numId w:val="39"/>
        </w:numPr>
        <w:ind w:hanging="720"/>
      </w:pPr>
      <w:r>
        <w:t>specific procedures and policies governing energy portfolio management activities;</w:t>
      </w:r>
    </w:p>
    <w:p w:rsidR="00866BF4" w:rsidRDefault="00866BF4" w:rsidP="00D62BA5">
      <w:pPr>
        <w:pStyle w:val="List"/>
        <w:numPr>
          <w:ilvl w:val="0"/>
          <w:numId w:val="39"/>
        </w:numPr>
        <w:ind w:hanging="720"/>
      </w:pPr>
      <w:r>
        <w:lastRenderedPageBreak/>
        <w:t>production cost modeling techniques that develop a 250</w:t>
      </w:r>
      <w:r w:rsidR="00830C5F">
        <w:t> </w:t>
      </w:r>
      <w:r>
        <w:t>scenario probabilistic view of PSE</w:t>
      </w:r>
      <w:r w:rsidR="009F02BA">
        <w:t>’</w:t>
      </w:r>
      <w:r>
        <w:t>s wholesale electric portfolio and its underlying risks;</w:t>
      </w:r>
    </w:p>
    <w:p w:rsidR="00866BF4" w:rsidRDefault="00866BF4" w:rsidP="00D62BA5">
      <w:pPr>
        <w:pStyle w:val="List"/>
        <w:numPr>
          <w:ilvl w:val="0"/>
          <w:numId w:val="39"/>
        </w:numPr>
        <w:ind w:hanging="720"/>
      </w:pPr>
      <w:r>
        <w:t>use of programmatic hedging strategies that specify a range of monthly volumes to be hedged, depending upon market fundamentals and energy portfolio management staff</w:t>
      </w:r>
      <w:r w:rsidR="009F02BA">
        <w:t>’</w:t>
      </w:r>
      <w:r>
        <w:t>s expertise;</w:t>
      </w:r>
    </w:p>
    <w:p w:rsidR="00866BF4" w:rsidRDefault="00866BF4" w:rsidP="00D62BA5">
      <w:pPr>
        <w:pStyle w:val="List"/>
        <w:numPr>
          <w:ilvl w:val="0"/>
          <w:numId w:val="39"/>
        </w:numPr>
        <w:ind w:hanging="720"/>
      </w:pPr>
      <w:r>
        <w:t>revision of strategies to incorporate up-to-date fundamental views of energy commodity markets;</w:t>
      </w:r>
    </w:p>
    <w:p w:rsidR="00866BF4" w:rsidRDefault="00866BF4" w:rsidP="00D62BA5">
      <w:pPr>
        <w:pStyle w:val="List"/>
        <w:numPr>
          <w:ilvl w:val="0"/>
          <w:numId w:val="39"/>
        </w:numPr>
        <w:ind w:hanging="720"/>
      </w:pPr>
      <w:r>
        <w:t>a $350</w:t>
      </w:r>
      <w:r w:rsidR="00830C5F">
        <w:t> </w:t>
      </w:r>
      <w:r>
        <w:t>million unsecured revolving credit agreement to support PSE</w:t>
      </w:r>
      <w:r w:rsidR="009F02BA">
        <w:t>’</w:t>
      </w:r>
      <w:r>
        <w:t>s energy hedging activities; and</w:t>
      </w:r>
    </w:p>
    <w:p w:rsidR="00866BF4" w:rsidRDefault="00866BF4" w:rsidP="00D62BA5">
      <w:pPr>
        <w:pStyle w:val="List"/>
        <w:numPr>
          <w:ilvl w:val="0"/>
          <w:numId w:val="39"/>
        </w:numPr>
        <w:ind w:hanging="720"/>
      </w:pPr>
      <w:r>
        <w:t>a counterparty credit risk system.</w:t>
      </w:r>
    </w:p>
    <w:p w:rsidR="00866BF4" w:rsidRDefault="00866BF4" w:rsidP="00866BF4">
      <w:pPr>
        <w:pStyle w:val="question"/>
      </w:pPr>
      <w:r>
        <w:t>Q.</w:t>
      </w:r>
      <w:r>
        <w:tab/>
        <w:t>Has PSE revised its hedging</w:t>
      </w:r>
      <w:r w:rsidR="000B78B7">
        <w:t xml:space="preserve"> program</w:t>
      </w:r>
      <w:r>
        <w:t xml:space="preserve"> since the 2014</w:t>
      </w:r>
      <w:r w:rsidR="008F6098">
        <w:t> </w:t>
      </w:r>
      <w:proofErr w:type="spellStart"/>
      <w:r w:rsidR="00A17540">
        <w:t>PCORC</w:t>
      </w:r>
      <w:proofErr w:type="spellEnd"/>
      <w:r>
        <w:t>?</w:t>
      </w:r>
    </w:p>
    <w:p w:rsidR="00866BF4" w:rsidRDefault="00866BF4" w:rsidP="00866BF4">
      <w:pPr>
        <w:pStyle w:val="answer"/>
      </w:pPr>
      <w:r>
        <w:t>A.</w:t>
      </w:r>
      <w:r>
        <w:tab/>
        <w:t>No.</w:t>
      </w:r>
      <w:r w:rsidR="00404C71">
        <w:t xml:space="preserve"> </w:t>
      </w:r>
      <w:r>
        <w:t>PSE</w:t>
      </w:r>
      <w:r w:rsidR="009F02BA">
        <w:t>’</w:t>
      </w:r>
      <w:r>
        <w:t xml:space="preserve">s hedging </w:t>
      </w:r>
      <w:r w:rsidR="000B78B7">
        <w:t>program</w:t>
      </w:r>
      <w:r>
        <w:t xml:space="preserve"> is unchanged since PSE</w:t>
      </w:r>
      <w:r w:rsidR="009F02BA">
        <w:t>’</w:t>
      </w:r>
      <w:r>
        <w:t>s 2014</w:t>
      </w:r>
      <w:r w:rsidR="008F6098">
        <w:t> </w:t>
      </w:r>
      <w:proofErr w:type="spellStart"/>
      <w:r>
        <w:t>PCORC</w:t>
      </w:r>
      <w:proofErr w:type="spellEnd"/>
      <w:r>
        <w:t>.</w:t>
      </w:r>
    </w:p>
    <w:p w:rsidR="00866BF4" w:rsidRDefault="00866BF4" w:rsidP="00866BF4">
      <w:pPr>
        <w:pStyle w:val="question"/>
      </w:pPr>
      <w:r>
        <w:t>Q.</w:t>
      </w:r>
      <w:r>
        <w:tab/>
        <w:t>What are the hedges included in rate year power costs?</w:t>
      </w:r>
    </w:p>
    <w:p w:rsidR="00866BF4" w:rsidRDefault="00866BF4" w:rsidP="00866BF4">
      <w:pPr>
        <w:pStyle w:val="answer"/>
      </w:pPr>
      <w:r>
        <w:t>A.</w:t>
      </w:r>
      <w:r>
        <w:tab/>
        <w:t xml:space="preserve">The rate year power costs include </w:t>
      </w:r>
      <w:r w:rsidR="00F33FA5">
        <w:t xml:space="preserve">gas-for-power </w:t>
      </w:r>
      <w:r>
        <w:t xml:space="preserve">and power contracts that </w:t>
      </w:r>
      <w:r w:rsidR="00BF2C06">
        <w:t>were</w:t>
      </w:r>
      <w:r>
        <w:t xml:space="preserve"> transacted as of </w:t>
      </w:r>
      <w:r w:rsidR="00A15187">
        <w:t>September</w:t>
      </w:r>
      <w:r w:rsidR="008F6098">
        <w:t> </w:t>
      </w:r>
      <w:r w:rsidR="00A15187">
        <w:t>23</w:t>
      </w:r>
      <w:r w:rsidRPr="00A15187">
        <w:t>, 201</w:t>
      </w:r>
      <w:r w:rsidR="0036390F" w:rsidRPr="00A15187">
        <w:t>6</w:t>
      </w:r>
      <w:r w:rsidR="00830C5F" w:rsidRPr="00A15187">
        <w:t>,</w:t>
      </w:r>
      <w:r>
        <w:t xml:space="preserve"> for delivery during the rate year </w:t>
      </w:r>
      <w:r w:rsidR="00830C5F">
        <w:t>(</w:t>
      </w:r>
      <w:r w:rsidR="00BF2C06">
        <w:t>calendar year 2018</w:t>
      </w:r>
      <w:r w:rsidR="00830C5F">
        <w:t>)</w:t>
      </w:r>
      <w:r>
        <w:t>.</w:t>
      </w:r>
    </w:p>
    <w:p w:rsidR="00866BF4" w:rsidRDefault="00866BF4" w:rsidP="00F54729">
      <w:pPr>
        <w:pStyle w:val="NestedAnswer"/>
        <w:keepNext/>
        <w:keepLines/>
      </w:pPr>
      <w:r>
        <w:lastRenderedPageBreak/>
        <w:t>Table</w:t>
      </w:r>
      <w:r w:rsidR="00830C5F">
        <w:t> </w:t>
      </w:r>
      <w:r>
        <w:t>3 below provides a summary of the fixed-price rate year power portfolio hedges included in rate year power costs</w:t>
      </w:r>
      <w:r w:rsidR="0061725F">
        <w:t>.</w:t>
      </w:r>
    </w:p>
    <w:p w:rsidR="00866BF4" w:rsidRPr="00A15187" w:rsidRDefault="00866BF4" w:rsidP="00A53969">
      <w:pPr>
        <w:pStyle w:val="TableHeader"/>
        <w:widowControl/>
        <w:tabs>
          <w:tab w:val="left" w:pos="810"/>
        </w:tabs>
        <w:ind w:left="720" w:right="720"/>
      </w:pPr>
      <w:r w:rsidRPr="00A15187">
        <w:t>Table</w:t>
      </w:r>
      <w:r w:rsidR="00830C5F" w:rsidRPr="00A15187">
        <w:t> </w:t>
      </w:r>
      <w:r w:rsidRPr="00A15187">
        <w:t>3.</w:t>
      </w:r>
      <w:r w:rsidR="00404C71" w:rsidRPr="00A15187">
        <w:t xml:space="preserve"> </w:t>
      </w:r>
      <w:r w:rsidRPr="00A15187">
        <w:t>PSE</w:t>
      </w:r>
      <w:r w:rsidR="009F02BA">
        <w:t>’</w:t>
      </w:r>
      <w:r w:rsidRPr="00A15187">
        <w:t>s 201</w:t>
      </w:r>
      <w:r w:rsidR="0036390F" w:rsidRPr="00A15187">
        <w:t>7</w:t>
      </w:r>
      <w:r w:rsidRPr="00A15187">
        <w:t xml:space="preserve"> </w:t>
      </w:r>
      <w:proofErr w:type="spellStart"/>
      <w:r w:rsidRPr="00A15187">
        <w:t>GRC</w:t>
      </w:r>
      <w:proofErr w:type="spellEnd"/>
      <w:r w:rsidRPr="00A15187">
        <w:t xml:space="preserve"> Rate Year</w:t>
      </w:r>
      <w:r w:rsidR="00F411AD" w:rsidRPr="00A15187">
        <w:br/>
      </w:r>
      <w:r w:rsidRPr="00A15187">
        <w:t>Short-Term Fixed Price Power Portfolio Hedges</w:t>
      </w:r>
      <w:r w:rsidR="00F411AD" w:rsidRPr="00A15187">
        <w:br/>
      </w:r>
      <w:r w:rsidRPr="00A15187">
        <w:t xml:space="preserve">at </w:t>
      </w:r>
      <w:r w:rsidR="00A15187" w:rsidRPr="00A15187">
        <w:t>September 23</w:t>
      </w:r>
      <w:r w:rsidRPr="00A15187">
        <w:t>, 201</w:t>
      </w:r>
      <w:r w:rsidR="0036390F" w:rsidRPr="00A15187">
        <w:t>6</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1416"/>
        <w:gridCol w:w="1696"/>
        <w:gridCol w:w="1003"/>
      </w:tblGrid>
      <w:tr w:rsidR="00F411AD" w:rsidRPr="00214F2D" w:rsidTr="00830C5F">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p>
        </w:tc>
        <w:tc>
          <w:tcPr>
            <w:tcW w:w="1416" w:type="dxa"/>
            <w:tcBorders>
              <w:bottom w:val="single" w:sz="4" w:space="0" w:color="auto"/>
            </w:tcBorders>
            <w:vAlign w:val="bottom"/>
          </w:tcPr>
          <w:p w:rsidR="00F411AD" w:rsidRPr="00214F2D" w:rsidRDefault="00F411AD" w:rsidP="00A53969">
            <w:pPr>
              <w:pStyle w:val="answer"/>
              <w:keepNext/>
              <w:keepLines/>
              <w:spacing w:before="60" w:after="60" w:line="240" w:lineRule="auto"/>
              <w:ind w:left="0" w:firstLine="0"/>
              <w:jc w:val="center"/>
              <w:rPr>
                <w:b/>
                <w:szCs w:val="24"/>
              </w:rPr>
            </w:pPr>
            <w:r w:rsidRPr="00214F2D">
              <w:rPr>
                <w:b/>
                <w:szCs w:val="24"/>
              </w:rPr>
              <w:t>MWh</w:t>
            </w:r>
            <w:r w:rsidRPr="00214F2D">
              <w:rPr>
                <w:b/>
                <w:szCs w:val="24"/>
              </w:rPr>
              <w:br/>
              <w:t>Volume</w:t>
            </w:r>
          </w:p>
        </w:tc>
        <w:tc>
          <w:tcPr>
            <w:tcW w:w="1696" w:type="dxa"/>
            <w:tcBorders>
              <w:bottom w:val="single" w:sz="4" w:space="0" w:color="auto"/>
            </w:tcBorders>
            <w:vAlign w:val="bottom"/>
          </w:tcPr>
          <w:p w:rsidR="00F411AD" w:rsidRPr="00214F2D" w:rsidRDefault="00F411AD" w:rsidP="00A53969">
            <w:pPr>
              <w:pStyle w:val="answer"/>
              <w:keepNext/>
              <w:keepLines/>
              <w:spacing w:before="60" w:after="60" w:line="240" w:lineRule="auto"/>
              <w:ind w:left="0" w:firstLine="0"/>
              <w:jc w:val="center"/>
              <w:rPr>
                <w:b/>
                <w:szCs w:val="24"/>
              </w:rPr>
            </w:pPr>
            <w:r w:rsidRPr="00214F2D">
              <w:rPr>
                <w:b/>
                <w:szCs w:val="24"/>
              </w:rPr>
              <w:t>Rate Year</w:t>
            </w:r>
            <w:r w:rsidRPr="00214F2D">
              <w:rPr>
                <w:b/>
                <w:szCs w:val="24"/>
              </w:rPr>
              <w:br/>
              <w:t>Cost</w:t>
            </w:r>
          </w:p>
        </w:tc>
        <w:tc>
          <w:tcPr>
            <w:tcW w:w="1003" w:type="dxa"/>
            <w:tcBorders>
              <w:bottom w:val="single" w:sz="4" w:space="0" w:color="auto"/>
            </w:tcBorders>
            <w:vAlign w:val="bottom"/>
          </w:tcPr>
          <w:p w:rsidR="00F411AD" w:rsidRPr="00214F2D" w:rsidRDefault="00F411AD" w:rsidP="00A53969">
            <w:pPr>
              <w:pStyle w:val="answer"/>
              <w:keepNext/>
              <w:keepLines/>
              <w:spacing w:before="60" w:after="60" w:line="240" w:lineRule="auto"/>
              <w:ind w:left="0" w:firstLine="0"/>
              <w:jc w:val="center"/>
              <w:rPr>
                <w:b/>
                <w:szCs w:val="24"/>
              </w:rPr>
            </w:pPr>
            <w:r w:rsidRPr="00214F2D">
              <w:rPr>
                <w:b/>
                <w:szCs w:val="24"/>
              </w:rPr>
              <w:t>Avg.</w:t>
            </w:r>
            <w:r w:rsidRPr="00214F2D">
              <w:rPr>
                <w:b/>
                <w:szCs w:val="24"/>
              </w:rPr>
              <w:br/>
              <w:t>$/MWh</w:t>
            </w:r>
          </w:p>
        </w:tc>
      </w:tr>
      <w:tr w:rsidR="00F411AD" w:rsidRPr="00214F2D" w:rsidTr="00830C5F">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r w:rsidRPr="00214F2D">
              <w:rPr>
                <w:szCs w:val="24"/>
              </w:rPr>
              <w:t>On-Peak Power Purchases</w:t>
            </w:r>
          </w:p>
        </w:tc>
        <w:tc>
          <w:tcPr>
            <w:tcW w:w="1416" w:type="dxa"/>
            <w:tcBorders>
              <w:top w:val="single" w:sz="4" w:space="0" w:color="auto"/>
            </w:tcBorders>
          </w:tcPr>
          <w:p w:rsidR="00F411AD" w:rsidRPr="00214F2D" w:rsidRDefault="007C3D2B" w:rsidP="00A53969">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top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top w:val="single" w:sz="4" w:space="0" w:color="auto"/>
            </w:tcBorders>
          </w:tcPr>
          <w:p w:rsidR="00F411AD" w:rsidRPr="00214F2D" w:rsidRDefault="007C3D2B" w:rsidP="002561F8">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r>
      <w:tr w:rsidR="00F411AD" w:rsidRPr="00214F2D" w:rsidTr="00BC57A0">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r w:rsidRPr="00214F2D">
              <w:rPr>
                <w:szCs w:val="24"/>
              </w:rPr>
              <w:t>Off-Peak Power Purchases</w:t>
            </w:r>
          </w:p>
        </w:tc>
        <w:tc>
          <w:tcPr>
            <w:tcW w:w="1416" w:type="dxa"/>
            <w:tcBorders>
              <w:bottom w:val="single" w:sz="4" w:space="0" w:color="auto"/>
            </w:tcBorders>
          </w:tcPr>
          <w:p w:rsidR="00F411AD" w:rsidRPr="00214F2D" w:rsidRDefault="007C3D2B" w:rsidP="00A53969">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bottom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bottom w:val="single" w:sz="4" w:space="0" w:color="auto"/>
            </w:tcBorders>
          </w:tcPr>
          <w:p w:rsidR="00F411AD" w:rsidRPr="00214F2D" w:rsidRDefault="007C3D2B" w:rsidP="002561F8">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r>
      <w:tr w:rsidR="00F411AD" w:rsidRPr="00214F2D" w:rsidTr="00BC57A0">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r w:rsidRPr="00214F2D">
              <w:rPr>
                <w:szCs w:val="24"/>
              </w:rPr>
              <w:t>Total Power Purchases</w:t>
            </w:r>
          </w:p>
        </w:tc>
        <w:tc>
          <w:tcPr>
            <w:tcW w:w="1416" w:type="dxa"/>
            <w:tcBorders>
              <w:top w:val="single" w:sz="4" w:space="0" w:color="auto"/>
              <w:bottom w:val="single" w:sz="4" w:space="0" w:color="auto"/>
            </w:tcBorders>
          </w:tcPr>
          <w:p w:rsidR="00F411AD" w:rsidRPr="00214F2D" w:rsidRDefault="007C3D2B" w:rsidP="00A53969">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top w:val="single" w:sz="4" w:space="0" w:color="auto"/>
              <w:bottom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top w:val="single" w:sz="4" w:space="0" w:color="auto"/>
              <w:bottom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r>
      <w:tr w:rsidR="00F411AD" w:rsidRPr="00214F2D" w:rsidTr="00BC57A0">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r w:rsidRPr="00214F2D">
              <w:rPr>
                <w:szCs w:val="24"/>
              </w:rPr>
              <w:t>On-Peak Power Sales</w:t>
            </w:r>
          </w:p>
        </w:tc>
        <w:tc>
          <w:tcPr>
            <w:tcW w:w="1416" w:type="dxa"/>
            <w:tcBorders>
              <w:top w:val="single" w:sz="4" w:space="0" w:color="auto"/>
            </w:tcBorders>
          </w:tcPr>
          <w:p w:rsidR="00F411AD" w:rsidRPr="00214F2D" w:rsidRDefault="007C3D2B" w:rsidP="002561F8">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top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top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r>
      <w:tr w:rsidR="00F411AD" w:rsidRPr="00214F2D" w:rsidTr="00830C5F">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r w:rsidRPr="00214F2D">
              <w:rPr>
                <w:szCs w:val="24"/>
              </w:rPr>
              <w:t>Off-Peak Power Sales</w:t>
            </w:r>
          </w:p>
        </w:tc>
        <w:tc>
          <w:tcPr>
            <w:tcW w:w="1416" w:type="dxa"/>
            <w:tcBorders>
              <w:bottom w:val="single" w:sz="4" w:space="0" w:color="auto"/>
            </w:tcBorders>
          </w:tcPr>
          <w:p w:rsidR="00F411AD" w:rsidRPr="00214F2D" w:rsidRDefault="007C3D2B" w:rsidP="002561F8">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bottom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bottom w:val="single" w:sz="4" w:space="0" w:color="auto"/>
            </w:tcBorders>
          </w:tcPr>
          <w:p w:rsidR="00F411AD" w:rsidRPr="007C3D2B" w:rsidRDefault="007C3D2B" w:rsidP="006848BA">
            <w:pPr>
              <w:pStyle w:val="answer"/>
              <w:keepNext/>
              <w:keepLines/>
              <w:spacing w:before="60" w:after="60" w:line="240" w:lineRule="auto"/>
              <w:ind w:left="0" w:firstLine="0"/>
              <w:jc w:val="right"/>
              <w:rPr>
                <w:highlight w:val="lightGray"/>
              </w:rPr>
            </w:pPr>
            <w:r>
              <w:rPr>
                <w:szCs w:val="24"/>
                <w:highlight w:val="lightGray"/>
                <w:bdr w:val="single" w:sz="4" w:space="0" w:color="auto"/>
              </w:rPr>
              <w:t>████</w:t>
            </w:r>
          </w:p>
        </w:tc>
      </w:tr>
      <w:tr w:rsidR="00F411AD" w:rsidRPr="00214F2D" w:rsidTr="00830C5F">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r w:rsidRPr="00214F2D">
              <w:rPr>
                <w:szCs w:val="24"/>
              </w:rPr>
              <w:t>Total Power Sales</w:t>
            </w:r>
          </w:p>
        </w:tc>
        <w:tc>
          <w:tcPr>
            <w:tcW w:w="1416" w:type="dxa"/>
            <w:tcBorders>
              <w:top w:val="single" w:sz="4" w:space="0" w:color="auto"/>
              <w:bottom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top w:val="single" w:sz="4" w:space="0" w:color="auto"/>
              <w:bottom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top w:val="single" w:sz="4" w:space="0" w:color="auto"/>
              <w:bottom w:val="sing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r>
      <w:tr w:rsidR="00F411AD" w:rsidRPr="00214F2D" w:rsidTr="00830C5F">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r w:rsidRPr="00214F2D">
              <w:rPr>
                <w:szCs w:val="24"/>
              </w:rPr>
              <w:t xml:space="preserve">Net Power Fixed </w:t>
            </w:r>
          </w:p>
        </w:tc>
        <w:tc>
          <w:tcPr>
            <w:tcW w:w="1416" w:type="dxa"/>
            <w:tcBorders>
              <w:top w:val="single" w:sz="4" w:space="0" w:color="auto"/>
              <w:bottom w:val="double" w:sz="4" w:space="0" w:color="auto"/>
            </w:tcBorders>
          </w:tcPr>
          <w:p w:rsidR="00F411AD" w:rsidRPr="00214F2D" w:rsidRDefault="007C3D2B" w:rsidP="00564992">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top w:val="single" w:sz="4" w:space="0" w:color="auto"/>
              <w:bottom w:val="double" w:sz="4" w:space="0" w:color="auto"/>
            </w:tcBorders>
          </w:tcPr>
          <w:p w:rsidR="00F411AD" w:rsidRPr="00214F2D" w:rsidRDefault="007C3D2B" w:rsidP="006848BA">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top w:val="single" w:sz="4" w:space="0" w:color="auto"/>
              <w:bottom w:val="double" w:sz="4" w:space="0" w:color="auto"/>
            </w:tcBorders>
          </w:tcPr>
          <w:p w:rsidR="00F411AD" w:rsidRPr="00214F2D" w:rsidRDefault="007C3D2B" w:rsidP="00A53969">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r>
      <w:tr w:rsidR="00F411AD" w:rsidRPr="00214F2D" w:rsidTr="00830C5F">
        <w:trPr>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p>
        </w:tc>
        <w:tc>
          <w:tcPr>
            <w:tcW w:w="1416" w:type="dxa"/>
            <w:tcBorders>
              <w:top w:val="double" w:sz="4" w:space="0" w:color="auto"/>
            </w:tcBorders>
          </w:tcPr>
          <w:p w:rsidR="00F411AD" w:rsidRPr="00214F2D" w:rsidRDefault="00F411AD" w:rsidP="00A53969">
            <w:pPr>
              <w:pStyle w:val="answer"/>
              <w:keepNext/>
              <w:keepLines/>
              <w:spacing w:before="60" w:after="60" w:line="240" w:lineRule="auto"/>
              <w:ind w:left="0" w:firstLine="0"/>
              <w:rPr>
                <w:szCs w:val="24"/>
              </w:rPr>
            </w:pPr>
          </w:p>
        </w:tc>
        <w:tc>
          <w:tcPr>
            <w:tcW w:w="1696" w:type="dxa"/>
            <w:tcBorders>
              <w:top w:val="double" w:sz="4" w:space="0" w:color="auto"/>
            </w:tcBorders>
          </w:tcPr>
          <w:p w:rsidR="00F411AD" w:rsidRPr="00214F2D" w:rsidRDefault="00F411AD" w:rsidP="00A53969">
            <w:pPr>
              <w:pStyle w:val="answer"/>
              <w:keepNext/>
              <w:keepLines/>
              <w:spacing w:before="60" w:after="60" w:line="240" w:lineRule="auto"/>
              <w:ind w:left="0" w:firstLine="0"/>
              <w:rPr>
                <w:szCs w:val="24"/>
              </w:rPr>
            </w:pPr>
          </w:p>
        </w:tc>
        <w:tc>
          <w:tcPr>
            <w:tcW w:w="1003" w:type="dxa"/>
            <w:tcBorders>
              <w:top w:val="double" w:sz="4" w:space="0" w:color="auto"/>
            </w:tcBorders>
          </w:tcPr>
          <w:p w:rsidR="00F411AD" w:rsidRPr="00214F2D" w:rsidRDefault="00F411AD" w:rsidP="00A53969">
            <w:pPr>
              <w:pStyle w:val="answer"/>
              <w:keepNext/>
              <w:keepLines/>
              <w:spacing w:before="60" w:after="60" w:line="240" w:lineRule="auto"/>
              <w:ind w:left="0" w:firstLine="0"/>
              <w:rPr>
                <w:szCs w:val="24"/>
              </w:rPr>
            </w:pPr>
          </w:p>
        </w:tc>
      </w:tr>
      <w:tr w:rsidR="00F411AD" w:rsidRPr="00214F2D" w:rsidTr="00743F35">
        <w:trPr>
          <w:trHeight w:val="585"/>
          <w:jc w:val="center"/>
        </w:trPr>
        <w:tc>
          <w:tcPr>
            <w:tcW w:w="3082" w:type="dxa"/>
          </w:tcPr>
          <w:p w:rsidR="00F411AD" w:rsidRPr="00214F2D" w:rsidRDefault="00F411AD" w:rsidP="00A53969">
            <w:pPr>
              <w:pStyle w:val="answer"/>
              <w:keepNext/>
              <w:keepLines/>
              <w:spacing w:before="60" w:after="60" w:line="240" w:lineRule="auto"/>
              <w:ind w:left="0" w:firstLine="0"/>
              <w:rPr>
                <w:szCs w:val="24"/>
              </w:rPr>
            </w:pPr>
          </w:p>
        </w:tc>
        <w:tc>
          <w:tcPr>
            <w:tcW w:w="1416" w:type="dxa"/>
            <w:tcBorders>
              <w:bottom w:val="double" w:sz="4" w:space="0" w:color="auto"/>
            </w:tcBorders>
            <w:vAlign w:val="bottom"/>
          </w:tcPr>
          <w:p w:rsidR="00F411AD" w:rsidRPr="00214F2D" w:rsidRDefault="00F411AD" w:rsidP="00A53969">
            <w:pPr>
              <w:pStyle w:val="answer"/>
              <w:keepNext/>
              <w:keepLines/>
              <w:spacing w:before="60" w:after="60" w:line="240" w:lineRule="auto"/>
              <w:ind w:left="0" w:firstLine="0"/>
              <w:jc w:val="center"/>
              <w:rPr>
                <w:b/>
                <w:szCs w:val="24"/>
              </w:rPr>
            </w:pPr>
            <w:proofErr w:type="spellStart"/>
            <w:r w:rsidRPr="00214F2D">
              <w:rPr>
                <w:b/>
                <w:szCs w:val="24"/>
              </w:rPr>
              <w:t>Dth</w:t>
            </w:r>
            <w:proofErr w:type="spellEnd"/>
            <w:r w:rsidR="00FE68D2" w:rsidRPr="00214F2D">
              <w:rPr>
                <w:b/>
                <w:szCs w:val="24"/>
              </w:rPr>
              <w:br/>
            </w:r>
            <w:r w:rsidRPr="00214F2D">
              <w:rPr>
                <w:b/>
                <w:szCs w:val="24"/>
              </w:rPr>
              <w:t>Volume</w:t>
            </w:r>
          </w:p>
        </w:tc>
        <w:tc>
          <w:tcPr>
            <w:tcW w:w="1696" w:type="dxa"/>
            <w:tcBorders>
              <w:bottom w:val="double" w:sz="4" w:space="0" w:color="auto"/>
            </w:tcBorders>
            <w:vAlign w:val="bottom"/>
          </w:tcPr>
          <w:p w:rsidR="00F411AD" w:rsidRPr="00214F2D" w:rsidRDefault="00F411AD" w:rsidP="00A53969">
            <w:pPr>
              <w:pStyle w:val="answer"/>
              <w:keepNext/>
              <w:keepLines/>
              <w:spacing w:before="60" w:after="60" w:line="240" w:lineRule="auto"/>
              <w:ind w:left="0" w:firstLine="0"/>
              <w:jc w:val="center"/>
              <w:rPr>
                <w:b/>
                <w:szCs w:val="24"/>
              </w:rPr>
            </w:pPr>
            <w:r w:rsidRPr="00214F2D">
              <w:rPr>
                <w:b/>
                <w:szCs w:val="24"/>
              </w:rPr>
              <w:t>Rate Year</w:t>
            </w:r>
            <w:r w:rsidRPr="00214F2D">
              <w:rPr>
                <w:b/>
                <w:szCs w:val="24"/>
              </w:rPr>
              <w:br/>
              <w:t>Cost</w:t>
            </w:r>
          </w:p>
        </w:tc>
        <w:tc>
          <w:tcPr>
            <w:tcW w:w="1003" w:type="dxa"/>
            <w:tcBorders>
              <w:bottom w:val="double" w:sz="4" w:space="0" w:color="auto"/>
            </w:tcBorders>
            <w:vAlign w:val="bottom"/>
          </w:tcPr>
          <w:p w:rsidR="00F411AD" w:rsidRPr="00214F2D" w:rsidRDefault="00F411AD" w:rsidP="00A53969">
            <w:pPr>
              <w:pStyle w:val="answer"/>
              <w:keepNext/>
              <w:keepLines/>
              <w:spacing w:before="60" w:after="60" w:line="240" w:lineRule="auto"/>
              <w:ind w:left="0" w:firstLine="0"/>
              <w:jc w:val="center"/>
              <w:rPr>
                <w:b/>
                <w:szCs w:val="24"/>
              </w:rPr>
            </w:pPr>
            <w:proofErr w:type="spellStart"/>
            <w:r w:rsidRPr="00214F2D">
              <w:rPr>
                <w:b/>
                <w:szCs w:val="24"/>
              </w:rPr>
              <w:t>Avg</w:t>
            </w:r>
            <w:proofErr w:type="spellEnd"/>
            <w:r w:rsidRPr="00214F2D">
              <w:rPr>
                <w:b/>
                <w:szCs w:val="24"/>
              </w:rPr>
              <w:br/>
              <w:t>$/</w:t>
            </w:r>
            <w:proofErr w:type="spellStart"/>
            <w:r w:rsidRPr="00214F2D">
              <w:rPr>
                <w:b/>
                <w:szCs w:val="24"/>
              </w:rPr>
              <w:t>Dth</w:t>
            </w:r>
            <w:proofErr w:type="spellEnd"/>
          </w:p>
        </w:tc>
      </w:tr>
      <w:tr w:rsidR="007C3D2B" w:rsidRPr="00214F2D" w:rsidTr="00830C5F">
        <w:trPr>
          <w:jc w:val="center"/>
        </w:trPr>
        <w:tc>
          <w:tcPr>
            <w:tcW w:w="3082" w:type="dxa"/>
          </w:tcPr>
          <w:p w:rsidR="007C3D2B" w:rsidRPr="00214F2D" w:rsidRDefault="007C3D2B" w:rsidP="00F411AD">
            <w:pPr>
              <w:pStyle w:val="answer"/>
              <w:spacing w:before="60" w:after="60" w:line="240" w:lineRule="auto"/>
              <w:ind w:left="0" w:firstLine="0"/>
              <w:rPr>
                <w:szCs w:val="24"/>
              </w:rPr>
            </w:pPr>
            <w:r w:rsidRPr="00214F2D">
              <w:rPr>
                <w:szCs w:val="24"/>
              </w:rPr>
              <w:t>Net Financial Gas for Power</w:t>
            </w:r>
          </w:p>
        </w:tc>
        <w:tc>
          <w:tcPr>
            <w:tcW w:w="1416" w:type="dxa"/>
            <w:tcBorders>
              <w:top w:val="double" w:sz="4" w:space="0" w:color="auto"/>
            </w:tcBorders>
          </w:tcPr>
          <w:p w:rsidR="007C3D2B" w:rsidRPr="00214F2D" w:rsidRDefault="007C3D2B" w:rsidP="007C3D2B">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696" w:type="dxa"/>
            <w:tcBorders>
              <w:top w:val="double" w:sz="4" w:space="0" w:color="auto"/>
            </w:tcBorders>
          </w:tcPr>
          <w:p w:rsidR="007C3D2B" w:rsidRPr="00214F2D" w:rsidRDefault="007C3D2B" w:rsidP="007C3D2B">
            <w:pPr>
              <w:pStyle w:val="answer"/>
              <w:keepNext/>
              <w:keepLines/>
              <w:spacing w:before="60" w:after="60" w:line="240" w:lineRule="auto"/>
              <w:ind w:left="0" w:firstLine="0"/>
              <w:jc w:val="right"/>
              <w:rPr>
                <w:szCs w:val="24"/>
                <w:highlight w:val="lightGray"/>
              </w:rPr>
            </w:pPr>
            <w:r>
              <w:rPr>
                <w:szCs w:val="24"/>
                <w:highlight w:val="lightGray"/>
                <w:bdr w:val="single" w:sz="4" w:space="0" w:color="auto"/>
              </w:rPr>
              <w:t>██████</w:t>
            </w:r>
          </w:p>
        </w:tc>
        <w:tc>
          <w:tcPr>
            <w:tcW w:w="1003" w:type="dxa"/>
            <w:tcBorders>
              <w:top w:val="double" w:sz="4" w:space="0" w:color="auto"/>
            </w:tcBorders>
          </w:tcPr>
          <w:p w:rsidR="007C3D2B" w:rsidRPr="00214F2D" w:rsidRDefault="007C3D2B" w:rsidP="00BA6A03">
            <w:pPr>
              <w:pStyle w:val="answer"/>
              <w:spacing w:before="60" w:after="60" w:line="240" w:lineRule="auto"/>
              <w:ind w:left="0" w:firstLine="0"/>
              <w:jc w:val="right"/>
              <w:rPr>
                <w:szCs w:val="24"/>
                <w:highlight w:val="lightGray"/>
              </w:rPr>
            </w:pPr>
            <w:r>
              <w:rPr>
                <w:szCs w:val="24"/>
                <w:highlight w:val="lightGray"/>
                <w:bdr w:val="single" w:sz="4" w:space="0" w:color="auto"/>
              </w:rPr>
              <w:t>████</w:t>
            </w:r>
          </w:p>
        </w:tc>
      </w:tr>
    </w:tbl>
    <w:p w:rsidR="00866BF4" w:rsidRDefault="00A71E1E" w:rsidP="00FE68D2">
      <w:pPr>
        <w:pStyle w:val="answer"/>
        <w:spacing w:before="360"/>
        <w:ind w:firstLine="0"/>
      </w:pPr>
      <w:r w:rsidRPr="00214F2D">
        <w:rPr>
          <w:b/>
          <w:noProof/>
          <w:szCs w:val="24"/>
          <w:lang w:eastAsia="en-US"/>
        </w:rPr>
        <mc:AlternateContent>
          <mc:Choice Requires="wpg">
            <w:drawing>
              <wp:anchor distT="0" distB="0" distL="114300" distR="114300" simplePos="0" relativeHeight="251699200" behindDoc="0" locked="0" layoutInCell="1" allowOverlap="1" wp14:anchorId="0F4C305A" wp14:editId="78E7A0C4">
                <wp:simplePos x="0" y="0"/>
                <wp:positionH relativeFrom="column">
                  <wp:posOffset>1892300</wp:posOffset>
                </wp:positionH>
                <wp:positionV relativeFrom="paragraph">
                  <wp:posOffset>3726180</wp:posOffset>
                </wp:positionV>
                <wp:extent cx="1521050" cy="603220"/>
                <wp:effectExtent l="0" t="0" r="3175"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050" cy="603220"/>
                          <a:chOff x="4401" y="11656"/>
                          <a:chExt cx="4320" cy="780"/>
                        </a:xfrm>
                      </wpg:grpSpPr>
                      <wps:wsp>
                        <wps:cNvPr id="7"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564992"/>
                          </w:txbxContent>
                        </wps:txbx>
                        <wps:bodyPr rot="0" vert="horz" wrap="square" lIns="91440" tIns="91440" rIns="91440" bIns="91440" anchor="t" anchorCtr="0" upright="1">
                          <a:noAutofit/>
                        </wps:bodyPr>
                      </wps:wsp>
                      <wps:wsp>
                        <wps:cNvPr id="9"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2" style="position:absolute;left:0;text-align:left;margin-left:149pt;margin-top:293.4pt;width:119.75pt;height:47.5pt;z-index:251699200"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">
                <v:shape id="Text Box 12" o:spid="_x0000_s1033"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rsidR="007C3D2B" w:rsidRDefault="007C3D2B" w:rsidP="00564992"/>
                    </w:txbxContent>
                  </v:textbox>
                </v:shape>
                <v:shape id="Text Box 13" o:spid="_x0000_s1034"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0RcAA&#10;AADaAAAADwAAAGRycy9kb3ducmV2LnhtbERPTYvCMBS8L/gfwhO8LJqqrGg1ihQE8bLYXXp+NM+2&#10;2LzUJtr6742wsLcZ5ovZ7HpTiwe1rrKsYDqJQBDnVldcKPj9OYyXIJxH1lhbJgVPcrDbDj42GGvb&#10;8ZkeqS9EKGEXo4LS+yaW0uUlGXQT2xAH7WJbgz7QtpC6xS6Um1rOomghDVYcFkpsKCkpv6Z3oyA5&#10;ZQGeb99ZNq+/Fqe0Sz6TQqnRsN+vQXjq/b/5L33UClbwvh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r0RcAAAADaAAAADwAAAAAAAAAAAAAAAACYAgAAZHJzL2Rvd25y&#10;ZXYueG1sUEsFBgAAAAAEAAQA9QAAAIUDAAAAAA==&#10;" strokeweight="1.5pt">
                  <v:textbox inset=",7.2pt,,7.2pt">
                    <w:txbxContent>
                      <w:p w:rsid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v:textbox>
                </v:shape>
              </v:group>
            </w:pict>
          </mc:Fallback>
        </mc:AlternateContent>
      </w:r>
      <w:r w:rsidR="00866BF4">
        <w:t xml:space="preserve">As discussed below, to determine rate </w:t>
      </w:r>
      <w:r w:rsidR="00866BF4" w:rsidRPr="00E600A2">
        <w:t xml:space="preserve">year power costs, the fixed-price </w:t>
      </w:r>
      <w:r w:rsidR="00F33FA5" w:rsidRPr="00E600A2">
        <w:t xml:space="preserve">gas-for-power </w:t>
      </w:r>
      <w:r w:rsidR="00866BF4" w:rsidRPr="00E600A2">
        <w:t xml:space="preserve">contracts are marked to market in the </w:t>
      </w:r>
      <w:r w:rsidR="009F02BA">
        <w:t>“</w:t>
      </w:r>
      <w:r w:rsidR="009F4557">
        <w:t>Costs not in AURORA</w:t>
      </w:r>
      <w:r w:rsidR="009F02BA">
        <w:t>”</w:t>
      </w:r>
      <w:r w:rsidR="00866BF4" w:rsidRPr="00E600A2">
        <w:t xml:space="preserve"> calculation</w:t>
      </w:r>
      <w:r w:rsidR="00AD4313" w:rsidRPr="00E600A2">
        <w:t>,</w:t>
      </w:r>
      <w:r w:rsidR="00866BF4" w:rsidRPr="00E600A2">
        <w:t xml:space="preserve"> and the fixed-price power contracts are included within the AURORA model.</w:t>
      </w:r>
      <w:r w:rsidR="009573C0" w:rsidRPr="00E600A2">
        <w:rPr>
          <w:rStyle w:val="FootnoteReference"/>
        </w:rPr>
        <w:footnoteReference w:id="5"/>
      </w:r>
      <w:r w:rsidR="00404C71">
        <w:t xml:space="preserve"> </w:t>
      </w:r>
      <w:r w:rsidR="00866BF4">
        <w:t xml:space="preserve">In addition, PSE has entered into physical power and </w:t>
      </w:r>
      <w:r w:rsidR="00F33FA5">
        <w:t xml:space="preserve">gas-for-power </w:t>
      </w:r>
      <w:r w:rsidR="00866BF4">
        <w:t>contracts for the rate year, which are priced at plus or minus index.</w:t>
      </w:r>
      <w:r w:rsidR="00404C71">
        <w:t xml:space="preserve"> </w:t>
      </w:r>
      <w:r w:rsidR="00866BF4">
        <w:t xml:space="preserve">The premiums and/or discounts for index contracts are also included in the </w:t>
      </w:r>
      <w:r w:rsidR="009F02BA">
        <w:t>“</w:t>
      </w:r>
      <w:r w:rsidR="009F4557">
        <w:t>Costs not in AURORA</w:t>
      </w:r>
      <w:r w:rsidR="009F02BA">
        <w:t>”</w:t>
      </w:r>
      <w:r w:rsidR="00866BF4">
        <w:t xml:space="preserve"> calculation.</w:t>
      </w:r>
      <w:r w:rsidR="00437537" w:rsidRPr="00437537">
        <w:rPr>
          <w:rFonts w:eastAsia="Times New Roman"/>
          <w:noProof/>
          <w:szCs w:val="24"/>
          <w:lang w:eastAsia="en-US"/>
        </w:rPr>
        <w:t xml:space="preserve"> </w:t>
      </w:r>
    </w:p>
    <w:p w:rsidR="00866BF4" w:rsidRDefault="00866BF4" w:rsidP="00866BF4">
      <w:pPr>
        <w:pStyle w:val="question"/>
      </w:pPr>
      <w:r>
        <w:lastRenderedPageBreak/>
        <w:t>Q.</w:t>
      </w:r>
      <w:r>
        <w:tab/>
        <w:t>Please expand on the types of hedges included in rate year power costs.</w:t>
      </w:r>
    </w:p>
    <w:p w:rsidR="00866BF4" w:rsidRDefault="00866BF4" w:rsidP="00866BF4">
      <w:pPr>
        <w:pStyle w:val="answer"/>
      </w:pPr>
      <w:r>
        <w:t>A.</w:t>
      </w:r>
      <w:r>
        <w:tab/>
        <w:t xml:space="preserve">PSE hedges power or </w:t>
      </w:r>
      <w:r w:rsidR="00F33FA5">
        <w:t xml:space="preserve">gas-for-power </w:t>
      </w:r>
      <w:r>
        <w:t>to fix the price of the commodity.</w:t>
      </w:r>
      <w:r w:rsidR="00404C71">
        <w:t xml:space="preserve"> </w:t>
      </w:r>
      <w:r>
        <w:t>PSE utilizes either fixed-for-float swaps</w:t>
      </w:r>
      <w:r w:rsidR="009573C0">
        <w:rPr>
          <w:rStyle w:val="FootnoteReference"/>
        </w:rPr>
        <w:footnoteReference w:id="6"/>
      </w:r>
      <w:r w:rsidR="00404C71">
        <w:t xml:space="preserve"> </w:t>
      </w:r>
      <w:r>
        <w:t xml:space="preserve">to financially hedge power and natural </w:t>
      </w:r>
      <w:r w:rsidR="00F33FA5">
        <w:t xml:space="preserve">gas-for-power </w:t>
      </w:r>
      <w:r>
        <w:t>or fixed price physical power and gas for power.</w:t>
      </w:r>
      <w:r w:rsidR="00404C71">
        <w:t xml:space="preserve"> </w:t>
      </w:r>
      <w:r>
        <w:t>The mechanics of a financial fixed-for-float swap, in combination with a physical index purchase, result in a price position identical to purchasing fixed price physical supply.</w:t>
      </w:r>
    </w:p>
    <w:p w:rsidR="00866BF4" w:rsidRDefault="00866BF4" w:rsidP="00FE68D2">
      <w:pPr>
        <w:pStyle w:val="NestedAnswer"/>
      </w:pPr>
      <w:r>
        <w:t>PSE is able to transact with counterparties through standard agreements for financial swaps and fixed price physical power.</w:t>
      </w:r>
      <w:r w:rsidR="00404C71">
        <w:t xml:space="preserve"> </w:t>
      </w:r>
      <w:r>
        <w:t>PSE</w:t>
      </w:r>
      <w:r w:rsidR="009F02BA">
        <w:t>’</w:t>
      </w:r>
      <w:r>
        <w:t>s market counterparties may only be able to sell physically, financially, or, in some cases, both.</w:t>
      </w:r>
      <w:r w:rsidR="00404C71">
        <w:t xml:space="preserve"> </w:t>
      </w:r>
      <w:r>
        <w:t>Therefore, liquidity is enhanced by transacting both physically and financially.</w:t>
      </w:r>
    </w:p>
    <w:p w:rsidR="00866BF4" w:rsidRDefault="00866BF4" w:rsidP="00FE68D2">
      <w:pPr>
        <w:pStyle w:val="Heading1"/>
      </w:pPr>
      <w:bookmarkStart w:id="19" w:name="_Toc471319020"/>
      <w:r>
        <w:t>IV.</w:t>
      </w:r>
      <w:r>
        <w:tab/>
        <w:t>BPA</w:t>
      </w:r>
      <w:r w:rsidR="009F02BA">
        <w:t>’</w:t>
      </w:r>
      <w:r>
        <w:t>S 2018-2019 RATE CASE</w:t>
      </w:r>
      <w:bookmarkEnd w:id="19"/>
    </w:p>
    <w:p w:rsidR="00866BF4" w:rsidRDefault="00866BF4" w:rsidP="00866BF4">
      <w:pPr>
        <w:pStyle w:val="question"/>
      </w:pPr>
      <w:r>
        <w:t>Q.</w:t>
      </w:r>
      <w:r>
        <w:tab/>
        <w:t xml:space="preserve">Are BPA transmission rates expected to change </w:t>
      </w:r>
      <w:r w:rsidR="00F23129">
        <w:t xml:space="preserve">before or </w:t>
      </w:r>
      <w:r>
        <w:t>during the rate year?</w:t>
      </w:r>
    </w:p>
    <w:p w:rsidR="00866BF4" w:rsidRDefault="00866BF4" w:rsidP="00866BF4">
      <w:pPr>
        <w:pStyle w:val="answer"/>
      </w:pPr>
      <w:r>
        <w:t>A.</w:t>
      </w:r>
      <w:r>
        <w:tab/>
        <w:t>Yes.</w:t>
      </w:r>
      <w:r w:rsidR="00404C71">
        <w:t xml:space="preserve"> </w:t>
      </w:r>
      <w:r>
        <w:t xml:space="preserve">BPA </w:t>
      </w:r>
      <w:r w:rsidR="00F23129">
        <w:t>is</w:t>
      </w:r>
      <w:r w:rsidR="0062060D">
        <w:t xml:space="preserve"> in</w:t>
      </w:r>
      <w:r w:rsidR="00F23129">
        <w:t xml:space="preserve"> the process of</w:t>
      </w:r>
      <w:r>
        <w:t xml:space="preserve"> a combined power and transmission rate proceeding to set new rates for BPA</w:t>
      </w:r>
      <w:r w:rsidR="009F02BA">
        <w:t>’</w:t>
      </w:r>
      <w:r>
        <w:t>s fiscal years 2018-2019 (October</w:t>
      </w:r>
      <w:r w:rsidR="00830C5F">
        <w:t> </w:t>
      </w:r>
      <w:r>
        <w:t>1, 2017</w:t>
      </w:r>
      <w:r w:rsidR="00830C5F">
        <w:t>,</w:t>
      </w:r>
      <w:r>
        <w:t xml:space="preserve"> through September</w:t>
      </w:r>
      <w:r w:rsidR="00830C5F">
        <w:t> </w:t>
      </w:r>
      <w:r>
        <w:t>30, 201</w:t>
      </w:r>
      <w:r w:rsidR="0062060D">
        <w:t>9</w:t>
      </w:r>
      <w:r>
        <w:t xml:space="preserve">) (the </w:t>
      </w:r>
      <w:r w:rsidR="009F02BA">
        <w:t>“</w:t>
      </w:r>
      <w:r>
        <w:t>BPA 2018 Rate Case</w:t>
      </w:r>
      <w:r w:rsidR="009F02BA">
        <w:t>”</w:t>
      </w:r>
      <w:r>
        <w:t>).</w:t>
      </w:r>
    </w:p>
    <w:p w:rsidR="00866BF4" w:rsidRDefault="00866BF4" w:rsidP="00866BF4">
      <w:pPr>
        <w:pStyle w:val="question"/>
      </w:pPr>
      <w:r>
        <w:lastRenderedPageBreak/>
        <w:t>Q.</w:t>
      </w:r>
      <w:r>
        <w:tab/>
      </w:r>
      <w:r w:rsidR="00F23129">
        <w:t>Is</w:t>
      </w:r>
      <w:r>
        <w:t xml:space="preserve"> PSE participat</w:t>
      </w:r>
      <w:r w:rsidR="00F23129">
        <w:t>ing</w:t>
      </w:r>
      <w:r>
        <w:t xml:space="preserve"> in the BPA 2018</w:t>
      </w:r>
      <w:r w:rsidR="00AD4313">
        <w:t> </w:t>
      </w:r>
      <w:r>
        <w:t>Rate Case?</w:t>
      </w:r>
    </w:p>
    <w:p w:rsidR="00866BF4" w:rsidRDefault="00866BF4" w:rsidP="00866BF4">
      <w:pPr>
        <w:pStyle w:val="answer"/>
      </w:pPr>
      <w:r>
        <w:t>A.</w:t>
      </w:r>
      <w:r>
        <w:tab/>
        <w:t>Yes.</w:t>
      </w:r>
      <w:r w:rsidR="00404C71">
        <w:t xml:space="preserve"> </w:t>
      </w:r>
      <w:r>
        <w:t xml:space="preserve">PSE </w:t>
      </w:r>
      <w:r w:rsidR="00F23129" w:rsidRPr="0062060D">
        <w:t>is an</w:t>
      </w:r>
      <w:r w:rsidRPr="0062060D">
        <w:t xml:space="preserve"> intervene</w:t>
      </w:r>
      <w:r w:rsidR="00F23129" w:rsidRPr="0062060D">
        <w:t>r</w:t>
      </w:r>
      <w:r>
        <w:t xml:space="preserve"> in the BPA 2018</w:t>
      </w:r>
      <w:r w:rsidR="00AD4313">
        <w:t> </w:t>
      </w:r>
      <w:r>
        <w:t>Rate Case to advocate for PSE customers</w:t>
      </w:r>
      <w:r w:rsidR="009F02BA">
        <w:t>’</w:t>
      </w:r>
      <w:r>
        <w:t xml:space="preserve"> interests to ensure any rate changes are supported by the facts presented.</w:t>
      </w:r>
      <w:r w:rsidR="00404C71">
        <w:t xml:space="preserve"> </w:t>
      </w:r>
      <w:r>
        <w:t xml:space="preserve">Consistent with past practice, </w:t>
      </w:r>
      <w:r w:rsidRPr="00130994">
        <w:t>PSE will likely work with other parties to sponsor joint testimony</w:t>
      </w:r>
      <w:r>
        <w:t xml:space="preserve"> recommending ways to reduce the rate increases.</w:t>
      </w:r>
    </w:p>
    <w:p w:rsidR="00866BF4" w:rsidRDefault="00866BF4" w:rsidP="00866BF4">
      <w:pPr>
        <w:pStyle w:val="question"/>
      </w:pPr>
      <w:r>
        <w:t>Q.</w:t>
      </w:r>
      <w:r>
        <w:tab/>
        <w:t>How does PSE propose to include BPA</w:t>
      </w:r>
      <w:r w:rsidR="009F02BA">
        <w:t>’</w:t>
      </w:r>
      <w:r>
        <w:t>s planned transmission rate changes in rate year power costs?</w:t>
      </w:r>
    </w:p>
    <w:p w:rsidR="00866BF4" w:rsidRDefault="00866BF4" w:rsidP="00866BF4">
      <w:pPr>
        <w:pStyle w:val="answer"/>
      </w:pPr>
      <w:r>
        <w:t>A.</w:t>
      </w:r>
      <w:r>
        <w:tab/>
      </w:r>
      <w:r w:rsidRPr="00837D01">
        <w:t>PSE has included projected BPA transmission rate increase</w:t>
      </w:r>
      <w:r w:rsidR="00AD37AD" w:rsidRPr="00837D01">
        <w:t>s and decreases as published on November 10, 2016 in the Federal Register</w:t>
      </w:r>
      <w:r w:rsidRPr="00837D01">
        <w:t>, effective October</w:t>
      </w:r>
      <w:r w:rsidR="00830C5F" w:rsidRPr="00837D01">
        <w:t> </w:t>
      </w:r>
      <w:r w:rsidRPr="00837D01">
        <w:t>1, 2017, in the pro forma transmission costs included in the rate year power cost forecast.</w:t>
      </w:r>
      <w:r w:rsidR="00404C71" w:rsidRPr="00AD37AD">
        <w:t xml:space="preserve"> </w:t>
      </w:r>
      <w:r w:rsidRPr="00D875EF">
        <w:t xml:space="preserve">BPA may </w:t>
      </w:r>
      <w:r w:rsidR="00F44CDB" w:rsidRPr="00EC5706">
        <w:t xml:space="preserve">update its </w:t>
      </w:r>
      <w:r w:rsidRPr="00EC5706">
        <w:t xml:space="preserve">projected rate </w:t>
      </w:r>
      <w:r w:rsidR="00F44CDB" w:rsidRPr="00EC5706">
        <w:t>changes</w:t>
      </w:r>
      <w:r w:rsidRPr="00EC5706">
        <w:t xml:space="preserve"> in the 2018</w:t>
      </w:r>
      <w:r w:rsidR="008F6098" w:rsidRPr="007D2485">
        <w:t> </w:t>
      </w:r>
      <w:r w:rsidR="001C4EBE">
        <w:t xml:space="preserve">BPA </w:t>
      </w:r>
      <w:r w:rsidRPr="007D2485">
        <w:t xml:space="preserve">Rate Case during the course of this proceeding, and PSE </w:t>
      </w:r>
      <w:r w:rsidR="00827831">
        <w:t xml:space="preserve">will </w:t>
      </w:r>
      <w:r w:rsidRPr="007D2485">
        <w:t xml:space="preserve">update rate year power costs to </w:t>
      </w:r>
      <w:r w:rsidRPr="0088080C">
        <w:t>reflect any such changes.</w:t>
      </w:r>
    </w:p>
    <w:p w:rsidR="00866BF4" w:rsidRDefault="00866BF4" w:rsidP="00FE68D2">
      <w:pPr>
        <w:pStyle w:val="Heading1"/>
      </w:pPr>
      <w:bookmarkStart w:id="20" w:name="_Toc471319021"/>
      <w:r>
        <w:t>V.</w:t>
      </w:r>
      <w:r>
        <w:tab/>
        <w:t>TRANSMISSION CONTRACT RENEWALS</w:t>
      </w:r>
      <w:bookmarkEnd w:id="20"/>
    </w:p>
    <w:p w:rsidR="00866BF4" w:rsidRDefault="00866BF4" w:rsidP="00866BF4">
      <w:pPr>
        <w:pStyle w:val="question"/>
      </w:pPr>
      <w:r>
        <w:t>Q.</w:t>
      </w:r>
      <w:r>
        <w:tab/>
        <w:t>Please provide an overview of the transmission contracts renewed or acquired for the rate year.</w:t>
      </w:r>
    </w:p>
    <w:p w:rsidR="00866BF4" w:rsidRDefault="00866BF4" w:rsidP="00866BF4">
      <w:pPr>
        <w:pStyle w:val="answer"/>
      </w:pPr>
      <w:r>
        <w:t>A.</w:t>
      </w:r>
      <w:r>
        <w:tab/>
        <w:t>PSE uses transmission to wheel</w:t>
      </w:r>
      <w:r w:rsidR="00492E3A">
        <w:t xml:space="preserve"> power from</w:t>
      </w:r>
      <w:r>
        <w:t xml:space="preserve"> both its owned and contracted resources to PSE</w:t>
      </w:r>
      <w:r w:rsidR="009F02BA">
        <w:t>’</w:t>
      </w:r>
      <w:r>
        <w:t>s system to serve load.</w:t>
      </w:r>
      <w:r w:rsidR="00404C71">
        <w:t xml:space="preserve"> </w:t>
      </w:r>
      <w:r>
        <w:t>In addition to relying on its own transmission, PSE also relies extensively on BPA transmission contracts to transmit generated or purchased power to PSE</w:t>
      </w:r>
      <w:r w:rsidR="009F02BA">
        <w:t>’</w:t>
      </w:r>
      <w:r>
        <w:t xml:space="preserve">s system so that PSE may meet customer demand and ensure power is provided continuously during a peak </w:t>
      </w:r>
      <w:r w:rsidR="001C4EBE">
        <w:t>demand</w:t>
      </w:r>
      <w:r>
        <w:t xml:space="preserve"> event.</w:t>
      </w:r>
      <w:r w:rsidR="00404C71">
        <w:t xml:space="preserve"> </w:t>
      </w:r>
      <w:r>
        <w:t>A large portion of the BPA transmission is used to wheel short-</w:t>
      </w:r>
      <w:r>
        <w:lastRenderedPageBreak/>
        <w:t>term market purchases at the Mid-C hub to meet PSE</w:t>
      </w:r>
      <w:r w:rsidR="009F02BA">
        <w:t>’</w:t>
      </w:r>
      <w:r>
        <w:t>s capacity need as explained in PSE</w:t>
      </w:r>
      <w:r w:rsidR="009F02BA">
        <w:t>’</w:t>
      </w:r>
      <w:r>
        <w:t>s 2015</w:t>
      </w:r>
      <w:r w:rsidR="00830C5F">
        <w:t> </w:t>
      </w:r>
      <w:r>
        <w:t xml:space="preserve">Integrated Resource Plan (the </w:t>
      </w:r>
      <w:r w:rsidR="009F02BA">
        <w:t>“</w:t>
      </w:r>
      <w:r>
        <w:t>2015</w:t>
      </w:r>
      <w:r w:rsidR="00830C5F">
        <w:t> </w:t>
      </w:r>
      <w:r>
        <w:t>IRP</w:t>
      </w:r>
      <w:r w:rsidR="009F02BA">
        <w:t>”</w:t>
      </w:r>
      <w:r>
        <w:t>).</w:t>
      </w:r>
      <w:r w:rsidR="009573C0">
        <w:rPr>
          <w:rStyle w:val="FootnoteReference"/>
        </w:rPr>
        <w:footnoteReference w:id="7"/>
      </w:r>
      <w:r w:rsidR="00404C71">
        <w:t xml:space="preserve"> </w:t>
      </w:r>
      <w:r>
        <w:t>These transmission contracts are an integral part of PSE</w:t>
      </w:r>
      <w:r w:rsidR="009F02BA">
        <w:t>’</w:t>
      </w:r>
      <w:r>
        <w:t>s electric resource portfolio and are necessary to provide capacity and energy.</w:t>
      </w:r>
      <w:r w:rsidR="00404C71">
        <w:t xml:space="preserve"> </w:t>
      </w:r>
      <w:r>
        <w:t xml:space="preserve">PSE has renewed </w:t>
      </w:r>
      <w:r w:rsidR="00B81E5D">
        <w:t>five</w:t>
      </w:r>
      <w:r>
        <w:t xml:space="preserve"> BPA transmission contract</w:t>
      </w:r>
      <w:r w:rsidR="00B81E5D">
        <w:t>s</w:t>
      </w:r>
      <w:r>
        <w:t xml:space="preserve"> to be used to access short-term market purchases at the Mid-C hub.</w:t>
      </w:r>
    </w:p>
    <w:p w:rsidR="00866BF4" w:rsidRDefault="00866BF4" w:rsidP="00FE68D2">
      <w:pPr>
        <w:pStyle w:val="NestedAnswer"/>
      </w:pPr>
      <w:r>
        <w:t xml:space="preserve">Additionally, PSE has renewed three contracts to allow for continued delivery from an existing </w:t>
      </w:r>
      <w:r w:rsidR="00B81E5D">
        <w:t>plant</w:t>
      </w:r>
      <w:r>
        <w:t xml:space="preserve"> or a power purchase agreement or to meet a generating resource</w:t>
      </w:r>
      <w:r w:rsidR="009F02BA">
        <w:t>’</w:t>
      </w:r>
      <w:r>
        <w:t>s station service load requirement.</w:t>
      </w:r>
      <w:r w:rsidR="00404C71">
        <w:t xml:space="preserve"> </w:t>
      </w:r>
      <w:r>
        <w:t>PSE also</w:t>
      </w:r>
      <w:r w:rsidR="00C248AC" w:rsidRPr="00C248AC">
        <w:t xml:space="preserve"> </w:t>
      </w:r>
      <w:r w:rsidR="00C248AC">
        <w:t>renewed</w:t>
      </w:r>
      <w:r>
        <w:t xml:space="preserve"> one contract for short-term purchases in Montana.</w:t>
      </w:r>
      <w:r w:rsidR="00404C71">
        <w:t xml:space="preserve"> </w:t>
      </w:r>
      <w:r w:rsidR="00B81E5D">
        <w:t xml:space="preserve">PSE entered </w:t>
      </w:r>
      <w:r w:rsidR="009F02BA">
        <w:t xml:space="preserve">into </w:t>
      </w:r>
      <w:r w:rsidR="00B81E5D">
        <w:t>one new BPA transmission contract on a conditional firm basis to complement a generation capacity increase at an existing facility, Mint Farm</w:t>
      </w:r>
      <w:r w:rsidR="00B81E5D" w:rsidRPr="0028229C">
        <w:t xml:space="preserve"> </w:t>
      </w:r>
      <w:r w:rsidR="00B81E5D">
        <w:t>Generating Station (</w:t>
      </w:r>
      <w:r w:rsidR="009F02BA">
        <w:t>“</w:t>
      </w:r>
      <w:r w:rsidR="00B81E5D">
        <w:t>Mint Farm</w:t>
      </w:r>
      <w:r w:rsidR="009F02BA">
        <w:t>”</w:t>
      </w:r>
      <w:r w:rsidR="00B81E5D">
        <w:t>)</w:t>
      </w:r>
      <w:r w:rsidR="002C4CC8">
        <w:t xml:space="preserve">, and </w:t>
      </w:r>
      <w:r>
        <w:t xml:space="preserve">has requested to </w:t>
      </w:r>
      <w:r w:rsidR="00B81E5D">
        <w:t>change the status of that Mint Farm transmission contract from conditional firm to firm</w:t>
      </w:r>
      <w:r w:rsidR="002C4CC8">
        <w:t>.</w:t>
      </w:r>
      <w:r w:rsidR="00BB3737">
        <w:t xml:space="preserve"> </w:t>
      </w:r>
      <w:r w:rsidR="002C4CC8">
        <w:t>PSE has also requested</w:t>
      </w:r>
      <w:r w:rsidR="00B81E5D">
        <w:t xml:space="preserve"> to </w:t>
      </w:r>
      <w:r>
        <w:t xml:space="preserve">enter into </w:t>
      </w:r>
      <w:r w:rsidR="00B81E5D">
        <w:t>two</w:t>
      </w:r>
      <w:r>
        <w:t xml:space="preserve"> new BPA transmission contracts to complement </w:t>
      </w:r>
      <w:r w:rsidR="00B81E5D">
        <w:t xml:space="preserve">a </w:t>
      </w:r>
      <w:r>
        <w:t xml:space="preserve">generation capacity increase at </w:t>
      </w:r>
      <w:r w:rsidR="00B81E5D">
        <w:t>another</w:t>
      </w:r>
      <w:r>
        <w:t xml:space="preserve"> existing PSE facilit</w:t>
      </w:r>
      <w:r w:rsidR="00B81E5D">
        <w:t>y</w:t>
      </w:r>
      <w:r>
        <w:t xml:space="preserve">, Goldendale </w:t>
      </w:r>
      <w:r w:rsidR="0028229C">
        <w:t>Generating Station (</w:t>
      </w:r>
      <w:r w:rsidR="009F02BA">
        <w:t>“</w:t>
      </w:r>
      <w:r w:rsidR="0028229C">
        <w:t>Goldendale</w:t>
      </w:r>
      <w:r w:rsidR="009F02BA">
        <w:t>”</w:t>
      </w:r>
      <w:r w:rsidR="0028229C">
        <w:t>)</w:t>
      </w:r>
      <w:r>
        <w:t>.</w:t>
      </w:r>
    </w:p>
    <w:p w:rsidR="00866BF4" w:rsidRDefault="00866BF4" w:rsidP="00866BF4">
      <w:pPr>
        <w:pStyle w:val="question"/>
      </w:pPr>
      <w:r>
        <w:t>Q.</w:t>
      </w:r>
      <w:r>
        <w:tab/>
      </w:r>
      <w:r w:rsidR="007235A3">
        <w:t xml:space="preserve">Has PSE prepared a </w:t>
      </w:r>
      <w:r>
        <w:t>summary of transmission renewals a</w:t>
      </w:r>
      <w:r w:rsidR="007235A3">
        <w:t>nd additions for the rate year?</w:t>
      </w:r>
    </w:p>
    <w:p w:rsidR="00FE68D2" w:rsidRDefault="00866BF4" w:rsidP="00866BF4">
      <w:pPr>
        <w:pStyle w:val="answer"/>
      </w:pPr>
      <w:r>
        <w:t>A.</w:t>
      </w:r>
      <w:r>
        <w:tab/>
        <w:t>Yes. Table</w:t>
      </w:r>
      <w:r w:rsidR="00830C5F">
        <w:t> </w:t>
      </w:r>
      <w:r>
        <w:t xml:space="preserve">4 shows </w:t>
      </w:r>
      <w:r w:rsidR="000E0879">
        <w:t xml:space="preserve">BPA </w:t>
      </w:r>
      <w:r>
        <w:t>transmission contracts that have expired or will expire before the end of the rate year, as well as new transmission contracts with BPA.</w:t>
      </w:r>
    </w:p>
    <w:p w:rsidR="00FE68D2" w:rsidRDefault="00FE68D2" w:rsidP="003E5B37">
      <w:pPr>
        <w:pStyle w:val="TableHeader"/>
        <w:widowControl/>
        <w:ind w:left="630"/>
      </w:pPr>
      <w:r w:rsidRPr="00FE68D2">
        <w:lastRenderedPageBreak/>
        <w:t>Table</w:t>
      </w:r>
      <w:r w:rsidR="00830C5F">
        <w:t> </w:t>
      </w:r>
      <w:r w:rsidRPr="00FE68D2">
        <w:t>4.</w:t>
      </w:r>
      <w:r w:rsidR="00404C71">
        <w:t xml:space="preserve"> </w:t>
      </w:r>
      <w:r w:rsidRPr="00FE68D2">
        <w:t>BPA Transmission Contract Renewals &amp; Additions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1579"/>
        <w:gridCol w:w="1579"/>
        <w:gridCol w:w="1579"/>
      </w:tblGrid>
      <w:tr w:rsidR="003E5B37" w:rsidRPr="00214F2D" w:rsidTr="001D4240">
        <w:tc>
          <w:tcPr>
            <w:tcW w:w="3168" w:type="dxa"/>
          </w:tcPr>
          <w:p w:rsidR="003E5B37" w:rsidRPr="00214F2D" w:rsidRDefault="003E5B37" w:rsidP="003E5B37">
            <w:pPr>
              <w:pStyle w:val="answer"/>
              <w:keepNext/>
              <w:keepLines/>
              <w:spacing w:before="60" w:after="60" w:line="240" w:lineRule="auto"/>
              <w:ind w:left="0" w:firstLine="0"/>
              <w:rPr>
                <w:szCs w:val="24"/>
              </w:rPr>
            </w:pPr>
          </w:p>
        </w:tc>
        <w:tc>
          <w:tcPr>
            <w:tcW w:w="1579" w:type="dxa"/>
          </w:tcPr>
          <w:p w:rsidR="003E5B37" w:rsidRPr="00214F2D" w:rsidRDefault="003E5B37" w:rsidP="003E5B37">
            <w:pPr>
              <w:pStyle w:val="answer"/>
              <w:keepNext/>
              <w:keepLines/>
              <w:spacing w:before="60" w:after="60" w:line="240" w:lineRule="auto"/>
              <w:ind w:left="0" w:firstLine="0"/>
              <w:rPr>
                <w:szCs w:val="24"/>
              </w:rPr>
            </w:pPr>
          </w:p>
        </w:tc>
        <w:tc>
          <w:tcPr>
            <w:tcW w:w="1579" w:type="dxa"/>
          </w:tcPr>
          <w:p w:rsidR="003E5B37" w:rsidRPr="00214F2D" w:rsidRDefault="003E5B37" w:rsidP="003E5B37">
            <w:pPr>
              <w:pStyle w:val="answer"/>
              <w:keepNext/>
              <w:keepLines/>
              <w:spacing w:before="60" w:after="60" w:line="240" w:lineRule="auto"/>
              <w:ind w:left="0" w:firstLine="0"/>
              <w:rPr>
                <w:szCs w:val="24"/>
              </w:rPr>
            </w:pPr>
          </w:p>
        </w:tc>
        <w:tc>
          <w:tcPr>
            <w:tcW w:w="1579" w:type="dxa"/>
          </w:tcPr>
          <w:p w:rsidR="003E5B37" w:rsidRPr="00214F2D" w:rsidRDefault="003E5B37" w:rsidP="003E5B37">
            <w:pPr>
              <w:pStyle w:val="answer"/>
              <w:keepNext/>
              <w:keepLines/>
              <w:spacing w:before="60" w:after="60" w:line="240" w:lineRule="auto"/>
              <w:ind w:left="0" w:firstLine="0"/>
              <w:rPr>
                <w:szCs w:val="24"/>
              </w:rPr>
            </w:pPr>
          </w:p>
        </w:tc>
      </w:tr>
      <w:tr w:rsidR="003E5B37" w:rsidRPr="00214F2D" w:rsidTr="001D4240">
        <w:tc>
          <w:tcPr>
            <w:tcW w:w="7905" w:type="dxa"/>
            <w:gridSpan w:val="4"/>
          </w:tcPr>
          <w:p w:rsidR="003E5B37" w:rsidRPr="00214F2D" w:rsidRDefault="003E5B37" w:rsidP="00FB4E70">
            <w:pPr>
              <w:pStyle w:val="answer"/>
              <w:keepNext/>
              <w:keepLines/>
              <w:spacing w:before="60" w:after="60" w:line="240" w:lineRule="auto"/>
              <w:ind w:left="0" w:firstLine="0"/>
              <w:jc w:val="center"/>
              <w:rPr>
                <w:b/>
                <w:szCs w:val="24"/>
              </w:rPr>
            </w:pPr>
            <w:r w:rsidRPr="00214F2D">
              <w:rPr>
                <w:b/>
                <w:szCs w:val="24"/>
              </w:rPr>
              <w:t>Mid-C</w:t>
            </w:r>
            <w:r w:rsidR="00FB4E70" w:rsidRPr="00214F2D">
              <w:rPr>
                <w:b/>
                <w:szCs w:val="24"/>
              </w:rPr>
              <w:t xml:space="preserve"> </w:t>
            </w:r>
            <w:r w:rsidRPr="00214F2D">
              <w:rPr>
                <w:b/>
                <w:szCs w:val="24"/>
              </w:rPr>
              <w:t>Transmission Renewals</w:t>
            </w:r>
          </w:p>
        </w:tc>
      </w:tr>
      <w:tr w:rsidR="003E5B37" w:rsidRPr="00214F2D" w:rsidTr="001D4240">
        <w:tc>
          <w:tcPr>
            <w:tcW w:w="3168" w:type="dxa"/>
            <w:tcBorders>
              <w:bottom w:val="single" w:sz="4" w:space="0" w:color="auto"/>
            </w:tcBorders>
            <w:vAlign w:val="bottom"/>
          </w:tcPr>
          <w:p w:rsidR="00382F6D" w:rsidRPr="00214F2D" w:rsidRDefault="00382F6D" w:rsidP="003E5B37">
            <w:pPr>
              <w:pStyle w:val="answer"/>
              <w:keepNext/>
              <w:keepLines/>
              <w:spacing w:before="60" w:after="60" w:line="240" w:lineRule="auto"/>
              <w:ind w:left="0" w:firstLine="0"/>
              <w:jc w:val="center"/>
              <w:rPr>
                <w:b/>
                <w:szCs w:val="24"/>
              </w:rPr>
            </w:pPr>
            <w:r w:rsidRPr="00214F2D">
              <w:rPr>
                <w:b/>
                <w:szCs w:val="24"/>
              </w:rPr>
              <w:t>Resource</w:t>
            </w:r>
          </w:p>
        </w:tc>
        <w:tc>
          <w:tcPr>
            <w:tcW w:w="1579" w:type="dxa"/>
            <w:tcBorders>
              <w:bottom w:val="single" w:sz="4" w:space="0" w:color="auto"/>
            </w:tcBorders>
            <w:vAlign w:val="bottom"/>
          </w:tcPr>
          <w:p w:rsidR="00382F6D" w:rsidRPr="00214F2D" w:rsidRDefault="00382F6D" w:rsidP="003E5B37">
            <w:pPr>
              <w:pStyle w:val="answer"/>
              <w:keepNext/>
              <w:keepLines/>
              <w:spacing w:before="60" w:after="60" w:line="240" w:lineRule="auto"/>
              <w:ind w:left="0" w:firstLine="0"/>
              <w:jc w:val="center"/>
              <w:rPr>
                <w:b/>
                <w:szCs w:val="24"/>
              </w:rPr>
            </w:pPr>
            <w:r w:rsidRPr="00214F2D">
              <w:rPr>
                <w:b/>
                <w:szCs w:val="24"/>
              </w:rPr>
              <w:t xml:space="preserve">Renewal </w:t>
            </w:r>
            <w:r w:rsidRPr="00214F2D">
              <w:rPr>
                <w:b/>
                <w:szCs w:val="24"/>
              </w:rPr>
              <w:br/>
              <w:t>Deadline</w:t>
            </w:r>
          </w:p>
        </w:tc>
        <w:tc>
          <w:tcPr>
            <w:tcW w:w="1579" w:type="dxa"/>
            <w:tcBorders>
              <w:bottom w:val="single" w:sz="4" w:space="0" w:color="auto"/>
            </w:tcBorders>
            <w:vAlign w:val="bottom"/>
          </w:tcPr>
          <w:p w:rsidR="00382F6D" w:rsidRPr="00214F2D" w:rsidRDefault="00382F6D" w:rsidP="003E5B37">
            <w:pPr>
              <w:pStyle w:val="answer"/>
              <w:keepNext/>
              <w:keepLines/>
              <w:spacing w:before="60" w:after="60" w:line="240" w:lineRule="auto"/>
              <w:ind w:left="0" w:firstLine="0"/>
              <w:jc w:val="center"/>
              <w:rPr>
                <w:b/>
                <w:szCs w:val="24"/>
              </w:rPr>
            </w:pPr>
            <w:r w:rsidRPr="00214F2D">
              <w:rPr>
                <w:b/>
                <w:szCs w:val="24"/>
              </w:rPr>
              <w:t>Start</w:t>
            </w:r>
            <w:r w:rsidRPr="00214F2D">
              <w:rPr>
                <w:b/>
                <w:szCs w:val="24"/>
              </w:rPr>
              <w:br/>
              <w:t>Date</w:t>
            </w:r>
          </w:p>
        </w:tc>
        <w:tc>
          <w:tcPr>
            <w:tcW w:w="1579" w:type="dxa"/>
            <w:tcBorders>
              <w:bottom w:val="single" w:sz="4" w:space="0" w:color="auto"/>
            </w:tcBorders>
            <w:vAlign w:val="bottom"/>
          </w:tcPr>
          <w:p w:rsidR="00382F6D" w:rsidRPr="00214F2D" w:rsidRDefault="00382F6D" w:rsidP="003E5B37">
            <w:pPr>
              <w:pStyle w:val="answer"/>
              <w:keepNext/>
              <w:keepLines/>
              <w:spacing w:before="60" w:after="60" w:line="240" w:lineRule="auto"/>
              <w:ind w:left="0" w:firstLine="0"/>
              <w:jc w:val="center"/>
              <w:rPr>
                <w:b/>
                <w:szCs w:val="24"/>
              </w:rPr>
            </w:pPr>
            <w:r w:rsidRPr="00214F2D">
              <w:rPr>
                <w:b/>
                <w:szCs w:val="24"/>
              </w:rPr>
              <w:t>Megawatt</w:t>
            </w:r>
            <w:r w:rsidRPr="00214F2D">
              <w:rPr>
                <w:b/>
                <w:szCs w:val="24"/>
              </w:rPr>
              <w:br/>
              <w:t>Capacity</w:t>
            </w:r>
          </w:p>
        </w:tc>
      </w:tr>
      <w:tr w:rsidR="003E5B37" w:rsidRPr="00214F2D" w:rsidTr="001D4240">
        <w:tc>
          <w:tcPr>
            <w:tcW w:w="3168" w:type="dxa"/>
            <w:tcBorders>
              <w:top w:val="single" w:sz="4" w:space="0" w:color="auto"/>
            </w:tcBorders>
          </w:tcPr>
          <w:p w:rsidR="00382F6D" w:rsidRPr="00214F2D" w:rsidRDefault="00B81E5D" w:rsidP="00B81E5D">
            <w:pPr>
              <w:pStyle w:val="answer"/>
              <w:keepNext/>
              <w:keepLines/>
              <w:spacing w:before="60" w:after="60" w:line="240" w:lineRule="auto"/>
              <w:ind w:left="0" w:firstLine="0"/>
              <w:rPr>
                <w:szCs w:val="24"/>
              </w:rPr>
            </w:pPr>
            <w:r w:rsidRPr="00214F2D">
              <w:rPr>
                <w:szCs w:val="24"/>
              </w:rPr>
              <w:t>Vantage</w:t>
            </w:r>
          </w:p>
        </w:tc>
        <w:tc>
          <w:tcPr>
            <w:tcW w:w="1579" w:type="dxa"/>
            <w:tcBorders>
              <w:top w:val="single" w:sz="4" w:space="0" w:color="auto"/>
            </w:tcBorders>
          </w:tcPr>
          <w:p w:rsidR="00382F6D" w:rsidRPr="00214F2D" w:rsidRDefault="00382F6D" w:rsidP="001D4240">
            <w:pPr>
              <w:pStyle w:val="answer"/>
              <w:keepNext/>
              <w:keepLines/>
              <w:spacing w:before="60" w:after="60" w:line="240" w:lineRule="auto"/>
              <w:ind w:left="0" w:firstLine="0"/>
              <w:jc w:val="center"/>
              <w:rPr>
                <w:szCs w:val="24"/>
              </w:rPr>
            </w:pPr>
            <w:r w:rsidRPr="00214F2D">
              <w:rPr>
                <w:szCs w:val="24"/>
              </w:rPr>
              <w:t>2/28/15</w:t>
            </w:r>
          </w:p>
        </w:tc>
        <w:tc>
          <w:tcPr>
            <w:tcW w:w="1579" w:type="dxa"/>
            <w:tcBorders>
              <w:top w:val="single" w:sz="4" w:space="0" w:color="auto"/>
            </w:tcBorders>
          </w:tcPr>
          <w:p w:rsidR="00382F6D" w:rsidRPr="00214F2D" w:rsidRDefault="00382F6D" w:rsidP="001D4240">
            <w:pPr>
              <w:pStyle w:val="answer"/>
              <w:keepNext/>
              <w:keepLines/>
              <w:spacing w:before="60" w:after="60" w:line="240" w:lineRule="auto"/>
              <w:ind w:left="0" w:firstLine="0"/>
              <w:jc w:val="center"/>
              <w:rPr>
                <w:szCs w:val="24"/>
              </w:rPr>
            </w:pPr>
            <w:r w:rsidRPr="00214F2D">
              <w:rPr>
                <w:szCs w:val="24"/>
              </w:rPr>
              <w:t>3/1/16</w:t>
            </w:r>
          </w:p>
        </w:tc>
        <w:tc>
          <w:tcPr>
            <w:tcW w:w="1579" w:type="dxa"/>
            <w:tcBorders>
              <w:top w:val="single" w:sz="4" w:space="0" w:color="auto"/>
            </w:tcBorders>
          </w:tcPr>
          <w:p w:rsidR="00B81E5D" w:rsidRPr="00214F2D" w:rsidRDefault="00B81E5D" w:rsidP="008E011C">
            <w:pPr>
              <w:pStyle w:val="answer"/>
              <w:keepNext/>
              <w:keepLines/>
              <w:spacing w:before="60" w:after="60" w:line="240" w:lineRule="auto"/>
              <w:ind w:left="0" w:firstLine="0"/>
              <w:jc w:val="center"/>
              <w:rPr>
                <w:szCs w:val="24"/>
              </w:rPr>
            </w:pPr>
            <w:r w:rsidRPr="00214F2D">
              <w:rPr>
                <w:szCs w:val="24"/>
              </w:rPr>
              <w:t>23</w:t>
            </w:r>
          </w:p>
        </w:tc>
      </w:tr>
      <w:tr w:rsidR="00B81E5D" w:rsidRPr="00214F2D" w:rsidTr="001D4240">
        <w:tc>
          <w:tcPr>
            <w:tcW w:w="3168" w:type="dxa"/>
          </w:tcPr>
          <w:p w:rsidR="00B81E5D" w:rsidRPr="00214F2D" w:rsidRDefault="00B81E5D" w:rsidP="00B81E5D">
            <w:pPr>
              <w:pStyle w:val="answer"/>
              <w:keepNext/>
              <w:keepLines/>
              <w:spacing w:before="60" w:after="60" w:line="240" w:lineRule="auto"/>
              <w:ind w:left="0" w:firstLine="0"/>
              <w:rPr>
                <w:szCs w:val="24"/>
              </w:rPr>
            </w:pPr>
            <w:r w:rsidRPr="00214F2D">
              <w:rPr>
                <w:szCs w:val="24"/>
              </w:rPr>
              <w:t>Rocky Reach</w:t>
            </w:r>
          </w:p>
        </w:tc>
        <w:tc>
          <w:tcPr>
            <w:tcW w:w="1579" w:type="dxa"/>
          </w:tcPr>
          <w:p w:rsidR="00B81E5D" w:rsidRPr="00214F2D" w:rsidRDefault="00F517D7" w:rsidP="001D4240">
            <w:pPr>
              <w:pStyle w:val="answer"/>
              <w:keepNext/>
              <w:keepLines/>
              <w:spacing w:before="60" w:after="60" w:line="240" w:lineRule="auto"/>
              <w:ind w:left="0" w:firstLine="0"/>
              <w:jc w:val="center"/>
              <w:rPr>
                <w:szCs w:val="24"/>
              </w:rPr>
            </w:pPr>
            <w:r w:rsidRPr="00214F2D">
              <w:rPr>
                <w:szCs w:val="24"/>
              </w:rPr>
              <w:t>10/31/16</w:t>
            </w:r>
          </w:p>
        </w:tc>
        <w:tc>
          <w:tcPr>
            <w:tcW w:w="1579" w:type="dxa"/>
          </w:tcPr>
          <w:p w:rsidR="00B81E5D" w:rsidRPr="00214F2D" w:rsidRDefault="00B81E5D" w:rsidP="001D4240">
            <w:pPr>
              <w:pStyle w:val="answer"/>
              <w:keepNext/>
              <w:keepLines/>
              <w:spacing w:before="60" w:after="60" w:line="240" w:lineRule="auto"/>
              <w:ind w:left="0" w:firstLine="0"/>
              <w:jc w:val="center"/>
              <w:rPr>
                <w:szCs w:val="24"/>
              </w:rPr>
            </w:pPr>
            <w:r w:rsidRPr="00214F2D">
              <w:rPr>
                <w:szCs w:val="24"/>
              </w:rPr>
              <w:t>11/1/</w:t>
            </w:r>
            <w:r w:rsidR="008E011C" w:rsidRPr="00214F2D">
              <w:rPr>
                <w:szCs w:val="24"/>
              </w:rPr>
              <w:t>17</w:t>
            </w:r>
          </w:p>
        </w:tc>
        <w:tc>
          <w:tcPr>
            <w:tcW w:w="1579" w:type="dxa"/>
          </w:tcPr>
          <w:p w:rsidR="00B81E5D" w:rsidRPr="00214F2D" w:rsidRDefault="00B81E5D" w:rsidP="008E011C">
            <w:pPr>
              <w:pStyle w:val="answer"/>
              <w:keepNext/>
              <w:keepLines/>
              <w:spacing w:before="60" w:after="60" w:line="240" w:lineRule="auto"/>
              <w:ind w:left="0" w:firstLine="0"/>
              <w:jc w:val="center"/>
              <w:rPr>
                <w:szCs w:val="24"/>
              </w:rPr>
            </w:pPr>
            <w:r w:rsidRPr="00214F2D">
              <w:rPr>
                <w:szCs w:val="24"/>
              </w:rPr>
              <w:t>100</w:t>
            </w:r>
          </w:p>
        </w:tc>
      </w:tr>
      <w:tr w:rsidR="00B81E5D" w:rsidRPr="00214F2D" w:rsidTr="001D4240">
        <w:tc>
          <w:tcPr>
            <w:tcW w:w="3168" w:type="dxa"/>
          </w:tcPr>
          <w:p w:rsidR="00B81E5D" w:rsidRPr="00214F2D" w:rsidRDefault="00B81E5D" w:rsidP="00B81E5D">
            <w:pPr>
              <w:pStyle w:val="answer"/>
              <w:keepNext/>
              <w:keepLines/>
              <w:spacing w:before="60" w:after="60" w:line="240" w:lineRule="auto"/>
              <w:ind w:left="0" w:firstLine="0"/>
              <w:rPr>
                <w:szCs w:val="24"/>
              </w:rPr>
            </w:pPr>
            <w:r w:rsidRPr="00214F2D">
              <w:rPr>
                <w:szCs w:val="24"/>
              </w:rPr>
              <w:t>Rock Reach</w:t>
            </w:r>
          </w:p>
        </w:tc>
        <w:tc>
          <w:tcPr>
            <w:tcW w:w="1579" w:type="dxa"/>
          </w:tcPr>
          <w:p w:rsidR="00B81E5D" w:rsidRPr="00214F2D" w:rsidRDefault="00F517D7" w:rsidP="001D4240">
            <w:pPr>
              <w:pStyle w:val="answer"/>
              <w:keepNext/>
              <w:keepLines/>
              <w:spacing w:before="60" w:after="60" w:line="240" w:lineRule="auto"/>
              <w:ind w:left="0" w:firstLine="0"/>
              <w:jc w:val="center"/>
              <w:rPr>
                <w:szCs w:val="24"/>
              </w:rPr>
            </w:pPr>
            <w:r w:rsidRPr="00214F2D">
              <w:rPr>
                <w:szCs w:val="24"/>
              </w:rPr>
              <w:t>10/31/16</w:t>
            </w:r>
          </w:p>
        </w:tc>
        <w:tc>
          <w:tcPr>
            <w:tcW w:w="1579" w:type="dxa"/>
          </w:tcPr>
          <w:p w:rsidR="00B81E5D" w:rsidRPr="00214F2D" w:rsidRDefault="00B81E5D" w:rsidP="001D4240">
            <w:pPr>
              <w:pStyle w:val="answer"/>
              <w:keepNext/>
              <w:keepLines/>
              <w:spacing w:before="60" w:after="60" w:line="240" w:lineRule="auto"/>
              <w:ind w:left="0" w:firstLine="0"/>
              <w:jc w:val="center"/>
              <w:rPr>
                <w:szCs w:val="24"/>
              </w:rPr>
            </w:pPr>
            <w:r w:rsidRPr="00214F2D">
              <w:rPr>
                <w:szCs w:val="24"/>
              </w:rPr>
              <w:t>11/1/</w:t>
            </w:r>
            <w:r w:rsidR="008E011C" w:rsidRPr="00214F2D">
              <w:rPr>
                <w:szCs w:val="24"/>
              </w:rPr>
              <w:t>17</w:t>
            </w:r>
          </w:p>
        </w:tc>
        <w:tc>
          <w:tcPr>
            <w:tcW w:w="1579" w:type="dxa"/>
          </w:tcPr>
          <w:p w:rsidR="00B81E5D" w:rsidRPr="00214F2D" w:rsidRDefault="008E011C" w:rsidP="008E011C">
            <w:pPr>
              <w:pStyle w:val="answer"/>
              <w:keepNext/>
              <w:keepLines/>
              <w:spacing w:before="60" w:after="60" w:line="240" w:lineRule="auto"/>
              <w:ind w:left="0" w:firstLine="0"/>
              <w:jc w:val="center"/>
              <w:rPr>
                <w:szCs w:val="24"/>
              </w:rPr>
            </w:pPr>
            <w:r w:rsidRPr="00214F2D">
              <w:rPr>
                <w:szCs w:val="24"/>
              </w:rPr>
              <w:t>100</w:t>
            </w:r>
          </w:p>
        </w:tc>
      </w:tr>
      <w:tr w:rsidR="00B81E5D" w:rsidRPr="00214F2D" w:rsidTr="001D4240">
        <w:tc>
          <w:tcPr>
            <w:tcW w:w="3168" w:type="dxa"/>
          </w:tcPr>
          <w:p w:rsidR="00B81E5D" w:rsidRPr="00214F2D" w:rsidRDefault="008E011C" w:rsidP="00B81E5D">
            <w:pPr>
              <w:pStyle w:val="answer"/>
              <w:keepNext/>
              <w:keepLines/>
              <w:spacing w:before="60" w:after="60" w:line="240" w:lineRule="auto"/>
              <w:ind w:left="0" w:firstLine="0"/>
              <w:rPr>
                <w:szCs w:val="24"/>
              </w:rPr>
            </w:pPr>
            <w:r w:rsidRPr="00214F2D">
              <w:rPr>
                <w:szCs w:val="24"/>
              </w:rPr>
              <w:t>Midway</w:t>
            </w:r>
          </w:p>
        </w:tc>
        <w:tc>
          <w:tcPr>
            <w:tcW w:w="1579" w:type="dxa"/>
          </w:tcPr>
          <w:p w:rsidR="00B81E5D" w:rsidRPr="00214F2D" w:rsidRDefault="00F517D7" w:rsidP="001D4240">
            <w:pPr>
              <w:pStyle w:val="answer"/>
              <w:keepNext/>
              <w:keepLines/>
              <w:spacing w:before="60" w:after="60" w:line="240" w:lineRule="auto"/>
              <w:ind w:left="0" w:firstLine="0"/>
              <w:jc w:val="center"/>
              <w:rPr>
                <w:szCs w:val="24"/>
              </w:rPr>
            </w:pPr>
            <w:r w:rsidRPr="00214F2D">
              <w:rPr>
                <w:szCs w:val="24"/>
              </w:rPr>
              <w:t>10/31/16</w:t>
            </w:r>
          </w:p>
        </w:tc>
        <w:tc>
          <w:tcPr>
            <w:tcW w:w="1579" w:type="dxa"/>
          </w:tcPr>
          <w:p w:rsidR="00B81E5D" w:rsidRPr="00214F2D" w:rsidRDefault="008E011C" w:rsidP="001D4240">
            <w:pPr>
              <w:pStyle w:val="answer"/>
              <w:keepNext/>
              <w:keepLines/>
              <w:spacing w:before="60" w:after="60" w:line="240" w:lineRule="auto"/>
              <w:ind w:left="0" w:firstLine="0"/>
              <w:jc w:val="center"/>
              <w:rPr>
                <w:szCs w:val="24"/>
              </w:rPr>
            </w:pPr>
            <w:r w:rsidRPr="00214F2D">
              <w:rPr>
                <w:szCs w:val="24"/>
              </w:rPr>
              <w:t>11/1/17</w:t>
            </w:r>
          </w:p>
        </w:tc>
        <w:tc>
          <w:tcPr>
            <w:tcW w:w="1579" w:type="dxa"/>
          </w:tcPr>
          <w:p w:rsidR="00B81E5D" w:rsidRPr="00214F2D" w:rsidRDefault="008E011C" w:rsidP="008E011C">
            <w:pPr>
              <w:pStyle w:val="answer"/>
              <w:keepNext/>
              <w:keepLines/>
              <w:spacing w:before="60" w:after="60" w:line="240" w:lineRule="auto"/>
              <w:ind w:left="0" w:firstLine="0"/>
              <w:jc w:val="center"/>
              <w:rPr>
                <w:szCs w:val="24"/>
              </w:rPr>
            </w:pPr>
            <w:r w:rsidRPr="00214F2D">
              <w:rPr>
                <w:szCs w:val="24"/>
              </w:rPr>
              <w:t>100</w:t>
            </w:r>
          </w:p>
        </w:tc>
      </w:tr>
      <w:tr w:rsidR="008E011C" w:rsidRPr="00214F2D" w:rsidTr="001D4240">
        <w:tc>
          <w:tcPr>
            <w:tcW w:w="3168" w:type="dxa"/>
            <w:tcBorders>
              <w:bottom w:val="double" w:sz="4" w:space="0" w:color="auto"/>
            </w:tcBorders>
          </w:tcPr>
          <w:p w:rsidR="008E011C" w:rsidRPr="00214F2D" w:rsidRDefault="008E011C" w:rsidP="00B81E5D">
            <w:pPr>
              <w:pStyle w:val="answer"/>
              <w:keepNext/>
              <w:keepLines/>
              <w:spacing w:before="60" w:after="60" w:line="240" w:lineRule="auto"/>
              <w:ind w:left="0" w:firstLine="0"/>
              <w:rPr>
                <w:szCs w:val="24"/>
              </w:rPr>
            </w:pPr>
            <w:r w:rsidRPr="00214F2D">
              <w:rPr>
                <w:szCs w:val="24"/>
              </w:rPr>
              <w:t>Vantage</w:t>
            </w:r>
          </w:p>
        </w:tc>
        <w:tc>
          <w:tcPr>
            <w:tcW w:w="1579" w:type="dxa"/>
            <w:tcBorders>
              <w:bottom w:val="double" w:sz="4" w:space="0" w:color="auto"/>
            </w:tcBorders>
          </w:tcPr>
          <w:p w:rsidR="008E011C" w:rsidRPr="00214F2D" w:rsidRDefault="00F517D7" w:rsidP="001D4240">
            <w:pPr>
              <w:pStyle w:val="answer"/>
              <w:keepNext/>
              <w:keepLines/>
              <w:spacing w:before="60" w:after="60" w:line="240" w:lineRule="auto"/>
              <w:ind w:left="0" w:firstLine="0"/>
              <w:jc w:val="center"/>
              <w:rPr>
                <w:szCs w:val="24"/>
              </w:rPr>
            </w:pPr>
            <w:r w:rsidRPr="00214F2D">
              <w:rPr>
                <w:szCs w:val="24"/>
              </w:rPr>
              <w:t>10/31/16</w:t>
            </w:r>
          </w:p>
        </w:tc>
        <w:tc>
          <w:tcPr>
            <w:tcW w:w="1579" w:type="dxa"/>
            <w:tcBorders>
              <w:bottom w:val="double" w:sz="4" w:space="0" w:color="auto"/>
            </w:tcBorders>
          </w:tcPr>
          <w:p w:rsidR="008E011C" w:rsidRPr="00214F2D" w:rsidRDefault="008E011C" w:rsidP="001D4240">
            <w:pPr>
              <w:pStyle w:val="answer"/>
              <w:keepNext/>
              <w:keepLines/>
              <w:spacing w:before="60" w:after="60" w:line="240" w:lineRule="auto"/>
              <w:ind w:left="0" w:firstLine="0"/>
              <w:jc w:val="center"/>
              <w:rPr>
                <w:szCs w:val="24"/>
              </w:rPr>
            </w:pPr>
            <w:r w:rsidRPr="00214F2D">
              <w:rPr>
                <w:szCs w:val="24"/>
              </w:rPr>
              <w:t>11/1/17</w:t>
            </w:r>
          </w:p>
        </w:tc>
        <w:tc>
          <w:tcPr>
            <w:tcW w:w="1579" w:type="dxa"/>
            <w:tcBorders>
              <w:bottom w:val="double" w:sz="4" w:space="0" w:color="auto"/>
            </w:tcBorders>
          </w:tcPr>
          <w:p w:rsidR="008E011C" w:rsidRPr="00214F2D" w:rsidRDefault="008E011C" w:rsidP="008E011C">
            <w:pPr>
              <w:pStyle w:val="answer"/>
              <w:keepNext/>
              <w:keepLines/>
              <w:spacing w:before="60" w:after="60" w:line="240" w:lineRule="auto"/>
              <w:ind w:left="0" w:firstLine="0"/>
              <w:jc w:val="center"/>
              <w:rPr>
                <w:szCs w:val="24"/>
              </w:rPr>
            </w:pPr>
            <w:r w:rsidRPr="00214F2D">
              <w:rPr>
                <w:szCs w:val="24"/>
              </w:rPr>
              <w:t>100</w:t>
            </w:r>
          </w:p>
        </w:tc>
      </w:tr>
      <w:tr w:rsidR="00382F6D" w:rsidRPr="00214F2D" w:rsidTr="001D4240">
        <w:tc>
          <w:tcPr>
            <w:tcW w:w="6326" w:type="dxa"/>
            <w:gridSpan w:val="3"/>
            <w:tcBorders>
              <w:top w:val="double" w:sz="4" w:space="0" w:color="auto"/>
            </w:tcBorders>
          </w:tcPr>
          <w:p w:rsidR="00382F6D" w:rsidRPr="00214F2D" w:rsidRDefault="00382F6D" w:rsidP="003E5B37">
            <w:pPr>
              <w:pStyle w:val="answer"/>
              <w:keepNext/>
              <w:keepLines/>
              <w:spacing w:before="60" w:after="60" w:line="240" w:lineRule="auto"/>
              <w:ind w:left="0" w:firstLine="0"/>
              <w:rPr>
                <w:b/>
                <w:szCs w:val="24"/>
              </w:rPr>
            </w:pPr>
            <w:r w:rsidRPr="00214F2D">
              <w:rPr>
                <w:b/>
                <w:szCs w:val="24"/>
              </w:rPr>
              <w:t>Total</w:t>
            </w:r>
          </w:p>
        </w:tc>
        <w:tc>
          <w:tcPr>
            <w:tcW w:w="1579" w:type="dxa"/>
            <w:tcBorders>
              <w:top w:val="double" w:sz="4" w:space="0" w:color="auto"/>
            </w:tcBorders>
          </w:tcPr>
          <w:p w:rsidR="00382F6D" w:rsidRPr="00214F2D" w:rsidRDefault="008E011C" w:rsidP="008E011C">
            <w:pPr>
              <w:pStyle w:val="answer"/>
              <w:keepNext/>
              <w:keepLines/>
              <w:spacing w:before="60" w:after="60" w:line="240" w:lineRule="auto"/>
              <w:ind w:left="0" w:firstLine="0"/>
              <w:jc w:val="center"/>
              <w:rPr>
                <w:b/>
                <w:szCs w:val="24"/>
              </w:rPr>
            </w:pPr>
            <w:r w:rsidRPr="00214F2D">
              <w:rPr>
                <w:b/>
                <w:szCs w:val="24"/>
              </w:rPr>
              <w:t>4</w:t>
            </w:r>
            <w:r w:rsidR="00382F6D" w:rsidRPr="00214F2D">
              <w:rPr>
                <w:b/>
                <w:szCs w:val="24"/>
              </w:rPr>
              <w:t>23</w:t>
            </w:r>
          </w:p>
        </w:tc>
      </w:tr>
      <w:tr w:rsidR="003E5B37" w:rsidRPr="00214F2D" w:rsidTr="001D4240">
        <w:tc>
          <w:tcPr>
            <w:tcW w:w="3168" w:type="dxa"/>
          </w:tcPr>
          <w:p w:rsidR="00382F6D" w:rsidRPr="00214F2D" w:rsidRDefault="00382F6D" w:rsidP="003E5B37">
            <w:pPr>
              <w:pStyle w:val="answer"/>
              <w:keepNext/>
              <w:keepLines/>
              <w:spacing w:before="60" w:after="60" w:line="240" w:lineRule="auto"/>
              <w:ind w:left="0" w:firstLine="0"/>
              <w:rPr>
                <w:szCs w:val="24"/>
              </w:rPr>
            </w:pPr>
          </w:p>
        </w:tc>
        <w:tc>
          <w:tcPr>
            <w:tcW w:w="1579" w:type="dxa"/>
          </w:tcPr>
          <w:p w:rsidR="00382F6D" w:rsidRPr="00214F2D" w:rsidRDefault="00382F6D" w:rsidP="003E5B37">
            <w:pPr>
              <w:pStyle w:val="answer"/>
              <w:keepNext/>
              <w:keepLines/>
              <w:spacing w:before="60" w:after="60" w:line="240" w:lineRule="auto"/>
              <w:ind w:left="0" w:firstLine="0"/>
              <w:rPr>
                <w:szCs w:val="24"/>
              </w:rPr>
            </w:pPr>
          </w:p>
        </w:tc>
        <w:tc>
          <w:tcPr>
            <w:tcW w:w="1579" w:type="dxa"/>
          </w:tcPr>
          <w:p w:rsidR="00382F6D" w:rsidRPr="00214F2D" w:rsidRDefault="00382F6D" w:rsidP="003E5B37">
            <w:pPr>
              <w:pStyle w:val="answer"/>
              <w:keepNext/>
              <w:keepLines/>
              <w:spacing w:before="60" w:after="60" w:line="240" w:lineRule="auto"/>
              <w:ind w:left="0" w:firstLine="0"/>
              <w:rPr>
                <w:szCs w:val="24"/>
              </w:rPr>
            </w:pPr>
          </w:p>
        </w:tc>
        <w:tc>
          <w:tcPr>
            <w:tcW w:w="1579" w:type="dxa"/>
          </w:tcPr>
          <w:p w:rsidR="00382F6D" w:rsidRPr="00214F2D" w:rsidRDefault="00382F6D" w:rsidP="003E5B37">
            <w:pPr>
              <w:pStyle w:val="answer"/>
              <w:keepNext/>
              <w:keepLines/>
              <w:spacing w:before="60" w:after="60" w:line="240" w:lineRule="auto"/>
              <w:ind w:left="0" w:firstLine="0"/>
              <w:rPr>
                <w:szCs w:val="24"/>
              </w:rPr>
            </w:pPr>
          </w:p>
        </w:tc>
      </w:tr>
      <w:tr w:rsidR="003E5B37" w:rsidRPr="00214F2D" w:rsidTr="001D4240">
        <w:tc>
          <w:tcPr>
            <w:tcW w:w="7905" w:type="dxa"/>
            <w:gridSpan w:val="4"/>
          </w:tcPr>
          <w:p w:rsidR="003E5B37" w:rsidRPr="00214F2D" w:rsidRDefault="003E5B37" w:rsidP="002F6570">
            <w:pPr>
              <w:pStyle w:val="answer"/>
              <w:keepNext/>
              <w:keepLines/>
              <w:spacing w:before="60" w:after="60" w:line="240" w:lineRule="auto"/>
              <w:ind w:left="0" w:firstLine="0"/>
              <w:jc w:val="center"/>
              <w:rPr>
                <w:b/>
                <w:szCs w:val="24"/>
              </w:rPr>
            </w:pPr>
            <w:r w:rsidRPr="00214F2D">
              <w:rPr>
                <w:b/>
                <w:szCs w:val="24"/>
              </w:rPr>
              <w:t>Transmissi</w:t>
            </w:r>
            <w:r w:rsidR="002F6570" w:rsidRPr="00214F2D">
              <w:rPr>
                <w:b/>
                <w:szCs w:val="24"/>
              </w:rPr>
              <w:t>on Renewed or Added for Resources and Station Service</w:t>
            </w:r>
          </w:p>
        </w:tc>
      </w:tr>
      <w:tr w:rsidR="003E5B37" w:rsidRPr="00214F2D" w:rsidTr="001D4240">
        <w:tc>
          <w:tcPr>
            <w:tcW w:w="3168" w:type="dxa"/>
            <w:tcBorders>
              <w:bottom w:val="single" w:sz="4" w:space="0" w:color="auto"/>
            </w:tcBorders>
            <w:vAlign w:val="bottom"/>
          </w:tcPr>
          <w:p w:rsidR="003E5B37" w:rsidRPr="00214F2D" w:rsidRDefault="003E5B37" w:rsidP="001D4240">
            <w:pPr>
              <w:pStyle w:val="answer"/>
              <w:keepNext/>
              <w:keepLines/>
              <w:spacing w:before="60" w:after="60" w:line="240" w:lineRule="auto"/>
              <w:ind w:left="0" w:right="-109" w:firstLine="0"/>
              <w:jc w:val="center"/>
              <w:rPr>
                <w:b/>
                <w:szCs w:val="24"/>
              </w:rPr>
            </w:pPr>
            <w:r w:rsidRPr="00214F2D">
              <w:rPr>
                <w:b/>
                <w:szCs w:val="24"/>
              </w:rPr>
              <w:t>Resource</w:t>
            </w:r>
          </w:p>
        </w:tc>
        <w:tc>
          <w:tcPr>
            <w:tcW w:w="1579" w:type="dxa"/>
            <w:tcBorders>
              <w:bottom w:val="single" w:sz="4" w:space="0" w:color="auto"/>
            </w:tcBorders>
            <w:vAlign w:val="bottom"/>
          </w:tcPr>
          <w:p w:rsidR="003E5B37" w:rsidRPr="00214F2D" w:rsidRDefault="003E5B37" w:rsidP="001D4240">
            <w:pPr>
              <w:pStyle w:val="answer"/>
              <w:keepNext/>
              <w:keepLines/>
              <w:spacing w:before="60" w:after="60" w:line="240" w:lineRule="auto"/>
              <w:ind w:left="253" w:right="-109" w:firstLine="0"/>
              <w:jc w:val="center"/>
              <w:rPr>
                <w:b/>
                <w:szCs w:val="24"/>
              </w:rPr>
            </w:pPr>
            <w:r w:rsidRPr="00214F2D">
              <w:rPr>
                <w:b/>
                <w:szCs w:val="24"/>
              </w:rPr>
              <w:t xml:space="preserve">Renewal </w:t>
            </w:r>
            <w:r w:rsidRPr="00214F2D">
              <w:rPr>
                <w:b/>
                <w:szCs w:val="24"/>
              </w:rPr>
              <w:br/>
              <w:t>Deadline</w:t>
            </w:r>
          </w:p>
        </w:tc>
        <w:tc>
          <w:tcPr>
            <w:tcW w:w="1579" w:type="dxa"/>
            <w:tcBorders>
              <w:bottom w:val="single" w:sz="4" w:space="0" w:color="auto"/>
            </w:tcBorders>
            <w:vAlign w:val="bottom"/>
          </w:tcPr>
          <w:p w:rsidR="003E5B37" w:rsidRPr="00214F2D" w:rsidRDefault="003E5B37" w:rsidP="006545B0">
            <w:pPr>
              <w:pStyle w:val="answer"/>
              <w:keepNext/>
              <w:keepLines/>
              <w:spacing w:before="60" w:after="60" w:line="240" w:lineRule="auto"/>
              <w:ind w:left="-67" w:right="-109" w:firstLine="0"/>
              <w:jc w:val="center"/>
              <w:rPr>
                <w:b/>
                <w:szCs w:val="24"/>
              </w:rPr>
            </w:pPr>
            <w:r w:rsidRPr="00214F2D">
              <w:rPr>
                <w:b/>
                <w:szCs w:val="24"/>
              </w:rPr>
              <w:t>Start</w:t>
            </w:r>
            <w:r w:rsidRPr="00214F2D">
              <w:rPr>
                <w:b/>
                <w:szCs w:val="24"/>
              </w:rPr>
              <w:br/>
              <w:t>Date</w:t>
            </w:r>
          </w:p>
        </w:tc>
        <w:tc>
          <w:tcPr>
            <w:tcW w:w="1579" w:type="dxa"/>
            <w:tcBorders>
              <w:bottom w:val="single" w:sz="4" w:space="0" w:color="auto"/>
            </w:tcBorders>
            <w:vAlign w:val="bottom"/>
          </w:tcPr>
          <w:p w:rsidR="003E5B37" w:rsidRPr="00214F2D" w:rsidRDefault="003E5B37" w:rsidP="001D4240">
            <w:pPr>
              <w:pStyle w:val="answer"/>
              <w:keepNext/>
              <w:keepLines/>
              <w:spacing w:before="60" w:after="60" w:line="240" w:lineRule="auto"/>
              <w:ind w:left="253" w:right="-109" w:firstLine="0"/>
              <w:jc w:val="center"/>
              <w:rPr>
                <w:b/>
                <w:szCs w:val="24"/>
              </w:rPr>
            </w:pPr>
            <w:r w:rsidRPr="00214F2D">
              <w:rPr>
                <w:b/>
                <w:szCs w:val="24"/>
              </w:rPr>
              <w:t>Megawatt</w:t>
            </w:r>
            <w:r w:rsidRPr="00214F2D">
              <w:rPr>
                <w:b/>
                <w:szCs w:val="24"/>
              </w:rPr>
              <w:br/>
              <w:t>Capacity</w:t>
            </w:r>
          </w:p>
        </w:tc>
      </w:tr>
      <w:tr w:rsidR="003E5B37" w:rsidRPr="00214F2D" w:rsidTr="001D4240">
        <w:tc>
          <w:tcPr>
            <w:tcW w:w="3168" w:type="dxa"/>
            <w:tcBorders>
              <w:top w:val="single" w:sz="4" w:space="0" w:color="auto"/>
            </w:tcBorders>
          </w:tcPr>
          <w:p w:rsidR="00382F6D" w:rsidRPr="00214F2D" w:rsidRDefault="004F260D" w:rsidP="001D4240">
            <w:pPr>
              <w:pStyle w:val="answer"/>
              <w:keepNext/>
              <w:keepLines/>
              <w:spacing w:before="60" w:after="60" w:line="240" w:lineRule="auto"/>
              <w:ind w:left="0" w:right="-109" w:firstLine="0"/>
              <w:rPr>
                <w:szCs w:val="24"/>
              </w:rPr>
            </w:pPr>
            <w:r w:rsidRPr="00214F2D">
              <w:rPr>
                <w:szCs w:val="24"/>
              </w:rPr>
              <w:t xml:space="preserve">Coal Transition </w:t>
            </w:r>
            <w:proofErr w:type="spellStart"/>
            <w:r w:rsidRPr="00214F2D">
              <w:rPr>
                <w:szCs w:val="24"/>
              </w:rPr>
              <w:t>PPA</w:t>
            </w:r>
            <w:proofErr w:type="spellEnd"/>
          </w:p>
        </w:tc>
        <w:tc>
          <w:tcPr>
            <w:tcW w:w="1579" w:type="dxa"/>
            <w:tcBorders>
              <w:top w:val="single" w:sz="4" w:space="0" w:color="auto"/>
            </w:tcBorders>
          </w:tcPr>
          <w:p w:rsidR="00382F6D" w:rsidRPr="00214F2D" w:rsidRDefault="004F260D" w:rsidP="001D4240">
            <w:pPr>
              <w:pStyle w:val="answer"/>
              <w:keepNext/>
              <w:keepLines/>
              <w:spacing w:before="60" w:after="60" w:line="240" w:lineRule="auto"/>
              <w:ind w:left="253" w:right="-109" w:firstLine="0"/>
              <w:jc w:val="center"/>
              <w:rPr>
                <w:szCs w:val="24"/>
              </w:rPr>
            </w:pPr>
            <w:r w:rsidRPr="00214F2D">
              <w:rPr>
                <w:szCs w:val="24"/>
              </w:rPr>
              <w:t>9/30/15</w:t>
            </w:r>
          </w:p>
        </w:tc>
        <w:tc>
          <w:tcPr>
            <w:tcW w:w="1579" w:type="dxa"/>
            <w:tcBorders>
              <w:top w:val="single" w:sz="4" w:space="0" w:color="auto"/>
            </w:tcBorders>
          </w:tcPr>
          <w:p w:rsidR="00382F6D" w:rsidRPr="00214F2D" w:rsidRDefault="004F260D" w:rsidP="006545B0">
            <w:pPr>
              <w:pStyle w:val="answer"/>
              <w:keepNext/>
              <w:keepLines/>
              <w:spacing w:before="60" w:after="60" w:line="240" w:lineRule="auto"/>
              <w:ind w:left="-67" w:right="-109" w:firstLine="0"/>
              <w:jc w:val="center"/>
              <w:rPr>
                <w:szCs w:val="24"/>
              </w:rPr>
            </w:pPr>
            <w:r w:rsidRPr="00214F2D">
              <w:rPr>
                <w:szCs w:val="24"/>
              </w:rPr>
              <w:t>10/1/16</w:t>
            </w:r>
          </w:p>
        </w:tc>
        <w:tc>
          <w:tcPr>
            <w:tcW w:w="1579" w:type="dxa"/>
            <w:tcBorders>
              <w:top w:val="single" w:sz="4" w:space="0" w:color="auto"/>
            </w:tcBorders>
          </w:tcPr>
          <w:p w:rsidR="00382F6D" w:rsidRPr="00214F2D" w:rsidRDefault="004F260D" w:rsidP="001D4240">
            <w:pPr>
              <w:pStyle w:val="answer"/>
              <w:keepNext/>
              <w:keepLines/>
              <w:spacing w:before="60" w:after="60" w:line="240" w:lineRule="auto"/>
              <w:ind w:left="253" w:right="-109" w:firstLine="0"/>
              <w:jc w:val="center"/>
              <w:rPr>
                <w:szCs w:val="24"/>
              </w:rPr>
            </w:pPr>
            <w:r w:rsidRPr="00214F2D">
              <w:rPr>
                <w:szCs w:val="24"/>
              </w:rPr>
              <w:t>100</w:t>
            </w:r>
          </w:p>
        </w:tc>
      </w:tr>
      <w:tr w:rsidR="003E5B37" w:rsidRPr="00214F2D" w:rsidTr="001D4240">
        <w:tc>
          <w:tcPr>
            <w:tcW w:w="3168" w:type="dxa"/>
          </w:tcPr>
          <w:p w:rsidR="00382F6D" w:rsidRPr="00214F2D" w:rsidRDefault="004F260D" w:rsidP="001D4240">
            <w:pPr>
              <w:pStyle w:val="answer"/>
              <w:keepNext/>
              <w:keepLines/>
              <w:spacing w:before="60" w:after="60" w:line="240" w:lineRule="auto"/>
              <w:ind w:left="0" w:right="-109" w:firstLine="0"/>
              <w:rPr>
                <w:szCs w:val="24"/>
              </w:rPr>
            </w:pPr>
            <w:r w:rsidRPr="00214F2D">
              <w:rPr>
                <w:szCs w:val="24"/>
              </w:rPr>
              <w:t>Mint Farm</w:t>
            </w:r>
          </w:p>
        </w:tc>
        <w:tc>
          <w:tcPr>
            <w:tcW w:w="1579" w:type="dxa"/>
          </w:tcPr>
          <w:p w:rsidR="00382F6D" w:rsidRPr="00214F2D" w:rsidRDefault="004F260D" w:rsidP="001D4240">
            <w:pPr>
              <w:pStyle w:val="answer"/>
              <w:keepNext/>
              <w:keepLines/>
              <w:spacing w:before="60" w:after="60" w:line="240" w:lineRule="auto"/>
              <w:ind w:left="253" w:right="-109" w:firstLine="0"/>
              <w:jc w:val="center"/>
              <w:rPr>
                <w:szCs w:val="24"/>
              </w:rPr>
            </w:pPr>
            <w:r w:rsidRPr="00214F2D">
              <w:rPr>
                <w:szCs w:val="24"/>
              </w:rPr>
              <w:t>11/30/14</w:t>
            </w:r>
          </w:p>
        </w:tc>
        <w:tc>
          <w:tcPr>
            <w:tcW w:w="1579" w:type="dxa"/>
          </w:tcPr>
          <w:p w:rsidR="00382F6D" w:rsidRPr="00214F2D" w:rsidRDefault="004F260D" w:rsidP="006545B0">
            <w:pPr>
              <w:pStyle w:val="answer"/>
              <w:keepNext/>
              <w:keepLines/>
              <w:spacing w:before="60" w:after="60" w:line="240" w:lineRule="auto"/>
              <w:ind w:left="-67" w:right="-109" w:firstLine="0"/>
              <w:jc w:val="center"/>
              <w:rPr>
                <w:szCs w:val="24"/>
              </w:rPr>
            </w:pPr>
            <w:r w:rsidRPr="00214F2D">
              <w:rPr>
                <w:szCs w:val="24"/>
              </w:rPr>
              <w:t>12/1/15</w:t>
            </w:r>
          </w:p>
        </w:tc>
        <w:tc>
          <w:tcPr>
            <w:tcW w:w="1579" w:type="dxa"/>
          </w:tcPr>
          <w:p w:rsidR="00382F6D" w:rsidRPr="00214F2D" w:rsidRDefault="004F260D" w:rsidP="001D4240">
            <w:pPr>
              <w:pStyle w:val="answer"/>
              <w:keepNext/>
              <w:keepLines/>
              <w:spacing w:before="60" w:after="60" w:line="240" w:lineRule="auto"/>
              <w:ind w:left="253" w:right="-109" w:firstLine="0"/>
              <w:jc w:val="center"/>
              <w:rPr>
                <w:szCs w:val="24"/>
              </w:rPr>
            </w:pPr>
            <w:r w:rsidRPr="00214F2D">
              <w:rPr>
                <w:szCs w:val="24"/>
              </w:rPr>
              <w:t>12</w:t>
            </w:r>
          </w:p>
        </w:tc>
      </w:tr>
      <w:tr w:rsidR="003E5B37" w:rsidRPr="00214F2D" w:rsidTr="001D4240">
        <w:tc>
          <w:tcPr>
            <w:tcW w:w="3168" w:type="dxa"/>
          </w:tcPr>
          <w:p w:rsidR="00382F6D" w:rsidRPr="00214F2D" w:rsidRDefault="004F260D" w:rsidP="001D4240">
            <w:pPr>
              <w:pStyle w:val="answer"/>
              <w:keepNext/>
              <w:keepLines/>
              <w:spacing w:before="60" w:after="60" w:line="240" w:lineRule="auto"/>
              <w:ind w:left="0" w:right="-109" w:firstLine="0"/>
              <w:rPr>
                <w:szCs w:val="24"/>
              </w:rPr>
            </w:pPr>
            <w:r w:rsidRPr="00214F2D">
              <w:rPr>
                <w:szCs w:val="24"/>
              </w:rPr>
              <w:t>Mint Farm Station Service</w:t>
            </w:r>
          </w:p>
        </w:tc>
        <w:tc>
          <w:tcPr>
            <w:tcW w:w="1579" w:type="dxa"/>
          </w:tcPr>
          <w:p w:rsidR="00382F6D" w:rsidRPr="00214F2D" w:rsidRDefault="004F260D" w:rsidP="001D4240">
            <w:pPr>
              <w:pStyle w:val="answer"/>
              <w:keepNext/>
              <w:keepLines/>
              <w:spacing w:before="60" w:after="60" w:line="240" w:lineRule="auto"/>
              <w:ind w:left="253" w:right="-109" w:firstLine="0"/>
              <w:jc w:val="center"/>
              <w:rPr>
                <w:szCs w:val="24"/>
              </w:rPr>
            </w:pPr>
            <w:r w:rsidRPr="00214F2D">
              <w:rPr>
                <w:szCs w:val="24"/>
              </w:rPr>
              <w:t>5/31/15</w:t>
            </w:r>
          </w:p>
        </w:tc>
        <w:tc>
          <w:tcPr>
            <w:tcW w:w="1579" w:type="dxa"/>
          </w:tcPr>
          <w:p w:rsidR="00382F6D" w:rsidRPr="00214F2D" w:rsidRDefault="004F260D" w:rsidP="006545B0">
            <w:pPr>
              <w:pStyle w:val="answer"/>
              <w:keepNext/>
              <w:keepLines/>
              <w:spacing w:before="60" w:after="60" w:line="240" w:lineRule="auto"/>
              <w:ind w:left="-67" w:right="-109" w:firstLine="0"/>
              <w:jc w:val="center"/>
              <w:rPr>
                <w:szCs w:val="24"/>
              </w:rPr>
            </w:pPr>
            <w:r w:rsidRPr="00214F2D">
              <w:rPr>
                <w:szCs w:val="24"/>
              </w:rPr>
              <w:t>6/1/16</w:t>
            </w:r>
          </w:p>
        </w:tc>
        <w:tc>
          <w:tcPr>
            <w:tcW w:w="1579" w:type="dxa"/>
          </w:tcPr>
          <w:p w:rsidR="00382F6D" w:rsidRPr="00214F2D" w:rsidRDefault="004F260D" w:rsidP="001D4240">
            <w:pPr>
              <w:pStyle w:val="answer"/>
              <w:keepNext/>
              <w:keepLines/>
              <w:spacing w:before="60" w:after="60" w:line="240" w:lineRule="auto"/>
              <w:ind w:left="253" w:right="-109" w:firstLine="0"/>
              <w:jc w:val="center"/>
              <w:rPr>
                <w:szCs w:val="24"/>
              </w:rPr>
            </w:pPr>
            <w:r w:rsidRPr="00214F2D">
              <w:rPr>
                <w:szCs w:val="24"/>
              </w:rPr>
              <w:t>8</w:t>
            </w:r>
          </w:p>
        </w:tc>
      </w:tr>
      <w:tr w:rsidR="004F260D" w:rsidRPr="00214F2D" w:rsidTr="001D4240">
        <w:tc>
          <w:tcPr>
            <w:tcW w:w="3168" w:type="dxa"/>
          </w:tcPr>
          <w:p w:rsidR="004F260D" w:rsidRPr="00214F2D" w:rsidRDefault="004F260D" w:rsidP="001D4240">
            <w:pPr>
              <w:pStyle w:val="answer"/>
              <w:keepNext/>
              <w:keepLines/>
              <w:spacing w:before="60" w:after="60" w:line="240" w:lineRule="auto"/>
              <w:ind w:left="0" w:right="-109" w:firstLine="0"/>
              <w:rPr>
                <w:szCs w:val="24"/>
              </w:rPr>
            </w:pPr>
            <w:r w:rsidRPr="00214F2D">
              <w:rPr>
                <w:szCs w:val="24"/>
              </w:rPr>
              <w:t>Montana Purchases</w:t>
            </w:r>
          </w:p>
        </w:tc>
        <w:tc>
          <w:tcPr>
            <w:tcW w:w="1579" w:type="dxa"/>
          </w:tcPr>
          <w:p w:rsidR="004F260D" w:rsidRPr="00214F2D" w:rsidRDefault="004F260D" w:rsidP="001D4240">
            <w:pPr>
              <w:pStyle w:val="answer"/>
              <w:keepNext/>
              <w:keepLines/>
              <w:spacing w:before="60" w:after="60" w:line="240" w:lineRule="auto"/>
              <w:ind w:left="253" w:right="-109" w:firstLine="0"/>
              <w:jc w:val="center"/>
              <w:rPr>
                <w:szCs w:val="24"/>
              </w:rPr>
            </w:pPr>
            <w:r w:rsidRPr="00214F2D">
              <w:rPr>
                <w:szCs w:val="24"/>
              </w:rPr>
              <w:t>9/30/15</w:t>
            </w:r>
          </w:p>
        </w:tc>
        <w:tc>
          <w:tcPr>
            <w:tcW w:w="1579" w:type="dxa"/>
          </w:tcPr>
          <w:p w:rsidR="004F260D" w:rsidRPr="00214F2D" w:rsidRDefault="004F260D" w:rsidP="006545B0">
            <w:pPr>
              <w:pStyle w:val="answer"/>
              <w:keepNext/>
              <w:keepLines/>
              <w:spacing w:before="60" w:after="60" w:line="240" w:lineRule="auto"/>
              <w:ind w:left="-67" w:right="-109" w:firstLine="0"/>
              <w:jc w:val="center"/>
              <w:rPr>
                <w:szCs w:val="24"/>
              </w:rPr>
            </w:pPr>
            <w:r w:rsidRPr="00214F2D">
              <w:rPr>
                <w:szCs w:val="24"/>
              </w:rPr>
              <w:t>10/1/16</w:t>
            </w:r>
          </w:p>
        </w:tc>
        <w:tc>
          <w:tcPr>
            <w:tcW w:w="1579" w:type="dxa"/>
          </w:tcPr>
          <w:p w:rsidR="004F260D" w:rsidRPr="00214F2D" w:rsidRDefault="004F260D" w:rsidP="001D4240">
            <w:pPr>
              <w:pStyle w:val="answer"/>
              <w:keepNext/>
              <w:keepLines/>
              <w:spacing w:before="60" w:after="60" w:line="240" w:lineRule="auto"/>
              <w:ind w:left="253" w:right="-109" w:firstLine="0"/>
              <w:jc w:val="center"/>
              <w:rPr>
                <w:szCs w:val="24"/>
              </w:rPr>
            </w:pPr>
            <w:r w:rsidRPr="00214F2D">
              <w:rPr>
                <w:szCs w:val="24"/>
              </w:rPr>
              <w:t>94</w:t>
            </w:r>
          </w:p>
        </w:tc>
      </w:tr>
      <w:tr w:rsidR="004F260D" w:rsidRPr="00214F2D" w:rsidTr="001D4240">
        <w:tc>
          <w:tcPr>
            <w:tcW w:w="3168" w:type="dxa"/>
            <w:tcBorders>
              <w:top w:val="double" w:sz="4" w:space="0" w:color="auto"/>
            </w:tcBorders>
          </w:tcPr>
          <w:p w:rsidR="004F260D" w:rsidRPr="00214F2D" w:rsidRDefault="004F260D" w:rsidP="001D4240">
            <w:pPr>
              <w:pStyle w:val="answer"/>
              <w:keepNext/>
              <w:keepLines/>
              <w:spacing w:before="60" w:after="60" w:line="240" w:lineRule="auto"/>
              <w:ind w:left="0" w:right="-109" w:firstLine="0"/>
              <w:rPr>
                <w:b/>
                <w:szCs w:val="24"/>
              </w:rPr>
            </w:pPr>
            <w:r w:rsidRPr="00214F2D">
              <w:rPr>
                <w:b/>
                <w:szCs w:val="24"/>
              </w:rPr>
              <w:t>Total</w:t>
            </w:r>
          </w:p>
        </w:tc>
        <w:tc>
          <w:tcPr>
            <w:tcW w:w="1579" w:type="dxa"/>
            <w:tcBorders>
              <w:top w:val="double" w:sz="4" w:space="0" w:color="auto"/>
            </w:tcBorders>
          </w:tcPr>
          <w:p w:rsidR="004F260D" w:rsidRPr="00214F2D" w:rsidRDefault="004F260D" w:rsidP="001D4240">
            <w:pPr>
              <w:pStyle w:val="answer"/>
              <w:keepNext/>
              <w:keepLines/>
              <w:spacing w:before="60" w:after="60" w:line="240" w:lineRule="auto"/>
              <w:ind w:left="253" w:right="-109" w:firstLine="0"/>
              <w:jc w:val="center"/>
              <w:rPr>
                <w:b/>
                <w:szCs w:val="24"/>
              </w:rPr>
            </w:pPr>
          </w:p>
        </w:tc>
        <w:tc>
          <w:tcPr>
            <w:tcW w:w="1579" w:type="dxa"/>
            <w:tcBorders>
              <w:top w:val="double" w:sz="4" w:space="0" w:color="auto"/>
            </w:tcBorders>
          </w:tcPr>
          <w:p w:rsidR="004F260D" w:rsidRPr="00214F2D" w:rsidRDefault="004F260D" w:rsidP="001D4240">
            <w:pPr>
              <w:pStyle w:val="answer"/>
              <w:keepNext/>
              <w:keepLines/>
              <w:spacing w:before="60" w:after="60" w:line="240" w:lineRule="auto"/>
              <w:ind w:left="253" w:right="-109" w:firstLine="0"/>
              <w:jc w:val="center"/>
              <w:rPr>
                <w:b/>
                <w:szCs w:val="24"/>
              </w:rPr>
            </w:pPr>
          </w:p>
        </w:tc>
        <w:tc>
          <w:tcPr>
            <w:tcW w:w="1579" w:type="dxa"/>
            <w:tcBorders>
              <w:top w:val="double" w:sz="4" w:space="0" w:color="auto"/>
            </w:tcBorders>
          </w:tcPr>
          <w:p w:rsidR="004F260D" w:rsidRPr="00214F2D" w:rsidRDefault="00B66EF9" w:rsidP="001D4240">
            <w:pPr>
              <w:pStyle w:val="answer"/>
              <w:keepNext/>
              <w:keepLines/>
              <w:spacing w:before="60" w:after="60" w:line="240" w:lineRule="auto"/>
              <w:ind w:left="253" w:right="-109" w:firstLine="0"/>
              <w:jc w:val="center"/>
              <w:rPr>
                <w:b/>
                <w:szCs w:val="24"/>
              </w:rPr>
            </w:pPr>
            <w:r w:rsidRPr="00214F2D">
              <w:rPr>
                <w:b/>
                <w:szCs w:val="24"/>
              </w:rPr>
              <w:t>214</w:t>
            </w:r>
          </w:p>
        </w:tc>
      </w:tr>
      <w:tr w:rsidR="003E5B37" w:rsidRPr="00214F2D" w:rsidTr="001D4240">
        <w:tc>
          <w:tcPr>
            <w:tcW w:w="3168" w:type="dxa"/>
          </w:tcPr>
          <w:p w:rsidR="003E5B37" w:rsidRPr="00214F2D" w:rsidRDefault="003E5B37" w:rsidP="003E5B37">
            <w:pPr>
              <w:pStyle w:val="answer"/>
              <w:keepNext/>
              <w:keepLines/>
              <w:spacing w:before="60" w:after="60" w:line="240" w:lineRule="auto"/>
              <w:ind w:left="0" w:firstLine="0"/>
              <w:rPr>
                <w:szCs w:val="24"/>
              </w:rPr>
            </w:pPr>
          </w:p>
        </w:tc>
        <w:tc>
          <w:tcPr>
            <w:tcW w:w="1579" w:type="dxa"/>
          </w:tcPr>
          <w:p w:rsidR="003E5B37" w:rsidRPr="00214F2D" w:rsidRDefault="003E5B37" w:rsidP="003E5B37">
            <w:pPr>
              <w:pStyle w:val="answer"/>
              <w:keepNext/>
              <w:keepLines/>
              <w:spacing w:before="60" w:after="60" w:line="240" w:lineRule="auto"/>
              <w:ind w:left="0" w:firstLine="0"/>
              <w:rPr>
                <w:szCs w:val="24"/>
              </w:rPr>
            </w:pPr>
          </w:p>
        </w:tc>
        <w:tc>
          <w:tcPr>
            <w:tcW w:w="1579" w:type="dxa"/>
          </w:tcPr>
          <w:p w:rsidR="003E5B37" w:rsidRPr="00214F2D" w:rsidRDefault="003E5B37" w:rsidP="003E5B37">
            <w:pPr>
              <w:pStyle w:val="answer"/>
              <w:keepNext/>
              <w:keepLines/>
              <w:spacing w:before="60" w:after="60" w:line="240" w:lineRule="auto"/>
              <w:ind w:left="0" w:firstLine="0"/>
              <w:rPr>
                <w:szCs w:val="24"/>
              </w:rPr>
            </w:pPr>
          </w:p>
        </w:tc>
        <w:tc>
          <w:tcPr>
            <w:tcW w:w="1579" w:type="dxa"/>
          </w:tcPr>
          <w:p w:rsidR="003E5B37" w:rsidRPr="00214F2D" w:rsidRDefault="003E5B37" w:rsidP="003E5B37">
            <w:pPr>
              <w:pStyle w:val="answer"/>
              <w:keepNext/>
              <w:keepLines/>
              <w:spacing w:before="60" w:after="60" w:line="240" w:lineRule="auto"/>
              <w:ind w:left="0" w:firstLine="0"/>
              <w:rPr>
                <w:szCs w:val="24"/>
              </w:rPr>
            </w:pPr>
          </w:p>
        </w:tc>
      </w:tr>
      <w:tr w:rsidR="003E5B37" w:rsidRPr="00214F2D" w:rsidTr="001D4240">
        <w:tc>
          <w:tcPr>
            <w:tcW w:w="7905" w:type="dxa"/>
            <w:gridSpan w:val="4"/>
          </w:tcPr>
          <w:p w:rsidR="003E5B37" w:rsidRPr="00214F2D" w:rsidRDefault="003E5B37" w:rsidP="003E5B37">
            <w:pPr>
              <w:pStyle w:val="answer"/>
              <w:keepNext/>
              <w:keepLines/>
              <w:spacing w:before="60" w:after="60" w:line="240" w:lineRule="auto"/>
              <w:ind w:left="0" w:firstLine="0"/>
              <w:jc w:val="center"/>
              <w:rPr>
                <w:b/>
                <w:szCs w:val="24"/>
              </w:rPr>
            </w:pPr>
            <w:r w:rsidRPr="00214F2D">
              <w:rPr>
                <w:b/>
                <w:szCs w:val="24"/>
              </w:rPr>
              <w:t>New Transmission Requests in BPA</w:t>
            </w:r>
            <w:r w:rsidR="009F02BA">
              <w:rPr>
                <w:b/>
                <w:szCs w:val="24"/>
              </w:rPr>
              <w:t>’</w:t>
            </w:r>
            <w:r w:rsidRPr="00214F2D">
              <w:rPr>
                <w:b/>
                <w:szCs w:val="24"/>
              </w:rPr>
              <w:t>s Queue</w:t>
            </w:r>
          </w:p>
        </w:tc>
      </w:tr>
      <w:tr w:rsidR="003E5B37" w:rsidRPr="00214F2D" w:rsidTr="001D4240">
        <w:tc>
          <w:tcPr>
            <w:tcW w:w="4747" w:type="dxa"/>
            <w:gridSpan w:val="2"/>
            <w:tcBorders>
              <w:bottom w:val="single" w:sz="4" w:space="0" w:color="auto"/>
            </w:tcBorders>
            <w:vAlign w:val="bottom"/>
          </w:tcPr>
          <w:p w:rsidR="003E5B37" w:rsidRPr="00214F2D" w:rsidRDefault="003E5B37" w:rsidP="003E5B37">
            <w:pPr>
              <w:pStyle w:val="answer"/>
              <w:keepNext/>
              <w:keepLines/>
              <w:spacing w:before="60" w:after="60" w:line="240" w:lineRule="auto"/>
              <w:ind w:left="0" w:firstLine="0"/>
              <w:jc w:val="center"/>
              <w:rPr>
                <w:b/>
                <w:szCs w:val="24"/>
              </w:rPr>
            </w:pPr>
            <w:r w:rsidRPr="00214F2D">
              <w:rPr>
                <w:b/>
                <w:szCs w:val="24"/>
              </w:rPr>
              <w:t>Resource</w:t>
            </w:r>
          </w:p>
        </w:tc>
        <w:tc>
          <w:tcPr>
            <w:tcW w:w="1579" w:type="dxa"/>
            <w:tcBorders>
              <w:bottom w:val="single" w:sz="4" w:space="0" w:color="auto"/>
            </w:tcBorders>
            <w:vAlign w:val="bottom"/>
          </w:tcPr>
          <w:p w:rsidR="003E5B37" w:rsidRPr="00214F2D" w:rsidRDefault="00FA0635" w:rsidP="003E5B37">
            <w:pPr>
              <w:pStyle w:val="answer"/>
              <w:keepNext/>
              <w:keepLines/>
              <w:spacing w:before="60" w:after="60" w:line="240" w:lineRule="auto"/>
              <w:ind w:left="0" w:firstLine="0"/>
              <w:jc w:val="center"/>
              <w:rPr>
                <w:b/>
                <w:szCs w:val="24"/>
              </w:rPr>
            </w:pPr>
            <w:r>
              <w:rPr>
                <w:b/>
                <w:szCs w:val="24"/>
              </w:rPr>
              <w:t>Requested</w:t>
            </w:r>
            <w:r>
              <w:rPr>
                <w:b/>
                <w:szCs w:val="24"/>
              </w:rPr>
              <w:br/>
            </w:r>
            <w:r w:rsidR="003E5B37" w:rsidRPr="00214F2D">
              <w:rPr>
                <w:b/>
                <w:szCs w:val="24"/>
              </w:rPr>
              <w:t>Start</w:t>
            </w:r>
            <w:r w:rsidR="003E5B37" w:rsidRPr="00214F2D">
              <w:rPr>
                <w:b/>
                <w:szCs w:val="24"/>
              </w:rPr>
              <w:br/>
              <w:t>Date</w:t>
            </w:r>
          </w:p>
        </w:tc>
        <w:tc>
          <w:tcPr>
            <w:tcW w:w="1579" w:type="dxa"/>
            <w:tcBorders>
              <w:bottom w:val="single" w:sz="4" w:space="0" w:color="auto"/>
            </w:tcBorders>
            <w:vAlign w:val="bottom"/>
          </w:tcPr>
          <w:p w:rsidR="003E5B37" w:rsidRPr="00214F2D" w:rsidRDefault="003E5B37" w:rsidP="003E5B37">
            <w:pPr>
              <w:pStyle w:val="answer"/>
              <w:keepNext/>
              <w:keepLines/>
              <w:spacing w:before="60" w:after="60" w:line="240" w:lineRule="auto"/>
              <w:ind w:left="0" w:firstLine="0"/>
              <w:jc w:val="center"/>
              <w:rPr>
                <w:b/>
                <w:szCs w:val="24"/>
              </w:rPr>
            </w:pPr>
            <w:r w:rsidRPr="00214F2D">
              <w:rPr>
                <w:b/>
                <w:szCs w:val="24"/>
              </w:rPr>
              <w:t>Megawatt</w:t>
            </w:r>
            <w:r w:rsidRPr="00214F2D">
              <w:rPr>
                <w:b/>
                <w:szCs w:val="24"/>
              </w:rPr>
              <w:br/>
              <w:t>Capacity</w:t>
            </w:r>
          </w:p>
        </w:tc>
      </w:tr>
      <w:tr w:rsidR="00B66EF9" w:rsidRPr="00214F2D" w:rsidTr="001D4240">
        <w:tc>
          <w:tcPr>
            <w:tcW w:w="4747" w:type="dxa"/>
            <w:gridSpan w:val="2"/>
          </w:tcPr>
          <w:p w:rsidR="00B66EF9" w:rsidRPr="00214F2D" w:rsidRDefault="00B66EF9" w:rsidP="00710D3A">
            <w:pPr>
              <w:pStyle w:val="answer"/>
              <w:keepNext/>
              <w:keepLines/>
              <w:spacing w:before="60" w:after="60" w:line="240" w:lineRule="auto"/>
              <w:ind w:left="0" w:right="-109" w:firstLine="0"/>
              <w:rPr>
                <w:szCs w:val="24"/>
                <w:highlight w:val="cyan"/>
              </w:rPr>
            </w:pPr>
            <w:r w:rsidRPr="00214F2D">
              <w:rPr>
                <w:szCs w:val="24"/>
              </w:rPr>
              <w:t>Mint Farm Conditional Firm</w:t>
            </w:r>
            <w:r w:rsidRPr="00A17540">
              <w:rPr>
                <w:rStyle w:val="FootnoteReference"/>
                <w:sz w:val="18"/>
                <w:szCs w:val="18"/>
              </w:rPr>
              <w:footnoteReference w:id="8"/>
            </w:r>
          </w:p>
        </w:tc>
        <w:tc>
          <w:tcPr>
            <w:tcW w:w="1579" w:type="dxa"/>
          </w:tcPr>
          <w:p w:rsidR="00B66EF9" w:rsidRPr="00214F2D" w:rsidRDefault="00B66EF9" w:rsidP="00AE49B9">
            <w:pPr>
              <w:pStyle w:val="answer"/>
              <w:keepNext/>
              <w:keepLines/>
              <w:spacing w:before="60" w:after="60" w:line="240" w:lineRule="auto"/>
              <w:ind w:left="-67" w:right="-109" w:firstLine="0"/>
              <w:jc w:val="center"/>
              <w:rPr>
                <w:szCs w:val="24"/>
              </w:rPr>
            </w:pPr>
            <w:r w:rsidRPr="00214F2D">
              <w:rPr>
                <w:szCs w:val="24"/>
              </w:rPr>
              <w:t>5/1/17</w:t>
            </w:r>
          </w:p>
        </w:tc>
        <w:tc>
          <w:tcPr>
            <w:tcW w:w="1579" w:type="dxa"/>
          </w:tcPr>
          <w:p w:rsidR="00B66EF9" w:rsidRPr="00214F2D" w:rsidRDefault="00B66EF9" w:rsidP="00804790">
            <w:pPr>
              <w:pStyle w:val="answer"/>
              <w:keepNext/>
              <w:keepLines/>
              <w:spacing w:before="60" w:after="60" w:line="240" w:lineRule="auto"/>
              <w:ind w:left="253" w:right="-109" w:firstLine="0"/>
              <w:jc w:val="center"/>
              <w:rPr>
                <w:szCs w:val="24"/>
              </w:rPr>
            </w:pPr>
            <w:r w:rsidRPr="00214F2D">
              <w:rPr>
                <w:szCs w:val="24"/>
              </w:rPr>
              <w:t>15</w:t>
            </w:r>
          </w:p>
        </w:tc>
      </w:tr>
      <w:tr w:rsidR="003E5B37" w:rsidRPr="00214F2D" w:rsidTr="001D4240">
        <w:tc>
          <w:tcPr>
            <w:tcW w:w="4747" w:type="dxa"/>
            <w:gridSpan w:val="2"/>
          </w:tcPr>
          <w:p w:rsidR="003E5B37" w:rsidRPr="00214F2D" w:rsidRDefault="003E5B37" w:rsidP="003E5B37">
            <w:pPr>
              <w:pStyle w:val="answer"/>
              <w:keepNext/>
              <w:keepLines/>
              <w:spacing w:before="60" w:after="60" w:line="240" w:lineRule="auto"/>
              <w:ind w:left="0" w:firstLine="0"/>
              <w:rPr>
                <w:szCs w:val="24"/>
              </w:rPr>
            </w:pPr>
            <w:r w:rsidRPr="00214F2D">
              <w:rPr>
                <w:szCs w:val="24"/>
              </w:rPr>
              <w:t>Goldendale</w:t>
            </w:r>
          </w:p>
        </w:tc>
        <w:tc>
          <w:tcPr>
            <w:tcW w:w="1579" w:type="dxa"/>
          </w:tcPr>
          <w:p w:rsidR="003E5B37" w:rsidRPr="00214F2D" w:rsidRDefault="003E5B37" w:rsidP="00AE49B9">
            <w:pPr>
              <w:pStyle w:val="answer"/>
              <w:keepNext/>
              <w:keepLines/>
              <w:spacing w:before="60" w:after="60" w:line="240" w:lineRule="auto"/>
              <w:ind w:left="-67" w:right="-109" w:firstLine="0"/>
              <w:jc w:val="center"/>
              <w:rPr>
                <w:szCs w:val="24"/>
              </w:rPr>
            </w:pPr>
            <w:r w:rsidRPr="00214F2D">
              <w:rPr>
                <w:szCs w:val="24"/>
              </w:rPr>
              <w:t>5/1/16</w:t>
            </w:r>
          </w:p>
        </w:tc>
        <w:tc>
          <w:tcPr>
            <w:tcW w:w="1579" w:type="dxa"/>
          </w:tcPr>
          <w:p w:rsidR="003E5B37" w:rsidRPr="00214F2D" w:rsidRDefault="003E5B37" w:rsidP="00804790">
            <w:pPr>
              <w:pStyle w:val="answer"/>
              <w:keepNext/>
              <w:keepLines/>
              <w:spacing w:before="60" w:after="60" w:line="240" w:lineRule="auto"/>
              <w:ind w:left="253" w:right="-109" w:firstLine="0"/>
              <w:jc w:val="center"/>
              <w:rPr>
                <w:szCs w:val="24"/>
              </w:rPr>
            </w:pPr>
            <w:r w:rsidRPr="00214F2D">
              <w:rPr>
                <w:szCs w:val="24"/>
              </w:rPr>
              <w:t>18</w:t>
            </w:r>
          </w:p>
        </w:tc>
      </w:tr>
      <w:tr w:rsidR="003E5B37" w:rsidRPr="00214F2D" w:rsidTr="001D4240">
        <w:tc>
          <w:tcPr>
            <w:tcW w:w="4747" w:type="dxa"/>
            <w:gridSpan w:val="2"/>
            <w:tcBorders>
              <w:bottom w:val="double" w:sz="4" w:space="0" w:color="auto"/>
            </w:tcBorders>
          </w:tcPr>
          <w:p w:rsidR="003E5B37" w:rsidRPr="00214F2D" w:rsidRDefault="003E5B37" w:rsidP="003E5B37">
            <w:pPr>
              <w:pStyle w:val="answer"/>
              <w:keepNext/>
              <w:keepLines/>
              <w:spacing w:before="60" w:after="60" w:line="240" w:lineRule="auto"/>
              <w:ind w:left="0" w:firstLine="0"/>
              <w:rPr>
                <w:szCs w:val="24"/>
              </w:rPr>
            </w:pPr>
            <w:r w:rsidRPr="00214F2D">
              <w:rPr>
                <w:szCs w:val="24"/>
              </w:rPr>
              <w:t>Goldendale</w:t>
            </w:r>
          </w:p>
        </w:tc>
        <w:tc>
          <w:tcPr>
            <w:tcW w:w="1579" w:type="dxa"/>
            <w:tcBorders>
              <w:bottom w:val="double" w:sz="4" w:space="0" w:color="auto"/>
            </w:tcBorders>
          </w:tcPr>
          <w:p w:rsidR="003E5B37" w:rsidRPr="00214F2D" w:rsidRDefault="003E5B37" w:rsidP="00AE49B9">
            <w:pPr>
              <w:pStyle w:val="answer"/>
              <w:keepNext/>
              <w:keepLines/>
              <w:spacing w:before="60" w:after="60" w:line="240" w:lineRule="auto"/>
              <w:ind w:left="-67" w:right="-109" w:firstLine="0"/>
              <w:jc w:val="center"/>
              <w:rPr>
                <w:szCs w:val="24"/>
              </w:rPr>
            </w:pPr>
            <w:r w:rsidRPr="00214F2D">
              <w:rPr>
                <w:szCs w:val="24"/>
              </w:rPr>
              <w:t>11/1/17</w:t>
            </w:r>
          </w:p>
        </w:tc>
        <w:tc>
          <w:tcPr>
            <w:tcW w:w="1579" w:type="dxa"/>
            <w:tcBorders>
              <w:bottom w:val="double" w:sz="4" w:space="0" w:color="auto"/>
            </w:tcBorders>
          </w:tcPr>
          <w:p w:rsidR="003E5B37" w:rsidRPr="00214F2D" w:rsidRDefault="003E5B37" w:rsidP="00804790">
            <w:pPr>
              <w:pStyle w:val="answer"/>
              <w:keepNext/>
              <w:keepLines/>
              <w:spacing w:before="60" w:after="60" w:line="240" w:lineRule="auto"/>
              <w:ind w:left="253" w:right="-109" w:firstLine="0"/>
              <w:jc w:val="center"/>
              <w:rPr>
                <w:szCs w:val="24"/>
              </w:rPr>
            </w:pPr>
            <w:r w:rsidRPr="00214F2D">
              <w:rPr>
                <w:szCs w:val="24"/>
              </w:rPr>
              <w:t>20</w:t>
            </w:r>
          </w:p>
        </w:tc>
      </w:tr>
      <w:tr w:rsidR="003E5B37" w:rsidRPr="00214F2D" w:rsidTr="001D4240">
        <w:tc>
          <w:tcPr>
            <w:tcW w:w="4747" w:type="dxa"/>
            <w:gridSpan w:val="2"/>
            <w:tcBorders>
              <w:top w:val="double" w:sz="4" w:space="0" w:color="auto"/>
            </w:tcBorders>
          </w:tcPr>
          <w:p w:rsidR="003E5B37" w:rsidRPr="00214F2D" w:rsidRDefault="003E5B37" w:rsidP="004F260D">
            <w:pPr>
              <w:pStyle w:val="answer"/>
              <w:spacing w:before="60" w:after="60" w:line="240" w:lineRule="auto"/>
              <w:ind w:left="0" w:firstLine="0"/>
              <w:rPr>
                <w:b/>
                <w:szCs w:val="24"/>
              </w:rPr>
            </w:pPr>
            <w:r w:rsidRPr="00214F2D">
              <w:rPr>
                <w:b/>
                <w:szCs w:val="24"/>
              </w:rPr>
              <w:t>Total</w:t>
            </w:r>
          </w:p>
        </w:tc>
        <w:tc>
          <w:tcPr>
            <w:tcW w:w="1579" w:type="dxa"/>
            <w:tcBorders>
              <w:top w:val="double" w:sz="4" w:space="0" w:color="auto"/>
            </w:tcBorders>
          </w:tcPr>
          <w:p w:rsidR="003E5B37" w:rsidRPr="00214F2D" w:rsidRDefault="003E5B37" w:rsidP="001D4240">
            <w:pPr>
              <w:pStyle w:val="answer"/>
              <w:spacing w:before="60" w:after="60" w:line="240" w:lineRule="auto"/>
              <w:ind w:left="0" w:firstLine="0"/>
              <w:jc w:val="center"/>
              <w:rPr>
                <w:b/>
                <w:szCs w:val="24"/>
              </w:rPr>
            </w:pPr>
          </w:p>
        </w:tc>
        <w:tc>
          <w:tcPr>
            <w:tcW w:w="1579" w:type="dxa"/>
            <w:tcBorders>
              <w:top w:val="double" w:sz="4" w:space="0" w:color="auto"/>
            </w:tcBorders>
          </w:tcPr>
          <w:p w:rsidR="003E5B37" w:rsidRPr="00214F2D" w:rsidRDefault="00804790" w:rsidP="00804790">
            <w:pPr>
              <w:pStyle w:val="answer"/>
              <w:keepNext/>
              <w:keepLines/>
              <w:spacing w:before="60" w:after="60" w:line="240" w:lineRule="auto"/>
              <w:ind w:left="253" w:right="-109" w:firstLine="0"/>
              <w:jc w:val="center"/>
              <w:rPr>
                <w:b/>
                <w:szCs w:val="24"/>
              </w:rPr>
            </w:pPr>
            <w:r w:rsidRPr="00214F2D">
              <w:rPr>
                <w:b/>
                <w:szCs w:val="24"/>
              </w:rPr>
              <w:t>53</w:t>
            </w:r>
          </w:p>
        </w:tc>
      </w:tr>
    </w:tbl>
    <w:p w:rsidR="007235A3" w:rsidRDefault="00866BF4" w:rsidP="00404C71">
      <w:pPr>
        <w:pStyle w:val="Heading2"/>
      </w:pPr>
      <w:bookmarkStart w:id="21" w:name="_Toc471319022"/>
      <w:r w:rsidRPr="00AD4313">
        <w:lastRenderedPageBreak/>
        <w:t>A.</w:t>
      </w:r>
      <w:r w:rsidRPr="00AD4313">
        <w:tab/>
      </w:r>
      <w:r w:rsidR="007235A3">
        <w:t>Transmission Contract Renewals</w:t>
      </w:r>
      <w:bookmarkEnd w:id="21"/>
    </w:p>
    <w:p w:rsidR="00866BF4" w:rsidRPr="00AD4313" w:rsidRDefault="007235A3" w:rsidP="007235A3">
      <w:pPr>
        <w:pStyle w:val="Heading3"/>
      </w:pPr>
      <w:bookmarkStart w:id="22" w:name="_Toc471319023"/>
      <w:r>
        <w:t>1.</w:t>
      </w:r>
      <w:r>
        <w:tab/>
      </w:r>
      <w:r w:rsidR="00AD4313" w:rsidRPr="00AD4313">
        <w:t>Mid-C</w:t>
      </w:r>
      <w:r w:rsidR="00FB4E70">
        <w:t xml:space="preserve"> </w:t>
      </w:r>
      <w:r w:rsidR="00AD4313" w:rsidRPr="00AD4313">
        <w:t>Transmission Renewals</w:t>
      </w:r>
      <w:bookmarkEnd w:id="22"/>
    </w:p>
    <w:p w:rsidR="00866BF4" w:rsidRDefault="00866BF4" w:rsidP="00866BF4">
      <w:pPr>
        <w:pStyle w:val="question"/>
      </w:pPr>
      <w:r>
        <w:t>Q.</w:t>
      </w:r>
      <w:r>
        <w:tab/>
        <w:t xml:space="preserve">How does PSE determine the appropriateness of renewing firm </w:t>
      </w:r>
      <w:r w:rsidR="00AD4313" w:rsidRPr="00AD4313">
        <w:t>Mid-C</w:t>
      </w:r>
      <w:r w:rsidR="00FB4E70">
        <w:t xml:space="preserve"> </w:t>
      </w:r>
      <w:r>
        <w:t>transmission?</w:t>
      </w:r>
    </w:p>
    <w:p w:rsidR="00866BF4" w:rsidRDefault="00866BF4" w:rsidP="00866BF4">
      <w:pPr>
        <w:pStyle w:val="answer"/>
      </w:pPr>
      <w:r>
        <w:t>A.</w:t>
      </w:r>
      <w:r>
        <w:tab/>
        <w:t xml:space="preserve">As </w:t>
      </w:r>
      <w:r w:rsidR="00AD4313" w:rsidRPr="00AD4313">
        <w:t>Mid-C</w:t>
      </w:r>
      <w:r w:rsidR="00FB4E70">
        <w:t xml:space="preserve"> </w:t>
      </w:r>
      <w:r>
        <w:t>transmission contracts become eligible for renewal, PSE evaluates the costs and risks of Mid-C resources</w:t>
      </w:r>
      <w:r w:rsidR="00005947">
        <w:t xml:space="preserve"> using a similar approach and the same tools it uses to evaluate generation assets for acquisition.</w:t>
      </w:r>
      <w:r w:rsidR="006F17F1">
        <w:t xml:space="preserve"> </w:t>
      </w:r>
      <w:r>
        <w:t xml:space="preserve">PSE </w:t>
      </w:r>
      <w:r w:rsidR="00E87A7E">
        <w:t>compares the cost of transmission contracts to other resource alternatives to fill in resource need based on models developed in the IRP</w:t>
      </w:r>
      <w:r>
        <w:t>.</w:t>
      </w:r>
    </w:p>
    <w:p w:rsidR="00866BF4" w:rsidRDefault="00866BF4" w:rsidP="00866BF4">
      <w:pPr>
        <w:pStyle w:val="question"/>
      </w:pPr>
      <w:r>
        <w:t>Q.</w:t>
      </w:r>
      <w:r>
        <w:tab/>
        <w:t xml:space="preserve">When does PSE evaluate the </w:t>
      </w:r>
      <w:r w:rsidR="00AD4313" w:rsidRPr="00AD4313">
        <w:t>Mid-C</w:t>
      </w:r>
      <w:r>
        <w:t xml:space="preserve"> transmission renewals?</w:t>
      </w:r>
    </w:p>
    <w:p w:rsidR="00866BF4" w:rsidRDefault="00866BF4" w:rsidP="00866BF4">
      <w:pPr>
        <w:pStyle w:val="answer"/>
      </w:pPr>
      <w:r>
        <w:t>A.</w:t>
      </w:r>
      <w:r>
        <w:tab/>
        <w:t xml:space="preserve">PSE evaluates the costs and benefits of renewing its </w:t>
      </w:r>
      <w:r w:rsidR="00AD4313" w:rsidRPr="00AD4313">
        <w:t>Mid-C</w:t>
      </w:r>
      <w:r>
        <w:t xml:space="preserve"> transmission contracts </w:t>
      </w:r>
      <w:r w:rsidR="00C248AC">
        <w:t>one year and two</w:t>
      </w:r>
      <w:r>
        <w:t xml:space="preserve"> months prior to their expiration date.</w:t>
      </w:r>
      <w:r w:rsidR="00404C71">
        <w:t xml:space="preserve"> </w:t>
      </w:r>
      <w:r>
        <w:t xml:space="preserve">Renewing the current transmission contract one year prior to expiration enables PSE to </w:t>
      </w:r>
      <w:r w:rsidR="00C248AC">
        <w:t xml:space="preserve">execute </w:t>
      </w:r>
      <w:r>
        <w:t>right of first refusal.</w:t>
      </w:r>
      <w:r w:rsidR="00404C71">
        <w:t xml:space="preserve"> </w:t>
      </w:r>
      <w:r>
        <w:t>The two additional months are required for PSE to meet its internal review process.</w:t>
      </w:r>
      <w:r w:rsidR="00404C71">
        <w:t xml:space="preserve"> </w:t>
      </w:r>
      <w:r>
        <w:t>The analysis is presented to the Energy Management Committee (</w:t>
      </w:r>
      <w:r w:rsidR="009F02BA">
        <w:t>“</w:t>
      </w:r>
      <w:r>
        <w:t>EMC</w:t>
      </w:r>
      <w:r w:rsidR="009F02BA">
        <w:t>”</w:t>
      </w:r>
      <w:r>
        <w:t>) twice.</w:t>
      </w:r>
      <w:r w:rsidR="00404C71">
        <w:t xml:space="preserve"> </w:t>
      </w:r>
      <w:r>
        <w:t>The first presentation is to explain the analysis and request for decision.</w:t>
      </w:r>
      <w:r w:rsidR="00404C71">
        <w:t xml:space="preserve"> </w:t>
      </w:r>
      <w:r>
        <w:t>The second, or final, presentation is a decisional presentation at which the EMC members vote to decide if the transmission contract purchase or renewal should be made.</w:t>
      </w:r>
    </w:p>
    <w:p w:rsidR="00866BF4" w:rsidRDefault="00866BF4" w:rsidP="00404C71">
      <w:pPr>
        <w:pStyle w:val="NestedAnswer"/>
      </w:pPr>
      <w:r>
        <w:t xml:space="preserve">PSE will continue to evaluate </w:t>
      </w:r>
      <w:r w:rsidR="00AD4313" w:rsidRPr="00AD4313">
        <w:t>Mid-C</w:t>
      </w:r>
      <w:r>
        <w:t xml:space="preserve"> transmission contracts and will have the opportunity to make adjustments to its total </w:t>
      </w:r>
      <w:r w:rsidR="00AD4313" w:rsidRPr="00AD4313">
        <w:t>Mid-C</w:t>
      </w:r>
      <w:r>
        <w:t xml:space="preserve"> transmission capacity available to meet customers</w:t>
      </w:r>
      <w:r w:rsidR="009F02BA">
        <w:t>’</w:t>
      </w:r>
      <w:r>
        <w:t xml:space="preserve"> peak capacity need as other </w:t>
      </w:r>
      <w:r w:rsidR="00AD4313" w:rsidRPr="00AD4313">
        <w:t>Mid-C</w:t>
      </w:r>
      <w:r w:rsidR="00AD4313">
        <w:t xml:space="preserve"> transmission</w:t>
      </w:r>
      <w:r>
        <w:t xml:space="preserve"> </w:t>
      </w:r>
      <w:r>
        <w:lastRenderedPageBreak/>
        <w:t>contracts come up for renewal.</w:t>
      </w:r>
      <w:r w:rsidR="00404C71">
        <w:t xml:space="preserve"> </w:t>
      </w:r>
      <w:r>
        <w:t xml:space="preserve">At that time, PSE will have the option to reduce its </w:t>
      </w:r>
      <w:r w:rsidR="00AD4313" w:rsidRPr="00AD4313">
        <w:t>Mid-C</w:t>
      </w:r>
      <w:r>
        <w:t xml:space="preserve"> transmission capacity if new information results in a different conclusion than analysis of previous renewals. </w:t>
      </w:r>
    </w:p>
    <w:p w:rsidR="00B53814" w:rsidRDefault="00B53814" w:rsidP="00B53814">
      <w:pPr>
        <w:pStyle w:val="question"/>
      </w:pPr>
      <w:r>
        <w:t>Q.</w:t>
      </w:r>
      <w:r>
        <w:tab/>
        <w:t>Please describe PSE</w:t>
      </w:r>
      <w:r w:rsidR="009F02BA">
        <w:t>’</w:t>
      </w:r>
      <w:r>
        <w:t>s 23 MW</w:t>
      </w:r>
      <w:r w:rsidR="009922DA">
        <w:t xml:space="preserve"> Vantage</w:t>
      </w:r>
      <w:r>
        <w:t xml:space="preserve"> transmission contract with BPA.</w:t>
      </w:r>
    </w:p>
    <w:p w:rsidR="00B53814" w:rsidRDefault="00B53814" w:rsidP="00B53814">
      <w:pPr>
        <w:pStyle w:val="answer"/>
      </w:pPr>
      <w:r>
        <w:t>A.</w:t>
      </w:r>
      <w:r>
        <w:tab/>
        <w:t xml:space="preserve">The 23 MW </w:t>
      </w:r>
      <w:r w:rsidR="009922DA">
        <w:t xml:space="preserve">Vantage </w:t>
      </w:r>
      <w:r>
        <w:t xml:space="preserve">contract was originally associated with the Spokane Municipal Waste Power Purchase Agreement, which expired </w:t>
      </w:r>
      <w:r w:rsidR="00A727EE">
        <w:t xml:space="preserve">in </w:t>
      </w:r>
      <w:r>
        <w:t>December 2011. When this Power Purchase Agreement was approaching expiration PSE decided to utilize its position within BPA</w:t>
      </w:r>
      <w:r w:rsidR="009F02BA">
        <w:t>’</w:t>
      </w:r>
      <w:r>
        <w:t>s queue and redirect the 23 MW of transmission to the Mid-C instead of terminating the transmission contract at its expiration date. At the time of that redirect, BPA suggested that PSE</w:t>
      </w:r>
      <w:r w:rsidR="009F02BA">
        <w:t>’</w:t>
      </w:r>
      <w:r>
        <w:t xml:space="preserve">s ability to obtain </w:t>
      </w:r>
      <w:r w:rsidRPr="00AD4313">
        <w:t>Mid-C</w:t>
      </w:r>
      <w:r>
        <w:t xml:space="preserve"> transmission in the future was very limited and uncertain. In January 2015, PSE completed an analysis and </w:t>
      </w:r>
      <w:r w:rsidR="009922DA">
        <w:t xml:space="preserve">decided </w:t>
      </w:r>
      <w:r>
        <w:t xml:space="preserve">it would be </w:t>
      </w:r>
      <w:r w:rsidR="009922DA">
        <w:t xml:space="preserve">cost-effective </w:t>
      </w:r>
      <w:r>
        <w:t>to permanently redirect the 23 MW contract from Spokane to the Mid-C and renew the contract for another five year term.</w:t>
      </w:r>
      <w:r w:rsidRPr="00B53814">
        <w:t xml:space="preserve"> </w:t>
      </w:r>
      <w:r>
        <w:t xml:space="preserve">On February 19, 2015, the EMC approved the request to renew the 23 MW </w:t>
      </w:r>
      <w:r w:rsidRPr="00AD4313">
        <w:t>Mid-C</w:t>
      </w:r>
      <w:r>
        <w:t xml:space="preserve"> firm transmission contract with BPA.</w:t>
      </w:r>
    </w:p>
    <w:p w:rsidR="00866BF4" w:rsidRDefault="00866BF4" w:rsidP="00866BF4">
      <w:pPr>
        <w:pStyle w:val="question"/>
      </w:pPr>
      <w:r>
        <w:t>Q.</w:t>
      </w:r>
      <w:r>
        <w:tab/>
        <w:t>Please summarize PSE</w:t>
      </w:r>
      <w:r w:rsidR="009F02BA">
        <w:t>’</w:t>
      </w:r>
      <w:r>
        <w:t>s approach to the analysis related to renewing the 23</w:t>
      </w:r>
      <w:r w:rsidR="00EB1969">
        <w:t> </w:t>
      </w:r>
      <w:r>
        <w:t xml:space="preserve">MW </w:t>
      </w:r>
      <w:r w:rsidR="00AD4313" w:rsidRPr="00AD4313">
        <w:t>Mid-C</w:t>
      </w:r>
      <w:r>
        <w:t xml:space="preserve"> firm transmission contract.</w:t>
      </w:r>
    </w:p>
    <w:p w:rsidR="00866BF4" w:rsidRDefault="00866BF4" w:rsidP="00866BF4">
      <w:pPr>
        <w:pStyle w:val="answer"/>
      </w:pPr>
      <w:r>
        <w:t>A.</w:t>
      </w:r>
      <w:r>
        <w:tab/>
        <w:t>PSE compared (i)</w:t>
      </w:r>
      <w:r w:rsidR="00EB1969">
        <w:t> </w:t>
      </w:r>
      <w:r>
        <w:t>the incremental portfolio cost of generation resources assuming renewal of the 23</w:t>
      </w:r>
      <w:r w:rsidR="00EB1969">
        <w:t> </w:t>
      </w:r>
      <w:r>
        <w:t>MW transmission contract with (ii)</w:t>
      </w:r>
      <w:r w:rsidR="00EB1969">
        <w:t> </w:t>
      </w:r>
      <w:r>
        <w:t>the incremental portfolio cost of generation resources assuming expiration of the contract.</w:t>
      </w:r>
      <w:r w:rsidR="00404C71">
        <w:t xml:space="preserve"> </w:t>
      </w:r>
      <w:r>
        <w:t>PSE used this comparison to determine whether there was an economic benefit to renewing the transmission contract.</w:t>
      </w:r>
      <w:r w:rsidR="00A06B5D">
        <w:t xml:space="preserve"> </w:t>
      </w:r>
      <w:r>
        <w:t>PSE</w:t>
      </w:r>
      <w:r w:rsidR="009F02BA">
        <w:t>’</w:t>
      </w:r>
      <w:r>
        <w:t xml:space="preserve">s incremental portfolio cost of generation includes </w:t>
      </w:r>
      <w:r>
        <w:lastRenderedPageBreak/>
        <w:t>variable costs of PSE</w:t>
      </w:r>
      <w:r w:rsidR="009F02BA">
        <w:t>’</w:t>
      </w:r>
      <w:r>
        <w:t>s existing generation assets, all capital and operating and maintenance costs associated with new units necessary to meet peak capacity and Renewable Portfolio Standard (</w:t>
      </w:r>
      <w:r w:rsidR="009F02BA">
        <w:t>“</w:t>
      </w:r>
      <w:r>
        <w:t>RPS</w:t>
      </w:r>
      <w:r w:rsidR="009F02BA">
        <w:t>”</w:t>
      </w:r>
      <w:r>
        <w:t>) requirements over 20</w:t>
      </w:r>
      <w:r w:rsidR="00EB1969">
        <w:t> </w:t>
      </w:r>
      <w:r>
        <w:t>years, and end effects of new resources. End effects include residual costs of new resources beyond the 20-year window through the useful life of the assets plus the replacement costs for those assets.</w:t>
      </w:r>
    </w:p>
    <w:p w:rsidR="00866BF4" w:rsidRDefault="00866BF4" w:rsidP="00866BF4">
      <w:pPr>
        <w:pStyle w:val="question"/>
      </w:pPr>
      <w:r>
        <w:t>Q.</w:t>
      </w:r>
      <w:r>
        <w:tab/>
        <w:t>How does PSE calculate the portfolio costs?</w:t>
      </w:r>
    </w:p>
    <w:p w:rsidR="00866BF4" w:rsidRDefault="00866BF4" w:rsidP="00866BF4">
      <w:pPr>
        <w:pStyle w:val="answer"/>
      </w:pPr>
      <w:r>
        <w:t>A.</w:t>
      </w:r>
      <w:r>
        <w:tab/>
        <w:t>PSE calculates the portfolio costs on a net present value basis using the Portfolio Screening Model</w:t>
      </w:r>
      <w:r w:rsidR="00EB1969">
        <w:t> </w:t>
      </w:r>
      <w:r>
        <w:t>III (</w:t>
      </w:r>
      <w:r w:rsidR="009F02BA">
        <w:t>“</w:t>
      </w:r>
      <w:proofErr w:type="spellStart"/>
      <w:r>
        <w:t>PSM</w:t>
      </w:r>
      <w:proofErr w:type="spellEnd"/>
      <w:r w:rsidR="00EB1969">
        <w:t> </w:t>
      </w:r>
      <w:r>
        <w:t>III</w:t>
      </w:r>
      <w:r w:rsidR="009F02BA">
        <w:t>”</w:t>
      </w:r>
      <w:r>
        <w:t xml:space="preserve">). </w:t>
      </w:r>
      <w:proofErr w:type="spellStart"/>
      <w:r>
        <w:t>PSM</w:t>
      </w:r>
      <w:proofErr w:type="spellEnd"/>
      <w:r w:rsidR="00EB1969">
        <w:t> </w:t>
      </w:r>
      <w:r>
        <w:t>III is an optimization model PSE uses to minimize the net present value of portfolio costs while meeting both its peak capacity and RPS requirements.</w:t>
      </w:r>
      <w:r w:rsidR="00404C71">
        <w:t xml:space="preserve"> </w:t>
      </w:r>
      <w:r>
        <w:t xml:space="preserve">PSE </w:t>
      </w:r>
      <w:r w:rsidR="009F2319">
        <w:t xml:space="preserve">also </w:t>
      </w:r>
      <w:r>
        <w:t xml:space="preserve">uses </w:t>
      </w:r>
      <w:proofErr w:type="spellStart"/>
      <w:r>
        <w:t>PSM</w:t>
      </w:r>
      <w:proofErr w:type="spellEnd"/>
      <w:r w:rsidR="00EB1969">
        <w:t> </w:t>
      </w:r>
      <w:r>
        <w:t xml:space="preserve">III to develop its </w:t>
      </w:r>
      <w:r w:rsidR="009F2319">
        <w:t>IRP</w:t>
      </w:r>
      <w:r>
        <w:t xml:space="preserve"> and to evaluate bids for generation resources provided by outside parties in response to Requests for Proposals.</w:t>
      </w:r>
      <w:r w:rsidR="00404C71">
        <w:t xml:space="preserve"> </w:t>
      </w:r>
      <w:r>
        <w:t xml:space="preserve">The </w:t>
      </w:r>
      <w:proofErr w:type="spellStart"/>
      <w:r>
        <w:t>PSM</w:t>
      </w:r>
      <w:proofErr w:type="spellEnd"/>
      <w:r w:rsidR="00EB1969">
        <w:t> </w:t>
      </w:r>
      <w:r>
        <w:t>III model contain</w:t>
      </w:r>
      <w:r w:rsidR="009F2319">
        <w:t>s data from the most recent IRP and ongoing IRP work.</w:t>
      </w:r>
      <w:r w:rsidR="00BC2D70">
        <w:t xml:space="preserve"> For the 23 MW Vantage contract the starting point was an update to the 2013 IRP with capital costs for alternative resources from the 2015 IRP.</w:t>
      </w:r>
      <w:r>
        <w:t xml:space="preserve"> </w:t>
      </w:r>
      <w:r w:rsidR="009F2319">
        <w:t xml:space="preserve">The model includes </w:t>
      </w:r>
      <w:r>
        <w:t xml:space="preserve">data on PSE-owned resources and forecasted load, financial data, </w:t>
      </w:r>
      <w:r w:rsidR="009F2319">
        <w:t xml:space="preserve">forecasted </w:t>
      </w:r>
      <w:r>
        <w:t xml:space="preserve">dispatch from the AURORA </w:t>
      </w:r>
      <w:r w:rsidR="009F2319">
        <w:t>production cost</w:t>
      </w:r>
      <w:r>
        <w:t xml:space="preserve"> model, and costs of alternative resources such as natural gas-fired combined cycle units, peaking units and wind resources.</w:t>
      </w:r>
    </w:p>
    <w:p w:rsidR="00866BF4" w:rsidRDefault="00866BF4" w:rsidP="00866BF4">
      <w:pPr>
        <w:pStyle w:val="question"/>
      </w:pPr>
      <w:r>
        <w:t>Q.</w:t>
      </w:r>
      <w:r>
        <w:tab/>
        <w:t>Please describe the AURORA dispatch model.</w:t>
      </w:r>
    </w:p>
    <w:p w:rsidR="00866BF4" w:rsidRDefault="00866BF4" w:rsidP="00837D01">
      <w:pPr>
        <w:pStyle w:val="answer"/>
      </w:pPr>
      <w:r>
        <w:t>A.</w:t>
      </w:r>
      <w:r>
        <w:tab/>
        <w:t>AURORA is a fundamentals</w:t>
      </w:r>
      <w:r w:rsidR="00A85998">
        <w:t>-based production cost</w:t>
      </w:r>
      <w:r>
        <w:t xml:space="preserve"> model</w:t>
      </w:r>
      <w:r w:rsidR="00A85998">
        <w:t xml:space="preserve"> that simulates hourly economic dispatch of generation resources within</w:t>
      </w:r>
      <w:r>
        <w:t xml:space="preserve"> the Western Electricity </w:t>
      </w:r>
      <w:r>
        <w:lastRenderedPageBreak/>
        <w:t>Coordinating Council region of the United States.</w:t>
      </w:r>
      <w:r w:rsidR="00404C71">
        <w:t xml:space="preserve"> </w:t>
      </w:r>
      <w:r>
        <w:t xml:space="preserve">PSE uses energy, cost, revenue and price data related to PSE assets and potential new assets from the AURORA model in its </w:t>
      </w:r>
      <w:proofErr w:type="spellStart"/>
      <w:r>
        <w:t>PSM</w:t>
      </w:r>
      <w:proofErr w:type="spellEnd"/>
      <w:r w:rsidR="00EB1969">
        <w:t> </w:t>
      </w:r>
      <w:r>
        <w:t>III model.</w:t>
      </w:r>
    </w:p>
    <w:p w:rsidR="00866BF4" w:rsidRDefault="00866BF4" w:rsidP="00866BF4">
      <w:pPr>
        <w:pStyle w:val="question"/>
      </w:pPr>
      <w:r>
        <w:t>Q.</w:t>
      </w:r>
      <w:r>
        <w:tab/>
        <w:t>Are the transmission costs assumed in the analysis</w:t>
      </w:r>
      <w:r w:rsidR="006F17F1">
        <w:t xml:space="preserve"> of the 23 MW Vantage contract</w:t>
      </w:r>
      <w:r>
        <w:t xml:space="preserve"> </w:t>
      </w:r>
      <w:r w:rsidR="006F17F1">
        <w:t xml:space="preserve">renewal </w:t>
      </w:r>
      <w:r>
        <w:t>consistent with those included in the rate year power costs?</w:t>
      </w:r>
    </w:p>
    <w:p w:rsidR="00866BF4" w:rsidRDefault="00866BF4" w:rsidP="00866BF4">
      <w:pPr>
        <w:pStyle w:val="answer"/>
      </w:pPr>
      <w:r>
        <w:t>A.</w:t>
      </w:r>
      <w:r>
        <w:tab/>
        <w:t>PSE started with the BPA tariff rates effective at the time of the analysis, and assumed a growth rate of 6.1</w:t>
      </w:r>
      <w:r w:rsidR="00EB1969">
        <w:t> </w:t>
      </w:r>
      <w:r>
        <w:t xml:space="preserve">percent every two years. The growth rate was based on preliminary information provided by BPA in </w:t>
      </w:r>
      <w:r w:rsidR="00AD4313">
        <w:t xml:space="preserve">a BP-16 rate case workshop in </w:t>
      </w:r>
      <w:r>
        <w:t>August</w:t>
      </w:r>
      <w:r w:rsidR="00AD4313">
        <w:t> </w:t>
      </w:r>
      <w:r>
        <w:t xml:space="preserve">2014. The analysis was performed before BPA issued the BP-16 </w:t>
      </w:r>
      <w:r w:rsidR="00AD4313">
        <w:t xml:space="preserve">Final </w:t>
      </w:r>
      <w:r>
        <w:t xml:space="preserve">Record of Decision </w:t>
      </w:r>
      <w:r w:rsidR="00AD4313">
        <w:t xml:space="preserve">in July 2015 </w:t>
      </w:r>
      <w:r>
        <w:t>and therefore did not incorporate actual increases effective October</w:t>
      </w:r>
      <w:r w:rsidR="00AD4313">
        <w:t> </w:t>
      </w:r>
      <w:r>
        <w:t xml:space="preserve">2015. </w:t>
      </w:r>
      <w:r w:rsidRPr="005B05DF">
        <w:t xml:space="preserve">As discussed in Section IV, </w:t>
      </w:r>
      <w:r w:rsidR="009F02BA">
        <w:t>“</w:t>
      </w:r>
      <w:r w:rsidRPr="005B05DF">
        <w:t>BPA</w:t>
      </w:r>
      <w:r w:rsidR="009F02BA">
        <w:t>’</w:t>
      </w:r>
      <w:r w:rsidRPr="005B05DF">
        <w:t>s 2018-2019 Rate Case,</w:t>
      </w:r>
      <w:r w:rsidR="009F02BA">
        <w:t>”</w:t>
      </w:r>
      <w:r w:rsidRPr="005B05DF">
        <w:t xml:space="preserve"> the actual increases that took effect October</w:t>
      </w:r>
      <w:r w:rsidR="00AD4313" w:rsidRPr="005B05DF">
        <w:t> </w:t>
      </w:r>
      <w:r w:rsidRPr="005B05DF">
        <w:t>2015 are incorporated into the estimated projected power costs for the rate year.</w:t>
      </w:r>
    </w:p>
    <w:p w:rsidR="00866BF4" w:rsidRDefault="00866BF4" w:rsidP="00866BF4">
      <w:pPr>
        <w:pStyle w:val="question"/>
      </w:pPr>
      <w:r>
        <w:t>Q.</w:t>
      </w:r>
      <w:r>
        <w:tab/>
        <w:t>What were the results of the analysis?</w:t>
      </w:r>
    </w:p>
    <w:p w:rsidR="00866BF4" w:rsidRDefault="00866BF4" w:rsidP="00866BF4">
      <w:pPr>
        <w:pStyle w:val="answer"/>
      </w:pPr>
      <w:r>
        <w:t>A.</w:t>
      </w:r>
      <w:r>
        <w:tab/>
        <w:t>The analysis showed that renewing the 23</w:t>
      </w:r>
      <w:r w:rsidR="00EB1969">
        <w:t> </w:t>
      </w:r>
      <w:r>
        <w:t>MW Mid-C transmission contract resulted in a lower portfolio cost as compared to allowing the transmission contract to expire in February</w:t>
      </w:r>
      <w:r w:rsidR="00EB1969">
        <w:t> </w:t>
      </w:r>
      <w:r>
        <w:t>2016.</w:t>
      </w:r>
      <w:r w:rsidR="00404C71">
        <w:t xml:space="preserve"> </w:t>
      </w:r>
      <w:r>
        <w:t>The net present value of the incremental portfolio cost with and without the renewal is presented in Table</w:t>
      </w:r>
      <w:r w:rsidR="00EB1969">
        <w:t> 5.</w:t>
      </w:r>
    </w:p>
    <w:p w:rsidR="00866BF4" w:rsidRDefault="00866BF4" w:rsidP="00A53969">
      <w:pPr>
        <w:pStyle w:val="TableHeader"/>
        <w:widowControl/>
      </w:pPr>
      <w:r>
        <w:t>Table</w:t>
      </w:r>
      <w:r w:rsidR="00EB1969">
        <w:t> </w:t>
      </w:r>
      <w:r>
        <w:t>5</w:t>
      </w:r>
      <w:r w:rsidR="00404C71">
        <w:t xml:space="preserve">. </w:t>
      </w:r>
      <w:r>
        <w:t>Net Present Value of Portfolio Costs</w:t>
      </w:r>
      <w:r w:rsidR="00404C71">
        <w:br/>
      </w:r>
      <w:r>
        <w:t>with and without 23</w:t>
      </w:r>
      <w:r w:rsidR="00EB1969">
        <w:t> </w:t>
      </w:r>
      <w:r>
        <w:t xml:space="preserve">MW </w:t>
      </w:r>
      <w:r w:rsidR="00A727EE">
        <w:t xml:space="preserve">Vantage </w:t>
      </w:r>
      <w:r>
        <w:t>Renewal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744"/>
        <w:gridCol w:w="2697"/>
      </w:tblGrid>
      <w:tr w:rsidR="00404C71" w:rsidRPr="00214F2D" w:rsidTr="00404C71">
        <w:tc>
          <w:tcPr>
            <w:tcW w:w="2695" w:type="dxa"/>
            <w:tcBorders>
              <w:bottom w:val="double" w:sz="4" w:space="0" w:color="auto"/>
            </w:tcBorders>
            <w:vAlign w:val="bottom"/>
          </w:tcPr>
          <w:p w:rsidR="00404C71" w:rsidRPr="00214F2D" w:rsidRDefault="00404C71" w:rsidP="00A53969">
            <w:pPr>
              <w:pStyle w:val="answer"/>
              <w:keepNext/>
              <w:keepLines/>
              <w:spacing w:before="60" w:after="60" w:line="240" w:lineRule="auto"/>
              <w:ind w:left="0" w:firstLine="0"/>
              <w:jc w:val="center"/>
              <w:rPr>
                <w:b/>
                <w:szCs w:val="24"/>
              </w:rPr>
            </w:pPr>
            <w:r w:rsidRPr="00214F2D">
              <w:rPr>
                <w:b/>
                <w:szCs w:val="24"/>
              </w:rPr>
              <w:t>Option</w:t>
            </w:r>
          </w:p>
        </w:tc>
        <w:tc>
          <w:tcPr>
            <w:tcW w:w="2744" w:type="dxa"/>
            <w:tcBorders>
              <w:bottom w:val="double" w:sz="4" w:space="0" w:color="auto"/>
            </w:tcBorders>
            <w:vAlign w:val="bottom"/>
          </w:tcPr>
          <w:p w:rsidR="00404C71" w:rsidRPr="00214F2D" w:rsidRDefault="00404C71" w:rsidP="00A53969">
            <w:pPr>
              <w:pStyle w:val="answer"/>
              <w:keepNext/>
              <w:keepLines/>
              <w:spacing w:before="60" w:after="60" w:line="240" w:lineRule="auto"/>
              <w:ind w:left="0" w:firstLine="0"/>
              <w:jc w:val="center"/>
              <w:rPr>
                <w:b/>
                <w:szCs w:val="24"/>
              </w:rPr>
            </w:pPr>
            <w:r w:rsidRPr="00214F2D">
              <w:rPr>
                <w:b/>
                <w:szCs w:val="24"/>
              </w:rPr>
              <w:t>Incremental Portfolio</w:t>
            </w:r>
            <w:r w:rsidRPr="00214F2D">
              <w:rPr>
                <w:b/>
                <w:szCs w:val="24"/>
              </w:rPr>
              <w:br/>
              <w:t>Cost ($000)</w:t>
            </w:r>
          </w:p>
        </w:tc>
        <w:tc>
          <w:tcPr>
            <w:tcW w:w="2697" w:type="dxa"/>
            <w:tcBorders>
              <w:bottom w:val="double" w:sz="4" w:space="0" w:color="auto"/>
            </w:tcBorders>
            <w:vAlign w:val="bottom"/>
          </w:tcPr>
          <w:p w:rsidR="00404C71" w:rsidRPr="00214F2D" w:rsidRDefault="00404C71" w:rsidP="00A53969">
            <w:pPr>
              <w:pStyle w:val="answer"/>
              <w:keepNext/>
              <w:keepLines/>
              <w:spacing w:before="60" w:after="60" w:line="240" w:lineRule="auto"/>
              <w:ind w:left="0" w:firstLine="0"/>
              <w:jc w:val="center"/>
              <w:rPr>
                <w:b/>
                <w:szCs w:val="24"/>
              </w:rPr>
            </w:pPr>
            <w:r w:rsidRPr="00214F2D">
              <w:rPr>
                <w:b/>
                <w:szCs w:val="24"/>
              </w:rPr>
              <w:t>Portfolio Benefit to</w:t>
            </w:r>
            <w:r w:rsidRPr="00214F2D">
              <w:rPr>
                <w:b/>
                <w:szCs w:val="24"/>
              </w:rPr>
              <w:br/>
              <w:t>Renewal ($000)</w:t>
            </w:r>
          </w:p>
        </w:tc>
      </w:tr>
      <w:tr w:rsidR="00404C71" w:rsidRPr="00214F2D" w:rsidTr="00404C71">
        <w:tc>
          <w:tcPr>
            <w:tcW w:w="2695" w:type="dxa"/>
            <w:tcBorders>
              <w:top w:val="double" w:sz="4" w:space="0" w:color="auto"/>
            </w:tcBorders>
          </w:tcPr>
          <w:p w:rsidR="00404C71" w:rsidRPr="00214F2D" w:rsidRDefault="00404C71" w:rsidP="00A53969">
            <w:pPr>
              <w:pStyle w:val="answer"/>
              <w:keepNext/>
              <w:keepLines/>
              <w:spacing w:before="60" w:after="60" w:line="240" w:lineRule="auto"/>
              <w:ind w:left="0" w:firstLine="0"/>
              <w:rPr>
                <w:szCs w:val="24"/>
              </w:rPr>
            </w:pPr>
            <w:r w:rsidRPr="00214F2D">
              <w:rPr>
                <w:szCs w:val="24"/>
              </w:rPr>
              <w:t>Renewal</w:t>
            </w:r>
          </w:p>
        </w:tc>
        <w:tc>
          <w:tcPr>
            <w:tcW w:w="2744" w:type="dxa"/>
            <w:tcBorders>
              <w:top w:val="double" w:sz="4" w:space="0" w:color="auto"/>
            </w:tcBorders>
          </w:tcPr>
          <w:p w:rsidR="00404C71" w:rsidRPr="00214F2D" w:rsidRDefault="00404C71" w:rsidP="00A53969">
            <w:pPr>
              <w:pStyle w:val="answer"/>
              <w:keepNext/>
              <w:keepLines/>
              <w:spacing w:before="60" w:after="60" w:line="240" w:lineRule="auto"/>
              <w:ind w:left="0" w:right="633" w:firstLine="0"/>
              <w:jc w:val="right"/>
              <w:rPr>
                <w:szCs w:val="24"/>
              </w:rPr>
            </w:pPr>
            <w:r w:rsidRPr="00214F2D">
              <w:rPr>
                <w:szCs w:val="24"/>
              </w:rPr>
              <w:t>$10,324,354</w:t>
            </w:r>
          </w:p>
        </w:tc>
        <w:tc>
          <w:tcPr>
            <w:tcW w:w="2697" w:type="dxa"/>
            <w:tcBorders>
              <w:top w:val="double" w:sz="4" w:space="0" w:color="auto"/>
            </w:tcBorders>
          </w:tcPr>
          <w:p w:rsidR="00404C71" w:rsidRPr="00214F2D" w:rsidRDefault="005B05DF" w:rsidP="00A53969">
            <w:pPr>
              <w:pStyle w:val="answer"/>
              <w:keepNext/>
              <w:keepLines/>
              <w:spacing w:before="60" w:after="60" w:line="240" w:lineRule="auto"/>
              <w:ind w:left="0" w:right="720" w:firstLine="0"/>
              <w:jc w:val="right"/>
              <w:rPr>
                <w:szCs w:val="24"/>
              </w:rPr>
            </w:pPr>
            <w:r w:rsidRPr="00214F2D">
              <w:rPr>
                <w:szCs w:val="24"/>
              </w:rPr>
              <w:t>$14,288</w:t>
            </w:r>
          </w:p>
        </w:tc>
      </w:tr>
      <w:tr w:rsidR="00404C71" w:rsidRPr="00214F2D" w:rsidTr="00404C71">
        <w:tc>
          <w:tcPr>
            <w:tcW w:w="2695" w:type="dxa"/>
          </w:tcPr>
          <w:p w:rsidR="00404C71" w:rsidRPr="00214F2D" w:rsidRDefault="00404C71" w:rsidP="00404C71">
            <w:pPr>
              <w:pStyle w:val="answer"/>
              <w:spacing w:before="60" w:after="60" w:line="240" w:lineRule="auto"/>
              <w:ind w:left="0" w:firstLine="0"/>
              <w:rPr>
                <w:szCs w:val="24"/>
              </w:rPr>
            </w:pPr>
            <w:r w:rsidRPr="00214F2D">
              <w:rPr>
                <w:szCs w:val="24"/>
              </w:rPr>
              <w:t>No Renewal</w:t>
            </w:r>
          </w:p>
        </w:tc>
        <w:tc>
          <w:tcPr>
            <w:tcW w:w="2744" w:type="dxa"/>
          </w:tcPr>
          <w:p w:rsidR="00404C71" w:rsidRPr="00214F2D" w:rsidRDefault="00404C71" w:rsidP="00404C71">
            <w:pPr>
              <w:pStyle w:val="answer"/>
              <w:spacing w:before="60" w:after="60" w:line="240" w:lineRule="auto"/>
              <w:ind w:left="0" w:right="633" w:firstLine="0"/>
              <w:jc w:val="right"/>
              <w:rPr>
                <w:szCs w:val="24"/>
              </w:rPr>
            </w:pPr>
            <w:r w:rsidRPr="00214F2D">
              <w:rPr>
                <w:szCs w:val="24"/>
              </w:rPr>
              <w:t>$10,338,642</w:t>
            </w:r>
          </w:p>
        </w:tc>
        <w:tc>
          <w:tcPr>
            <w:tcW w:w="2697" w:type="dxa"/>
          </w:tcPr>
          <w:p w:rsidR="00404C71" w:rsidRPr="00214F2D" w:rsidRDefault="00404C71" w:rsidP="00404C71">
            <w:pPr>
              <w:pStyle w:val="answer"/>
              <w:spacing w:before="60" w:after="60" w:line="240" w:lineRule="auto"/>
              <w:ind w:left="0" w:right="720" w:firstLine="0"/>
              <w:jc w:val="right"/>
              <w:rPr>
                <w:szCs w:val="24"/>
              </w:rPr>
            </w:pPr>
          </w:p>
        </w:tc>
      </w:tr>
    </w:tbl>
    <w:p w:rsidR="00866BF4" w:rsidRDefault="00866BF4" w:rsidP="00404C71">
      <w:pPr>
        <w:pStyle w:val="question"/>
        <w:spacing w:before="360"/>
      </w:pPr>
      <w:r>
        <w:lastRenderedPageBreak/>
        <w:t>Q.</w:t>
      </w:r>
      <w:r>
        <w:tab/>
        <w:t>Why is there a portfolio benefit to the transmission contract renewal?</w:t>
      </w:r>
    </w:p>
    <w:p w:rsidR="00866BF4" w:rsidRDefault="00866BF4" w:rsidP="00866BF4">
      <w:pPr>
        <w:pStyle w:val="answer"/>
      </w:pPr>
      <w:r>
        <w:t>A.</w:t>
      </w:r>
      <w:r>
        <w:tab/>
        <w:t>The transmission contract with BPA allows PSE to delay building some generation capacity during the planning horizon, which results in a lower net present value of portfolio costs.</w:t>
      </w:r>
    </w:p>
    <w:p w:rsidR="00866BF4" w:rsidRDefault="00866BF4" w:rsidP="00866BF4">
      <w:pPr>
        <w:pStyle w:val="question"/>
      </w:pPr>
      <w:r>
        <w:t>Q.</w:t>
      </w:r>
      <w:r>
        <w:tab/>
        <w:t>Is this finding consistent with previous analysis of the 23</w:t>
      </w:r>
      <w:r w:rsidR="00EB1969">
        <w:t> </w:t>
      </w:r>
      <w:r>
        <w:t>MW transmission contract?</w:t>
      </w:r>
    </w:p>
    <w:p w:rsidR="00866BF4" w:rsidRDefault="00866BF4" w:rsidP="00866BF4">
      <w:pPr>
        <w:pStyle w:val="answer"/>
      </w:pPr>
      <w:r>
        <w:t>A.</w:t>
      </w:r>
      <w:r>
        <w:tab/>
        <w:t xml:space="preserve">Yes. PSE evaluated the </w:t>
      </w:r>
      <w:r w:rsidR="006F17F1">
        <w:t xml:space="preserve">cost-effectiveness </w:t>
      </w:r>
      <w:r>
        <w:t>of renewing this transmission contract in 2010 and presented that analysis in its 2013</w:t>
      </w:r>
      <w:r w:rsidR="00A17540">
        <w:t xml:space="preserve"> </w:t>
      </w:r>
      <w:proofErr w:type="spellStart"/>
      <w:r w:rsidR="006F17F1">
        <w:t>PCORC</w:t>
      </w:r>
      <w:proofErr w:type="spellEnd"/>
      <w:r w:rsidR="007D3605">
        <w:t xml:space="preserve"> in Docket </w:t>
      </w:r>
      <w:r w:rsidR="00007B11">
        <w:t>UE-130617</w:t>
      </w:r>
      <w:r>
        <w:t>. The current analysis confirms this earlier conclusion that renewal of the contract was prudent.</w:t>
      </w:r>
    </w:p>
    <w:p w:rsidR="00866BF4" w:rsidRDefault="00866BF4" w:rsidP="00866BF4">
      <w:pPr>
        <w:pStyle w:val="question"/>
      </w:pPr>
      <w:r>
        <w:t>Q.</w:t>
      </w:r>
      <w:r>
        <w:tab/>
        <w:t>Could PSE renew only a portion of the 23</w:t>
      </w:r>
      <w:r w:rsidR="005B1C82">
        <w:t> </w:t>
      </w:r>
      <w:r>
        <w:t>MW Mid-C firm transmission contracts?</w:t>
      </w:r>
    </w:p>
    <w:p w:rsidR="00866BF4" w:rsidRDefault="00866BF4" w:rsidP="00866BF4">
      <w:pPr>
        <w:pStyle w:val="answer"/>
      </w:pPr>
      <w:r>
        <w:t>A.</w:t>
      </w:r>
      <w:r>
        <w:tab/>
        <w:t>Yes.</w:t>
      </w:r>
      <w:r w:rsidR="00404C71">
        <w:t xml:space="preserve"> </w:t>
      </w:r>
      <w:r>
        <w:t>PSE ha</w:t>
      </w:r>
      <w:r w:rsidR="006F17F1">
        <w:t>d</w:t>
      </w:r>
      <w:r>
        <w:t xml:space="preserve"> the option to renew all or any portion of the 23</w:t>
      </w:r>
      <w:r w:rsidR="005B1C82">
        <w:t> </w:t>
      </w:r>
      <w:r>
        <w:t xml:space="preserve">MW </w:t>
      </w:r>
      <w:r w:rsidR="00FB4E70">
        <w:t>Mid-C</w:t>
      </w:r>
      <w:r>
        <w:t xml:space="preserve"> firm transmission contract.</w:t>
      </w:r>
      <w:r w:rsidR="00404C71">
        <w:t xml:space="preserve"> </w:t>
      </w:r>
      <w:r>
        <w:t xml:space="preserve">However, if PSE relinquishes any transmission capacity there is a risk, given the current state of available </w:t>
      </w:r>
      <w:r w:rsidR="00FB4E70">
        <w:t>Mid-C</w:t>
      </w:r>
      <w:r>
        <w:t xml:space="preserve"> capacity, of not being able to reacquire needed </w:t>
      </w:r>
      <w:r w:rsidR="00FB4E70">
        <w:t>Mid-C</w:t>
      </w:r>
      <w:r>
        <w:t xml:space="preserve"> transmission in the future.</w:t>
      </w:r>
    </w:p>
    <w:p w:rsidR="00866BF4" w:rsidRDefault="00866BF4" w:rsidP="00866BF4">
      <w:pPr>
        <w:pStyle w:val="question"/>
      </w:pPr>
      <w:r>
        <w:t>Q.</w:t>
      </w:r>
      <w:r>
        <w:tab/>
        <w:t xml:space="preserve">What are some of the risks associated with acquiring new </w:t>
      </w:r>
      <w:r w:rsidR="00FB4E70">
        <w:t>Mid-C</w:t>
      </w:r>
      <w:r>
        <w:t xml:space="preserve"> firm transmission in the future?</w:t>
      </w:r>
    </w:p>
    <w:p w:rsidR="00866BF4" w:rsidRDefault="00866BF4" w:rsidP="00866BF4">
      <w:pPr>
        <w:pStyle w:val="answer"/>
      </w:pPr>
      <w:r>
        <w:t>A.</w:t>
      </w:r>
      <w:r>
        <w:tab/>
        <w:t xml:space="preserve">New </w:t>
      </w:r>
      <w:r w:rsidR="00FB4E70">
        <w:t>Mid-C</w:t>
      </w:r>
      <w:r>
        <w:t xml:space="preserve"> firm transmission is requested through BPA</w:t>
      </w:r>
      <w:r w:rsidR="009F02BA">
        <w:t>’</w:t>
      </w:r>
      <w:r>
        <w:t xml:space="preserve">s transmission queue and requires participation in a future </w:t>
      </w:r>
      <w:r w:rsidR="00C427DE">
        <w:t>Transmission Service Request Study and Expansion Process (</w:t>
      </w:r>
      <w:r w:rsidR="009F02BA">
        <w:t>“</w:t>
      </w:r>
      <w:proofErr w:type="spellStart"/>
      <w:r w:rsidR="00C427DE">
        <w:t>TSEP</w:t>
      </w:r>
      <w:proofErr w:type="spellEnd"/>
      <w:r w:rsidR="009F02BA">
        <w:t>”</w:t>
      </w:r>
      <w:r w:rsidR="00C427DE">
        <w:t xml:space="preserve">), formerly known as </w:t>
      </w:r>
      <w:r>
        <w:t>Network Open Season.</w:t>
      </w:r>
      <w:r w:rsidR="00404C71">
        <w:t xml:space="preserve"> </w:t>
      </w:r>
      <w:r w:rsidR="00FB4E70">
        <w:t xml:space="preserve">The </w:t>
      </w:r>
      <w:r>
        <w:t>BPA</w:t>
      </w:r>
      <w:r w:rsidR="00FB4E70">
        <w:t xml:space="preserve"> Network Open Season that </w:t>
      </w:r>
      <w:r>
        <w:t>concluded in May of 2014 show</w:t>
      </w:r>
      <w:r w:rsidR="00FB4E70">
        <w:t>ed</w:t>
      </w:r>
      <w:r>
        <w:t xml:space="preserve"> </w:t>
      </w:r>
      <w:r w:rsidR="00FB4E70">
        <w:t xml:space="preserve">that </w:t>
      </w:r>
      <w:r>
        <w:t xml:space="preserve">current </w:t>
      </w:r>
      <w:r>
        <w:lastRenderedPageBreak/>
        <w:t>Transmission Service Requests requesting service from the Mid-C will impact a constrained transmission path.</w:t>
      </w:r>
      <w:r w:rsidR="00404C71">
        <w:t xml:space="preserve"> </w:t>
      </w:r>
      <w:r>
        <w:t xml:space="preserve">New Mid-C firm transmission requests require capacity on multiple constrained BPA </w:t>
      </w:r>
      <w:proofErr w:type="spellStart"/>
      <w:r>
        <w:t>flowgates</w:t>
      </w:r>
      <w:proofErr w:type="spellEnd"/>
      <w:r>
        <w:t>.</w:t>
      </w:r>
      <w:r w:rsidR="00404C71">
        <w:t xml:space="preserve"> </w:t>
      </w:r>
      <w:r>
        <w:t xml:space="preserve">The most prominent BPA </w:t>
      </w:r>
      <w:proofErr w:type="spellStart"/>
      <w:r>
        <w:t>flowgate</w:t>
      </w:r>
      <w:proofErr w:type="spellEnd"/>
      <w:r>
        <w:t xml:space="preserve"> affecting a new Mid-C firm transmission request is the Cross-Cascades North </w:t>
      </w:r>
      <w:proofErr w:type="spellStart"/>
      <w:r>
        <w:t>flowgate</w:t>
      </w:r>
      <w:proofErr w:type="spellEnd"/>
      <w:r>
        <w:t>.</w:t>
      </w:r>
      <w:r w:rsidR="00404C71">
        <w:t xml:space="preserve"> </w:t>
      </w:r>
      <w:r>
        <w:t xml:space="preserve">The Cross-Cascades North </w:t>
      </w:r>
      <w:proofErr w:type="spellStart"/>
      <w:r>
        <w:t>flowgate</w:t>
      </w:r>
      <w:proofErr w:type="spellEnd"/>
      <w:r>
        <w:t xml:space="preserve"> is highly constrained, with no available winter month capacity through 2025, as posted on the BPA website.</w:t>
      </w:r>
      <w:r w:rsidR="00404C71">
        <w:t xml:space="preserve"> </w:t>
      </w:r>
      <w:r>
        <w:t>At the time of the decision to renew PSE</w:t>
      </w:r>
      <w:r w:rsidR="009F02BA">
        <w:t>’</w:t>
      </w:r>
      <w:r>
        <w:t>s 23</w:t>
      </w:r>
      <w:r w:rsidR="005B1C82">
        <w:t> </w:t>
      </w:r>
      <w:r>
        <w:t>MW Mid-C transmission contract in February</w:t>
      </w:r>
      <w:r w:rsidR="005B1C82">
        <w:t> </w:t>
      </w:r>
      <w:r>
        <w:t>2015, BPA</w:t>
      </w:r>
      <w:r w:rsidR="009F02BA">
        <w:t>’</w:t>
      </w:r>
      <w:r>
        <w:t xml:space="preserve">s transmission queue indicated there was no available transmission capacity on the Cross-Cascades North </w:t>
      </w:r>
      <w:proofErr w:type="spellStart"/>
      <w:r>
        <w:t>flowgate</w:t>
      </w:r>
      <w:proofErr w:type="spellEnd"/>
      <w:r>
        <w:t xml:space="preserve"> through 2024.</w:t>
      </w:r>
      <w:r w:rsidR="00C427DE">
        <w:t xml:space="preserve"> As of December 20, 2016, there was approximately 1,500 MW of transmission demand in the BPA pending queue in excess of capacity on the Cross-Cascades North </w:t>
      </w:r>
      <w:proofErr w:type="spellStart"/>
      <w:r w:rsidR="00C427DE">
        <w:t>flowgate</w:t>
      </w:r>
      <w:proofErr w:type="spellEnd"/>
      <w:r w:rsidR="00C427DE">
        <w:t xml:space="preserve"> in 2025.</w:t>
      </w:r>
      <w:r w:rsidR="00C427DE">
        <w:rPr>
          <w:rStyle w:val="FootnoteReference"/>
        </w:rPr>
        <w:footnoteReference w:id="9"/>
      </w:r>
    </w:p>
    <w:p w:rsidR="006A5F8E" w:rsidRDefault="006A5F8E" w:rsidP="006A5F8E">
      <w:pPr>
        <w:pStyle w:val="question"/>
      </w:pPr>
      <w:r>
        <w:t>Q.</w:t>
      </w:r>
      <w:r>
        <w:tab/>
        <w:t>Please describe PSE</w:t>
      </w:r>
      <w:r w:rsidR="009F02BA">
        <w:t>’</w:t>
      </w:r>
      <w:r>
        <w:t>s four 100 MW Mid-C transmission contracts with BPA.</w:t>
      </w:r>
    </w:p>
    <w:p w:rsidR="006A5F8E" w:rsidRDefault="006A5F8E" w:rsidP="006A5F8E">
      <w:pPr>
        <w:pStyle w:val="answer"/>
      </w:pPr>
      <w:r>
        <w:t>A.</w:t>
      </w:r>
      <w:r>
        <w:tab/>
      </w:r>
      <w:r w:rsidR="0062060D">
        <w:t xml:space="preserve">PSE has four existing Mid-C transmission contracts, each having 100 MW, that </w:t>
      </w:r>
      <w:r w:rsidR="005E14EA">
        <w:t xml:space="preserve">would </w:t>
      </w:r>
      <w:r w:rsidR="0062060D">
        <w:t>expire in October 201</w:t>
      </w:r>
      <w:r w:rsidR="005E14EA">
        <w:t>7</w:t>
      </w:r>
      <w:r w:rsidR="0062060D">
        <w:t>.</w:t>
      </w:r>
      <w:r w:rsidR="00BB3737">
        <w:t xml:space="preserve"> </w:t>
      </w:r>
      <w:r w:rsidR="0062060D">
        <w:t>PSE has renewed these four contracts for the minimum term of five years to retain renewal rights and to allow flexibility to reevaluate transmission need</w:t>
      </w:r>
      <w:r w:rsidR="00BF33A5">
        <w:t>s</w:t>
      </w:r>
      <w:r w:rsidR="0062060D">
        <w:t xml:space="preserve"> in the future. Current information from BPA suggests PSE</w:t>
      </w:r>
      <w:r w:rsidR="009F02BA">
        <w:t>’</w:t>
      </w:r>
      <w:r w:rsidR="0062060D">
        <w:t xml:space="preserve">s ability to obtain Mid-C transmission in </w:t>
      </w:r>
      <w:r w:rsidR="00827831">
        <w:t xml:space="preserve">the </w:t>
      </w:r>
      <w:r w:rsidR="0062060D">
        <w:t xml:space="preserve">future is limited and uncertain, hence if PSE does not renew these contracts, it might be difficult to get back the transmission capacity in the future. Renewing these four contracts is </w:t>
      </w:r>
      <w:r w:rsidR="0062060D">
        <w:lastRenderedPageBreak/>
        <w:t xml:space="preserve">appreciably less expensive than building an equivalent natural gas </w:t>
      </w:r>
      <w:proofErr w:type="spellStart"/>
      <w:r w:rsidR="0062060D">
        <w:t>peaker</w:t>
      </w:r>
      <w:proofErr w:type="spellEnd"/>
      <w:r w:rsidR="0062060D">
        <w:t xml:space="preserve"> plant to replace lost peak capacity.</w:t>
      </w:r>
    </w:p>
    <w:p w:rsidR="006A5F8E" w:rsidRDefault="006A5F8E" w:rsidP="006A5F8E">
      <w:pPr>
        <w:pStyle w:val="question"/>
      </w:pPr>
      <w:r>
        <w:t>Q.</w:t>
      </w:r>
      <w:r>
        <w:tab/>
        <w:t>Please summarize PSE</w:t>
      </w:r>
      <w:r w:rsidR="009F02BA">
        <w:t>’</w:t>
      </w:r>
      <w:r>
        <w:t xml:space="preserve">s approach to the analysis related to renewing the four 100 MW </w:t>
      </w:r>
      <w:r w:rsidRPr="00AD4313">
        <w:t>Mid-C</w:t>
      </w:r>
      <w:r>
        <w:t xml:space="preserve"> firm transmission contracts.</w:t>
      </w:r>
    </w:p>
    <w:p w:rsidR="006A5F8E" w:rsidRDefault="006A5F8E" w:rsidP="006A5F8E">
      <w:pPr>
        <w:pStyle w:val="answer"/>
      </w:pPr>
      <w:r w:rsidRPr="00BF33A5">
        <w:t>A.</w:t>
      </w:r>
      <w:r w:rsidRPr="00BF33A5">
        <w:tab/>
        <w:t>PSE analyzed these contracts using the same approach i</w:t>
      </w:r>
      <w:r w:rsidR="00B21598" w:rsidRPr="00BF33A5">
        <w:t>t</w:t>
      </w:r>
      <w:r w:rsidRPr="00BF33A5">
        <w:t xml:space="preserve"> used to evaluate the 23 MW</w:t>
      </w:r>
      <w:r w:rsidR="00932ABC">
        <w:t xml:space="preserve"> Vantage</w:t>
      </w:r>
      <w:r w:rsidRPr="00BF33A5">
        <w:t xml:space="preserve"> contract</w:t>
      </w:r>
      <w:r w:rsidR="00BF33A5" w:rsidRPr="00BF33A5">
        <w:t xml:space="preserve"> but with an updated version of </w:t>
      </w:r>
      <w:proofErr w:type="spellStart"/>
      <w:r w:rsidR="00BF33A5" w:rsidRPr="00BF33A5">
        <w:t>PSM</w:t>
      </w:r>
      <w:proofErr w:type="spellEnd"/>
      <w:r w:rsidR="00BF33A5" w:rsidRPr="00BF33A5">
        <w:t xml:space="preserve"> III from </w:t>
      </w:r>
      <w:r w:rsidR="00BC2D70">
        <w:t xml:space="preserve">the </w:t>
      </w:r>
      <w:r w:rsidR="00BF33A5" w:rsidRPr="00BF33A5">
        <w:t>2015 IRP</w:t>
      </w:r>
      <w:r w:rsidRPr="00BF33A5">
        <w:t xml:space="preserve">. PSE compared (i) the incremental portfolio cost of generation resources assuming renewal of </w:t>
      </w:r>
      <w:r w:rsidR="001F3968" w:rsidRPr="00BF33A5">
        <w:t>all four</w:t>
      </w:r>
      <w:r w:rsidR="00683E6E" w:rsidRPr="00BF33A5">
        <w:t xml:space="preserve"> </w:t>
      </w:r>
      <w:r w:rsidR="001F3968" w:rsidRPr="00BF33A5">
        <w:t>1</w:t>
      </w:r>
      <w:r w:rsidR="00B21598" w:rsidRPr="00BF33A5">
        <w:t>00</w:t>
      </w:r>
      <w:r w:rsidRPr="00BF33A5">
        <w:t> MW transmission contract</w:t>
      </w:r>
      <w:r w:rsidR="001F3968" w:rsidRPr="00BF33A5">
        <w:t>s</w:t>
      </w:r>
      <w:r w:rsidRPr="00BF33A5">
        <w:t xml:space="preserve"> with (ii) the incremental portfolio cost of generation resources assuming expiration of the contract</w:t>
      </w:r>
      <w:r w:rsidR="001F3968" w:rsidRPr="00BF33A5">
        <w:t>s</w:t>
      </w:r>
      <w:r w:rsidRPr="00BF33A5">
        <w:t>. PSE used this comparison to determine whether there was an economic benefit to renewing the transmission contract</w:t>
      </w:r>
      <w:r w:rsidR="001F3968" w:rsidRPr="00BF33A5">
        <w:t>s</w:t>
      </w:r>
      <w:r w:rsidRPr="00BF33A5">
        <w:t>.</w:t>
      </w:r>
    </w:p>
    <w:p w:rsidR="00B21598" w:rsidRDefault="00B21598" w:rsidP="00B21598">
      <w:pPr>
        <w:pStyle w:val="question"/>
      </w:pPr>
      <w:r>
        <w:t>Q.</w:t>
      </w:r>
      <w:r>
        <w:tab/>
        <w:t>What were the results of the analysis?</w:t>
      </w:r>
    </w:p>
    <w:p w:rsidR="00B21598" w:rsidRDefault="00B21598" w:rsidP="00B21598">
      <w:pPr>
        <w:pStyle w:val="answer"/>
      </w:pPr>
      <w:r>
        <w:t>A.</w:t>
      </w:r>
      <w:r>
        <w:tab/>
        <w:t xml:space="preserve">The analysis showed that renewing the </w:t>
      </w:r>
      <w:r w:rsidR="001F3968">
        <w:t>4</w:t>
      </w:r>
      <w:r>
        <w:t>00 MW Mid-C transmission contracts resulted in a lower portfolio cost as compared to allowing the transmission contract</w:t>
      </w:r>
      <w:r w:rsidR="001F3968">
        <w:t>s</w:t>
      </w:r>
      <w:r>
        <w:t xml:space="preserve"> to expire in October 2017. The net present value</w:t>
      </w:r>
      <w:r w:rsidR="00BC2D70">
        <w:t>s</w:t>
      </w:r>
      <w:r>
        <w:t xml:space="preserve"> of the incremental portfolio cost</w:t>
      </w:r>
      <w:r w:rsidR="00BC2D70">
        <w:t>s</w:t>
      </w:r>
      <w:r>
        <w:t xml:space="preserve"> with and without the renewal </w:t>
      </w:r>
      <w:r w:rsidR="00BC2D70">
        <w:t>are</w:t>
      </w:r>
      <w:r>
        <w:t xml:space="preserve"> presented in Table </w:t>
      </w:r>
      <w:r w:rsidR="007C48E0">
        <w:t>6</w:t>
      </w:r>
      <w:r>
        <w:t>.</w:t>
      </w:r>
    </w:p>
    <w:p w:rsidR="00B21598" w:rsidRPr="00B97D77" w:rsidRDefault="00B21598" w:rsidP="00B21598">
      <w:pPr>
        <w:pStyle w:val="TableHeader"/>
        <w:widowControl/>
      </w:pPr>
      <w:r w:rsidRPr="00B97D77">
        <w:t>Table </w:t>
      </w:r>
      <w:r w:rsidR="00FE3925">
        <w:t>6</w:t>
      </w:r>
      <w:r w:rsidRPr="00B97D77">
        <w:t>. Net Present Value of Portfolio Costs</w:t>
      </w:r>
      <w:r w:rsidRPr="00B97D77">
        <w:br/>
        <w:t xml:space="preserve">with and without </w:t>
      </w:r>
      <w:r w:rsidR="007C48E0" w:rsidRPr="00B97D77">
        <w:t>400 MW</w:t>
      </w:r>
      <w:r w:rsidRPr="00B97D77">
        <w:t> Renewal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744"/>
        <w:gridCol w:w="2697"/>
      </w:tblGrid>
      <w:tr w:rsidR="00B21598" w:rsidRPr="00214F2D" w:rsidTr="00EC1DA4">
        <w:tc>
          <w:tcPr>
            <w:tcW w:w="2695" w:type="dxa"/>
            <w:tcBorders>
              <w:bottom w:val="double" w:sz="4" w:space="0" w:color="auto"/>
            </w:tcBorders>
            <w:vAlign w:val="bottom"/>
          </w:tcPr>
          <w:p w:rsidR="00B21598" w:rsidRPr="00214F2D" w:rsidRDefault="00B21598" w:rsidP="00EC1DA4">
            <w:pPr>
              <w:pStyle w:val="answer"/>
              <w:keepNext/>
              <w:keepLines/>
              <w:spacing w:before="60" w:after="60" w:line="240" w:lineRule="auto"/>
              <w:ind w:left="0" w:firstLine="0"/>
              <w:jc w:val="center"/>
              <w:rPr>
                <w:b/>
                <w:szCs w:val="24"/>
              </w:rPr>
            </w:pPr>
            <w:r w:rsidRPr="00214F2D">
              <w:rPr>
                <w:b/>
                <w:szCs w:val="24"/>
              </w:rPr>
              <w:t>Option</w:t>
            </w:r>
          </w:p>
        </w:tc>
        <w:tc>
          <w:tcPr>
            <w:tcW w:w="2744" w:type="dxa"/>
            <w:tcBorders>
              <w:bottom w:val="double" w:sz="4" w:space="0" w:color="auto"/>
            </w:tcBorders>
            <w:vAlign w:val="bottom"/>
          </w:tcPr>
          <w:p w:rsidR="00B21598" w:rsidRPr="00214F2D" w:rsidRDefault="00B21598" w:rsidP="00EC1DA4">
            <w:pPr>
              <w:pStyle w:val="answer"/>
              <w:keepNext/>
              <w:keepLines/>
              <w:spacing w:before="60" w:after="60" w:line="240" w:lineRule="auto"/>
              <w:ind w:left="0" w:firstLine="0"/>
              <w:jc w:val="center"/>
              <w:rPr>
                <w:b/>
                <w:szCs w:val="24"/>
              </w:rPr>
            </w:pPr>
            <w:r w:rsidRPr="00214F2D">
              <w:rPr>
                <w:b/>
                <w:szCs w:val="24"/>
              </w:rPr>
              <w:t>Incremental Portfolio</w:t>
            </w:r>
            <w:r w:rsidRPr="00214F2D">
              <w:rPr>
                <w:b/>
                <w:szCs w:val="24"/>
              </w:rPr>
              <w:br/>
              <w:t>Cost ($000)</w:t>
            </w:r>
          </w:p>
        </w:tc>
        <w:tc>
          <w:tcPr>
            <w:tcW w:w="2697" w:type="dxa"/>
            <w:tcBorders>
              <w:bottom w:val="double" w:sz="4" w:space="0" w:color="auto"/>
            </w:tcBorders>
            <w:vAlign w:val="bottom"/>
          </w:tcPr>
          <w:p w:rsidR="00B21598" w:rsidRPr="00214F2D" w:rsidRDefault="00B21598" w:rsidP="00EC1DA4">
            <w:pPr>
              <w:pStyle w:val="answer"/>
              <w:keepNext/>
              <w:keepLines/>
              <w:spacing w:before="60" w:after="60" w:line="240" w:lineRule="auto"/>
              <w:ind w:left="0" w:firstLine="0"/>
              <w:jc w:val="center"/>
              <w:rPr>
                <w:b/>
                <w:szCs w:val="24"/>
              </w:rPr>
            </w:pPr>
            <w:r w:rsidRPr="00214F2D">
              <w:rPr>
                <w:b/>
                <w:szCs w:val="24"/>
              </w:rPr>
              <w:t>Portfolio Benefit to</w:t>
            </w:r>
            <w:r w:rsidRPr="00214F2D">
              <w:rPr>
                <w:b/>
                <w:szCs w:val="24"/>
              </w:rPr>
              <w:br/>
              <w:t>Renewal ($000)</w:t>
            </w:r>
          </w:p>
        </w:tc>
      </w:tr>
      <w:tr w:rsidR="00B21598" w:rsidRPr="00214F2D" w:rsidTr="00EC1DA4">
        <w:tc>
          <w:tcPr>
            <w:tcW w:w="2695" w:type="dxa"/>
            <w:tcBorders>
              <w:top w:val="double" w:sz="4" w:space="0" w:color="auto"/>
            </w:tcBorders>
          </w:tcPr>
          <w:p w:rsidR="00B21598" w:rsidRPr="00214F2D" w:rsidRDefault="00B21598" w:rsidP="00EC1DA4">
            <w:pPr>
              <w:pStyle w:val="answer"/>
              <w:keepNext/>
              <w:keepLines/>
              <w:spacing w:before="60" w:after="60" w:line="240" w:lineRule="auto"/>
              <w:ind w:left="0" w:firstLine="0"/>
              <w:rPr>
                <w:szCs w:val="24"/>
              </w:rPr>
            </w:pPr>
            <w:r w:rsidRPr="00214F2D">
              <w:rPr>
                <w:szCs w:val="24"/>
              </w:rPr>
              <w:t>Renewal</w:t>
            </w:r>
          </w:p>
        </w:tc>
        <w:tc>
          <w:tcPr>
            <w:tcW w:w="2744" w:type="dxa"/>
            <w:tcBorders>
              <w:top w:val="double" w:sz="4" w:space="0" w:color="auto"/>
            </w:tcBorders>
          </w:tcPr>
          <w:p w:rsidR="00B21598" w:rsidRPr="00214F2D" w:rsidRDefault="00B21598" w:rsidP="00B97D77">
            <w:pPr>
              <w:pStyle w:val="answer"/>
              <w:keepNext/>
              <w:keepLines/>
              <w:spacing w:before="60" w:after="60" w:line="240" w:lineRule="auto"/>
              <w:ind w:left="0" w:right="633" w:firstLine="0"/>
              <w:jc w:val="right"/>
              <w:rPr>
                <w:szCs w:val="24"/>
              </w:rPr>
            </w:pPr>
            <w:r w:rsidRPr="00214F2D">
              <w:rPr>
                <w:szCs w:val="24"/>
              </w:rPr>
              <w:t>$</w:t>
            </w:r>
            <w:r w:rsidR="00B97D77" w:rsidRPr="00214F2D">
              <w:rPr>
                <w:szCs w:val="24"/>
              </w:rPr>
              <w:t>7,777,077</w:t>
            </w:r>
          </w:p>
        </w:tc>
        <w:tc>
          <w:tcPr>
            <w:tcW w:w="2697" w:type="dxa"/>
            <w:tcBorders>
              <w:top w:val="double" w:sz="4" w:space="0" w:color="auto"/>
            </w:tcBorders>
          </w:tcPr>
          <w:p w:rsidR="00B21598" w:rsidRPr="00214F2D" w:rsidRDefault="00B21598" w:rsidP="00EC1DA4">
            <w:pPr>
              <w:pStyle w:val="answer"/>
              <w:keepNext/>
              <w:keepLines/>
              <w:spacing w:before="60" w:after="60" w:line="240" w:lineRule="auto"/>
              <w:ind w:left="0" w:right="720" w:firstLine="0"/>
              <w:jc w:val="right"/>
              <w:rPr>
                <w:szCs w:val="24"/>
              </w:rPr>
            </w:pPr>
            <w:r w:rsidRPr="00214F2D">
              <w:rPr>
                <w:szCs w:val="24"/>
              </w:rPr>
              <w:t>–</w:t>
            </w:r>
          </w:p>
        </w:tc>
      </w:tr>
      <w:tr w:rsidR="00B21598" w:rsidRPr="00214F2D" w:rsidTr="00EC1DA4">
        <w:tc>
          <w:tcPr>
            <w:tcW w:w="2695" w:type="dxa"/>
          </w:tcPr>
          <w:p w:rsidR="00B21598" w:rsidRPr="00214F2D" w:rsidRDefault="00B21598" w:rsidP="00EC1DA4">
            <w:pPr>
              <w:pStyle w:val="answer"/>
              <w:spacing w:before="60" w:after="60" w:line="240" w:lineRule="auto"/>
              <w:ind w:left="0" w:firstLine="0"/>
              <w:rPr>
                <w:szCs w:val="24"/>
              </w:rPr>
            </w:pPr>
            <w:r w:rsidRPr="00214F2D">
              <w:rPr>
                <w:szCs w:val="24"/>
              </w:rPr>
              <w:t>No Renewal</w:t>
            </w:r>
          </w:p>
        </w:tc>
        <w:tc>
          <w:tcPr>
            <w:tcW w:w="2744" w:type="dxa"/>
          </w:tcPr>
          <w:p w:rsidR="00B21598" w:rsidRPr="00214F2D" w:rsidRDefault="00B21598" w:rsidP="00B97D77">
            <w:pPr>
              <w:pStyle w:val="answer"/>
              <w:spacing w:before="60" w:after="60" w:line="240" w:lineRule="auto"/>
              <w:ind w:left="0" w:right="633" w:firstLine="0"/>
              <w:jc w:val="right"/>
              <w:rPr>
                <w:szCs w:val="24"/>
              </w:rPr>
            </w:pPr>
            <w:r w:rsidRPr="00214F2D">
              <w:rPr>
                <w:szCs w:val="24"/>
              </w:rPr>
              <w:t>$</w:t>
            </w:r>
            <w:r w:rsidR="00B97D77" w:rsidRPr="00214F2D">
              <w:rPr>
                <w:szCs w:val="24"/>
              </w:rPr>
              <w:t>8,019,874</w:t>
            </w:r>
          </w:p>
        </w:tc>
        <w:tc>
          <w:tcPr>
            <w:tcW w:w="2697" w:type="dxa"/>
          </w:tcPr>
          <w:p w:rsidR="00B21598" w:rsidRPr="00214F2D" w:rsidRDefault="00B21598" w:rsidP="00B97D77">
            <w:pPr>
              <w:pStyle w:val="answer"/>
              <w:spacing w:before="60" w:after="60" w:line="240" w:lineRule="auto"/>
              <w:ind w:left="0" w:right="720" w:firstLine="0"/>
              <w:jc w:val="right"/>
              <w:rPr>
                <w:szCs w:val="24"/>
              </w:rPr>
            </w:pPr>
            <w:r w:rsidRPr="00214F2D">
              <w:rPr>
                <w:szCs w:val="24"/>
              </w:rPr>
              <w:t>$</w:t>
            </w:r>
            <w:r w:rsidR="00B97D77" w:rsidRPr="00214F2D">
              <w:rPr>
                <w:szCs w:val="24"/>
              </w:rPr>
              <w:t>242,797</w:t>
            </w:r>
          </w:p>
        </w:tc>
      </w:tr>
    </w:tbl>
    <w:p w:rsidR="00866BF4" w:rsidRDefault="007235A3" w:rsidP="007235A3">
      <w:pPr>
        <w:pStyle w:val="Heading3"/>
      </w:pPr>
      <w:bookmarkStart w:id="23" w:name="_Toc471319024"/>
      <w:r>
        <w:lastRenderedPageBreak/>
        <w:t>2</w:t>
      </w:r>
      <w:r w:rsidR="00866BF4">
        <w:t>.</w:t>
      </w:r>
      <w:r w:rsidR="00866BF4">
        <w:tab/>
        <w:t>Existing Generation Resource/Load Transmission Renewals</w:t>
      </w:r>
      <w:bookmarkEnd w:id="23"/>
    </w:p>
    <w:p w:rsidR="00866BF4" w:rsidRDefault="00866BF4" w:rsidP="00866BF4">
      <w:pPr>
        <w:pStyle w:val="question"/>
      </w:pPr>
      <w:r>
        <w:t>Q.</w:t>
      </w:r>
      <w:r>
        <w:tab/>
        <w:t>Did PSE renew any BPA transmission contracts used to wheel power from existing resources?</w:t>
      </w:r>
    </w:p>
    <w:p w:rsidR="00866BF4" w:rsidRDefault="00866BF4" w:rsidP="00866BF4">
      <w:pPr>
        <w:pStyle w:val="answer"/>
      </w:pPr>
      <w:r>
        <w:t>A.</w:t>
      </w:r>
      <w:r>
        <w:tab/>
        <w:t>Yes.</w:t>
      </w:r>
      <w:r w:rsidR="00404C71">
        <w:t xml:space="preserve"> </w:t>
      </w:r>
      <w:r>
        <w:t>PSE renewed four transmission contracts to allow continued de</w:t>
      </w:r>
      <w:r w:rsidR="00BF33A5">
        <w:t>livery of power from existing</w:t>
      </w:r>
      <w:r>
        <w:t xml:space="preserve"> market resources.</w:t>
      </w:r>
      <w:r w:rsidR="00404C71">
        <w:t xml:space="preserve"> </w:t>
      </w:r>
      <w:r>
        <w:t>The four contracts are listed in Table</w:t>
      </w:r>
      <w:r w:rsidR="005B1C82">
        <w:t> </w:t>
      </w:r>
      <w:r w:rsidR="007C48E0">
        <w:t>7</w:t>
      </w:r>
      <w:r>
        <w:t xml:space="preserve"> and described below.</w:t>
      </w:r>
    </w:p>
    <w:p w:rsidR="00866BF4" w:rsidRDefault="00866BF4" w:rsidP="00A53969">
      <w:pPr>
        <w:pStyle w:val="TableHeader"/>
        <w:widowControl/>
        <w:ind w:left="720"/>
      </w:pPr>
      <w:r>
        <w:t>Table</w:t>
      </w:r>
      <w:r w:rsidR="00025DF3">
        <w:t> </w:t>
      </w:r>
      <w:r w:rsidR="007C48E0">
        <w:t>7</w:t>
      </w:r>
      <w:r>
        <w:t>.</w:t>
      </w:r>
      <w:r w:rsidR="00404C71">
        <w:t xml:space="preserve"> </w:t>
      </w:r>
      <w:r>
        <w:t>BPA Existing Generation Transmission Renewals</w:t>
      </w:r>
    </w:p>
    <w:tbl>
      <w:tblPr>
        <w:tblStyle w:val="TableGrid"/>
        <w:tblW w:w="829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231"/>
        <w:gridCol w:w="1232"/>
        <w:gridCol w:w="1231"/>
        <w:gridCol w:w="1436"/>
      </w:tblGrid>
      <w:tr w:rsidR="005B1C82" w:rsidRPr="00214F2D" w:rsidTr="00025DF3">
        <w:tc>
          <w:tcPr>
            <w:tcW w:w="3168" w:type="dxa"/>
            <w:tcBorders>
              <w:bottom w:val="single" w:sz="4" w:space="0" w:color="auto"/>
            </w:tcBorders>
            <w:vAlign w:val="bottom"/>
          </w:tcPr>
          <w:p w:rsidR="005B1C82" w:rsidRPr="00214F2D" w:rsidRDefault="005B1C82" w:rsidP="00A53969">
            <w:pPr>
              <w:pStyle w:val="answer"/>
              <w:keepNext/>
              <w:keepLines/>
              <w:spacing w:before="60" w:after="60" w:line="240" w:lineRule="auto"/>
              <w:ind w:left="0" w:firstLine="0"/>
              <w:jc w:val="center"/>
              <w:rPr>
                <w:b/>
                <w:szCs w:val="24"/>
              </w:rPr>
            </w:pPr>
            <w:r w:rsidRPr="00214F2D">
              <w:rPr>
                <w:b/>
                <w:szCs w:val="24"/>
              </w:rPr>
              <w:t>Resource</w:t>
            </w:r>
          </w:p>
        </w:tc>
        <w:tc>
          <w:tcPr>
            <w:tcW w:w="1231" w:type="dxa"/>
            <w:tcBorders>
              <w:bottom w:val="single" w:sz="4" w:space="0" w:color="auto"/>
            </w:tcBorders>
            <w:vAlign w:val="bottom"/>
          </w:tcPr>
          <w:p w:rsidR="005B1C82" w:rsidRPr="00214F2D" w:rsidRDefault="005B1C82" w:rsidP="00A53969">
            <w:pPr>
              <w:pStyle w:val="answer"/>
              <w:keepNext/>
              <w:keepLines/>
              <w:spacing w:before="60" w:after="60" w:line="240" w:lineRule="auto"/>
              <w:ind w:left="0" w:firstLine="0"/>
              <w:jc w:val="center"/>
              <w:rPr>
                <w:b/>
                <w:szCs w:val="24"/>
              </w:rPr>
            </w:pPr>
            <w:r w:rsidRPr="00214F2D">
              <w:rPr>
                <w:b/>
                <w:szCs w:val="24"/>
              </w:rPr>
              <w:t>Renewal</w:t>
            </w:r>
            <w:r w:rsidRPr="00214F2D">
              <w:rPr>
                <w:b/>
                <w:szCs w:val="24"/>
              </w:rPr>
              <w:br/>
              <w:t>Deadline</w:t>
            </w:r>
          </w:p>
        </w:tc>
        <w:tc>
          <w:tcPr>
            <w:tcW w:w="1232" w:type="dxa"/>
            <w:tcBorders>
              <w:bottom w:val="single" w:sz="4" w:space="0" w:color="auto"/>
            </w:tcBorders>
            <w:vAlign w:val="bottom"/>
          </w:tcPr>
          <w:p w:rsidR="005B1C82" w:rsidRPr="00214F2D" w:rsidRDefault="005B1C82" w:rsidP="00A53969">
            <w:pPr>
              <w:pStyle w:val="answer"/>
              <w:keepNext/>
              <w:keepLines/>
              <w:spacing w:before="60" w:after="60" w:line="240" w:lineRule="auto"/>
              <w:ind w:left="0" w:firstLine="0"/>
              <w:jc w:val="center"/>
              <w:rPr>
                <w:b/>
                <w:szCs w:val="24"/>
              </w:rPr>
            </w:pPr>
            <w:r w:rsidRPr="00214F2D">
              <w:rPr>
                <w:b/>
                <w:szCs w:val="24"/>
              </w:rPr>
              <w:t>Start</w:t>
            </w:r>
            <w:r w:rsidRPr="00214F2D">
              <w:rPr>
                <w:b/>
                <w:szCs w:val="24"/>
              </w:rPr>
              <w:br/>
              <w:t>Date</w:t>
            </w:r>
          </w:p>
        </w:tc>
        <w:tc>
          <w:tcPr>
            <w:tcW w:w="1231" w:type="dxa"/>
            <w:tcBorders>
              <w:bottom w:val="single" w:sz="4" w:space="0" w:color="auto"/>
            </w:tcBorders>
            <w:vAlign w:val="bottom"/>
          </w:tcPr>
          <w:p w:rsidR="005B1C82" w:rsidRPr="00214F2D" w:rsidRDefault="005B1C82" w:rsidP="00A53969">
            <w:pPr>
              <w:pStyle w:val="answer"/>
              <w:keepNext/>
              <w:keepLines/>
              <w:spacing w:before="60" w:after="60" w:line="240" w:lineRule="auto"/>
              <w:ind w:left="0" w:firstLine="0"/>
              <w:jc w:val="center"/>
              <w:rPr>
                <w:b/>
                <w:szCs w:val="24"/>
              </w:rPr>
            </w:pPr>
            <w:r w:rsidRPr="00214F2D">
              <w:rPr>
                <w:b/>
                <w:szCs w:val="24"/>
              </w:rPr>
              <w:t>End</w:t>
            </w:r>
            <w:r w:rsidRPr="00214F2D">
              <w:rPr>
                <w:b/>
                <w:szCs w:val="24"/>
              </w:rPr>
              <w:br/>
              <w:t>Date</w:t>
            </w:r>
          </w:p>
        </w:tc>
        <w:tc>
          <w:tcPr>
            <w:tcW w:w="1436" w:type="dxa"/>
            <w:tcBorders>
              <w:bottom w:val="single" w:sz="4" w:space="0" w:color="auto"/>
            </w:tcBorders>
            <w:vAlign w:val="bottom"/>
          </w:tcPr>
          <w:p w:rsidR="005B1C82" w:rsidRPr="00214F2D" w:rsidRDefault="005B1C82" w:rsidP="00A53969">
            <w:pPr>
              <w:pStyle w:val="answer"/>
              <w:keepNext/>
              <w:keepLines/>
              <w:spacing w:before="60" w:after="60" w:line="240" w:lineRule="auto"/>
              <w:ind w:left="0" w:firstLine="0"/>
              <w:jc w:val="center"/>
              <w:rPr>
                <w:b/>
                <w:szCs w:val="24"/>
              </w:rPr>
            </w:pPr>
            <w:r w:rsidRPr="00214F2D">
              <w:rPr>
                <w:b/>
                <w:szCs w:val="24"/>
              </w:rPr>
              <w:t>Megawatt</w:t>
            </w:r>
            <w:r w:rsidRPr="00214F2D">
              <w:rPr>
                <w:b/>
                <w:szCs w:val="24"/>
              </w:rPr>
              <w:br/>
              <w:t>Capacity</w:t>
            </w:r>
          </w:p>
        </w:tc>
      </w:tr>
      <w:tr w:rsidR="005B1C82" w:rsidRPr="00214F2D" w:rsidTr="00025DF3">
        <w:tc>
          <w:tcPr>
            <w:tcW w:w="3168" w:type="dxa"/>
            <w:tcBorders>
              <w:top w:val="single" w:sz="4" w:space="0" w:color="auto"/>
            </w:tcBorders>
          </w:tcPr>
          <w:p w:rsidR="005B1C82" w:rsidRPr="00214F2D" w:rsidRDefault="005B1C82" w:rsidP="00A53969">
            <w:pPr>
              <w:pStyle w:val="answer"/>
              <w:keepNext/>
              <w:keepLines/>
              <w:spacing w:before="60" w:after="60" w:line="240" w:lineRule="auto"/>
              <w:ind w:left="0" w:firstLine="0"/>
              <w:rPr>
                <w:szCs w:val="24"/>
              </w:rPr>
            </w:pPr>
            <w:r w:rsidRPr="00214F2D">
              <w:rPr>
                <w:szCs w:val="24"/>
              </w:rPr>
              <w:t xml:space="preserve">Coal Transition </w:t>
            </w:r>
            <w:proofErr w:type="spellStart"/>
            <w:r w:rsidRPr="00214F2D">
              <w:rPr>
                <w:szCs w:val="24"/>
              </w:rPr>
              <w:t>PPA</w:t>
            </w:r>
            <w:proofErr w:type="spellEnd"/>
          </w:p>
        </w:tc>
        <w:tc>
          <w:tcPr>
            <w:tcW w:w="1231" w:type="dxa"/>
            <w:tcBorders>
              <w:top w:val="single" w:sz="4" w:space="0" w:color="auto"/>
            </w:tcBorders>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9/30/15</w:t>
            </w:r>
          </w:p>
        </w:tc>
        <w:tc>
          <w:tcPr>
            <w:tcW w:w="1232" w:type="dxa"/>
            <w:tcBorders>
              <w:top w:val="single" w:sz="4" w:space="0" w:color="auto"/>
            </w:tcBorders>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10/1/16</w:t>
            </w:r>
          </w:p>
        </w:tc>
        <w:tc>
          <w:tcPr>
            <w:tcW w:w="1231" w:type="dxa"/>
            <w:tcBorders>
              <w:top w:val="single" w:sz="4" w:space="0" w:color="auto"/>
            </w:tcBorders>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9/30/21</w:t>
            </w:r>
          </w:p>
        </w:tc>
        <w:tc>
          <w:tcPr>
            <w:tcW w:w="1436" w:type="dxa"/>
            <w:tcBorders>
              <w:top w:val="single" w:sz="4" w:space="0" w:color="auto"/>
            </w:tcBorders>
          </w:tcPr>
          <w:p w:rsidR="005B1C82" w:rsidRPr="00214F2D" w:rsidRDefault="005B1C82" w:rsidP="00A53969">
            <w:pPr>
              <w:pStyle w:val="answer"/>
              <w:keepNext/>
              <w:keepLines/>
              <w:spacing w:before="60" w:after="60" w:line="240" w:lineRule="auto"/>
              <w:ind w:left="0" w:right="342" w:firstLine="0"/>
              <w:jc w:val="right"/>
              <w:rPr>
                <w:szCs w:val="24"/>
              </w:rPr>
            </w:pPr>
            <w:r w:rsidRPr="00214F2D">
              <w:rPr>
                <w:szCs w:val="24"/>
              </w:rPr>
              <w:t>100</w:t>
            </w:r>
          </w:p>
        </w:tc>
      </w:tr>
      <w:tr w:rsidR="005B1C82" w:rsidRPr="00214F2D" w:rsidTr="00025DF3">
        <w:tc>
          <w:tcPr>
            <w:tcW w:w="3168" w:type="dxa"/>
          </w:tcPr>
          <w:p w:rsidR="005B1C82" w:rsidRPr="00214F2D" w:rsidRDefault="005B1C82" w:rsidP="00A53969">
            <w:pPr>
              <w:pStyle w:val="answer"/>
              <w:keepNext/>
              <w:keepLines/>
              <w:spacing w:before="60" w:after="60" w:line="240" w:lineRule="auto"/>
              <w:ind w:left="0" w:firstLine="0"/>
              <w:rPr>
                <w:szCs w:val="24"/>
              </w:rPr>
            </w:pPr>
            <w:r w:rsidRPr="00214F2D">
              <w:rPr>
                <w:szCs w:val="24"/>
              </w:rPr>
              <w:t>Mint Farm</w:t>
            </w:r>
          </w:p>
        </w:tc>
        <w:tc>
          <w:tcPr>
            <w:tcW w:w="1231" w:type="dxa"/>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11/30/14</w:t>
            </w:r>
          </w:p>
        </w:tc>
        <w:tc>
          <w:tcPr>
            <w:tcW w:w="1232" w:type="dxa"/>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12/1/15</w:t>
            </w:r>
          </w:p>
        </w:tc>
        <w:tc>
          <w:tcPr>
            <w:tcW w:w="1231" w:type="dxa"/>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11/30/20</w:t>
            </w:r>
          </w:p>
        </w:tc>
        <w:tc>
          <w:tcPr>
            <w:tcW w:w="1436" w:type="dxa"/>
          </w:tcPr>
          <w:p w:rsidR="005B1C82" w:rsidRPr="00214F2D" w:rsidRDefault="005B1C82" w:rsidP="00A53969">
            <w:pPr>
              <w:pStyle w:val="answer"/>
              <w:keepNext/>
              <w:keepLines/>
              <w:spacing w:before="60" w:after="60" w:line="240" w:lineRule="auto"/>
              <w:ind w:left="0" w:right="342" w:firstLine="0"/>
              <w:jc w:val="right"/>
              <w:rPr>
                <w:szCs w:val="24"/>
              </w:rPr>
            </w:pPr>
            <w:r w:rsidRPr="00214F2D">
              <w:rPr>
                <w:szCs w:val="24"/>
              </w:rPr>
              <w:t>12</w:t>
            </w:r>
          </w:p>
        </w:tc>
      </w:tr>
      <w:tr w:rsidR="005B1C82" w:rsidRPr="00214F2D" w:rsidTr="00025DF3">
        <w:tc>
          <w:tcPr>
            <w:tcW w:w="3168" w:type="dxa"/>
          </w:tcPr>
          <w:p w:rsidR="005B1C82" w:rsidRPr="00214F2D" w:rsidRDefault="005B1C82" w:rsidP="00A53969">
            <w:pPr>
              <w:pStyle w:val="answer"/>
              <w:keepNext/>
              <w:keepLines/>
              <w:spacing w:before="60" w:after="60" w:line="240" w:lineRule="auto"/>
              <w:ind w:left="0" w:firstLine="0"/>
              <w:rPr>
                <w:szCs w:val="24"/>
              </w:rPr>
            </w:pPr>
            <w:r w:rsidRPr="00214F2D">
              <w:rPr>
                <w:szCs w:val="24"/>
              </w:rPr>
              <w:t>Mint Farm Station Service</w:t>
            </w:r>
          </w:p>
        </w:tc>
        <w:tc>
          <w:tcPr>
            <w:tcW w:w="1231" w:type="dxa"/>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5/31/15</w:t>
            </w:r>
          </w:p>
        </w:tc>
        <w:tc>
          <w:tcPr>
            <w:tcW w:w="1232" w:type="dxa"/>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6/1/16</w:t>
            </w:r>
          </w:p>
        </w:tc>
        <w:tc>
          <w:tcPr>
            <w:tcW w:w="1231" w:type="dxa"/>
          </w:tcPr>
          <w:p w:rsidR="005B1C82" w:rsidRPr="00214F2D" w:rsidRDefault="009D763C" w:rsidP="009D763C">
            <w:pPr>
              <w:pStyle w:val="answer"/>
              <w:keepNext/>
              <w:keepLines/>
              <w:spacing w:before="60" w:after="60" w:line="240" w:lineRule="auto"/>
              <w:ind w:left="0" w:firstLine="0"/>
              <w:jc w:val="right"/>
              <w:rPr>
                <w:szCs w:val="24"/>
              </w:rPr>
            </w:pPr>
            <w:r w:rsidRPr="00214F2D">
              <w:rPr>
                <w:szCs w:val="24"/>
              </w:rPr>
              <w:t>5</w:t>
            </w:r>
            <w:r w:rsidR="005B1C82" w:rsidRPr="00214F2D">
              <w:rPr>
                <w:szCs w:val="24"/>
              </w:rPr>
              <w:t>/3</w:t>
            </w:r>
            <w:r w:rsidRPr="00214F2D">
              <w:rPr>
                <w:szCs w:val="24"/>
              </w:rPr>
              <w:t>1</w:t>
            </w:r>
            <w:r w:rsidR="005B1C82" w:rsidRPr="00214F2D">
              <w:rPr>
                <w:szCs w:val="24"/>
              </w:rPr>
              <w:t>/2</w:t>
            </w:r>
            <w:r w:rsidRPr="00214F2D">
              <w:rPr>
                <w:szCs w:val="24"/>
              </w:rPr>
              <w:t>1</w:t>
            </w:r>
          </w:p>
        </w:tc>
        <w:tc>
          <w:tcPr>
            <w:tcW w:w="1436" w:type="dxa"/>
          </w:tcPr>
          <w:p w:rsidR="005B1C82" w:rsidRPr="00214F2D" w:rsidRDefault="005B1C82" w:rsidP="00A53969">
            <w:pPr>
              <w:pStyle w:val="answer"/>
              <w:keepNext/>
              <w:keepLines/>
              <w:spacing w:before="60" w:after="60" w:line="240" w:lineRule="auto"/>
              <w:ind w:left="0" w:right="342" w:firstLine="0"/>
              <w:jc w:val="right"/>
              <w:rPr>
                <w:szCs w:val="24"/>
              </w:rPr>
            </w:pPr>
            <w:r w:rsidRPr="00214F2D">
              <w:rPr>
                <w:szCs w:val="24"/>
              </w:rPr>
              <w:t>8</w:t>
            </w:r>
          </w:p>
        </w:tc>
      </w:tr>
      <w:tr w:rsidR="005B1C82" w:rsidRPr="00214F2D" w:rsidTr="00025DF3">
        <w:tc>
          <w:tcPr>
            <w:tcW w:w="3168" w:type="dxa"/>
            <w:tcBorders>
              <w:bottom w:val="double" w:sz="4" w:space="0" w:color="auto"/>
            </w:tcBorders>
          </w:tcPr>
          <w:p w:rsidR="005B1C82" w:rsidRPr="00214F2D" w:rsidRDefault="00B97D77" w:rsidP="00B97D77">
            <w:pPr>
              <w:pStyle w:val="answer"/>
              <w:keepNext/>
              <w:keepLines/>
              <w:spacing w:before="60" w:after="60" w:line="240" w:lineRule="auto"/>
              <w:ind w:left="0" w:firstLine="0"/>
              <w:rPr>
                <w:szCs w:val="24"/>
              </w:rPr>
            </w:pPr>
            <w:r w:rsidRPr="00214F2D">
              <w:rPr>
                <w:szCs w:val="24"/>
              </w:rPr>
              <w:t>Montana Purchases</w:t>
            </w:r>
          </w:p>
        </w:tc>
        <w:tc>
          <w:tcPr>
            <w:tcW w:w="1231" w:type="dxa"/>
            <w:tcBorders>
              <w:bottom w:val="double" w:sz="4" w:space="0" w:color="auto"/>
            </w:tcBorders>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9/30/15</w:t>
            </w:r>
          </w:p>
        </w:tc>
        <w:tc>
          <w:tcPr>
            <w:tcW w:w="1232" w:type="dxa"/>
            <w:tcBorders>
              <w:bottom w:val="double" w:sz="4" w:space="0" w:color="auto"/>
            </w:tcBorders>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10/1/16</w:t>
            </w:r>
          </w:p>
        </w:tc>
        <w:tc>
          <w:tcPr>
            <w:tcW w:w="1231" w:type="dxa"/>
            <w:tcBorders>
              <w:bottom w:val="double" w:sz="4" w:space="0" w:color="auto"/>
            </w:tcBorders>
          </w:tcPr>
          <w:p w:rsidR="005B1C82" w:rsidRPr="00214F2D" w:rsidRDefault="005B1C82" w:rsidP="00A53969">
            <w:pPr>
              <w:pStyle w:val="answer"/>
              <w:keepNext/>
              <w:keepLines/>
              <w:spacing w:before="60" w:after="60" w:line="240" w:lineRule="auto"/>
              <w:ind w:left="0" w:firstLine="0"/>
              <w:jc w:val="right"/>
              <w:rPr>
                <w:szCs w:val="24"/>
              </w:rPr>
            </w:pPr>
            <w:r w:rsidRPr="00214F2D">
              <w:rPr>
                <w:szCs w:val="24"/>
              </w:rPr>
              <w:t>9/30/21</w:t>
            </w:r>
          </w:p>
        </w:tc>
        <w:tc>
          <w:tcPr>
            <w:tcW w:w="1436" w:type="dxa"/>
            <w:tcBorders>
              <w:bottom w:val="double" w:sz="4" w:space="0" w:color="auto"/>
            </w:tcBorders>
          </w:tcPr>
          <w:p w:rsidR="005B1C82" w:rsidRPr="00214F2D" w:rsidRDefault="005B1C82" w:rsidP="00A53969">
            <w:pPr>
              <w:pStyle w:val="answer"/>
              <w:keepNext/>
              <w:keepLines/>
              <w:spacing w:before="60" w:after="60" w:line="240" w:lineRule="auto"/>
              <w:ind w:left="0" w:right="342" w:firstLine="0"/>
              <w:jc w:val="right"/>
              <w:rPr>
                <w:szCs w:val="24"/>
              </w:rPr>
            </w:pPr>
            <w:r w:rsidRPr="00214F2D">
              <w:rPr>
                <w:szCs w:val="24"/>
              </w:rPr>
              <w:t>94</w:t>
            </w:r>
          </w:p>
        </w:tc>
      </w:tr>
      <w:tr w:rsidR="005B1C82" w:rsidRPr="00214F2D" w:rsidTr="00025DF3">
        <w:tc>
          <w:tcPr>
            <w:tcW w:w="6862" w:type="dxa"/>
            <w:gridSpan w:val="4"/>
            <w:tcBorders>
              <w:top w:val="double" w:sz="4" w:space="0" w:color="auto"/>
            </w:tcBorders>
          </w:tcPr>
          <w:p w:rsidR="005B1C82" w:rsidRPr="00214F2D" w:rsidRDefault="005B1C82" w:rsidP="005B1C82">
            <w:pPr>
              <w:pStyle w:val="answer"/>
              <w:spacing w:before="60" w:after="60" w:line="240" w:lineRule="auto"/>
              <w:ind w:left="0" w:firstLine="0"/>
              <w:rPr>
                <w:b/>
                <w:szCs w:val="24"/>
              </w:rPr>
            </w:pPr>
            <w:r w:rsidRPr="00214F2D">
              <w:rPr>
                <w:b/>
                <w:szCs w:val="24"/>
              </w:rPr>
              <w:t>Total Transmission Renewed for Resources and Load</w:t>
            </w:r>
          </w:p>
        </w:tc>
        <w:tc>
          <w:tcPr>
            <w:tcW w:w="1436" w:type="dxa"/>
            <w:tcBorders>
              <w:top w:val="double" w:sz="4" w:space="0" w:color="auto"/>
            </w:tcBorders>
          </w:tcPr>
          <w:p w:rsidR="005B1C82" w:rsidRPr="00214F2D" w:rsidRDefault="005B1C82" w:rsidP="00025DF3">
            <w:pPr>
              <w:pStyle w:val="answer"/>
              <w:spacing w:before="60" w:after="60" w:line="240" w:lineRule="auto"/>
              <w:ind w:left="0" w:right="342" w:firstLine="0"/>
              <w:jc w:val="right"/>
              <w:rPr>
                <w:b/>
                <w:szCs w:val="24"/>
              </w:rPr>
            </w:pPr>
            <w:r w:rsidRPr="00214F2D">
              <w:rPr>
                <w:b/>
                <w:szCs w:val="24"/>
              </w:rPr>
              <w:t>214</w:t>
            </w:r>
          </w:p>
        </w:tc>
      </w:tr>
    </w:tbl>
    <w:p w:rsidR="00152EFB" w:rsidRDefault="007235A3" w:rsidP="000A1BEF">
      <w:pPr>
        <w:pStyle w:val="Heading4"/>
        <w:spacing w:before="360"/>
      </w:pPr>
      <w:r>
        <w:t>a</w:t>
      </w:r>
      <w:r w:rsidR="00152EFB">
        <w:t>.</w:t>
      </w:r>
      <w:r w:rsidR="00152EFB">
        <w:tab/>
        <w:t xml:space="preserve">Transmission Contract </w:t>
      </w:r>
      <w:r w:rsidR="00FA7EE8">
        <w:t>(</w:t>
      </w:r>
      <w:r w:rsidR="00152EFB">
        <w:t>100 MW</w:t>
      </w:r>
      <w:r w:rsidR="00FA7EE8">
        <w:t xml:space="preserve">) </w:t>
      </w:r>
      <w:r w:rsidR="00152EFB">
        <w:t xml:space="preserve">Serving the Coal Transition </w:t>
      </w:r>
      <w:proofErr w:type="spellStart"/>
      <w:r w:rsidR="00152EFB">
        <w:t>PPA</w:t>
      </w:r>
      <w:proofErr w:type="spellEnd"/>
    </w:p>
    <w:p w:rsidR="00866BF4" w:rsidRDefault="00866BF4" w:rsidP="005B1C82">
      <w:pPr>
        <w:pStyle w:val="question"/>
        <w:spacing w:before="360"/>
      </w:pPr>
      <w:r>
        <w:t>Q.</w:t>
      </w:r>
      <w:r>
        <w:tab/>
        <w:t>Please describe the 100</w:t>
      </w:r>
      <w:r w:rsidR="00025DF3">
        <w:t> </w:t>
      </w:r>
      <w:r>
        <w:t xml:space="preserve">MW contract serving the Coal Transition </w:t>
      </w:r>
      <w:proofErr w:type="spellStart"/>
      <w:r>
        <w:t>PPA</w:t>
      </w:r>
      <w:proofErr w:type="spellEnd"/>
      <w:r>
        <w:t>.</w:t>
      </w:r>
    </w:p>
    <w:p w:rsidR="00866BF4" w:rsidRDefault="00866BF4" w:rsidP="00866BF4">
      <w:pPr>
        <w:pStyle w:val="answer"/>
      </w:pPr>
      <w:r>
        <w:t>A.</w:t>
      </w:r>
      <w:r>
        <w:tab/>
        <w:t xml:space="preserve">The Coal Transition </w:t>
      </w:r>
      <w:proofErr w:type="spellStart"/>
      <w:r>
        <w:t>PPA</w:t>
      </w:r>
      <w:proofErr w:type="spellEnd"/>
      <w:r>
        <w:t xml:space="preserve"> is an existing agreement that extends through 2025; the facility is interconnected to BPA</w:t>
      </w:r>
      <w:r w:rsidR="009F02BA">
        <w:t>’</w:t>
      </w:r>
      <w:r>
        <w:t>s transmission system.</w:t>
      </w:r>
      <w:r w:rsidR="00404C71">
        <w:t xml:space="preserve"> </w:t>
      </w:r>
      <w:r>
        <w:t>Power from the facility is wheeled to PSE</w:t>
      </w:r>
      <w:r w:rsidR="009F02BA">
        <w:t>’</w:t>
      </w:r>
      <w:r>
        <w:t xml:space="preserve">s system in part using a 100 MW transmission contract with BPA which </w:t>
      </w:r>
      <w:r w:rsidR="009F02BA">
        <w:t xml:space="preserve">would have </w:t>
      </w:r>
      <w:r>
        <w:t>expire</w:t>
      </w:r>
      <w:r w:rsidR="009F02BA">
        <w:t>d</w:t>
      </w:r>
      <w:r>
        <w:t xml:space="preserve"> September</w:t>
      </w:r>
      <w:r w:rsidR="00025DF3">
        <w:t> </w:t>
      </w:r>
      <w:r>
        <w:t>30, 2016.</w:t>
      </w:r>
      <w:r w:rsidR="00404C71">
        <w:t xml:space="preserve"> </w:t>
      </w:r>
      <w:r>
        <w:t>PSE renewed the contract for five years (until September</w:t>
      </w:r>
      <w:r w:rsidR="00025DF3">
        <w:t> </w:t>
      </w:r>
      <w:r>
        <w:t>20, 2021) to allow continued delivery of power from the facility.</w:t>
      </w:r>
    </w:p>
    <w:p w:rsidR="00152EFB" w:rsidRDefault="007235A3" w:rsidP="007235A3">
      <w:pPr>
        <w:pStyle w:val="Heading4"/>
      </w:pPr>
      <w:r>
        <w:lastRenderedPageBreak/>
        <w:t>b</w:t>
      </w:r>
      <w:r w:rsidR="00152EFB">
        <w:t>.</w:t>
      </w:r>
      <w:r w:rsidR="00152EFB">
        <w:tab/>
        <w:t xml:space="preserve">Two Transmission Contracts </w:t>
      </w:r>
      <w:r w:rsidR="00FA7EE8">
        <w:t>(</w:t>
      </w:r>
      <w:r w:rsidR="00152EFB">
        <w:t>12 MW and 8 MW</w:t>
      </w:r>
      <w:r w:rsidR="00FA7EE8">
        <w:t xml:space="preserve">) </w:t>
      </w:r>
      <w:r w:rsidR="00152EFB">
        <w:t>Serving Mint Farm</w:t>
      </w:r>
    </w:p>
    <w:p w:rsidR="00866BF4" w:rsidRDefault="00866BF4" w:rsidP="00866BF4">
      <w:pPr>
        <w:pStyle w:val="question"/>
      </w:pPr>
      <w:r>
        <w:t>Q.</w:t>
      </w:r>
      <w:r>
        <w:tab/>
        <w:t>Please describe the 12</w:t>
      </w:r>
      <w:r w:rsidR="00025DF3">
        <w:t> </w:t>
      </w:r>
      <w:r>
        <w:t>MW and 8</w:t>
      </w:r>
      <w:r w:rsidR="00025DF3">
        <w:t> </w:t>
      </w:r>
      <w:r>
        <w:t>MW contracts associated with Mint Farm.</w:t>
      </w:r>
    </w:p>
    <w:p w:rsidR="00866BF4" w:rsidRDefault="00866BF4" w:rsidP="00866BF4">
      <w:pPr>
        <w:pStyle w:val="answer"/>
      </w:pPr>
      <w:r>
        <w:t>A.</w:t>
      </w:r>
      <w:r>
        <w:tab/>
        <w:t>PSE owns and operates Mint Farm. Power from the facility is wheeled</w:t>
      </w:r>
      <w:r w:rsidR="000D6B1B">
        <w:t>, in part,</w:t>
      </w:r>
      <w:r>
        <w:t xml:space="preserve"> to PSE</w:t>
      </w:r>
      <w:r w:rsidR="009F02BA">
        <w:t>’</w:t>
      </w:r>
      <w:r>
        <w:t>s system using a 12</w:t>
      </w:r>
      <w:r w:rsidR="00025DF3">
        <w:t> </w:t>
      </w:r>
      <w:r>
        <w:t>MW transmission contract which would have expired November</w:t>
      </w:r>
      <w:r w:rsidR="00025DF3">
        <w:t> </w:t>
      </w:r>
      <w:r>
        <w:t>30, 2015.</w:t>
      </w:r>
      <w:r w:rsidR="00404C71">
        <w:t xml:space="preserve"> </w:t>
      </w:r>
      <w:r>
        <w:t>PSE renewed the contract for five years (until November</w:t>
      </w:r>
      <w:r w:rsidR="00025DF3">
        <w:t> </w:t>
      </w:r>
      <w:r>
        <w:t>30, 2020) to allow continued delivery of power from the facility.</w:t>
      </w:r>
      <w:r w:rsidR="00404C71">
        <w:t xml:space="preserve"> </w:t>
      </w:r>
      <w:r>
        <w:t xml:space="preserve">Power is wheeled to the facility to provide station service using </w:t>
      </w:r>
      <w:r w:rsidR="00BC2D70">
        <w:t>an</w:t>
      </w:r>
      <w:r w:rsidRPr="00FC5A3F">
        <w:t xml:space="preserve"> 8</w:t>
      </w:r>
      <w:r w:rsidR="00025DF3" w:rsidRPr="00FC5A3F">
        <w:t> </w:t>
      </w:r>
      <w:r w:rsidRPr="00FC5A3F">
        <w:t xml:space="preserve">MW transmission contract which would have expired </w:t>
      </w:r>
      <w:r w:rsidR="00FC5A3F" w:rsidRPr="00FC5A3F">
        <w:t>June 1</w:t>
      </w:r>
      <w:r w:rsidRPr="00FC5A3F">
        <w:t>, 201</w:t>
      </w:r>
      <w:r w:rsidR="00FC5A3F" w:rsidRPr="00837D01">
        <w:t>6</w:t>
      </w:r>
      <w:r w:rsidRPr="00FC5A3F">
        <w:t>.</w:t>
      </w:r>
      <w:r w:rsidR="00404C71" w:rsidRPr="00FC5A3F">
        <w:t xml:space="preserve"> </w:t>
      </w:r>
      <w:r w:rsidRPr="00FC5A3F">
        <w:t xml:space="preserve">PSE renewed the contract until </w:t>
      </w:r>
      <w:r w:rsidR="009D763C">
        <w:t>May 31</w:t>
      </w:r>
      <w:r w:rsidRPr="00FC5A3F">
        <w:t>, 202</w:t>
      </w:r>
      <w:r w:rsidR="009D763C">
        <w:t>1</w:t>
      </w:r>
      <w:r w:rsidRPr="00FC5A3F">
        <w:t xml:space="preserve"> to allo</w:t>
      </w:r>
      <w:r>
        <w:t>w continued delivery of power to the facility.</w:t>
      </w:r>
    </w:p>
    <w:p w:rsidR="00152EFB" w:rsidRDefault="007235A3" w:rsidP="007235A3">
      <w:pPr>
        <w:pStyle w:val="Heading4"/>
      </w:pPr>
      <w:r>
        <w:t>c</w:t>
      </w:r>
      <w:r w:rsidR="00152EFB">
        <w:t>.</w:t>
      </w:r>
      <w:r w:rsidR="00152EFB">
        <w:tab/>
        <w:t xml:space="preserve">Transmission Contract </w:t>
      </w:r>
      <w:r w:rsidR="00FA7EE8">
        <w:t>(</w:t>
      </w:r>
      <w:r w:rsidR="00152EFB">
        <w:t>94 MW</w:t>
      </w:r>
      <w:r w:rsidR="00FA7EE8">
        <w:t>)</w:t>
      </w:r>
      <w:r w:rsidR="00152EFB">
        <w:t xml:space="preserve"> Associated with Purchases from </w:t>
      </w:r>
      <w:r w:rsidR="007A5F8E">
        <w:t>Garrison, Montana</w:t>
      </w:r>
    </w:p>
    <w:p w:rsidR="00866BF4" w:rsidRDefault="00866BF4" w:rsidP="00866BF4">
      <w:pPr>
        <w:pStyle w:val="question"/>
      </w:pPr>
      <w:r>
        <w:t>Q.</w:t>
      </w:r>
      <w:r>
        <w:tab/>
        <w:t>Please describe the 94</w:t>
      </w:r>
      <w:r w:rsidR="00025DF3">
        <w:t> </w:t>
      </w:r>
      <w:r>
        <w:t xml:space="preserve">MW contract associated with purchases from </w:t>
      </w:r>
      <w:r w:rsidR="007A5F8E">
        <w:t>Garrison, Montana</w:t>
      </w:r>
      <w:r>
        <w:t>.</w:t>
      </w:r>
    </w:p>
    <w:p w:rsidR="00866BF4" w:rsidRDefault="00866BF4" w:rsidP="00866BF4">
      <w:pPr>
        <w:pStyle w:val="answer"/>
      </w:pPr>
      <w:r>
        <w:t>A.</w:t>
      </w:r>
      <w:r>
        <w:tab/>
        <w:t>The 94</w:t>
      </w:r>
      <w:r w:rsidR="00025DF3">
        <w:t> </w:t>
      </w:r>
      <w:r>
        <w:t>MW transmission contract provides transmission from Garrison, Montana to the PSE system. It had an expiration date of September</w:t>
      </w:r>
      <w:r w:rsidR="00025DF3">
        <w:t> </w:t>
      </w:r>
      <w:r>
        <w:t>30, 2016.</w:t>
      </w:r>
      <w:r w:rsidR="00404C71">
        <w:t xml:space="preserve"> </w:t>
      </w:r>
      <w:r>
        <w:t>PSE used this transmission to wheel power from a two year short-term 75</w:t>
      </w:r>
      <w:r w:rsidR="007C0A55">
        <w:t> </w:t>
      </w:r>
      <w:r>
        <w:t>MW physical index power purchase transacted for the winter months November</w:t>
      </w:r>
      <w:r w:rsidR="007C0A55">
        <w:t> </w:t>
      </w:r>
      <w:r>
        <w:t>2013 through February</w:t>
      </w:r>
      <w:r w:rsidR="007C0A55">
        <w:t> </w:t>
      </w:r>
      <w:r>
        <w:t>2014 and November</w:t>
      </w:r>
      <w:r w:rsidR="007C0A55">
        <w:t> </w:t>
      </w:r>
      <w:r>
        <w:t>2014 through February</w:t>
      </w:r>
      <w:r w:rsidR="007C0A55">
        <w:t> </w:t>
      </w:r>
      <w:r>
        <w:t>2015.</w:t>
      </w:r>
      <w:r w:rsidR="00404C71">
        <w:t xml:space="preserve"> </w:t>
      </w:r>
      <w:r>
        <w:t>This transmission capacity also provides an alternative path</w:t>
      </w:r>
      <w:r w:rsidR="00305FE3">
        <w:t>, receiving at Garrison 230 kV substation,</w:t>
      </w:r>
      <w:r>
        <w:t xml:space="preserve"> to wheel power from PSE</w:t>
      </w:r>
      <w:r w:rsidR="009F02BA">
        <w:t>’</w:t>
      </w:r>
      <w:r>
        <w:t xml:space="preserve">s generation assets in Montana in the event of outages or </w:t>
      </w:r>
      <w:proofErr w:type="spellStart"/>
      <w:r>
        <w:t>derates</w:t>
      </w:r>
      <w:proofErr w:type="spellEnd"/>
      <w:r>
        <w:t xml:space="preserve"> on the </w:t>
      </w:r>
      <w:r w:rsidR="00305FE3" w:rsidRPr="00837D01">
        <w:t>500 kV</w:t>
      </w:r>
      <w:r w:rsidR="00305FE3" w:rsidRPr="00305FE3">
        <w:t xml:space="preserve"> </w:t>
      </w:r>
      <w:r w:rsidRPr="002F4038">
        <w:t xml:space="preserve">transmission </w:t>
      </w:r>
      <w:r w:rsidR="00305FE3" w:rsidRPr="00837D01">
        <w:t>system</w:t>
      </w:r>
      <w:r>
        <w:t xml:space="preserve">. It also provides access </w:t>
      </w:r>
      <w:r>
        <w:lastRenderedPageBreak/>
        <w:t>to short-term power purchases at the Garrison hub at prices that are generally below Mid-C prices.</w:t>
      </w:r>
    </w:p>
    <w:p w:rsidR="00866BF4" w:rsidRDefault="00866BF4" w:rsidP="00866BF4">
      <w:pPr>
        <w:pStyle w:val="question"/>
      </w:pPr>
      <w:r>
        <w:t>Q.</w:t>
      </w:r>
      <w:r>
        <w:tab/>
        <w:t xml:space="preserve">When did </w:t>
      </w:r>
      <w:r w:rsidR="007235A3">
        <w:t xml:space="preserve">PSE </w:t>
      </w:r>
      <w:r>
        <w:t>evaluate the 94</w:t>
      </w:r>
      <w:r w:rsidR="007C0A55">
        <w:t> </w:t>
      </w:r>
      <w:r>
        <w:t>MW transmission contract?</w:t>
      </w:r>
    </w:p>
    <w:p w:rsidR="00866BF4" w:rsidRDefault="00866BF4" w:rsidP="00866BF4">
      <w:pPr>
        <w:pStyle w:val="answer"/>
      </w:pPr>
      <w:r>
        <w:t>A.</w:t>
      </w:r>
      <w:r>
        <w:tab/>
        <w:t>PSE evaluated the contract in September</w:t>
      </w:r>
      <w:r w:rsidR="007C0A55">
        <w:t> </w:t>
      </w:r>
      <w:r>
        <w:t>2015.</w:t>
      </w:r>
    </w:p>
    <w:p w:rsidR="00866BF4" w:rsidRDefault="00866BF4" w:rsidP="00866BF4">
      <w:pPr>
        <w:pStyle w:val="question"/>
      </w:pPr>
      <w:r>
        <w:t>Q.</w:t>
      </w:r>
      <w:r>
        <w:tab/>
        <w:t xml:space="preserve">Please summarize </w:t>
      </w:r>
      <w:r w:rsidR="007235A3">
        <w:t>PSE</w:t>
      </w:r>
      <w:r w:rsidR="009F02BA">
        <w:t>’</w:t>
      </w:r>
      <w:r w:rsidR="007235A3">
        <w:t xml:space="preserve">s </w:t>
      </w:r>
      <w:r>
        <w:t>approach to evaluating the 94</w:t>
      </w:r>
      <w:r w:rsidR="007C0A55">
        <w:t> </w:t>
      </w:r>
      <w:r>
        <w:t>MW contract.</w:t>
      </w:r>
    </w:p>
    <w:p w:rsidR="00866BF4" w:rsidRDefault="00866BF4" w:rsidP="00866BF4">
      <w:pPr>
        <w:pStyle w:val="answer"/>
      </w:pPr>
      <w:r>
        <w:t>A.</w:t>
      </w:r>
      <w:r>
        <w:tab/>
        <w:t xml:space="preserve">Because this transmission contract supported a specific physical index power purchase, </w:t>
      </w:r>
      <w:r w:rsidR="00F22395">
        <w:t xml:space="preserve">PSE </w:t>
      </w:r>
      <w:r>
        <w:t>evaluated it in conjunction with the assumed replacement of the winter peaking physical index power purchase th</w:t>
      </w:r>
      <w:r w:rsidR="00404C71">
        <w:t>at had expired in February</w:t>
      </w:r>
      <w:r w:rsidR="007C0A55">
        <w:t> </w:t>
      </w:r>
      <w:r w:rsidR="00404C71">
        <w:t>2015</w:t>
      </w:r>
      <w:r>
        <w:t>.</w:t>
      </w:r>
      <w:r w:rsidR="009573C0">
        <w:rPr>
          <w:rStyle w:val="FootnoteReference"/>
        </w:rPr>
        <w:footnoteReference w:id="10"/>
      </w:r>
      <w:r w:rsidR="00404C71">
        <w:t xml:space="preserve"> </w:t>
      </w:r>
      <w:r>
        <w:t>Three portfolios were developed.</w:t>
      </w:r>
      <w:r w:rsidR="00404C71">
        <w:t xml:space="preserve"> </w:t>
      </w:r>
      <w:r>
        <w:t xml:space="preserve">The first included the </w:t>
      </w:r>
      <w:r w:rsidR="007235A3">
        <w:t>transmission/</w:t>
      </w:r>
      <w:r>
        <w:t>physical index power purchase combination, the second excluded it, and the third included a 75</w:t>
      </w:r>
      <w:r w:rsidR="007C0A55">
        <w:t> </w:t>
      </w:r>
      <w:r>
        <w:t xml:space="preserve">MW </w:t>
      </w:r>
      <w:proofErr w:type="spellStart"/>
      <w:r>
        <w:t>peaker</w:t>
      </w:r>
      <w:proofErr w:type="spellEnd"/>
      <w:r>
        <w:t xml:space="preserve"> built in 2016 instead of the transmission/ physical index power purchase combination.</w:t>
      </w:r>
    </w:p>
    <w:p w:rsidR="00866BF4" w:rsidRDefault="00866BF4" w:rsidP="00866BF4">
      <w:pPr>
        <w:pStyle w:val="question"/>
      </w:pPr>
      <w:r>
        <w:t>Q.</w:t>
      </w:r>
      <w:r>
        <w:tab/>
        <w:t xml:space="preserve">What assumptions did </w:t>
      </w:r>
      <w:r w:rsidR="007235A3">
        <w:t xml:space="preserve">PSE </w:t>
      </w:r>
      <w:r>
        <w:t>make in evaluating the 94</w:t>
      </w:r>
      <w:r w:rsidR="007C0A55">
        <w:t> </w:t>
      </w:r>
      <w:r>
        <w:t>MW contract?</w:t>
      </w:r>
    </w:p>
    <w:p w:rsidR="00866BF4" w:rsidRDefault="00866BF4" w:rsidP="00866BF4">
      <w:pPr>
        <w:pStyle w:val="answer"/>
      </w:pPr>
      <w:r>
        <w:t>A.</w:t>
      </w:r>
      <w:r>
        <w:tab/>
      </w:r>
      <w:proofErr w:type="spellStart"/>
      <w:r>
        <w:t>PSM</w:t>
      </w:r>
      <w:proofErr w:type="spellEnd"/>
      <w:r w:rsidR="007C0A55">
        <w:t> </w:t>
      </w:r>
      <w:r>
        <w:t>III had been updated for the 2015</w:t>
      </w:r>
      <w:r w:rsidR="007C0A55">
        <w:t> </w:t>
      </w:r>
      <w:r>
        <w:t xml:space="preserve">IRP, so the transmission renewal analysis was based on the version of </w:t>
      </w:r>
      <w:proofErr w:type="spellStart"/>
      <w:r>
        <w:t>PSM</w:t>
      </w:r>
      <w:proofErr w:type="spellEnd"/>
      <w:r w:rsidR="007C0A55">
        <w:t> </w:t>
      </w:r>
      <w:r>
        <w:t>III used in the draft 2015</w:t>
      </w:r>
      <w:r w:rsidR="007C0A55">
        <w:t> </w:t>
      </w:r>
      <w:r>
        <w:t>IRP Base Scenario as it stood at the time.</w:t>
      </w:r>
      <w:r w:rsidR="00404C71">
        <w:t xml:space="preserve"> </w:t>
      </w:r>
      <w:r>
        <w:t>Optimal demand side resources chosen in the draft 2015</w:t>
      </w:r>
      <w:r w:rsidR="007C0A55">
        <w:t> </w:t>
      </w:r>
      <w:r>
        <w:t>IRP were included in the portfolio.</w:t>
      </w:r>
      <w:r w:rsidR="00404C71">
        <w:t xml:space="preserve"> </w:t>
      </w:r>
      <w:r>
        <w:t>The transmission contract was assumed to be renewed throughout the 20-year planning horizon.</w:t>
      </w:r>
      <w:r w:rsidR="00404C71">
        <w:t xml:space="preserve"> </w:t>
      </w:r>
      <w:r>
        <w:t>It was priced based on BPA tariff rates in effect at the time of the analysis with escalation of 6.1</w:t>
      </w:r>
      <w:r w:rsidR="007A5F8E">
        <w:t xml:space="preserve"> percent</w:t>
      </w:r>
      <w:r>
        <w:t xml:space="preserve"> every </w:t>
      </w:r>
      <w:r>
        <w:lastRenderedPageBreak/>
        <w:t>two years.</w:t>
      </w:r>
      <w:r w:rsidR="00404C71">
        <w:t xml:space="preserve"> </w:t>
      </w:r>
      <w:r>
        <w:t>The terms of the expired physical index power purchase were assumed throughout the 20-year planning horizon.</w:t>
      </w:r>
      <w:r w:rsidR="00404C71">
        <w:t xml:space="preserve"> </w:t>
      </w:r>
      <w:r>
        <w:t xml:space="preserve">Specifically, the power was priced at </w:t>
      </w:r>
      <w:r w:rsidR="007C3D2B">
        <w:t>█████████████████████</w:t>
      </w:r>
      <w:r>
        <w:t xml:space="preserve"> and the contract was for winter months</w:t>
      </w:r>
      <w:r w:rsidR="007C3D2B">
        <w:br/>
      </w:r>
      <w:r>
        <w:t>November through February.</w:t>
      </w:r>
    </w:p>
    <w:p w:rsidR="00866BF4" w:rsidRDefault="00866BF4" w:rsidP="00866BF4">
      <w:pPr>
        <w:pStyle w:val="question"/>
      </w:pPr>
      <w:r>
        <w:t>Q.</w:t>
      </w:r>
      <w:r>
        <w:tab/>
        <w:t>What were the results of the analysis?</w:t>
      </w:r>
    </w:p>
    <w:p w:rsidR="00866BF4" w:rsidRDefault="00866BF4" w:rsidP="00866BF4">
      <w:pPr>
        <w:pStyle w:val="answer"/>
      </w:pPr>
      <w:r>
        <w:t>A.</w:t>
      </w:r>
      <w:r>
        <w:tab/>
        <w:t>The portfolio analysis shows a portfolio benefit associated with the 94</w:t>
      </w:r>
      <w:r w:rsidR="007C0A55">
        <w:t> </w:t>
      </w:r>
      <w:r>
        <w:t>MW transmission renewal.</w:t>
      </w:r>
      <w:r w:rsidR="00404C71">
        <w:t xml:space="preserve"> </w:t>
      </w:r>
      <w:r>
        <w:t>Comparison of the portfolios with and without the transmission renewals indicates that the addition of peaking capacity in the years beyond 2026 can be delayed if the contract is renewed.</w:t>
      </w:r>
      <w:r w:rsidR="00404C71">
        <w:t xml:space="preserve"> </w:t>
      </w:r>
      <w:r>
        <w:t xml:space="preserve">In addition, the portfolio that included the transmission renewal was able to meet capacity need with a lower cost portfolio consisting of a combination of three </w:t>
      </w:r>
      <w:proofErr w:type="spellStart"/>
      <w:r>
        <w:t>peakers</w:t>
      </w:r>
      <w:proofErr w:type="spellEnd"/>
      <w:r>
        <w:t xml:space="preserve"> and one combined cycle plant as opposed to the portfolio without the renewal, which contained two </w:t>
      </w:r>
      <w:proofErr w:type="spellStart"/>
      <w:r>
        <w:t>peakers</w:t>
      </w:r>
      <w:proofErr w:type="spellEnd"/>
      <w:r>
        <w:t xml:space="preserve"> and two combined cycle plants to meet capacity need.</w:t>
      </w:r>
      <w:r w:rsidR="00404C71">
        <w:t xml:space="preserve"> </w:t>
      </w:r>
      <w:r>
        <w:t xml:space="preserve">Replacing a combined cycle build with a </w:t>
      </w:r>
      <w:proofErr w:type="spellStart"/>
      <w:r>
        <w:t>peaker</w:t>
      </w:r>
      <w:proofErr w:type="spellEnd"/>
      <w:r>
        <w:t xml:space="preserve"> build results in a lower capital cost.</w:t>
      </w:r>
      <w:r w:rsidR="00404C71">
        <w:t xml:space="preserve"> </w:t>
      </w:r>
      <w:r>
        <w:t>The effect of these differences was a $27</w:t>
      </w:r>
      <w:r w:rsidR="007C0A55">
        <w:t> </w:t>
      </w:r>
      <w:r>
        <w:t>million portfolio benefit to renewal.</w:t>
      </w:r>
    </w:p>
    <w:p w:rsidR="007C0A55" w:rsidRDefault="00564992" w:rsidP="007C0A55">
      <w:pPr>
        <w:pStyle w:val="NestedAnswer"/>
      </w:pPr>
      <w:r>
        <w:rPr>
          <w:b/>
          <w:noProof/>
          <w:lang w:eastAsia="en-US"/>
        </w:rPr>
        <mc:AlternateContent>
          <mc:Choice Requires="wpg">
            <w:drawing>
              <wp:anchor distT="0" distB="0" distL="114300" distR="114300" simplePos="0" relativeHeight="251701248" behindDoc="0" locked="0" layoutInCell="1" allowOverlap="1" wp14:anchorId="29B2CC19" wp14:editId="4B4CA21D">
                <wp:simplePos x="0" y="0"/>
                <wp:positionH relativeFrom="column">
                  <wp:posOffset>1890395</wp:posOffset>
                </wp:positionH>
                <wp:positionV relativeFrom="paragraph">
                  <wp:posOffset>2489200</wp:posOffset>
                </wp:positionV>
                <wp:extent cx="1546860" cy="65024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650240"/>
                          <a:chOff x="4401" y="11656"/>
                          <a:chExt cx="4320" cy="780"/>
                        </a:xfrm>
                      </wpg:grpSpPr>
                      <wps:wsp>
                        <wps:cNvPr id="19"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564992"/>
                          </w:txbxContent>
                        </wps:txbx>
                        <wps:bodyPr rot="0" vert="horz" wrap="square" lIns="91440" tIns="91440" rIns="91440" bIns="91440" anchor="t" anchorCtr="0" upright="1">
                          <a:noAutofit/>
                        </wps:bodyPr>
                      </wps:wsp>
                      <wps:wsp>
                        <wps:cNvPr id="20"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35" style="position:absolute;left:0;text-align:left;margin-left:148.85pt;margin-top:196pt;width:121.8pt;height:51.2pt;z-index:251701248"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">
                <v:shape id="Text Box 12" o:spid="_x0000_s1036"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2sfMAA&#10;AADbAAAADwAAAGRycy9kb3ducmV2LnhtbERPTYvCMBC9C/sfwix401QRcatRRBD0pq7s7nFopmmx&#10;mZQm1uqvN4Kwt3m8z1msOluJlhpfOlYwGiYgiDOnSzYKzt/bwQyED8gaK8ek4E4eVsuP3gJT7W58&#10;pPYUjIgh7FNUUIRQp1L6rCCLfuhq4sjlrrEYImyM1A3eYrit5DhJptJiybGhwJo2BWWX09Uq+DXT&#10;fXWYXXQ++Xv8jMy1bTf7XKn+Z7eegwjUhX/x273Tcf4X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2sfMAAAADbAAAADwAAAAAAAAAAAAAAAACYAgAAZHJzL2Rvd25y&#10;ZXYueG1sUEsFBgAAAAAEAAQA9QAAAIUDAAAAAA==&#10;" fillcolor="gray" stroked="f">
                  <v:textbox inset=",7.2pt,,7.2pt">
                    <w:txbxContent>
                      <w:p w:rsidR="007C3D2B" w:rsidRDefault="007C3D2B" w:rsidP="00564992"/>
                    </w:txbxContent>
                  </v:textbox>
                </v:shape>
                <v:shape id="Text Box 13" o:spid="_x0000_s1037"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GHsQA&#10;AADbAAAADwAAAGRycy9kb3ducmV2LnhtbESPQWvCQBCF7wX/wzJCL6VuqiiSuooEBPFSjJLzkJ0m&#10;odnZmN2a9N93DoK3GebNe+/b7EbXqjv1ofFs4GOWgCIuvW24MnC9HN7XoEJEtth6JgN/FGC3nbxs&#10;MLV+4DPd81gpMeGQooE6xi7VOpQ1OQwz3xHL7dv3DqOsfaVtj4OYu1bPk2SlHTYsCTV2lNVU/uS/&#10;zkB2KmQ8376KYtEuV6d8yN6yypjX6bj/BBVpjE/x4/toDcylvbAIB+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4Bh7EAAAA2wAAAA8AAAAAAAAAAAAAAAAAmAIAAGRycy9k&#10;b3ducmV2LnhtbFBLBQYAAAAABAAEAPUAAACJAwAAAAA=&#10;" strokeweight="1.5pt">
                  <v:textbox inset=",7.2pt,,7.2pt">
                    <w:txbxContent>
                      <w:p w:rsid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56499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v:textbox>
                </v:shape>
              </v:group>
            </w:pict>
          </mc:Fallback>
        </mc:AlternateContent>
      </w:r>
      <w:r w:rsidR="00866BF4">
        <w:t>Comparison of the portfolio containing the transmission renewal to the portfolio with an equivalent amount of peaking capacity indicates a nearly $99</w:t>
      </w:r>
      <w:r w:rsidR="007C0A55">
        <w:t> </w:t>
      </w:r>
      <w:r w:rsidR="00866BF4">
        <w:t>million portfolio savings when the transmission renewal is executed.</w:t>
      </w:r>
    </w:p>
    <w:p w:rsidR="00866BF4" w:rsidRDefault="00866BF4" w:rsidP="000E0879">
      <w:pPr>
        <w:pStyle w:val="NestedAnswer"/>
        <w:keepNext/>
        <w:keepLines/>
      </w:pPr>
      <w:r>
        <w:lastRenderedPageBreak/>
        <w:t>Results of the portfolio analysis are presented in Table</w:t>
      </w:r>
      <w:r w:rsidR="007C0A55">
        <w:t> </w:t>
      </w:r>
      <w:r w:rsidR="007C48E0">
        <w:t>8</w:t>
      </w:r>
      <w:r>
        <w:t>.</w:t>
      </w:r>
    </w:p>
    <w:p w:rsidR="00866BF4" w:rsidRDefault="00866BF4" w:rsidP="007C0A55">
      <w:pPr>
        <w:pStyle w:val="TableHeader"/>
      </w:pPr>
      <w:r>
        <w:t>Table</w:t>
      </w:r>
      <w:r w:rsidR="00FE3925">
        <w:t> </w:t>
      </w:r>
      <w:r w:rsidR="007C48E0">
        <w:t>8</w:t>
      </w:r>
      <w:r w:rsidR="007C0A55">
        <w:t xml:space="preserve">. </w:t>
      </w:r>
      <w:r>
        <w:t xml:space="preserve">Net Present Value of Portfolio Costs </w:t>
      </w:r>
      <w:r w:rsidR="007C0A55">
        <w:br/>
      </w:r>
      <w:r>
        <w:t>with and without 94 MW Renewal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2744"/>
        <w:gridCol w:w="2697"/>
      </w:tblGrid>
      <w:tr w:rsidR="007C0A55" w:rsidRPr="00214F2D" w:rsidTr="0044164E">
        <w:tc>
          <w:tcPr>
            <w:tcW w:w="2695" w:type="dxa"/>
            <w:tcBorders>
              <w:bottom w:val="double" w:sz="4" w:space="0" w:color="auto"/>
            </w:tcBorders>
            <w:vAlign w:val="bottom"/>
          </w:tcPr>
          <w:p w:rsidR="007C0A55" w:rsidRPr="00214F2D" w:rsidRDefault="007C0A55" w:rsidP="00A53969">
            <w:pPr>
              <w:pStyle w:val="answer"/>
              <w:keepNext/>
              <w:keepLines/>
              <w:spacing w:before="60" w:after="60" w:line="240" w:lineRule="auto"/>
              <w:ind w:left="0" w:firstLine="0"/>
              <w:jc w:val="center"/>
              <w:rPr>
                <w:b/>
                <w:szCs w:val="24"/>
              </w:rPr>
            </w:pPr>
            <w:r w:rsidRPr="00214F2D">
              <w:rPr>
                <w:b/>
                <w:szCs w:val="24"/>
              </w:rPr>
              <w:t>Option</w:t>
            </w:r>
          </w:p>
        </w:tc>
        <w:tc>
          <w:tcPr>
            <w:tcW w:w="2744" w:type="dxa"/>
            <w:tcBorders>
              <w:bottom w:val="double" w:sz="4" w:space="0" w:color="auto"/>
            </w:tcBorders>
            <w:vAlign w:val="bottom"/>
          </w:tcPr>
          <w:p w:rsidR="007C0A55" w:rsidRPr="00214F2D" w:rsidRDefault="007C0A55" w:rsidP="00A53969">
            <w:pPr>
              <w:pStyle w:val="answer"/>
              <w:keepNext/>
              <w:keepLines/>
              <w:spacing w:before="60" w:after="60" w:line="240" w:lineRule="auto"/>
              <w:ind w:left="0" w:firstLine="0"/>
              <w:jc w:val="center"/>
              <w:rPr>
                <w:b/>
                <w:szCs w:val="24"/>
              </w:rPr>
            </w:pPr>
            <w:r w:rsidRPr="00214F2D">
              <w:rPr>
                <w:b/>
                <w:szCs w:val="24"/>
              </w:rPr>
              <w:t>Incremental Portfolio</w:t>
            </w:r>
            <w:r w:rsidRPr="00214F2D">
              <w:rPr>
                <w:b/>
                <w:szCs w:val="24"/>
              </w:rPr>
              <w:br/>
              <w:t>Cost ($000)</w:t>
            </w:r>
          </w:p>
        </w:tc>
        <w:tc>
          <w:tcPr>
            <w:tcW w:w="2697" w:type="dxa"/>
            <w:tcBorders>
              <w:bottom w:val="double" w:sz="4" w:space="0" w:color="auto"/>
            </w:tcBorders>
            <w:vAlign w:val="bottom"/>
          </w:tcPr>
          <w:p w:rsidR="007C0A55" w:rsidRPr="00214F2D" w:rsidRDefault="007C0A55" w:rsidP="00A53969">
            <w:pPr>
              <w:pStyle w:val="answer"/>
              <w:keepNext/>
              <w:keepLines/>
              <w:spacing w:before="60" w:after="60" w:line="240" w:lineRule="auto"/>
              <w:ind w:left="0" w:firstLine="0"/>
              <w:jc w:val="center"/>
              <w:rPr>
                <w:b/>
                <w:szCs w:val="24"/>
              </w:rPr>
            </w:pPr>
            <w:r w:rsidRPr="00214F2D">
              <w:rPr>
                <w:b/>
                <w:szCs w:val="24"/>
              </w:rPr>
              <w:t>Portfolio Benefit to</w:t>
            </w:r>
            <w:r w:rsidRPr="00214F2D">
              <w:rPr>
                <w:b/>
                <w:szCs w:val="24"/>
              </w:rPr>
              <w:br/>
              <w:t>Renewal ($000)</w:t>
            </w:r>
          </w:p>
        </w:tc>
      </w:tr>
      <w:tr w:rsidR="007C0A55" w:rsidRPr="00214F2D" w:rsidTr="0044164E">
        <w:tc>
          <w:tcPr>
            <w:tcW w:w="2695" w:type="dxa"/>
            <w:tcBorders>
              <w:top w:val="double" w:sz="4" w:space="0" w:color="auto"/>
            </w:tcBorders>
          </w:tcPr>
          <w:p w:rsidR="007C0A55" w:rsidRPr="00214F2D" w:rsidRDefault="007C0A55" w:rsidP="00A53969">
            <w:pPr>
              <w:pStyle w:val="answer"/>
              <w:keepNext/>
              <w:keepLines/>
              <w:spacing w:before="60" w:after="60" w:line="240" w:lineRule="auto"/>
              <w:ind w:left="0" w:firstLine="0"/>
              <w:rPr>
                <w:szCs w:val="24"/>
              </w:rPr>
            </w:pPr>
            <w:r w:rsidRPr="00214F2D">
              <w:rPr>
                <w:szCs w:val="24"/>
              </w:rPr>
              <w:t>Renewal with Physical Index Power Purchase</w:t>
            </w:r>
          </w:p>
        </w:tc>
        <w:tc>
          <w:tcPr>
            <w:tcW w:w="2744" w:type="dxa"/>
            <w:tcBorders>
              <w:top w:val="double" w:sz="4" w:space="0" w:color="auto"/>
            </w:tcBorders>
          </w:tcPr>
          <w:p w:rsidR="007C0A55" w:rsidRPr="00214F2D" w:rsidRDefault="007C0A55" w:rsidP="00A53969">
            <w:pPr>
              <w:pStyle w:val="answer"/>
              <w:keepNext/>
              <w:keepLines/>
              <w:spacing w:before="60" w:after="60" w:line="240" w:lineRule="auto"/>
              <w:ind w:left="0" w:right="633" w:firstLine="0"/>
              <w:jc w:val="right"/>
              <w:rPr>
                <w:szCs w:val="24"/>
              </w:rPr>
            </w:pPr>
            <w:r w:rsidRPr="00214F2D">
              <w:rPr>
                <w:szCs w:val="24"/>
              </w:rPr>
              <w:t>$9,783,440</w:t>
            </w:r>
          </w:p>
        </w:tc>
        <w:tc>
          <w:tcPr>
            <w:tcW w:w="2697" w:type="dxa"/>
            <w:tcBorders>
              <w:top w:val="double" w:sz="4" w:space="0" w:color="auto"/>
            </w:tcBorders>
          </w:tcPr>
          <w:p w:rsidR="007C0A55" w:rsidRPr="00214F2D" w:rsidRDefault="007C0A55" w:rsidP="00A53969">
            <w:pPr>
              <w:pStyle w:val="answer"/>
              <w:keepNext/>
              <w:keepLines/>
              <w:spacing w:before="60" w:after="60" w:line="240" w:lineRule="auto"/>
              <w:ind w:left="0" w:right="720" w:firstLine="0"/>
              <w:jc w:val="right"/>
              <w:rPr>
                <w:szCs w:val="24"/>
              </w:rPr>
            </w:pPr>
            <w:r w:rsidRPr="00214F2D">
              <w:rPr>
                <w:szCs w:val="24"/>
              </w:rPr>
              <w:t>–</w:t>
            </w:r>
          </w:p>
        </w:tc>
      </w:tr>
      <w:tr w:rsidR="007C0A55" w:rsidRPr="00214F2D" w:rsidTr="0044164E">
        <w:tc>
          <w:tcPr>
            <w:tcW w:w="2695" w:type="dxa"/>
          </w:tcPr>
          <w:p w:rsidR="007C0A55" w:rsidRPr="00214F2D" w:rsidRDefault="007C0A55" w:rsidP="00A53969">
            <w:pPr>
              <w:pStyle w:val="answer"/>
              <w:keepNext/>
              <w:keepLines/>
              <w:spacing w:before="60" w:after="60" w:line="240" w:lineRule="auto"/>
              <w:ind w:left="0" w:firstLine="0"/>
              <w:rPr>
                <w:szCs w:val="24"/>
              </w:rPr>
            </w:pPr>
            <w:r w:rsidRPr="00214F2D">
              <w:rPr>
                <w:szCs w:val="24"/>
              </w:rPr>
              <w:t>No Renewal</w:t>
            </w:r>
          </w:p>
        </w:tc>
        <w:tc>
          <w:tcPr>
            <w:tcW w:w="2744" w:type="dxa"/>
          </w:tcPr>
          <w:p w:rsidR="007C0A55" w:rsidRPr="00214F2D" w:rsidRDefault="007C0A55" w:rsidP="00A53969">
            <w:pPr>
              <w:pStyle w:val="answer"/>
              <w:keepNext/>
              <w:keepLines/>
              <w:spacing w:before="60" w:after="60" w:line="240" w:lineRule="auto"/>
              <w:ind w:left="0" w:right="633" w:firstLine="0"/>
              <w:jc w:val="right"/>
              <w:rPr>
                <w:szCs w:val="24"/>
              </w:rPr>
            </w:pPr>
            <w:r w:rsidRPr="00214F2D">
              <w:rPr>
                <w:szCs w:val="24"/>
              </w:rPr>
              <w:t>$9,810,719</w:t>
            </w:r>
          </w:p>
        </w:tc>
        <w:tc>
          <w:tcPr>
            <w:tcW w:w="2697" w:type="dxa"/>
          </w:tcPr>
          <w:p w:rsidR="007C0A55" w:rsidRPr="00214F2D" w:rsidRDefault="007C0A55" w:rsidP="00A53969">
            <w:pPr>
              <w:pStyle w:val="answer"/>
              <w:keepNext/>
              <w:keepLines/>
              <w:spacing w:before="60" w:after="60" w:line="240" w:lineRule="auto"/>
              <w:ind w:left="0" w:right="720" w:firstLine="0"/>
              <w:jc w:val="right"/>
              <w:rPr>
                <w:szCs w:val="24"/>
              </w:rPr>
            </w:pPr>
            <w:r w:rsidRPr="00214F2D">
              <w:rPr>
                <w:szCs w:val="24"/>
              </w:rPr>
              <w:t>$27,279</w:t>
            </w:r>
          </w:p>
        </w:tc>
      </w:tr>
      <w:tr w:rsidR="007C0A55" w:rsidRPr="00214F2D" w:rsidTr="0044164E">
        <w:tc>
          <w:tcPr>
            <w:tcW w:w="2695" w:type="dxa"/>
          </w:tcPr>
          <w:p w:rsidR="007C0A55" w:rsidRPr="00214F2D" w:rsidRDefault="007C0A55" w:rsidP="007C0A55">
            <w:pPr>
              <w:pStyle w:val="answer"/>
              <w:spacing w:before="60" w:after="60" w:line="240" w:lineRule="auto"/>
              <w:ind w:left="0" w:firstLine="0"/>
              <w:rPr>
                <w:szCs w:val="24"/>
              </w:rPr>
            </w:pPr>
            <w:r w:rsidRPr="00214F2D">
              <w:rPr>
                <w:szCs w:val="24"/>
              </w:rPr>
              <w:t>Partial Peaker</w:t>
            </w:r>
          </w:p>
        </w:tc>
        <w:tc>
          <w:tcPr>
            <w:tcW w:w="2744" w:type="dxa"/>
          </w:tcPr>
          <w:p w:rsidR="007C0A55" w:rsidRPr="00214F2D" w:rsidRDefault="007C0A55" w:rsidP="007C0A55">
            <w:pPr>
              <w:pStyle w:val="answer"/>
              <w:spacing w:before="60" w:after="60" w:line="240" w:lineRule="auto"/>
              <w:ind w:left="0" w:right="633" w:firstLine="0"/>
              <w:jc w:val="right"/>
              <w:rPr>
                <w:szCs w:val="24"/>
              </w:rPr>
            </w:pPr>
            <w:r w:rsidRPr="00214F2D">
              <w:rPr>
                <w:szCs w:val="24"/>
              </w:rPr>
              <w:t>$9,882,387</w:t>
            </w:r>
          </w:p>
        </w:tc>
        <w:tc>
          <w:tcPr>
            <w:tcW w:w="2697" w:type="dxa"/>
          </w:tcPr>
          <w:p w:rsidR="007C0A55" w:rsidRPr="00214F2D" w:rsidRDefault="007C0A55" w:rsidP="0044164E">
            <w:pPr>
              <w:pStyle w:val="answer"/>
              <w:spacing w:before="60" w:after="60" w:line="240" w:lineRule="auto"/>
              <w:ind w:left="0" w:right="720" w:firstLine="0"/>
              <w:jc w:val="right"/>
              <w:rPr>
                <w:szCs w:val="24"/>
              </w:rPr>
            </w:pPr>
            <w:r w:rsidRPr="00214F2D">
              <w:rPr>
                <w:szCs w:val="24"/>
              </w:rPr>
              <w:t>$98,947</w:t>
            </w:r>
          </w:p>
        </w:tc>
      </w:tr>
    </w:tbl>
    <w:p w:rsidR="00866BF4" w:rsidRDefault="00866BF4" w:rsidP="007C0A55">
      <w:pPr>
        <w:pStyle w:val="question"/>
        <w:spacing w:before="360"/>
      </w:pPr>
      <w:r>
        <w:t>Q.</w:t>
      </w:r>
      <w:r>
        <w:tab/>
        <w:t>Did PSE replace the Physical Index Power Purchase for power at Garrison?</w:t>
      </w:r>
    </w:p>
    <w:p w:rsidR="00866BF4" w:rsidRDefault="00866BF4" w:rsidP="00866BF4">
      <w:pPr>
        <w:pStyle w:val="answer"/>
      </w:pPr>
      <w:r>
        <w:t>A.</w:t>
      </w:r>
      <w:r>
        <w:tab/>
        <w:t>Yes.</w:t>
      </w:r>
      <w:r w:rsidR="00404C71">
        <w:t xml:space="preserve"> </w:t>
      </w:r>
      <w:r>
        <w:t>PSE procured a winter only 75</w:t>
      </w:r>
      <w:r w:rsidR="007C0A55">
        <w:t> </w:t>
      </w:r>
      <w:r>
        <w:t>MW physical index power purchase for three winters under PSE</w:t>
      </w:r>
      <w:r w:rsidR="009F02BA">
        <w:t>’</w:t>
      </w:r>
      <w:r>
        <w:t>s portfolio hedging program.</w:t>
      </w:r>
      <w:r w:rsidR="00404C71">
        <w:t xml:space="preserve"> </w:t>
      </w:r>
      <w:r>
        <w:t>It started in November</w:t>
      </w:r>
      <w:r w:rsidR="007C0A55">
        <w:t> </w:t>
      </w:r>
      <w:r>
        <w:t>2015 and will expire in February</w:t>
      </w:r>
      <w:r w:rsidR="007C0A55">
        <w:t> </w:t>
      </w:r>
      <w:r w:rsidR="00C6419C">
        <w:t>2018.</w:t>
      </w:r>
    </w:p>
    <w:p w:rsidR="00866BF4" w:rsidRDefault="00866BF4" w:rsidP="00866BF4">
      <w:pPr>
        <w:pStyle w:val="question"/>
      </w:pPr>
      <w:r>
        <w:t>Q.</w:t>
      </w:r>
      <w:r>
        <w:tab/>
        <w:t>Was the transmission contract for power at Garrison</w:t>
      </w:r>
      <w:r w:rsidR="007A5F8E">
        <w:t>, Montana</w:t>
      </w:r>
      <w:r>
        <w:t xml:space="preserve"> approved by PSE</w:t>
      </w:r>
      <w:r w:rsidR="009F02BA">
        <w:t>’</w:t>
      </w:r>
      <w:r>
        <w:t>s EMC?</w:t>
      </w:r>
    </w:p>
    <w:p w:rsidR="00866BF4" w:rsidRDefault="00866BF4" w:rsidP="00866BF4">
      <w:pPr>
        <w:pStyle w:val="answer"/>
      </w:pPr>
      <w:r>
        <w:t>A.</w:t>
      </w:r>
      <w:r>
        <w:tab/>
        <w:t>Yes.</w:t>
      </w:r>
      <w:r w:rsidR="00404C71">
        <w:t xml:space="preserve"> </w:t>
      </w:r>
      <w:r>
        <w:t>The EMC approved the renewal of the 94</w:t>
      </w:r>
      <w:r w:rsidR="007C0A55">
        <w:t> </w:t>
      </w:r>
      <w:r>
        <w:t>MW transmission contract from Garrison on September</w:t>
      </w:r>
      <w:r w:rsidR="007C0A55">
        <w:t> </w:t>
      </w:r>
      <w:r>
        <w:t>17, 2015.</w:t>
      </w:r>
    </w:p>
    <w:p w:rsidR="00866BF4" w:rsidRDefault="00866BF4" w:rsidP="00866BF4">
      <w:pPr>
        <w:pStyle w:val="question"/>
      </w:pPr>
      <w:r>
        <w:t>Q.</w:t>
      </w:r>
      <w:r>
        <w:tab/>
        <w:t xml:space="preserve">Were the transmission contracts renewed for Mint Farm and the Coal Transition </w:t>
      </w:r>
      <w:proofErr w:type="spellStart"/>
      <w:r>
        <w:t>PPA</w:t>
      </w:r>
      <w:proofErr w:type="spellEnd"/>
      <w:r>
        <w:t xml:space="preserve"> also approved by PSE</w:t>
      </w:r>
      <w:r w:rsidR="009F02BA">
        <w:t>’</w:t>
      </w:r>
      <w:r>
        <w:t>s EMC?</w:t>
      </w:r>
    </w:p>
    <w:p w:rsidR="00866BF4" w:rsidRDefault="00866BF4" w:rsidP="00866BF4">
      <w:pPr>
        <w:pStyle w:val="answer"/>
      </w:pPr>
      <w:r>
        <w:t>A.</w:t>
      </w:r>
      <w:r>
        <w:tab/>
        <w:t xml:space="preserve">No, </w:t>
      </w:r>
      <w:r w:rsidR="007405BE">
        <w:t xml:space="preserve">these contract renewals were not submitted to the </w:t>
      </w:r>
      <w:r>
        <w:t xml:space="preserve">EMC </w:t>
      </w:r>
      <w:r w:rsidR="007405BE">
        <w:t xml:space="preserve">because EMC </w:t>
      </w:r>
      <w:r>
        <w:t>approval was not necessary.</w:t>
      </w:r>
      <w:r w:rsidR="00404C71">
        <w:t xml:space="preserve"> </w:t>
      </w:r>
      <w:r>
        <w:t>If a transmission contract supports an underlying resource and the new contract term is within the operating life of the existing facility, PSE policy does not require EMC approval of the contract renewal.</w:t>
      </w:r>
      <w:r w:rsidR="00404C71">
        <w:t xml:space="preserve"> </w:t>
      </w:r>
    </w:p>
    <w:p w:rsidR="00866BF4" w:rsidRDefault="00866BF4" w:rsidP="00866BF4">
      <w:pPr>
        <w:pStyle w:val="question"/>
      </w:pPr>
      <w:r>
        <w:lastRenderedPageBreak/>
        <w:t>Q.</w:t>
      </w:r>
      <w:r>
        <w:tab/>
        <w:t>Are all of the resources for which transmission was renewed included in the rate year power cost forecast?</w:t>
      </w:r>
    </w:p>
    <w:p w:rsidR="00866BF4" w:rsidRDefault="00866BF4" w:rsidP="00866BF4">
      <w:pPr>
        <w:pStyle w:val="answer"/>
      </w:pPr>
      <w:r>
        <w:t>A.</w:t>
      </w:r>
      <w:r>
        <w:tab/>
        <w:t>Yes. PSE</w:t>
      </w:r>
      <w:r w:rsidR="009F02BA">
        <w:t>’</w:t>
      </w:r>
      <w:r>
        <w:t>s rate year power resources include the</w:t>
      </w:r>
      <w:r w:rsidR="00B155A8">
        <w:t xml:space="preserve"> Coal Transition </w:t>
      </w:r>
      <w:proofErr w:type="spellStart"/>
      <w:r w:rsidR="00B155A8">
        <w:t>PPA</w:t>
      </w:r>
      <w:proofErr w:type="spellEnd"/>
      <w:r w:rsidR="00B155A8">
        <w:t>, Mint Farm</w:t>
      </w:r>
      <w:r>
        <w:t>, and the 75</w:t>
      </w:r>
      <w:r w:rsidR="00B155A8">
        <w:t> </w:t>
      </w:r>
      <w:r>
        <w:t>MW winter only physical index power purchase.</w:t>
      </w:r>
    </w:p>
    <w:p w:rsidR="00866BF4" w:rsidRDefault="007235A3" w:rsidP="007235A3">
      <w:pPr>
        <w:pStyle w:val="Heading3"/>
      </w:pPr>
      <w:bookmarkStart w:id="24" w:name="_Toc471319025"/>
      <w:r>
        <w:t>3</w:t>
      </w:r>
      <w:r w:rsidR="00866BF4">
        <w:t>.</w:t>
      </w:r>
      <w:r w:rsidR="00866BF4">
        <w:tab/>
        <w:t>Summary of Transmission Contract Renewals</w:t>
      </w:r>
      <w:bookmarkEnd w:id="24"/>
    </w:p>
    <w:p w:rsidR="00866BF4" w:rsidRDefault="00866BF4" w:rsidP="00866BF4">
      <w:pPr>
        <w:pStyle w:val="question"/>
      </w:pPr>
      <w:r>
        <w:t>Q.</w:t>
      </w:r>
      <w:r>
        <w:tab/>
        <w:t>Was PSE</w:t>
      </w:r>
      <w:r w:rsidR="009F02BA">
        <w:t>’</w:t>
      </w:r>
      <w:r>
        <w:t>s renewal of BPA transmission capacity a valuable and reasonable business decision?</w:t>
      </w:r>
    </w:p>
    <w:p w:rsidR="00866BF4" w:rsidRDefault="00866BF4" w:rsidP="00866BF4">
      <w:pPr>
        <w:pStyle w:val="answer"/>
      </w:pPr>
      <w:r>
        <w:t>A.</w:t>
      </w:r>
      <w:r>
        <w:tab/>
        <w:t>Yes.</w:t>
      </w:r>
      <w:r w:rsidR="00404C71">
        <w:t xml:space="preserve"> </w:t>
      </w:r>
      <w:r>
        <w:t>As noted above, PSE relies on existing BPA transmission contracts from Mid-C to PSE</w:t>
      </w:r>
      <w:r w:rsidR="009F02BA">
        <w:t>’</w:t>
      </w:r>
      <w:r>
        <w:t>s system to meet its capacity need in that PSE may use this transmission to wheel short-term market power from Mid-C to PSE</w:t>
      </w:r>
      <w:r w:rsidR="009F02BA">
        <w:t>’</w:t>
      </w:r>
      <w:r>
        <w:t>s load.</w:t>
      </w:r>
      <w:r w:rsidR="00404C71">
        <w:t xml:space="preserve"> </w:t>
      </w:r>
      <w:r>
        <w:t>In this regard, these types of transmission contracts are akin to a resource for PSE and provide needed capacity.</w:t>
      </w:r>
      <w:r w:rsidR="00404C71">
        <w:t xml:space="preserve"> </w:t>
      </w:r>
      <w:r>
        <w:t>Additionally, firm transmission is required for PSE</w:t>
      </w:r>
      <w:r w:rsidR="009F02BA">
        <w:t>’</w:t>
      </w:r>
      <w:r>
        <w:t>s generation resources and contracts in order to ensure reliable delivery to PSE</w:t>
      </w:r>
      <w:r w:rsidR="009F02BA">
        <w:t>’</w:t>
      </w:r>
      <w:r>
        <w:t>s system to serve load.</w:t>
      </w:r>
      <w:r w:rsidR="002A7161" w:rsidRPr="002A7161">
        <w:t xml:space="preserve"> </w:t>
      </w:r>
      <w:r w:rsidR="002A7161">
        <w:t>In all cases, PSE performed a full and detailed justification for the prudence of the costs of renewing and acquiring these BPA transmission contracts.</w:t>
      </w:r>
    </w:p>
    <w:p w:rsidR="00866BF4" w:rsidRDefault="00866BF4" w:rsidP="00866BF4">
      <w:pPr>
        <w:pStyle w:val="question"/>
      </w:pPr>
      <w:r>
        <w:t>Q.</w:t>
      </w:r>
      <w:r>
        <w:tab/>
        <w:t>W</w:t>
      </w:r>
      <w:r w:rsidR="002A7161">
        <w:t>hat does PSE request from the Commission regarding</w:t>
      </w:r>
      <w:r>
        <w:t xml:space="preserve"> PSE</w:t>
      </w:r>
      <w:r w:rsidR="009F02BA">
        <w:t>’</w:t>
      </w:r>
      <w:r>
        <w:t>s renewal of transmissio</w:t>
      </w:r>
      <w:r w:rsidR="00B155A8">
        <w:t>n contracts?</w:t>
      </w:r>
    </w:p>
    <w:p w:rsidR="00214F2D" w:rsidRDefault="00866BF4" w:rsidP="00214F2D">
      <w:pPr>
        <w:pStyle w:val="answer"/>
      </w:pPr>
      <w:r>
        <w:t>A.</w:t>
      </w:r>
      <w:r>
        <w:tab/>
        <w:t>PSE respectfully requests the Commission deem these contracts and expenses to be prudently incurred and allow PSE to fully recover these costs in rates.</w:t>
      </w:r>
    </w:p>
    <w:p w:rsidR="00B155A8" w:rsidRDefault="00866BF4" w:rsidP="00214F2D">
      <w:pPr>
        <w:pStyle w:val="answer"/>
        <w:keepNext/>
        <w:keepLines/>
        <w:ind w:firstLine="0"/>
      </w:pPr>
      <w:r>
        <w:lastRenderedPageBreak/>
        <w:t xml:space="preserve">Specifically, PSE requests the Commission approve the rate year transmission costs </w:t>
      </w:r>
      <w:r w:rsidR="00810DDF">
        <w:t>presented in Table </w:t>
      </w:r>
      <w:r w:rsidR="007C48E0">
        <w:t>9</w:t>
      </w:r>
      <w:r w:rsidR="00810DDF">
        <w:t>.</w:t>
      </w:r>
    </w:p>
    <w:p w:rsidR="00B155A8" w:rsidRPr="00743F35" w:rsidRDefault="00B155A8" w:rsidP="00A53969">
      <w:pPr>
        <w:pStyle w:val="TableHeader"/>
        <w:widowControl/>
        <w:ind w:left="1530" w:right="1620"/>
      </w:pPr>
      <w:r w:rsidRPr="00743F35">
        <w:t>Table</w:t>
      </w:r>
      <w:r w:rsidR="0044164E" w:rsidRPr="00743F35">
        <w:t> </w:t>
      </w:r>
      <w:r w:rsidR="007C48E0" w:rsidRPr="00743F35">
        <w:t>9</w:t>
      </w:r>
      <w:r w:rsidRPr="00743F35">
        <w:t>. PSE Rate Year BPA Transmission</w:t>
      </w:r>
      <w:r w:rsidRPr="00743F35">
        <w:br/>
        <w:t>Contracts Renewal Costs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2156"/>
      </w:tblGrid>
      <w:tr w:rsidR="00B155A8" w:rsidRPr="00214F2D" w:rsidTr="00B155A8">
        <w:trPr>
          <w:jc w:val="center"/>
        </w:trPr>
        <w:tc>
          <w:tcPr>
            <w:tcW w:w="3569" w:type="dxa"/>
            <w:tcBorders>
              <w:bottom w:val="single" w:sz="4" w:space="0" w:color="auto"/>
            </w:tcBorders>
            <w:vAlign w:val="bottom"/>
          </w:tcPr>
          <w:p w:rsidR="00B155A8" w:rsidRPr="00214F2D" w:rsidRDefault="00B155A8" w:rsidP="00A53969">
            <w:pPr>
              <w:pStyle w:val="answer"/>
              <w:keepNext/>
              <w:keepLines/>
              <w:spacing w:before="60" w:after="60" w:line="240" w:lineRule="auto"/>
              <w:ind w:left="0" w:firstLine="0"/>
              <w:jc w:val="center"/>
              <w:rPr>
                <w:b/>
                <w:szCs w:val="24"/>
              </w:rPr>
            </w:pPr>
            <w:r w:rsidRPr="00214F2D">
              <w:rPr>
                <w:b/>
                <w:szCs w:val="24"/>
              </w:rPr>
              <w:t>Resource</w:t>
            </w:r>
          </w:p>
        </w:tc>
        <w:tc>
          <w:tcPr>
            <w:tcW w:w="2156" w:type="dxa"/>
            <w:tcBorders>
              <w:bottom w:val="single" w:sz="4" w:space="0" w:color="auto"/>
            </w:tcBorders>
            <w:vAlign w:val="bottom"/>
          </w:tcPr>
          <w:p w:rsidR="00B155A8" w:rsidRPr="00214F2D" w:rsidRDefault="00B155A8" w:rsidP="00A53969">
            <w:pPr>
              <w:pStyle w:val="answer"/>
              <w:keepNext/>
              <w:keepLines/>
              <w:spacing w:before="60" w:after="60" w:line="240" w:lineRule="auto"/>
              <w:ind w:left="0" w:firstLine="0"/>
              <w:jc w:val="center"/>
              <w:rPr>
                <w:b/>
                <w:szCs w:val="24"/>
              </w:rPr>
            </w:pPr>
            <w:r w:rsidRPr="00214F2D">
              <w:rPr>
                <w:b/>
                <w:szCs w:val="24"/>
              </w:rPr>
              <w:t>Rate Year Power</w:t>
            </w:r>
            <w:r w:rsidRPr="00214F2D">
              <w:rPr>
                <w:b/>
                <w:szCs w:val="24"/>
              </w:rPr>
              <w:br/>
              <w:t>Cost ($000)</w:t>
            </w:r>
          </w:p>
        </w:tc>
      </w:tr>
      <w:tr w:rsidR="00B155A8" w:rsidRPr="00214F2D" w:rsidTr="00B155A8">
        <w:trPr>
          <w:jc w:val="center"/>
        </w:trPr>
        <w:tc>
          <w:tcPr>
            <w:tcW w:w="3569" w:type="dxa"/>
            <w:tcBorders>
              <w:top w:val="single" w:sz="4" w:space="0" w:color="auto"/>
            </w:tcBorders>
          </w:tcPr>
          <w:p w:rsidR="00B155A8" w:rsidRPr="00214F2D" w:rsidRDefault="00B155A8" w:rsidP="00A53969">
            <w:pPr>
              <w:pStyle w:val="answer"/>
              <w:keepNext/>
              <w:keepLines/>
              <w:spacing w:before="60" w:after="60" w:line="240" w:lineRule="auto"/>
              <w:ind w:left="0" w:firstLine="0"/>
              <w:rPr>
                <w:szCs w:val="24"/>
              </w:rPr>
            </w:pPr>
            <w:r w:rsidRPr="00214F2D">
              <w:rPr>
                <w:szCs w:val="24"/>
              </w:rPr>
              <w:t xml:space="preserve">Mid-C </w:t>
            </w:r>
            <w:r w:rsidR="001753F2" w:rsidRPr="00214F2D">
              <w:rPr>
                <w:szCs w:val="24"/>
              </w:rPr>
              <w:t>4</w:t>
            </w:r>
            <w:r w:rsidRPr="00214F2D">
              <w:rPr>
                <w:szCs w:val="24"/>
              </w:rPr>
              <w:t>23 MW</w:t>
            </w:r>
          </w:p>
        </w:tc>
        <w:tc>
          <w:tcPr>
            <w:tcW w:w="2156" w:type="dxa"/>
            <w:tcBorders>
              <w:top w:val="single" w:sz="4" w:space="0" w:color="auto"/>
            </w:tcBorders>
          </w:tcPr>
          <w:p w:rsidR="00B155A8" w:rsidRPr="00214F2D" w:rsidRDefault="00B155A8" w:rsidP="00587380">
            <w:pPr>
              <w:pStyle w:val="answer"/>
              <w:keepNext/>
              <w:keepLines/>
              <w:spacing w:before="60" w:after="60" w:line="240" w:lineRule="auto"/>
              <w:ind w:left="0" w:right="684" w:firstLine="0"/>
              <w:jc w:val="right"/>
              <w:rPr>
                <w:szCs w:val="24"/>
              </w:rPr>
            </w:pPr>
            <w:r w:rsidRPr="00214F2D">
              <w:rPr>
                <w:szCs w:val="24"/>
              </w:rPr>
              <w:t>$</w:t>
            </w:r>
            <w:r w:rsidR="005C4157" w:rsidRPr="00214F2D">
              <w:rPr>
                <w:szCs w:val="24"/>
              </w:rPr>
              <w:t>9,</w:t>
            </w:r>
            <w:r w:rsidR="00587380" w:rsidRPr="00214F2D">
              <w:rPr>
                <w:szCs w:val="24"/>
              </w:rPr>
              <w:t>147</w:t>
            </w:r>
          </w:p>
        </w:tc>
      </w:tr>
      <w:tr w:rsidR="00B155A8" w:rsidRPr="00214F2D" w:rsidTr="00B155A8">
        <w:trPr>
          <w:jc w:val="center"/>
        </w:trPr>
        <w:tc>
          <w:tcPr>
            <w:tcW w:w="3569" w:type="dxa"/>
          </w:tcPr>
          <w:p w:rsidR="00B155A8" w:rsidRPr="00214F2D" w:rsidRDefault="00B155A8" w:rsidP="00A53969">
            <w:pPr>
              <w:pStyle w:val="answer"/>
              <w:keepNext/>
              <w:keepLines/>
              <w:spacing w:before="60" w:after="60" w:line="240" w:lineRule="auto"/>
              <w:ind w:left="0" w:firstLine="0"/>
              <w:rPr>
                <w:szCs w:val="24"/>
              </w:rPr>
            </w:pPr>
            <w:r w:rsidRPr="00214F2D">
              <w:rPr>
                <w:szCs w:val="24"/>
              </w:rPr>
              <w:t xml:space="preserve">Coal Transition </w:t>
            </w:r>
            <w:proofErr w:type="spellStart"/>
            <w:r w:rsidRPr="00214F2D">
              <w:rPr>
                <w:szCs w:val="24"/>
              </w:rPr>
              <w:t>PPA</w:t>
            </w:r>
            <w:proofErr w:type="spellEnd"/>
            <w:r w:rsidRPr="00214F2D">
              <w:rPr>
                <w:szCs w:val="24"/>
              </w:rPr>
              <w:t xml:space="preserve"> 100 MW</w:t>
            </w:r>
          </w:p>
        </w:tc>
        <w:tc>
          <w:tcPr>
            <w:tcW w:w="2156" w:type="dxa"/>
          </w:tcPr>
          <w:p w:rsidR="00B155A8" w:rsidRPr="00214F2D" w:rsidRDefault="00B155A8" w:rsidP="00587380">
            <w:pPr>
              <w:pStyle w:val="answer"/>
              <w:keepNext/>
              <w:keepLines/>
              <w:spacing w:before="60" w:after="60" w:line="240" w:lineRule="auto"/>
              <w:ind w:left="0" w:right="684" w:firstLine="0"/>
              <w:jc w:val="right"/>
              <w:rPr>
                <w:szCs w:val="24"/>
              </w:rPr>
            </w:pPr>
            <w:r w:rsidRPr="00214F2D">
              <w:rPr>
                <w:szCs w:val="24"/>
              </w:rPr>
              <w:t>$2,</w:t>
            </w:r>
            <w:r w:rsidR="00587380" w:rsidRPr="00214F2D">
              <w:rPr>
                <w:szCs w:val="24"/>
              </w:rPr>
              <w:t>162</w:t>
            </w:r>
          </w:p>
        </w:tc>
      </w:tr>
      <w:tr w:rsidR="00B155A8" w:rsidRPr="00214F2D" w:rsidTr="00B155A8">
        <w:trPr>
          <w:jc w:val="center"/>
        </w:trPr>
        <w:tc>
          <w:tcPr>
            <w:tcW w:w="3569" w:type="dxa"/>
          </w:tcPr>
          <w:p w:rsidR="00B155A8" w:rsidRPr="00214F2D" w:rsidRDefault="00B155A8" w:rsidP="00A53969">
            <w:pPr>
              <w:pStyle w:val="answer"/>
              <w:keepNext/>
              <w:keepLines/>
              <w:spacing w:before="60" w:after="60" w:line="240" w:lineRule="auto"/>
              <w:ind w:left="0" w:firstLine="0"/>
              <w:rPr>
                <w:szCs w:val="24"/>
              </w:rPr>
            </w:pPr>
            <w:r w:rsidRPr="00214F2D">
              <w:rPr>
                <w:szCs w:val="24"/>
              </w:rPr>
              <w:t>Mint Farm 12 MW</w:t>
            </w:r>
          </w:p>
        </w:tc>
        <w:tc>
          <w:tcPr>
            <w:tcW w:w="2156" w:type="dxa"/>
          </w:tcPr>
          <w:p w:rsidR="00B155A8" w:rsidRPr="00214F2D" w:rsidRDefault="00B155A8" w:rsidP="00B62348">
            <w:pPr>
              <w:pStyle w:val="answer"/>
              <w:keepNext/>
              <w:keepLines/>
              <w:spacing w:before="60" w:after="60" w:line="240" w:lineRule="auto"/>
              <w:ind w:left="0" w:right="684" w:firstLine="0"/>
              <w:jc w:val="right"/>
              <w:rPr>
                <w:szCs w:val="24"/>
              </w:rPr>
            </w:pPr>
            <w:r w:rsidRPr="00214F2D">
              <w:rPr>
                <w:szCs w:val="24"/>
              </w:rPr>
              <w:t>$</w:t>
            </w:r>
            <w:r w:rsidR="00587380" w:rsidRPr="00214F2D">
              <w:rPr>
                <w:szCs w:val="24"/>
              </w:rPr>
              <w:t>259</w:t>
            </w:r>
          </w:p>
        </w:tc>
      </w:tr>
      <w:tr w:rsidR="00B155A8" w:rsidRPr="00214F2D" w:rsidTr="00B155A8">
        <w:trPr>
          <w:jc w:val="center"/>
        </w:trPr>
        <w:tc>
          <w:tcPr>
            <w:tcW w:w="3569" w:type="dxa"/>
          </w:tcPr>
          <w:p w:rsidR="00B155A8" w:rsidRPr="00214F2D" w:rsidRDefault="00B155A8" w:rsidP="00A53969">
            <w:pPr>
              <w:pStyle w:val="answer"/>
              <w:keepNext/>
              <w:keepLines/>
              <w:spacing w:before="60" w:after="60" w:line="240" w:lineRule="auto"/>
              <w:ind w:left="0" w:firstLine="0"/>
              <w:rPr>
                <w:szCs w:val="24"/>
              </w:rPr>
            </w:pPr>
            <w:r w:rsidRPr="00214F2D">
              <w:rPr>
                <w:szCs w:val="24"/>
              </w:rPr>
              <w:t>Mint Farm Station Service 8 MW</w:t>
            </w:r>
          </w:p>
        </w:tc>
        <w:tc>
          <w:tcPr>
            <w:tcW w:w="2156" w:type="dxa"/>
          </w:tcPr>
          <w:p w:rsidR="00B155A8" w:rsidRPr="00214F2D" w:rsidRDefault="00B155A8" w:rsidP="00587380">
            <w:pPr>
              <w:pStyle w:val="answer"/>
              <w:keepNext/>
              <w:keepLines/>
              <w:spacing w:before="60" w:after="60" w:line="240" w:lineRule="auto"/>
              <w:ind w:left="0" w:right="684" w:firstLine="0"/>
              <w:jc w:val="right"/>
              <w:rPr>
                <w:szCs w:val="24"/>
              </w:rPr>
            </w:pPr>
            <w:r w:rsidRPr="00214F2D">
              <w:rPr>
                <w:szCs w:val="24"/>
              </w:rPr>
              <w:t>$</w:t>
            </w:r>
            <w:r w:rsidR="005C4157" w:rsidRPr="00214F2D">
              <w:rPr>
                <w:szCs w:val="24"/>
              </w:rPr>
              <w:t>1</w:t>
            </w:r>
            <w:r w:rsidR="00587380" w:rsidRPr="00214F2D">
              <w:rPr>
                <w:szCs w:val="24"/>
              </w:rPr>
              <w:t>73</w:t>
            </w:r>
          </w:p>
        </w:tc>
      </w:tr>
      <w:tr w:rsidR="00B155A8" w:rsidRPr="00214F2D" w:rsidTr="00B155A8">
        <w:trPr>
          <w:jc w:val="center"/>
        </w:trPr>
        <w:tc>
          <w:tcPr>
            <w:tcW w:w="3569" w:type="dxa"/>
            <w:tcBorders>
              <w:bottom w:val="double" w:sz="4" w:space="0" w:color="auto"/>
            </w:tcBorders>
          </w:tcPr>
          <w:p w:rsidR="00B155A8" w:rsidRPr="00214F2D" w:rsidRDefault="00B155A8" w:rsidP="00A53969">
            <w:pPr>
              <w:pStyle w:val="answer"/>
              <w:keepNext/>
              <w:keepLines/>
              <w:spacing w:before="60" w:after="60" w:line="240" w:lineRule="auto"/>
              <w:ind w:left="0" w:firstLine="0"/>
              <w:rPr>
                <w:szCs w:val="24"/>
              </w:rPr>
            </w:pPr>
            <w:r w:rsidRPr="00214F2D">
              <w:rPr>
                <w:szCs w:val="24"/>
              </w:rPr>
              <w:t>Garrison 94 MW</w:t>
            </w:r>
          </w:p>
        </w:tc>
        <w:tc>
          <w:tcPr>
            <w:tcW w:w="2156" w:type="dxa"/>
            <w:tcBorders>
              <w:bottom w:val="double" w:sz="4" w:space="0" w:color="auto"/>
            </w:tcBorders>
          </w:tcPr>
          <w:p w:rsidR="00B155A8" w:rsidRPr="00214F2D" w:rsidRDefault="00B155A8" w:rsidP="00587380">
            <w:pPr>
              <w:pStyle w:val="answer"/>
              <w:keepNext/>
              <w:keepLines/>
              <w:spacing w:before="60" w:after="60" w:line="240" w:lineRule="auto"/>
              <w:ind w:left="0" w:right="684" w:firstLine="0"/>
              <w:jc w:val="right"/>
              <w:rPr>
                <w:szCs w:val="24"/>
              </w:rPr>
            </w:pPr>
            <w:r w:rsidRPr="00214F2D">
              <w:rPr>
                <w:szCs w:val="24"/>
              </w:rPr>
              <w:t>$</w:t>
            </w:r>
            <w:r w:rsidR="005C4157" w:rsidRPr="00214F2D">
              <w:rPr>
                <w:szCs w:val="24"/>
              </w:rPr>
              <w:t>2,</w:t>
            </w:r>
            <w:r w:rsidR="00587380" w:rsidRPr="00214F2D">
              <w:rPr>
                <w:szCs w:val="24"/>
              </w:rPr>
              <w:t>033</w:t>
            </w:r>
          </w:p>
        </w:tc>
      </w:tr>
      <w:tr w:rsidR="00B155A8" w:rsidRPr="00214F2D" w:rsidTr="00B155A8">
        <w:trPr>
          <w:jc w:val="center"/>
        </w:trPr>
        <w:tc>
          <w:tcPr>
            <w:tcW w:w="3569" w:type="dxa"/>
            <w:tcBorders>
              <w:top w:val="double" w:sz="4" w:space="0" w:color="auto"/>
            </w:tcBorders>
          </w:tcPr>
          <w:p w:rsidR="00B155A8" w:rsidRPr="00214F2D" w:rsidRDefault="00B155A8" w:rsidP="00B155A8">
            <w:pPr>
              <w:pStyle w:val="answer"/>
              <w:spacing w:before="60" w:after="60" w:line="240" w:lineRule="auto"/>
              <w:ind w:left="0" w:firstLine="0"/>
              <w:rPr>
                <w:b/>
                <w:szCs w:val="24"/>
              </w:rPr>
            </w:pPr>
            <w:r w:rsidRPr="00214F2D">
              <w:rPr>
                <w:b/>
                <w:szCs w:val="24"/>
              </w:rPr>
              <w:t>Total</w:t>
            </w:r>
          </w:p>
        </w:tc>
        <w:tc>
          <w:tcPr>
            <w:tcW w:w="2156" w:type="dxa"/>
            <w:tcBorders>
              <w:top w:val="double" w:sz="4" w:space="0" w:color="auto"/>
            </w:tcBorders>
          </w:tcPr>
          <w:p w:rsidR="00B155A8" w:rsidRPr="00214F2D" w:rsidRDefault="00B155A8" w:rsidP="00587380">
            <w:pPr>
              <w:pStyle w:val="answer"/>
              <w:spacing w:before="60" w:after="60" w:line="240" w:lineRule="auto"/>
              <w:ind w:left="0" w:right="684" w:firstLine="0"/>
              <w:jc w:val="right"/>
              <w:rPr>
                <w:b/>
                <w:szCs w:val="24"/>
              </w:rPr>
            </w:pPr>
            <w:r w:rsidRPr="00214F2D">
              <w:rPr>
                <w:b/>
                <w:szCs w:val="24"/>
              </w:rPr>
              <w:t>$</w:t>
            </w:r>
            <w:r w:rsidR="00587380" w:rsidRPr="00214F2D">
              <w:rPr>
                <w:b/>
                <w:szCs w:val="24"/>
              </w:rPr>
              <w:t>13,774</w:t>
            </w:r>
          </w:p>
        </w:tc>
      </w:tr>
    </w:tbl>
    <w:p w:rsidR="00866BF4" w:rsidRDefault="007235A3" w:rsidP="00810DDF">
      <w:pPr>
        <w:pStyle w:val="Heading2"/>
        <w:spacing w:before="360"/>
      </w:pPr>
      <w:bookmarkStart w:id="25" w:name="_Toc471319026"/>
      <w:r>
        <w:t>B</w:t>
      </w:r>
      <w:r w:rsidR="00866BF4">
        <w:t>.</w:t>
      </w:r>
      <w:r w:rsidR="00866BF4">
        <w:tab/>
      </w:r>
      <w:r w:rsidR="00D12A48">
        <w:t xml:space="preserve">New and </w:t>
      </w:r>
      <w:r w:rsidR="00866BF4">
        <w:t>Potential New Transmission for Existing Generation Facilities</w:t>
      </w:r>
      <w:bookmarkEnd w:id="25"/>
    </w:p>
    <w:p w:rsidR="00866BF4" w:rsidRDefault="00866BF4" w:rsidP="00866BF4">
      <w:pPr>
        <w:pStyle w:val="question"/>
      </w:pPr>
      <w:r>
        <w:t>Q.</w:t>
      </w:r>
      <w:r>
        <w:tab/>
      </w:r>
      <w:r w:rsidR="00B62348">
        <w:t>Does</w:t>
      </w:r>
      <w:r>
        <w:t xml:space="preserve"> PSE plan </w:t>
      </w:r>
      <w:r w:rsidR="00B62348">
        <w:t>to</w:t>
      </w:r>
      <w:r>
        <w:t xml:space="preserve"> acquir</w:t>
      </w:r>
      <w:r w:rsidR="00B62348">
        <w:t>e</w:t>
      </w:r>
      <w:r>
        <w:t xml:space="preserve"> new BPA transmission contracts to wheel power from existing resources?</w:t>
      </w:r>
    </w:p>
    <w:p w:rsidR="00866BF4" w:rsidRDefault="00866BF4" w:rsidP="00866BF4">
      <w:pPr>
        <w:pStyle w:val="answer"/>
      </w:pPr>
      <w:r>
        <w:t>A.</w:t>
      </w:r>
      <w:r>
        <w:tab/>
        <w:t>Yes.</w:t>
      </w:r>
      <w:r w:rsidR="00404C71">
        <w:t xml:space="preserve"> </w:t>
      </w:r>
      <w:r>
        <w:t>PSE plans to enter into three new transmission contracts to allow for additional delivery of power from existing resources.</w:t>
      </w:r>
      <w:r w:rsidR="00404C71">
        <w:t xml:space="preserve"> </w:t>
      </w:r>
      <w:r>
        <w:t>The three contracts are listed in Table</w:t>
      </w:r>
      <w:r w:rsidR="00810DDF">
        <w:t> </w:t>
      </w:r>
      <w:r w:rsidR="00C37C3E">
        <w:t>10</w:t>
      </w:r>
      <w:r>
        <w:t xml:space="preserve"> and described below.</w:t>
      </w:r>
    </w:p>
    <w:p w:rsidR="00866BF4" w:rsidRDefault="00866BF4" w:rsidP="00A53969">
      <w:pPr>
        <w:pStyle w:val="TableHeader"/>
        <w:widowControl/>
        <w:ind w:left="1080" w:right="1080"/>
      </w:pPr>
      <w:r>
        <w:t>Table</w:t>
      </w:r>
      <w:r w:rsidR="00810DDF">
        <w:t> </w:t>
      </w:r>
      <w:r w:rsidR="00C37C3E">
        <w:t>10</w:t>
      </w:r>
      <w:r>
        <w:t>.</w:t>
      </w:r>
      <w:r w:rsidR="00404C71">
        <w:t xml:space="preserve"> </w:t>
      </w:r>
      <w:r>
        <w:t>BPA New Generation Transmission Contracts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5"/>
        <w:gridCol w:w="1437"/>
        <w:gridCol w:w="1438"/>
        <w:gridCol w:w="1440"/>
      </w:tblGrid>
      <w:tr w:rsidR="00810DDF" w:rsidRPr="00214F2D" w:rsidTr="00FA7EE8">
        <w:trPr>
          <w:jc w:val="center"/>
        </w:trPr>
        <w:tc>
          <w:tcPr>
            <w:tcW w:w="2095" w:type="dxa"/>
            <w:tcBorders>
              <w:bottom w:val="single" w:sz="4" w:space="0" w:color="auto"/>
            </w:tcBorders>
            <w:vAlign w:val="bottom"/>
          </w:tcPr>
          <w:p w:rsidR="00810DDF" w:rsidRPr="00214F2D" w:rsidRDefault="00810DDF" w:rsidP="00A53969">
            <w:pPr>
              <w:pStyle w:val="answer"/>
              <w:keepNext/>
              <w:keepLines/>
              <w:spacing w:before="60" w:after="60" w:line="240" w:lineRule="auto"/>
              <w:ind w:left="0" w:firstLine="0"/>
              <w:jc w:val="center"/>
              <w:rPr>
                <w:b/>
                <w:szCs w:val="24"/>
              </w:rPr>
            </w:pPr>
            <w:r w:rsidRPr="00214F2D">
              <w:rPr>
                <w:b/>
                <w:szCs w:val="24"/>
              </w:rPr>
              <w:t>Resource</w:t>
            </w:r>
          </w:p>
        </w:tc>
        <w:tc>
          <w:tcPr>
            <w:tcW w:w="1437" w:type="dxa"/>
            <w:tcBorders>
              <w:bottom w:val="single" w:sz="4" w:space="0" w:color="auto"/>
            </w:tcBorders>
            <w:vAlign w:val="bottom"/>
          </w:tcPr>
          <w:p w:rsidR="00810DDF" w:rsidRPr="00214F2D" w:rsidRDefault="008A0478" w:rsidP="00A53969">
            <w:pPr>
              <w:pStyle w:val="answer"/>
              <w:keepNext/>
              <w:keepLines/>
              <w:spacing w:before="60" w:after="60" w:line="240" w:lineRule="auto"/>
              <w:ind w:left="0" w:firstLine="0"/>
              <w:jc w:val="center"/>
              <w:rPr>
                <w:b/>
                <w:szCs w:val="24"/>
              </w:rPr>
            </w:pPr>
            <w:r w:rsidRPr="00214F2D">
              <w:rPr>
                <w:b/>
                <w:szCs w:val="24"/>
              </w:rPr>
              <w:t xml:space="preserve">Requested </w:t>
            </w:r>
            <w:r w:rsidR="00810DDF" w:rsidRPr="00214F2D">
              <w:rPr>
                <w:b/>
                <w:szCs w:val="24"/>
              </w:rPr>
              <w:t>Start</w:t>
            </w:r>
            <w:r w:rsidR="00810DDF" w:rsidRPr="00214F2D">
              <w:rPr>
                <w:b/>
                <w:szCs w:val="24"/>
              </w:rPr>
              <w:br/>
              <w:t>Date</w:t>
            </w:r>
          </w:p>
        </w:tc>
        <w:tc>
          <w:tcPr>
            <w:tcW w:w="1438" w:type="dxa"/>
            <w:tcBorders>
              <w:bottom w:val="single" w:sz="4" w:space="0" w:color="auto"/>
            </w:tcBorders>
            <w:vAlign w:val="bottom"/>
          </w:tcPr>
          <w:p w:rsidR="00810DDF" w:rsidRPr="00214F2D" w:rsidRDefault="00810DDF" w:rsidP="00A53969">
            <w:pPr>
              <w:pStyle w:val="answer"/>
              <w:keepNext/>
              <w:keepLines/>
              <w:spacing w:before="60" w:after="60" w:line="240" w:lineRule="auto"/>
              <w:ind w:left="0" w:firstLine="0"/>
              <w:jc w:val="center"/>
              <w:rPr>
                <w:b/>
                <w:szCs w:val="24"/>
              </w:rPr>
            </w:pPr>
            <w:r w:rsidRPr="00214F2D">
              <w:rPr>
                <w:b/>
                <w:szCs w:val="24"/>
              </w:rPr>
              <w:t>End</w:t>
            </w:r>
            <w:r w:rsidRPr="00214F2D">
              <w:rPr>
                <w:b/>
                <w:szCs w:val="24"/>
              </w:rPr>
              <w:br/>
              <w:t>Date</w:t>
            </w:r>
          </w:p>
        </w:tc>
        <w:tc>
          <w:tcPr>
            <w:tcW w:w="1440" w:type="dxa"/>
            <w:tcBorders>
              <w:bottom w:val="single" w:sz="4" w:space="0" w:color="auto"/>
            </w:tcBorders>
            <w:vAlign w:val="bottom"/>
          </w:tcPr>
          <w:p w:rsidR="00810DDF" w:rsidRPr="00214F2D" w:rsidRDefault="00810DDF" w:rsidP="00A53969">
            <w:pPr>
              <w:pStyle w:val="answer"/>
              <w:keepNext/>
              <w:keepLines/>
              <w:spacing w:before="60" w:after="60" w:line="240" w:lineRule="auto"/>
              <w:ind w:left="0" w:firstLine="0"/>
              <w:jc w:val="center"/>
              <w:rPr>
                <w:b/>
                <w:szCs w:val="24"/>
              </w:rPr>
            </w:pPr>
            <w:r w:rsidRPr="00214F2D">
              <w:rPr>
                <w:b/>
                <w:szCs w:val="24"/>
              </w:rPr>
              <w:t>Megawatt</w:t>
            </w:r>
            <w:r w:rsidRPr="00214F2D">
              <w:rPr>
                <w:b/>
                <w:szCs w:val="24"/>
              </w:rPr>
              <w:br/>
              <w:t>Capacity</w:t>
            </w:r>
          </w:p>
        </w:tc>
      </w:tr>
      <w:tr w:rsidR="00FA7EE8" w:rsidRPr="00214F2D" w:rsidTr="00FA7EE8">
        <w:trPr>
          <w:jc w:val="center"/>
        </w:trPr>
        <w:tc>
          <w:tcPr>
            <w:tcW w:w="2095" w:type="dxa"/>
            <w:tcBorders>
              <w:top w:val="single" w:sz="4" w:space="0" w:color="auto"/>
            </w:tcBorders>
          </w:tcPr>
          <w:p w:rsidR="00FA7EE8" w:rsidRPr="00214F2D" w:rsidRDefault="00FA7EE8" w:rsidP="00A53969">
            <w:pPr>
              <w:pStyle w:val="answer"/>
              <w:keepNext/>
              <w:keepLines/>
              <w:spacing w:before="60" w:after="60" w:line="240" w:lineRule="auto"/>
              <w:ind w:left="0" w:firstLine="0"/>
              <w:rPr>
                <w:szCs w:val="24"/>
              </w:rPr>
            </w:pPr>
            <w:r w:rsidRPr="00214F2D">
              <w:rPr>
                <w:szCs w:val="24"/>
              </w:rPr>
              <w:t>Goldendale</w:t>
            </w:r>
          </w:p>
        </w:tc>
        <w:tc>
          <w:tcPr>
            <w:tcW w:w="1437" w:type="dxa"/>
            <w:tcBorders>
              <w:top w:val="single" w:sz="4" w:space="0" w:color="auto"/>
            </w:tcBorders>
          </w:tcPr>
          <w:p w:rsidR="00FA7EE8" w:rsidRPr="00214F2D" w:rsidRDefault="00FA7EE8" w:rsidP="00A53969">
            <w:pPr>
              <w:pStyle w:val="answer"/>
              <w:keepNext/>
              <w:keepLines/>
              <w:spacing w:before="60" w:after="60" w:line="240" w:lineRule="auto"/>
              <w:ind w:left="0" w:right="219" w:firstLine="0"/>
              <w:jc w:val="right"/>
              <w:rPr>
                <w:szCs w:val="24"/>
              </w:rPr>
            </w:pPr>
            <w:r w:rsidRPr="00214F2D">
              <w:rPr>
                <w:szCs w:val="24"/>
              </w:rPr>
              <w:t>11/1/17</w:t>
            </w:r>
          </w:p>
        </w:tc>
        <w:tc>
          <w:tcPr>
            <w:tcW w:w="1438" w:type="dxa"/>
            <w:tcBorders>
              <w:top w:val="single" w:sz="4" w:space="0" w:color="auto"/>
            </w:tcBorders>
          </w:tcPr>
          <w:p w:rsidR="00FA7EE8" w:rsidRPr="00214F2D" w:rsidRDefault="00FA7EE8" w:rsidP="00A53969">
            <w:pPr>
              <w:pStyle w:val="answer"/>
              <w:keepNext/>
              <w:keepLines/>
              <w:spacing w:before="60" w:after="60" w:line="240" w:lineRule="auto"/>
              <w:ind w:left="0" w:right="217" w:firstLine="0"/>
              <w:jc w:val="right"/>
              <w:rPr>
                <w:szCs w:val="24"/>
              </w:rPr>
            </w:pPr>
            <w:r w:rsidRPr="00214F2D">
              <w:rPr>
                <w:szCs w:val="24"/>
              </w:rPr>
              <w:t>11/1/22</w:t>
            </w:r>
          </w:p>
        </w:tc>
        <w:tc>
          <w:tcPr>
            <w:tcW w:w="1440" w:type="dxa"/>
            <w:tcBorders>
              <w:top w:val="single" w:sz="4" w:space="0" w:color="auto"/>
            </w:tcBorders>
          </w:tcPr>
          <w:p w:rsidR="00FA7EE8" w:rsidRPr="00214F2D" w:rsidRDefault="00FA7EE8" w:rsidP="00A53969">
            <w:pPr>
              <w:pStyle w:val="answer"/>
              <w:keepNext/>
              <w:keepLines/>
              <w:spacing w:before="60" w:after="60" w:line="240" w:lineRule="auto"/>
              <w:ind w:left="0" w:right="397" w:firstLine="0"/>
              <w:jc w:val="right"/>
              <w:rPr>
                <w:szCs w:val="24"/>
              </w:rPr>
            </w:pPr>
            <w:r w:rsidRPr="00214F2D">
              <w:rPr>
                <w:szCs w:val="24"/>
              </w:rPr>
              <w:t>20</w:t>
            </w:r>
          </w:p>
        </w:tc>
      </w:tr>
      <w:tr w:rsidR="00FA7EE8" w:rsidRPr="00214F2D" w:rsidTr="00FA7EE8">
        <w:trPr>
          <w:jc w:val="center"/>
        </w:trPr>
        <w:tc>
          <w:tcPr>
            <w:tcW w:w="2095" w:type="dxa"/>
          </w:tcPr>
          <w:p w:rsidR="00FA7EE8" w:rsidRPr="00214F2D" w:rsidRDefault="00FA7EE8" w:rsidP="00A53969">
            <w:pPr>
              <w:pStyle w:val="answer"/>
              <w:keepNext/>
              <w:keepLines/>
              <w:spacing w:before="60" w:after="60" w:line="240" w:lineRule="auto"/>
              <w:ind w:left="0" w:firstLine="0"/>
              <w:rPr>
                <w:szCs w:val="24"/>
              </w:rPr>
            </w:pPr>
            <w:r w:rsidRPr="00214F2D">
              <w:rPr>
                <w:szCs w:val="24"/>
              </w:rPr>
              <w:t>Mint Farm</w:t>
            </w:r>
          </w:p>
        </w:tc>
        <w:tc>
          <w:tcPr>
            <w:tcW w:w="1437" w:type="dxa"/>
          </w:tcPr>
          <w:p w:rsidR="00FA7EE8" w:rsidRPr="00214F2D" w:rsidRDefault="00FA7EE8" w:rsidP="00A53969">
            <w:pPr>
              <w:pStyle w:val="answer"/>
              <w:keepNext/>
              <w:keepLines/>
              <w:spacing w:before="60" w:after="60" w:line="240" w:lineRule="auto"/>
              <w:ind w:left="0" w:right="219" w:firstLine="0"/>
              <w:jc w:val="right"/>
              <w:rPr>
                <w:szCs w:val="24"/>
              </w:rPr>
            </w:pPr>
            <w:r w:rsidRPr="00214F2D">
              <w:rPr>
                <w:szCs w:val="24"/>
              </w:rPr>
              <w:t>5/1/17</w:t>
            </w:r>
          </w:p>
        </w:tc>
        <w:tc>
          <w:tcPr>
            <w:tcW w:w="1438" w:type="dxa"/>
          </w:tcPr>
          <w:p w:rsidR="00FA7EE8" w:rsidRPr="00214F2D" w:rsidRDefault="00FA7EE8" w:rsidP="00A53969">
            <w:pPr>
              <w:pStyle w:val="answer"/>
              <w:keepNext/>
              <w:keepLines/>
              <w:spacing w:before="60" w:after="60" w:line="240" w:lineRule="auto"/>
              <w:ind w:left="0" w:right="217" w:firstLine="0"/>
              <w:jc w:val="right"/>
              <w:rPr>
                <w:szCs w:val="24"/>
              </w:rPr>
            </w:pPr>
            <w:r w:rsidRPr="00214F2D">
              <w:rPr>
                <w:szCs w:val="24"/>
              </w:rPr>
              <w:t>5/1/22</w:t>
            </w:r>
          </w:p>
        </w:tc>
        <w:tc>
          <w:tcPr>
            <w:tcW w:w="1440" w:type="dxa"/>
          </w:tcPr>
          <w:p w:rsidR="00FA7EE8" w:rsidRPr="00214F2D" w:rsidRDefault="00FA7EE8" w:rsidP="00A53969">
            <w:pPr>
              <w:pStyle w:val="answer"/>
              <w:keepNext/>
              <w:keepLines/>
              <w:spacing w:before="60" w:after="60" w:line="240" w:lineRule="auto"/>
              <w:ind w:left="0" w:right="397" w:firstLine="0"/>
              <w:jc w:val="right"/>
              <w:rPr>
                <w:szCs w:val="24"/>
              </w:rPr>
            </w:pPr>
            <w:r w:rsidRPr="00214F2D">
              <w:rPr>
                <w:szCs w:val="24"/>
              </w:rPr>
              <w:t>15</w:t>
            </w:r>
          </w:p>
        </w:tc>
      </w:tr>
      <w:tr w:rsidR="00FA7EE8" w:rsidRPr="00214F2D" w:rsidTr="00FA7EE8">
        <w:trPr>
          <w:jc w:val="center"/>
        </w:trPr>
        <w:tc>
          <w:tcPr>
            <w:tcW w:w="2095" w:type="dxa"/>
          </w:tcPr>
          <w:p w:rsidR="00FA7EE8" w:rsidRPr="00214F2D" w:rsidRDefault="00FA7EE8" w:rsidP="00A53969">
            <w:pPr>
              <w:pStyle w:val="answer"/>
              <w:keepNext/>
              <w:keepLines/>
              <w:spacing w:before="60" w:after="60" w:line="240" w:lineRule="auto"/>
              <w:ind w:left="0" w:firstLine="0"/>
              <w:rPr>
                <w:szCs w:val="24"/>
              </w:rPr>
            </w:pPr>
            <w:r w:rsidRPr="00214F2D">
              <w:rPr>
                <w:szCs w:val="24"/>
              </w:rPr>
              <w:t>Goldendale</w:t>
            </w:r>
          </w:p>
        </w:tc>
        <w:tc>
          <w:tcPr>
            <w:tcW w:w="1437" w:type="dxa"/>
          </w:tcPr>
          <w:p w:rsidR="00FA7EE8" w:rsidRPr="00214F2D" w:rsidRDefault="00FA7EE8" w:rsidP="00A53969">
            <w:pPr>
              <w:pStyle w:val="answer"/>
              <w:keepNext/>
              <w:keepLines/>
              <w:spacing w:before="60" w:after="60" w:line="240" w:lineRule="auto"/>
              <w:ind w:left="0" w:right="219" w:firstLine="0"/>
              <w:jc w:val="right"/>
              <w:rPr>
                <w:szCs w:val="24"/>
              </w:rPr>
            </w:pPr>
            <w:r w:rsidRPr="00214F2D">
              <w:rPr>
                <w:szCs w:val="24"/>
              </w:rPr>
              <w:t>5/1/16</w:t>
            </w:r>
          </w:p>
        </w:tc>
        <w:tc>
          <w:tcPr>
            <w:tcW w:w="1438" w:type="dxa"/>
          </w:tcPr>
          <w:p w:rsidR="00FA7EE8" w:rsidRPr="00214F2D" w:rsidRDefault="00FA7EE8" w:rsidP="00A53969">
            <w:pPr>
              <w:pStyle w:val="answer"/>
              <w:keepNext/>
              <w:keepLines/>
              <w:spacing w:before="60" w:after="60" w:line="240" w:lineRule="auto"/>
              <w:ind w:left="0" w:right="217" w:firstLine="0"/>
              <w:jc w:val="right"/>
              <w:rPr>
                <w:szCs w:val="24"/>
              </w:rPr>
            </w:pPr>
            <w:r w:rsidRPr="00214F2D">
              <w:rPr>
                <w:szCs w:val="24"/>
              </w:rPr>
              <w:t>5/1/21</w:t>
            </w:r>
          </w:p>
        </w:tc>
        <w:tc>
          <w:tcPr>
            <w:tcW w:w="1440" w:type="dxa"/>
          </w:tcPr>
          <w:p w:rsidR="00FA7EE8" w:rsidRPr="00214F2D" w:rsidRDefault="00FA7EE8" w:rsidP="00A53969">
            <w:pPr>
              <w:pStyle w:val="answer"/>
              <w:keepNext/>
              <w:keepLines/>
              <w:spacing w:before="60" w:after="60" w:line="240" w:lineRule="auto"/>
              <w:ind w:left="0" w:right="397" w:firstLine="0"/>
              <w:jc w:val="right"/>
              <w:rPr>
                <w:szCs w:val="24"/>
              </w:rPr>
            </w:pPr>
            <w:r w:rsidRPr="00214F2D">
              <w:rPr>
                <w:szCs w:val="24"/>
              </w:rPr>
              <w:t>18</w:t>
            </w:r>
          </w:p>
        </w:tc>
      </w:tr>
      <w:tr w:rsidR="00FA7EE8" w:rsidRPr="00214F2D" w:rsidTr="00FA7EE8">
        <w:trPr>
          <w:jc w:val="center"/>
        </w:trPr>
        <w:tc>
          <w:tcPr>
            <w:tcW w:w="4970" w:type="dxa"/>
            <w:gridSpan w:val="3"/>
            <w:tcBorders>
              <w:top w:val="double" w:sz="4" w:space="0" w:color="auto"/>
            </w:tcBorders>
          </w:tcPr>
          <w:p w:rsidR="00FA7EE8" w:rsidRPr="00214F2D" w:rsidRDefault="00FA7EE8" w:rsidP="00810DDF">
            <w:pPr>
              <w:pStyle w:val="answer"/>
              <w:spacing w:before="60" w:after="60" w:line="240" w:lineRule="auto"/>
              <w:ind w:left="0" w:firstLine="0"/>
              <w:rPr>
                <w:b/>
                <w:szCs w:val="24"/>
              </w:rPr>
            </w:pPr>
            <w:r w:rsidRPr="00214F2D">
              <w:rPr>
                <w:b/>
                <w:szCs w:val="24"/>
              </w:rPr>
              <w:t>Total New Transmission for Resources</w:t>
            </w:r>
          </w:p>
        </w:tc>
        <w:tc>
          <w:tcPr>
            <w:tcW w:w="1440" w:type="dxa"/>
            <w:tcBorders>
              <w:top w:val="double" w:sz="4" w:space="0" w:color="auto"/>
            </w:tcBorders>
          </w:tcPr>
          <w:p w:rsidR="00FA7EE8" w:rsidRPr="00214F2D" w:rsidRDefault="00FA7EE8" w:rsidP="00810DDF">
            <w:pPr>
              <w:pStyle w:val="answer"/>
              <w:spacing w:before="60" w:after="60" w:line="240" w:lineRule="auto"/>
              <w:ind w:left="0" w:right="397" w:firstLine="0"/>
              <w:jc w:val="right"/>
              <w:rPr>
                <w:b/>
                <w:szCs w:val="24"/>
              </w:rPr>
            </w:pPr>
            <w:r w:rsidRPr="00214F2D">
              <w:rPr>
                <w:b/>
                <w:szCs w:val="24"/>
              </w:rPr>
              <w:t>53</w:t>
            </w:r>
          </w:p>
        </w:tc>
      </w:tr>
    </w:tbl>
    <w:p w:rsidR="00FA7EE8" w:rsidRDefault="00FA7EE8" w:rsidP="00FA7EE8">
      <w:pPr>
        <w:pStyle w:val="Heading3"/>
        <w:spacing w:before="360"/>
      </w:pPr>
      <w:bookmarkStart w:id="26" w:name="_Toc471319027"/>
      <w:r>
        <w:lastRenderedPageBreak/>
        <w:t>1.</w:t>
      </w:r>
      <w:r>
        <w:tab/>
        <w:t>Transmission Contract (20 MW) Associated with Goldendale</w:t>
      </w:r>
      <w:bookmarkEnd w:id="26"/>
    </w:p>
    <w:p w:rsidR="00866BF4" w:rsidRDefault="00866BF4" w:rsidP="00810DDF">
      <w:pPr>
        <w:pStyle w:val="question"/>
        <w:spacing w:before="360"/>
      </w:pPr>
      <w:r>
        <w:t>Q.</w:t>
      </w:r>
      <w:r>
        <w:tab/>
        <w:t>Please describe the 20</w:t>
      </w:r>
      <w:r w:rsidR="00810DDF">
        <w:t> </w:t>
      </w:r>
      <w:r>
        <w:t>MW contract associated with Goldendale.</w:t>
      </w:r>
    </w:p>
    <w:p w:rsidR="00866BF4" w:rsidRDefault="00866BF4" w:rsidP="00866BF4">
      <w:pPr>
        <w:pStyle w:val="answer"/>
      </w:pPr>
      <w:r>
        <w:t>A.</w:t>
      </w:r>
      <w:r>
        <w:tab/>
        <w:t xml:space="preserve">In October of 2014 PSE </w:t>
      </w:r>
      <w:r w:rsidR="00D34A12">
        <w:t>decided</w:t>
      </w:r>
      <w:r>
        <w:t xml:space="preserve"> to acquire an additional 20</w:t>
      </w:r>
      <w:r w:rsidR="00810DDF">
        <w:t> </w:t>
      </w:r>
      <w:r w:rsidR="00532EE6">
        <w:t>MW</w:t>
      </w:r>
      <w:r>
        <w:t xml:space="preserve"> of transmission capacity from BPA in order to accommodate the duct firing capabilities of </w:t>
      </w:r>
      <w:r w:rsidR="00B62348">
        <w:t xml:space="preserve">the </w:t>
      </w:r>
      <w:r>
        <w:t>Goldendale generation facility.</w:t>
      </w:r>
      <w:r w:rsidR="00404C71">
        <w:t xml:space="preserve"> </w:t>
      </w:r>
      <w:r>
        <w:t>The previous transmission rights, totaling 277</w:t>
      </w:r>
      <w:r w:rsidR="00810DDF">
        <w:t> </w:t>
      </w:r>
      <w:r w:rsidR="00532EE6">
        <w:t>MW</w:t>
      </w:r>
      <w:r>
        <w:t>, were acquired from the previous owner</w:t>
      </w:r>
      <w:r w:rsidR="00D34A12">
        <w:t xml:space="preserve"> and did not</w:t>
      </w:r>
      <w:r w:rsidR="00EF4436">
        <w:t xml:space="preserve"> cover </w:t>
      </w:r>
      <w:r>
        <w:t>the entire capacity potential of the Goldendale generation facility when the facility is duct firing.</w:t>
      </w:r>
    </w:p>
    <w:p w:rsidR="00866BF4" w:rsidRDefault="00866BF4" w:rsidP="00866BF4">
      <w:pPr>
        <w:pStyle w:val="question"/>
      </w:pPr>
      <w:r>
        <w:t>Q.</w:t>
      </w:r>
      <w:r>
        <w:tab/>
        <w:t xml:space="preserve">When did </w:t>
      </w:r>
      <w:r w:rsidR="00FA7EE8">
        <w:t>PSE</w:t>
      </w:r>
      <w:r>
        <w:t xml:space="preserve"> evaluate the 20</w:t>
      </w:r>
      <w:r w:rsidR="00810DDF">
        <w:t> </w:t>
      </w:r>
      <w:r>
        <w:t>MW transmission contract?</w:t>
      </w:r>
    </w:p>
    <w:p w:rsidR="00866BF4" w:rsidRDefault="00866BF4" w:rsidP="00866BF4">
      <w:pPr>
        <w:pStyle w:val="answer"/>
      </w:pPr>
      <w:r>
        <w:t>A.</w:t>
      </w:r>
      <w:r>
        <w:tab/>
        <w:t>PSE evaluated the contract in September 2014.</w:t>
      </w:r>
    </w:p>
    <w:p w:rsidR="00866BF4" w:rsidRDefault="00866BF4" w:rsidP="00866BF4">
      <w:pPr>
        <w:pStyle w:val="question"/>
      </w:pPr>
      <w:r>
        <w:t>Q.</w:t>
      </w:r>
      <w:r>
        <w:tab/>
        <w:t xml:space="preserve">Please summarize </w:t>
      </w:r>
      <w:r w:rsidR="00FA7EE8">
        <w:t>PSE</w:t>
      </w:r>
      <w:r w:rsidR="009F02BA">
        <w:t>’</w:t>
      </w:r>
      <w:r w:rsidR="00FA7EE8">
        <w:t xml:space="preserve">s </w:t>
      </w:r>
      <w:r>
        <w:t>approach to evaluating the 20</w:t>
      </w:r>
      <w:r w:rsidR="00810DDF">
        <w:t> </w:t>
      </w:r>
      <w:r>
        <w:t>MW contract.</w:t>
      </w:r>
    </w:p>
    <w:p w:rsidR="00866BF4" w:rsidRDefault="00866BF4" w:rsidP="00866BF4">
      <w:pPr>
        <w:pStyle w:val="answer"/>
      </w:pPr>
      <w:r>
        <w:t>A.</w:t>
      </w:r>
      <w:r>
        <w:tab/>
        <w:t xml:space="preserve">Because this transmission contract supported an existing PSE owned generation facility, PSE evaluated it </w:t>
      </w:r>
      <w:r w:rsidR="00A63E51">
        <w:t>by comparing the cost of the transmission contract with the cost of</w:t>
      </w:r>
      <w:r>
        <w:t xml:space="preserve"> a 25</w:t>
      </w:r>
      <w:r w:rsidR="00810DDF">
        <w:t> </w:t>
      </w:r>
      <w:r w:rsidR="00FA7EE8">
        <w:t>MW winter peak call option.</w:t>
      </w:r>
    </w:p>
    <w:p w:rsidR="00866BF4" w:rsidRDefault="00866BF4" w:rsidP="00866BF4">
      <w:pPr>
        <w:pStyle w:val="question"/>
      </w:pPr>
      <w:r>
        <w:t>Q.</w:t>
      </w:r>
      <w:r>
        <w:tab/>
        <w:t>What were the results of the analysis?</w:t>
      </w:r>
    </w:p>
    <w:p w:rsidR="00866BF4" w:rsidRDefault="00866BF4" w:rsidP="00866BF4">
      <w:pPr>
        <w:pStyle w:val="answer"/>
      </w:pPr>
      <w:r w:rsidRPr="00A63E51">
        <w:t>A.</w:t>
      </w:r>
      <w:r w:rsidRPr="00A63E51">
        <w:tab/>
        <w:t xml:space="preserve">This analysis showed that the additional transmission capacity would </w:t>
      </w:r>
      <w:r w:rsidR="00A63E51" w:rsidRPr="00A63E51">
        <w:t>cost</w:t>
      </w:r>
      <w:r w:rsidRPr="00A63E51">
        <w:t xml:space="preserve"> less than the winter peak call option.</w:t>
      </w:r>
      <w:r w:rsidR="00404C71" w:rsidRPr="00A63E51">
        <w:t xml:space="preserve"> </w:t>
      </w:r>
      <w:r w:rsidRPr="00A63E51">
        <w:t>The additional transmission would allow PSE to</w:t>
      </w:r>
      <w:r>
        <w:t xml:space="preserve"> operate its </w:t>
      </w:r>
      <w:r w:rsidR="00404C71">
        <w:t>facility at its full potential.</w:t>
      </w:r>
    </w:p>
    <w:p w:rsidR="00866BF4" w:rsidRDefault="00866BF4" w:rsidP="00866BF4">
      <w:pPr>
        <w:pStyle w:val="question"/>
      </w:pPr>
      <w:r>
        <w:lastRenderedPageBreak/>
        <w:t>Q.</w:t>
      </w:r>
      <w:r>
        <w:tab/>
        <w:t>Was the transmission contract for the 20</w:t>
      </w:r>
      <w:r w:rsidR="00810DDF">
        <w:t> </w:t>
      </w:r>
      <w:r w:rsidR="00532EE6">
        <w:t>MW</w:t>
      </w:r>
      <w:r>
        <w:t xml:space="preserve"> at Goldendale approved by PSE</w:t>
      </w:r>
      <w:r w:rsidR="009F02BA">
        <w:t>’</w:t>
      </w:r>
      <w:r>
        <w:t>s EMC?</w:t>
      </w:r>
    </w:p>
    <w:p w:rsidR="00866BF4" w:rsidRDefault="00866BF4" w:rsidP="00866BF4">
      <w:pPr>
        <w:pStyle w:val="answer"/>
      </w:pPr>
      <w:r>
        <w:t>A.</w:t>
      </w:r>
      <w:r>
        <w:tab/>
        <w:t>Yes.</w:t>
      </w:r>
      <w:r w:rsidR="00404C71">
        <w:t xml:space="preserve"> </w:t>
      </w:r>
      <w:r>
        <w:t>The EMC approved acquiring the additional 20</w:t>
      </w:r>
      <w:r w:rsidR="00810DDF">
        <w:t> </w:t>
      </w:r>
      <w:r w:rsidR="00532EE6">
        <w:t>MW</w:t>
      </w:r>
      <w:r>
        <w:t xml:space="preserve"> of transmission for Goldendale on October</w:t>
      </w:r>
      <w:r w:rsidR="00810DDF">
        <w:t> 16, 2014.</w:t>
      </w:r>
    </w:p>
    <w:p w:rsidR="00FA7EE8" w:rsidRDefault="00FA7EE8" w:rsidP="00FA7EE8">
      <w:pPr>
        <w:pStyle w:val="Heading3"/>
      </w:pPr>
      <w:bookmarkStart w:id="27" w:name="_Toc471319028"/>
      <w:r>
        <w:t>2.</w:t>
      </w:r>
      <w:r>
        <w:tab/>
        <w:t>Transmission Contract</w:t>
      </w:r>
      <w:r w:rsidR="00C46F0B">
        <w:t>s</w:t>
      </w:r>
      <w:r>
        <w:t xml:space="preserve"> (15 MW and 18 MW) Associated with Mint Farm and Goldendale, Respectively</w:t>
      </w:r>
      <w:bookmarkEnd w:id="27"/>
    </w:p>
    <w:p w:rsidR="00866BF4" w:rsidRDefault="00866BF4" w:rsidP="00866BF4">
      <w:pPr>
        <w:pStyle w:val="question"/>
      </w:pPr>
      <w:r>
        <w:t>Q.</w:t>
      </w:r>
      <w:r>
        <w:tab/>
        <w:t>Please describe the 15</w:t>
      </w:r>
      <w:r w:rsidR="00810DDF">
        <w:t> </w:t>
      </w:r>
      <w:r>
        <w:t>MW and 18</w:t>
      </w:r>
      <w:r w:rsidR="00810DDF">
        <w:t> </w:t>
      </w:r>
      <w:r>
        <w:t xml:space="preserve">MW contracts PSE is attempting to acquire for additional capacity at </w:t>
      </w:r>
      <w:r w:rsidR="00B62348">
        <w:t xml:space="preserve">the </w:t>
      </w:r>
      <w:r>
        <w:t>Mint Farm and Goldendale generation facilities.</w:t>
      </w:r>
    </w:p>
    <w:p w:rsidR="00866BF4" w:rsidRDefault="00866BF4" w:rsidP="00866BF4">
      <w:pPr>
        <w:pStyle w:val="answer"/>
      </w:pPr>
      <w:r>
        <w:t>A.</w:t>
      </w:r>
      <w:r>
        <w:tab/>
      </w:r>
      <w:r w:rsidR="00C46F0B">
        <w:t xml:space="preserve">PSE reviewed its </w:t>
      </w:r>
      <w:r>
        <w:t>contractual services agreement</w:t>
      </w:r>
      <w:r w:rsidR="00513DEC">
        <w:t>s</w:t>
      </w:r>
      <w:r>
        <w:t xml:space="preserve"> for both Mint Farm and Goldendale in October of 2015.</w:t>
      </w:r>
      <w:r w:rsidR="00404C71">
        <w:t xml:space="preserve"> </w:t>
      </w:r>
      <w:r>
        <w:t xml:space="preserve">From this review PSE discussed </w:t>
      </w:r>
      <w:r w:rsidR="00C46F0B">
        <w:t xml:space="preserve">with General Electric </w:t>
      </w:r>
      <w:r w:rsidR="00FA7EE8">
        <w:t xml:space="preserve">contractual services agreement </w:t>
      </w:r>
      <w:r>
        <w:t xml:space="preserve">benefits </w:t>
      </w:r>
      <w:r w:rsidR="00C46F0B">
        <w:t xml:space="preserve">that could be realized </w:t>
      </w:r>
      <w:r>
        <w:t>if PSE were to renegotiate the contract.</w:t>
      </w:r>
      <w:r w:rsidR="00404C71">
        <w:t xml:space="preserve"> </w:t>
      </w:r>
      <w:r>
        <w:t>From this negotiation</w:t>
      </w:r>
      <w:r w:rsidR="00FA7EE8">
        <w:t>,</w:t>
      </w:r>
      <w:r>
        <w:t xml:space="preserve"> PSE </w:t>
      </w:r>
      <w:r w:rsidR="00C46F0B">
        <w:t xml:space="preserve">decided to implement generator programming upgrades </w:t>
      </w:r>
      <w:r>
        <w:t xml:space="preserve">that </w:t>
      </w:r>
      <w:r w:rsidR="00C46F0B">
        <w:t>would yield</w:t>
      </w:r>
      <w:r>
        <w:t xml:space="preserve"> additional </w:t>
      </w:r>
      <w:r w:rsidR="00C46F0B">
        <w:t>capacity</w:t>
      </w:r>
      <w:r>
        <w:t xml:space="preserve"> from Mint Farm and Goldendale.</w:t>
      </w:r>
      <w:r w:rsidR="00404C71">
        <w:t xml:space="preserve"> </w:t>
      </w:r>
      <w:r>
        <w:t>PSE</w:t>
      </w:r>
      <w:r w:rsidR="00513DEC">
        <w:t xml:space="preserve"> has requested</w:t>
      </w:r>
      <w:r>
        <w:t xml:space="preserve"> </w:t>
      </w:r>
      <w:r w:rsidR="00513DEC">
        <w:t xml:space="preserve">an additional 15 MW of transmission capacity for Mint Farm and 18 MW for Goldendale from BPA, consistent with </w:t>
      </w:r>
      <w:r>
        <w:t>current interconnection agreements for both facilities</w:t>
      </w:r>
      <w:r w:rsidR="00810DDF">
        <w:t>.</w:t>
      </w:r>
    </w:p>
    <w:p w:rsidR="00866BF4" w:rsidRDefault="00866BF4" w:rsidP="00866BF4">
      <w:pPr>
        <w:pStyle w:val="question"/>
      </w:pPr>
      <w:r>
        <w:t>Q.</w:t>
      </w:r>
      <w:r>
        <w:tab/>
        <w:t>Were the transmission contracts for the 15</w:t>
      </w:r>
      <w:r w:rsidR="00810DDF">
        <w:t> </w:t>
      </w:r>
      <w:r>
        <w:t>MW and 18</w:t>
      </w:r>
      <w:r w:rsidR="00810DDF">
        <w:t> </w:t>
      </w:r>
      <w:r>
        <w:t>MW</w:t>
      </w:r>
      <w:r w:rsidR="00810DDF">
        <w:t xml:space="preserve"> </w:t>
      </w:r>
      <w:r>
        <w:t>at Mint Farm and Goldendale</w:t>
      </w:r>
      <w:r w:rsidR="00FA7EE8">
        <w:t>, respectively,</w:t>
      </w:r>
      <w:r>
        <w:t xml:space="preserve"> approved by PSE</w:t>
      </w:r>
      <w:r w:rsidR="009F02BA">
        <w:t>’</w:t>
      </w:r>
      <w:r>
        <w:t>s EMC?</w:t>
      </w:r>
    </w:p>
    <w:p w:rsidR="00866BF4" w:rsidRDefault="00866BF4" w:rsidP="00866BF4">
      <w:pPr>
        <w:pStyle w:val="answer"/>
      </w:pPr>
      <w:r>
        <w:t>A.</w:t>
      </w:r>
      <w:r>
        <w:tab/>
        <w:t>Yes.</w:t>
      </w:r>
      <w:r w:rsidR="00404C71">
        <w:t xml:space="preserve"> </w:t>
      </w:r>
      <w:r>
        <w:t>The EMC approved acquiring the 15</w:t>
      </w:r>
      <w:r w:rsidR="00810DDF">
        <w:t> </w:t>
      </w:r>
      <w:r>
        <w:t>MW and 18</w:t>
      </w:r>
      <w:r w:rsidR="00810DDF">
        <w:t> MW</w:t>
      </w:r>
      <w:r>
        <w:t xml:space="preserve"> </w:t>
      </w:r>
      <w:r w:rsidR="00532EE6">
        <w:t xml:space="preserve">transmission contracts for </w:t>
      </w:r>
      <w:r>
        <w:t>Mint Farm and Goldendale</w:t>
      </w:r>
      <w:r w:rsidR="00532EE6">
        <w:t>, respectively,</w:t>
      </w:r>
      <w:r>
        <w:t xml:space="preserve"> on October</w:t>
      </w:r>
      <w:r w:rsidR="00810DDF">
        <w:t> 15, 2015.</w:t>
      </w:r>
    </w:p>
    <w:p w:rsidR="00B66EF9" w:rsidRDefault="00B66EF9" w:rsidP="00B66EF9">
      <w:pPr>
        <w:pStyle w:val="question"/>
      </w:pPr>
      <w:r>
        <w:lastRenderedPageBreak/>
        <w:t>Q.</w:t>
      </w:r>
      <w:r>
        <w:tab/>
        <w:t>What is the current status of the requested transmission contracts for the 15 MW and 18 MW at Mint Farm and Goldendale, respectively?</w:t>
      </w:r>
    </w:p>
    <w:p w:rsidR="00B66EF9" w:rsidRDefault="00B66EF9" w:rsidP="00B66EF9">
      <w:pPr>
        <w:pStyle w:val="answer"/>
      </w:pPr>
      <w:r>
        <w:t>A.</w:t>
      </w:r>
      <w:r>
        <w:tab/>
        <w:t>PSE received approval from BPA for the 15 MW for Mint Farm on a conditional firm basis. PSE entered into the contract</w:t>
      </w:r>
      <w:r w:rsidRPr="00B66EF9">
        <w:t xml:space="preserve"> </w:t>
      </w:r>
      <w:r>
        <w:t>for conditional firm service, and re-entered BPA</w:t>
      </w:r>
      <w:r w:rsidR="009F02BA">
        <w:t>’</w:t>
      </w:r>
      <w:r>
        <w:t>s queue to have this capacity changed to firm service. PSE is still waiting to hear from BPA with respect to the 18 MW at Goldendale.</w:t>
      </w:r>
    </w:p>
    <w:p w:rsidR="00866BF4" w:rsidRDefault="00866BF4" w:rsidP="00866BF4">
      <w:pPr>
        <w:pStyle w:val="question"/>
      </w:pPr>
      <w:r>
        <w:t>Q.</w:t>
      </w:r>
      <w:r>
        <w:tab/>
        <w:t>Are all of the resources for which new transmission will potentially be acquired included in the rate year power cost forecast?</w:t>
      </w:r>
    </w:p>
    <w:p w:rsidR="00866BF4" w:rsidRDefault="00866BF4" w:rsidP="00866BF4">
      <w:pPr>
        <w:pStyle w:val="answer"/>
      </w:pPr>
      <w:r>
        <w:t>A.</w:t>
      </w:r>
      <w:r>
        <w:tab/>
        <w:t>Yes</w:t>
      </w:r>
      <w:r w:rsidRPr="00BF33A5">
        <w:t>.</w:t>
      </w:r>
      <w:r w:rsidR="00404C71" w:rsidRPr="00BF33A5">
        <w:t xml:space="preserve"> </w:t>
      </w:r>
      <w:r w:rsidRPr="00BF33A5">
        <w:t>PSE</w:t>
      </w:r>
      <w:r w:rsidR="009F02BA">
        <w:t>’</w:t>
      </w:r>
      <w:r w:rsidRPr="00BF33A5">
        <w:t>s rate year power resources include the Mint Farm and the two Goldendale transmission contracts. However, PSE is currently waiting in BPA</w:t>
      </w:r>
      <w:r w:rsidR="009F02BA">
        <w:t>’</w:t>
      </w:r>
      <w:r w:rsidRPr="00BF33A5">
        <w:t>s queue to be offered</w:t>
      </w:r>
      <w:r w:rsidR="00BF33A5" w:rsidRPr="00BF33A5">
        <w:t xml:space="preserve"> firm</w:t>
      </w:r>
      <w:r w:rsidRPr="00BF33A5">
        <w:t xml:space="preserve"> transmission service.</w:t>
      </w:r>
      <w:r w:rsidR="00404C71">
        <w:t xml:space="preserve"> </w:t>
      </w:r>
      <w:r>
        <w:t xml:space="preserve">PSE </w:t>
      </w:r>
      <w:r w:rsidR="00B62348">
        <w:t>will</w:t>
      </w:r>
      <w:r>
        <w:t xml:space="preserve"> update power costs </w:t>
      </w:r>
      <w:r w:rsidR="00B62348">
        <w:t>during the course of this proceeding</w:t>
      </w:r>
      <w:r w:rsidR="00C364A1">
        <w:t>,</w:t>
      </w:r>
      <w:r w:rsidR="00B62348">
        <w:t xml:space="preserve"> </w:t>
      </w:r>
      <w:r w:rsidR="00C364A1">
        <w:t xml:space="preserve">and the update will </w:t>
      </w:r>
      <w:r>
        <w:t xml:space="preserve">reflect the transmission approved and signed by BPA for the Mint Farm facility and the Goldendale facility should </w:t>
      </w:r>
      <w:r w:rsidR="00BF33A5">
        <w:t>it differ from the</w:t>
      </w:r>
      <w:r>
        <w:t xml:space="preserve"> 15, 18 and 20 MW contracts</w:t>
      </w:r>
      <w:r w:rsidR="00BF33A5">
        <w:t xml:space="preserve"> PSE requested</w:t>
      </w:r>
      <w:r>
        <w:t>.</w:t>
      </w:r>
    </w:p>
    <w:p w:rsidR="00866BF4" w:rsidRDefault="00532EE6" w:rsidP="00532EE6">
      <w:pPr>
        <w:pStyle w:val="Heading3"/>
      </w:pPr>
      <w:bookmarkStart w:id="28" w:name="_Toc471319029"/>
      <w:r>
        <w:t>3</w:t>
      </w:r>
      <w:r w:rsidR="00866BF4">
        <w:t>.</w:t>
      </w:r>
      <w:r w:rsidR="00866BF4">
        <w:tab/>
        <w:t xml:space="preserve">Summary of the </w:t>
      </w:r>
      <w:r>
        <w:t xml:space="preserve">Potential </w:t>
      </w:r>
      <w:r w:rsidR="00866BF4">
        <w:t>New Transmission Contracts</w:t>
      </w:r>
      <w:r>
        <w:t xml:space="preserve"> for Existing Generation Facilities</w:t>
      </w:r>
      <w:bookmarkEnd w:id="28"/>
    </w:p>
    <w:p w:rsidR="00E81C75" w:rsidRDefault="00E81C75" w:rsidP="00E81C75">
      <w:pPr>
        <w:pStyle w:val="question"/>
        <w:spacing w:before="360"/>
      </w:pPr>
      <w:r>
        <w:t>Q.</w:t>
      </w:r>
      <w:r>
        <w:tab/>
        <w:t>Is the benefit from the additional generation and transmission capacity at Goldendale and Mint Farm included in the rate year power cost forecast?</w:t>
      </w:r>
    </w:p>
    <w:p w:rsidR="00E81C75" w:rsidRDefault="00E81C75" w:rsidP="00E81C75">
      <w:pPr>
        <w:pStyle w:val="answer"/>
      </w:pPr>
      <w:r>
        <w:t>A.</w:t>
      </w:r>
      <w:r>
        <w:tab/>
      </w:r>
      <w:r w:rsidRPr="00DA456E">
        <w:t xml:space="preserve">Yes. The </w:t>
      </w:r>
      <w:r>
        <w:t>rate year power cost forecast</w:t>
      </w:r>
      <w:r w:rsidRPr="00DA456E">
        <w:t xml:space="preserve"> includes the upgraded capacity of 38 MW and 15 MW to the Goldendale and Mint Farm facilities, respectively, and lowered heat rates for both plants</w:t>
      </w:r>
      <w:r>
        <w:t>.</w:t>
      </w:r>
    </w:p>
    <w:p w:rsidR="00866BF4" w:rsidRDefault="00866BF4" w:rsidP="00866BF4">
      <w:pPr>
        <w:pStyle w:val="question"/>
      </w:pPr>
      <w:r>
        <w:lastRenderedPageBreak/>
        <w:t>Q.</w:t>
      </w:r>
      <w:r>
        <w:tab/>
        <w:t>Was PSE</w:t>
      </w:r>
      <w:r w:rsidR="009F02BA">
        <w:t>’</w:t>
      </w:r>
      <w:r>
        <w:t>s initiation of acquiring the additional BPA transmission capacity a valuable and reasonable business decision?</w:t>
      </w:r>
    </w:p>
    <w:p w:rsidR="00866BF4" w:rsidRDefault="00866BF4" w:rsidP="00866BF4">
      <w:pPr>
        <w:pStyle w:val="answer"/>
      </w:pPr>
      <w:r>
        <w:t>A.</w:t>
      </w:r>
      <w:r>
        <w:tab/>
        <w:t>Yes.</w:t>
      </w:r>
      <w:r w:rsidR="00404C71">
        <w:t xml:space="preserve"> </w:t>
      </w:r>
      <w:r>
        <w:t>As noted above, PSE relies on existing BPA transmission contracts from Mid-C to PSE</w:t>
      </w:r>
      <w:r w:rsidR="009F02BA">
        <w:t>’</w:t>
      </w:r>
      <w:r>
        <w:t>s system to meet its capacity need in that PSE may use this transmission to wheel short-term market power from Mid-C to PSE</w:t>
      </w:r>
      <w:r w:rsidR="009F02BA">
        <w:t>’</w:t>
      </w:r>
      <w:r>
        <w:t>s load.</w:t>
      </w:r>
      <w:r w:rsidR="00404C71">
        <w:t xml:space="preserve"> </w:t>
      </w:r>
      <w:r>
        <w:t>In this regard, these types of transmission contracts are akin to a resource for PSE and provide needed capacity.</w:t>
      </w:r>
      <w:r w:rsidR="00404C71">
        <w:t xml:space="preserve"> </w:t>
      </w:r>
      <w:r>
        <w:t>Additionally, firm transmission is required for PSE</w:t>
      </w:r>
      <w:r w:rsidR="009F02BA">
        <w:t>’</w:t>
      </w:r>
      <w:r>
        <w:t>s generation resources and contracts in order to ensure reliable delivery to PSE</w:t>
      </w:r>
      <w:r w:rsidR="009F02BA">
        <w:t>’</w:t>
      </w:r>
      <w:r>
        <w:t>s system to serve load.</w:t>
      </w:r>
      <w:r w:rsidR="00B25317" w:rsidRPr="00B25317">
        <w:t xml:space="preserve"> </w:t>
      </w:r>
      <w:r w:rsidR="00B25317">
        <w:t>In all cases, PSE performed a full and detailed justification for the reasonableness of the costs of renewing and acquiring these BPA transmission contracts.</w:t>
      </w:r>
    </w:p>
    <w:p w:rsidR="00866BF4" w:rsidRDefault="00866BF4" w:rsidP="00866BF4">
      <w:pPr>
        <w:pStyle w:val="question"/>
      </w:pPr>
      <w:r>
        <w:t>Q.</w:t>
      </w:r>
      <w:r>
        <w:tab/>
      </w:r>
      <w:r w:rsidR="00B25317">
        <w:t>What does PSE request from the Commission regarding PSE</w:t>
      </w:r>
      <w:r w:rsidR="009F02BA">
        <w:t>’</w:t>
      </w:r>
      <w:r w:rsidR="00B25317">
        <w:t>s potential new transmission contracts for existing generation facilities</w:t>
      </w:r>
      <w:r w:rsidR="00810DDF">
        <w:t>?</w:t>
      </w:r>
    </w:p>
    <w:p w:rsidR="00866BF4" w:rsidRDefault="00E208BB" w:rsidP="00866BF4">
      <w:pPr>
        <w:pStyle w:val="answer"/>
      </w:pPr>
      <w:r>
        <w:t>A.</w:t>
      </w:r>
      <w:r>
        <w:tab/>
      </w:r>
      <w:r w:rsidR="00866BF4">
        <w:t>PSE respectfully requests the Commission deem these contracts and expenses to be prudently incurred and allow PSE to fully recover these costs in rates.</w:t>
      </w:r>
      <w:r w:rsidR="00404C71">
        <w:t xml:space="preserve"> </w:t>
      </w:r>
      <w:r w:rsidR="00866BF4">
        <w:t xml:space="preserve">Specifically, PSE requests the Commission approve the rate year transmission costs </w:t>
      </w:r>
      <w:r w:rsidR="0044164E">
        <w:t>presented in Table 1</w:t>
      </w:r>
      <w:r w:rsidR="00C37C3E">
        <w:t>1</w:t>
      </w:r>
      <w:r w:rsidR="0044164E">
        <w:t>.</w:t>
      </w:r>
    </w:p>
    <w:p w:rsidR="0044164E" w:rsidRDefault="0044164E" w:rsidP="00A53969">
      <w:pPr>
        <w:pStyle w:val="TableHeader"/>
        <w:widowControl/>
        <w:ind w:left="1530" w:right="1620"/>
      </w:pPr>
      <w:r>
        <w:t>Table 1</w:t>
      </w:r>
      <w:r w:rsidR="00C37C3E">
        <w:t>1</w:t>
      </w:r>
      <w:r>
        <w:t>. PSE Rate Year BPA Transmission</w:t>
      </w:r>
      <w:r>
        <w:br/>
        <w:t>New Contracts Costs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0"/>
        <w:gridCol w:w="2250"/>
      </w:tblGrid>
      <w:tr w:rsidR="0044164E" w:rsidRPr="00214F2D" w:rsidTr="0044164E">
        <w:trPr>
          <w:jc w:val="center"/>
        </w:trPr>
        <w:tc>
          <w:tcPr>
            <w:tcW w:w="2740" w:type="dxa"/>
            <w:tcBorders>
              <w:bottom w:val="single" w:sz="4" w:space="0" w:color="auto"/>
            </w:tcBorders>
            <w:vAlign w:val="bottom"/>
          </w:tcPr>
          <w:p w:rsidR="0044164E" w:rsidRPr="00214F2D" w:rsidRDefault="0044164E" w:rsidP="00A53969">
            <w:pPr>
              <w:pStyle w:val="answer"/>
              <w:keepNext/>
              <w:keepLines/>
              <w:spacing w:before="60" w:after="60" w:line="240" w:lineRule="auto"/>
              <w:ind w:left="0" w:firstLine="0"/>
              <w:jc w:val="center"/>
              <w:rPr>
                <w:b/>
                <w:szCs w:val="24"/>
              </w:rPr>
            </w:pPr>
            <w:r w:rsidRPr="00214F2D">
              <w:rPr>
                <w:b/>
                <w:szCs w:val="24"/>
              </w:rPr>
              <w:t>Resource</w:t>
            </w:r>
          </w:p>
        </w:tc>
        <w:tc>
          <w:tcPr>
            <w:tcW w:w="2250" w:type="dxa"/>
            <w:tcBorders>
              <w:bottom w:val="single" w:sz="4" w:space="0" w:color="auto"/>
            </w:tcBorders>
            <w:vAlign w:val="bottom"/>
          </w:tcPr>
          <w:p w:rsidR="0044164E" w:rsidRPr="00214F2D" w:rsidRDefault="0044164E" w:rsidP="00A53969">
            <w:pPr>
              <w:pStyle w:val="answer"/>
              <w:keepNext/>
              <w:keepLines/>
              <w:spacing w:before="60" w:after="60" w:line="240" w:lineRule="auto"/>
              <w:ind w:left="0" w:firstLine="0"/>
              <w:jc w:val="center"/>
              <w:rPr>
                <w:b/>
                <w:szCs w:val="24"/>
              </w:rPr>
            </w:pPr>
            <w:r w:rsidRPr="00214F2D">
              <w:rPr>
                <w:b/>
                <w:szCs w:val="24"/>
              </w:rPr>
              <w:t>Rate Year Power</w:t>
            </w:r>
            <w:r w:rsidRPr="00214F2D">
              <w:rPr>
                <w:b/>
                <w:szCs w:val="24"/>
              </w:rPr>
              <w:br/>
              <w:t>Cost ($000)</w:t>
            </w:r>
          </w:p>
        </w:tc>
      </w:tr>
      <w:tr w:rsidR="0044164E" w:rsidRPr="00214F2D" w:rsidTr="0044164E">
        <w:trPr>
          <w:jc w:val="center"/>
        </w:trPr>
        <w:tc>
          <w:tcPr>
            <w:tcW w:w="2740" w:type="dxa"/>
            <w:tcBorders>
              <w:top w:val="single" w:sz="4" w:space="0" w:color="auto"/>
            </w:tcBorders>
          </w:tcPr>
          <w:p w:rsidR="0044164E" w:rsidRPr="00214F2D" w:rsidRDefault="0044164E" w:rsidP="00A53969">
            <w:pPr>
              <w:pStyle w:val="answer"/>
              <w:keepNext/>
              <w:keepLines/>
              <w:spacing w:before="60" w:after="60" w:line="240" w:lineRule="auto"/>
              <w:ind w:left="0" w:firstLine="0"/>
              <w:rPr>
                <w:szCs w:val="24"/>
              </w:rPr>
            </w:pPr>
            <w:r w:rsidRPr="00214F2D">
              <w:rPr>
                <w:szCs w:val="24"/>
              </w:rPr>
              <w:t>Mint Farm 15 MW</w:t>
            </w:r>
          </w:p>
        </w:tc>
        <w:tc>
          <w:tcPr>
            <w:tcW w:w="2250" w:type="dxa"/>
            <w:tcBorders>
              <w:top w:val="single" w:sz="4" w:space="0" w:color="auto"/>
            </w:tcBorders>
          </w:tcPr>
          <w:p w:rsidR="0044164E" w:rsidRPr="00214F2D" w:rsidRDefault="0044164E" w:rsidP="00587380">
            <w:pPr>
              <w:pStyle w:val="answer"/>
              <w:keepNext/>
              <w:keepLines/>
              <w:spacing w:before="60" w:after="60" w:line="240" w:lineRule="auto"/>
              <w:ind w:left="0" w:right="684" w:firstLine="0"/>
              <w:jc w:val="right"/>
              <w:rPr>
                <w:szCs w:val="24"/>
              </w:rPr>
            </w:pPr>
            <w:r w:rsidRPr="00214F2D">
              <w:rPr>
                <w:szCs w:val="24"/>
              </w:rPr>
              <w:t>$</w:t>
            </w:r>
            <w:r w:rsidR="009C26CE" w:rsidRPr="00214F2D">
              <w:rPr>
                <w:szCs w:val="24"/>
              </w:rPr>
              <w:t>3</w:t>
            </w:r>
            <w:r w:rsidR="00587380" w:rsidRPr="00214F2D">
              <w:rPr>
                <w:szCs w:val="24"/>
              </w:rPr>
              <w:t>25</w:t>
            </w:r>
          </w:p>
        </w:tc>
      </w:tr>
      <w:tr w:rsidR="0044164E" w:rsidRPr="00214F2D" w:rsidTr="0044164E">
        <w:trPr>
          <w:jc w:val="center"/>
        </w:trPr>
        <w:tc>
          <w:tcPr>
            <w:tcW w:w="2740" w:type="dxa"/>
          </w:tcPr>
          <w:p w:rsidR="0044164E" w:rsidRPr="00214F2D" w:rsidRDefault="0044164E" w:rsidP="00A53969">
            <w:pPr>
              <w:pStyle w:val="answer"/>
              <w:keepNext/>
              <w:keepLines/>
              <w:spacing w:before="60" w:after="60" w:line="240" w:lineRule="auto"/>
              <w:ind w:left="0" w:firstLine="0"/>
              <w:rPr>
                <w:szCs w:val="24"/>
              </w:rPr>
            </w:pPr>
            <w:r w:rsidRPr="00214F2D">
              <w:rPr>
                <w:szCs w:val="24"/>
              </w:rPr>
              <w:t>Goldendale 18 MW</w:t>
            </w:r>
          </w:p>
        </w:tc>
        <w:tc>
          <w:tcPr>
            <w:tcW w:w="2250" w:type="dxa"/>
          </w:tcPr>
          <w:p w:rsidR="0044164E" w:rsidRPr="00214F2D" w:rsidRDefault="0044164E" w:rsidP="00587380">
            <w:pPr>
              <w:pStyle w:val="answer"/>
              <w:keepNext/>
              <w:keepLines/>
              <w:spacing w:before="60" w:after="60" w:line="240" w:lineRule="auto"/>
              <w:ind w:left="0" w:right="684" w:firstLine="0"/>
              <w:jc w:val="right"/>
              <w:rPr>
                <w:szCs w:val="24"/>
              </w:rPr>
            </w:pPr>
            <w:r w:rsidRPr="00214F2D">
              <w:rPr>
                <w:szCs w:val="24"/>
              </w:rPr>
              <w:t>$</w:t>
            </w:r>
            <w:r w:rsidR="00587380" w:rsidRPr="00214F2D">
              <w:rPr>
                <w:szCs w:val="24"/>
              </w:rPr>
              <w:t>389</w:t>
            </w:r>
          </w:p>
        </w:tc>
      </w:tr>
      <w:tr w:rsidR="0044164E" w:rsidRPr="00214F2D" w:rsidTr="0044164E">
        <w:trPr>
          <w:jc w:val="center"/>
        </w:trPr>
        <w:tc>
          <w:tcPr>
            <w:tcW w:w="2740" w:type="dxa"/>
          </w:tcPr>
          <w:p w:rsidR="0044164E" w:rsidRPr="00214F2D" w:rsidRDefault="0044164E" w:rsidP="00A53969">
            <w:pPr>
              <w:pStyle w:val="answer"/>
              <w:keepNext/>
              <w:keepLines/>
              <w:spacing w:before="60" w:after="60" w:line="240" w:lineRule="auto"/>
              <w:ind w:left="0" w:firstLine="0"/>
              <w:rPr>
                <w:szCs w:val="24"/>
              </w:rPr>
            </w:pPr>
            <w:r w:rsidRPr="00214F2D">
              <w:rPr>
                <w:szCs w:val="24"/>
              </w:rPr>
              <w:t>Goldendale 20 MW</w:t>
            </w:r>
          </w:p>
        </w:tc>
        <w:tc>
          <w:tcPr>
            <w:tcW w:w="2250" w:type="dxa"/>
          </w:tcPr>
          <w:p w:rsidR="0044164E" w:rsidRPr="00214F2D" w:rsidRDefault="0044164E" w:rsidP="00587380">
            <w:pPr>
              <w:pStyle w:val="answer"/>
              <w:keepNext/>
              <w:keepLines/>
              <w:spacing w:before="60" w:after="60" w:line="240" w:lineRule="auto"/>
              <w:ind w:left="0" w:right="684" w:firstLine="0"/>
              <w:jc w:val="right"/>
              <w:rPr>
                <w:szCs w:val="24"/>
              </w:rPr>
            </w:pPr>
            <w:r w:rsidRPr="00214F2D">
              <w:rPr>
                <w:szCs w:val="24"/>
              </w:rPr>
              <w:t>$</w:t>
            </w:r>
            <w:r w:rsidR="009C26CE" w:rsidRPr="00214F2D">
              <w:rPr>
                <w:szCs w:val="24"/>
              </w:rPr>
              <w:t>4</w:t>
            </w:r>
            <w:r w:rsidR="00587380" w:rsidRPr="00214F2D">
              <w:rPr>
                <w:szCs w:val="24"/>
              </w:rPr>
              <w:t>32</w:t>
            </w:r>
          </w:p>
        </w:tc>
      </w:tr>
      <w:tr w:rsidR="0044164E" w:rsidRPr="00214F2D" w:rsidTr="0044164E">
        <w:trPr>
          <w:jc w:val="center"/>
        </w:trPr>
        <w:tc>
          <w:tcPr>
            <w:tcW w:w="2740" w:type="dxa"/>
            <w:tcBorders>
              <w:top w:val="double" w:sz="4" w:space="0" w:color="auto"/>
            </w:tcBorders>
          </w:tcPr>
          <w:p w:rsidR="0044164E" w:rsidRPr="00214F2D" w:rsidRDefault="0044164E" w:rsidP="0044164E">
            <w:pPr>
              <w:pStyle w:val="answer"/>
              <w:spacing w:before="60" w:after="60" w:line="240" w:lineRule="auto"/>
              <w:ind w:left="0" w:firstLine="0"/>
              <w:rPr>
                <w:b/>
                <w:szCs w:val="24"/>
              </w:rPr>
            </w:pPr>
            <w:r w:rsidRPr="00214F2D">
              <w:rPr>
                <w:b/>
                <w:szCs w:val="24"/>
              </w:rPr>
              <w:t>Total</w:t>
            </w:r>
          </w:p>
        </w:tc>
        <w:tc>
          <w:tcPr>
            <w:tcW w:w="2250" w:type="dxa"/>
            <w:tcBorders>
              <w:top w:val="double" w:sz="4" w:space="0" w:color="auto"/>
            </w:tcBorders>
          </w:tcPr>
          <w:p w:rsidR="0044164E" w:rsidRPr="00214F2D" w:rsidRDefault="0044164E" w:rsidP="00587380">
            <w:pPr>
              <w:pStyle w:val="answer"/>
              <w:spacing w:before="60" w:after="60" w:line="240" w:lineRule="auto"/>
              <w:ind w:left="0" w:right="684" w:firstLine="0"/>
              <w:jc w:val="right"/>
              <w:rPr>
                <w:b/>
                <w:szCs w:val="24"/>
              </w:rPr>
            </w:pPr>
            <w:r w:rsidRPr="00214F2D">
              <w:rPr>
                <w:b/>
                <w:szCs w:val="24"/>
              </w:rPr>
              <w:t>$</w:t>
            </w:r>
            <w:r w:rsidR="009C26CE" w:rsidRPr="00214F2D">
              <w:rPr>
                <w:b/>
                <w:szCs w:val="24"/>
              </w:rPr>
              <w:t>1,</w:t>
            </w:r>
            <w:r w:rsidR="00587380" w:rsidRPr="00214F2D">
              <w:rPr>
                <w:b/>
                <w:szCs w:val="24"/>
              </w:rPr>
              <w:t>146</w:t>
            </w:r>
          </w:p>
        </w:tc>
      </w:tr>
    </w:tbl>
    <w:p w:rsidR="006F156B" w:rsidRDefault="00866BF4" w:rsidP="0011474D">
      <w:pPr>
        <w:pStyle w:val="Heading1"/>
      </w:pPr>
      <w:bookmarkStart w:id="29" w:name="_Toc471319030"/>
      <w:r>
        <w:lastRenderedPageBreak/>
        <w:t>VI.</w:t>
      </w:r>
      <w:r>
        <w:tab/>
        <w:t>NATURAL GAS RESOURCES</w:t>
      </w:r>
      <w:bookmarkEnd w:id="29"/>
    </w:p>
    <w:p w:rsidR="006F156B" w:rsidRDefault="006F156B" w:rsidP="001517B8">
      <w:pPr>
        <w:pStyle w:val="Heading2"/>
      </w:pPr>
      <w:bookmarkStart w:id="30" w:name="_Toc471319031"/>
      <w:r>
        <w:t>A.</w:t>
      </w:r>
      <w:r>
        <w:tab/>
        <w:t>Overview of Gas Transportation</w:t>
      </w:r>
      <w:bookmarkEnd w:id="30"/>
    </w:p>
    <w:p w:rsidR="006F156B" w:rsidRDefault="006F156B" w:rsidP="006F156B">
      <w:pPr>
        <w:pStyle w:val="question"/>
      </w:pPr>
      <w:r>
        <w:t>Q.</w:t>
      </w:r>
      <w:r>
        <w:tab/>
        <w:t>Please describe the gas resources held by PSE for power generation.</w:t>
      </w:r>
    </w:p>
    <w:p w:rsidR="006F156B" w:rsidRDefault="006F156B" w:rsidP="006F156B">
      <w:pPr>
        <w:pStyle w:val="answer"/>
      </w:pPr>
      <w:r>
        <w:t>A.</w:t>
      </w:r>
      <w:r>
        <w:tab/>
        <w:t>PSE maintains a diverse portfolio of firm pipeline capacity and firm storage capacity to provide reliable fuel supply to the generation fleet. The capacity currently held will meet (i) 100% of PSE</w:t>
      </w:r>
      <w:r w:rsidR="009F02BA">
        <w:t>’</w:t>
      </w:r>
      <w:r>
        <w:t>s combined-cycle combustion turbine requirements on a year-round basis, (ii) approximately one-half of the winter-time requirements of its simple-cycle combustion turbine requirements, and (iii) approximately one-third of the summer-time requirements of its simple-cycle combustion turbine requirements.</w:t>
      </w:r>
    </w:p>
    <w:p w:rsidR="006F156B" w:rsidRDefault="006F156B" w:rsidP="006F156B">
      <w:pPr>
        <w:pStyle w:val="NestedAnswer"/>
      </w:pPr>
      <w:r>
        <w:t xml:space="preserve">PSE also holds firm transportation capacity upstream of the two major pipeline interconnects at Sumas, Washington, and Stanfield, Oregon, to ensure the availability of supply at those points and to diversify the pricing of the supply. </w:t>
      </w:r>
      <w:r w:rsidR="00B035D9">
        <w:t>S</w:t>
      </w:r>
      <w:r>
        <w:t>uch upstream capacity is equivalent to approximately 50% of PSE</w:t>
      </w:r>
      <w:r w:rsidR="009F02BA">
        <w:t>’</w:t>
      </w:r>
      <w:r>
        <w:t>s requirements at those points. For generating facilities situated on the distribution system of Cascade Natural Gas Company (</w:t>
      </w:r>
      <w:r w:rsidR="009F02BA">
        <w:t>“</w:t>
      </w:r>
      <w:r>
        <w:t>Cascade Natural Gas</w:t>
      </w:r>
      <w:r w:rsidR="009F02BA">
        <w:t>”</w:t>
      </w:r>
      <w:r>
        <w:t>), PSE has reserved the necessary firm distribution service to ensure reliable deliveries of fuel acquired upstream.</w:t>
      </w:r>
    </w:p>
    <w:p w:rsidR="000E0879" w:rsidRDefault="006F156B" w:rsidP="000E0879">
      <w:pPr>
        <w:pStyle w:val="NestedAnswer"/>
      </w:pPr>
      <w:r>
        <w:t xml:space="preserve">PSE has contracted for firm storage service to provide reliability, flexibility, and, in conjunction with special firm storage redelivery service, incremental supply to the generation fleet in the winter months. The storage service provides necessary reliability and flexibility to start or stop generation as needed during the gas day </w:t>
      </w:r>
      <w:r>
        <w:lastRenderedPageBreak/>
        <w:t>by providing an immediate supply of fuel or a place to store the gas and avoid a</w:t>
      </w:r>
      <w:r w:rsidR="00B035D9">
        <w:t xml:space="preserve"> pipeline</w:t>
      </w:r>
      <w:r>
        <w:t xml:space="preserve"> imbalance. The storage also serves as an integral part of the portfolio to allow incremental deliveries in winter months because it is coupled with winter-only pipeline capacity at significantly reduced cost. PSE</w:t>
      </w:r>
      <w:r w:rsidR="009F02BA">
        <w:t>’</w:t>
      </w:r>
      <w:r>
        <w:t>s storage service capacity can also serve as an alternate supply source to avoid extreme pricing deviations at either of the major supply points.</w:t>
      </w:r>
    </w:p>
    <w:p w:rsidR="006B7D9E" w:rsidRDefault="00866BF4" w:rsidP="000E0879">
      <w:pPr>
        <w:pStyle w:val="NestedAnswer"/>
      </w:pPr>
      <w:r>
        <w:t>Table</w:t>
      </w:r>
      <w:r w:rsidR="00C37C3E">
        <w:t> 12</w:t>
      </w:r>
      <w:r>
        <w:t xml:space="preserve"> below details the </w:t>
      </w:r>
      <w:r w:rsidR="00B035D9">
        <w:t xml:space="preserve">firm </w:t>
      </w:r>
      <w:r>
        <w:t xml:space="preserve">natural gas </w:t>
      </w:r>
      <w:r w:rsidR="00B035D9">
        <w:t>resources held by PSE to serve its generation fleet</w:t>
      </w:r>
      <w:r>
        <w:t>.</w:t>
      </w:r>
    </w:p>
    <w:p w:rsidR="00C34CCE" w:rsidRDefault="006B7D9E" w:rsidP="002E5CDD">
      <w:pPr>
        <w:pStyle w:val="TableHeader"/>
        <w:widowControl/>
        <w:ind w:left="720"/>
      </w:pPr>
      <w:r>
        <w:t>Table 1</w:t>
      </w:r>
      <w:r w:rsidR="00C37C3E">
        <w:t>2</w:t>
      </w:r>
      <w:r>
        <w:t xml:space="preserve">. </w:t>
      </w:r>
      <w:r w:rsidR="00C34CCE">
        <w:t>N</w:t>
      </w:r>
      <w:r>
        <w:t xml:space="preserve">atural </w:t>
      </w:r>
      <w:r w:rsidR="00C34CCE">
        <w:t>Gas Re</w:t>
      </w:r>
      <w:r w:rsidR="00B035D9">
        <w:t>sources</w:t>
      </w:r>
      <w:r w:rsidR="00C34CCE">
        <w:t xml:space="preserve"> </w:t>
      </w:r>
      <w:r>
        <w:t xml:space="preserve">for </w:t>
      </w:r>
      <w:r w:rsidR="00C34CCE">
        <w:t>PSE</w:t>
      </w:r>
      <w:r>
        <w:t xml:space="preserve"> </w:t>
      </w:r>
      <w:r w:rsidR="00C34CCE">
        <w:t>G</w:t>
      </w:r>
      <w:r>
        <w:t>as-</w:t>
      </w:r>
      <w:r w:rsidR="00C34CCE">
        <w:t>F</w:t>
      </w:r>
      <w:r>
        <w:t xml:space="preserve">ired </w:t>
      </w:r>
      <w:r w:rsidR="00C34CCE">
        <w:t>G</w:t>
      </w:r>
      <w:r>
        <w:t>enerators</w:t>
      </w:r>
    </w:p>
    <w:tbl>
      <w:tblPr>
        <w:tblStyle w:val="TableGrid"/>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2972"/>
        <w:gridCol w:w="1309"/>
        <w:gridCol w:w="1734"/>
      </w:tblGrid>
      <w:tr w:rsidR="00C34CCE" w:rsidRPr="00C34CCE" w:rsidTr="00F54729">
        <w:tc>
          <w:tcPr>
            <w:tcW w:w="9084" w:type="dxa"/>
            <w:gridSpan w:val="4"/>
            <w:vAlign w:val="bottom"/>
          </w:tcPr>
          <w:p w:rsidR="00C34CCE" w:rsidRPr="00C34CCE" w:rsidRDefault="00C34CCE" w:rsidP="00A91A38">
            <w:pPr>
              <w:keepNext/>
              <w:keepLines/>
              <w:spacing w:before="40" w:after="40" w:line="240" w:lineRule="auto"/>
              <w:ind w:firstLine="0"/>
              <w:jc w:val="center"/>
              <w:rPr>
                <w:rFonts w:eastAsia="PMingLiU"/>
                <w:b/>
                <w:sz w:val="4"/>
                <w:szCs w:val="4"/>
                <w:lang w:eastAsia="zh-CN"/>
              </w:rPr>
            </w:pPr>
          </w:p>
        </w:tc>
      </w:tr>
      <w:tr w:rsidR="00C34CCE" w:rsidRPr="00E50E8B" w:rsidTr="00F54729">
        <w:tc>
          <w:tcPr>
            <w:tcW w:w="9084" w:type="dxa"/>
            <w:gridSpan w:val="4"/>
            <w:vAlign w:val="bottom"/>
          </w:tcPr>
          <w:p w:rsidR="00C34CCE" w:rsidRPr="00A91A38" w:rsidRDefault="00C34CCE" w:rsidP="00A91A38">
            <w:pPr>
              <w:keepNext/>
              <w:keepLines/>
              <w:spacing w:before="40" w:after="40" w:line="240" w:lineRule="auto"/>
              <w:ind w:firstLine="0"/>
              <w:jc w:val="center"/>
              <w:rPr>
                <w:rFonts w:eastAsia="PMingLiU"/>
                <w:b/>
                <w:sz w:val="20"/>
                <w:szCs w:val="20"/>
                <w:u w:val="single"/>
                <w:lang w:eastAsia="zh-CN"/>
              </w:rPr>
            </w:pPr>
            <w:r w:rsidRPr="00A91A38">
              <w:rPr>
                <w:rFonts w:eastAsia="PMingLiU"/>
                <w:b/>
                <w:sz w:val="20"/>
                <w:szCs w:val="20"/>
                <w:u w:val="single"/>
                <w:lang w:eastAsia="zh-CN"/>
              </w:rPr>
              <w:t>Firm Pipeline Service Capacity</w:t>
            </w:r>
          </w:p>
        </w:tc>
      </w:tr>
      <w:tr w:rsidR="00A91A38" w:rsidRPr="00E50E8B" w:rsidTr="00F54729">
        <w:tc>
          <w:tcPr>
            <w:tcW w:w="3069" w:type="dxa"/>
            <w:tcBorders>
              <w:bottom w:val="single" w:sz="4" w:space="0" w:color="auto"/>
            </w:tcBorders>
            <w:vAlign w:val="bottom"/>
          </w:tcPr>
          <w:p w:rsidR="00A91A38" w:rsidRPr="00E50E8B" w:rsidRDefault="00A91A38" w:rsidP="00A91A38">
            <w:pPr>
              <w:keepNext/>
              <w:keepLines/>
              <w:spacing w:before="40" w:after="40" w:line="240" w:lineRule="auto"/>
              <w:ind w:firstLine="0"/>
              <w:jc w:val="center"/>
              <w:rPr>
                <w:rFonts w:eastAsia="PMingLiU"/>
                <w:b/>
                <w:sz w:val="20"/>
                <w:szCs w:val="20"/>
                <w:lang w:eastAsia="zh-CN"/>
              </w:rPr>
            </w:pPr>
            <w:r w:rsidRPr="00E50E8B">
              <w:rPr>
                <w:rFonts w:eastAsia="PMingLiU"/>
                <w:b/>
                <w:sz w:val="20"/>
                <w:szCs w:val="20"/>
                <w:lang w:eastAsia="zh-CN"/>
              </w:rPr>
              <w:t>Pipeline</w:t>
            </w:r>
          </w:p>
        </w:tc>
        <w:tc>
          <w:tcPr>
            <w:tcW w:w="2972" w:type="dxa"/>
            <w:tcBorders>
              <w:bottom w:val="single" w:sz="4" w:space="0" w:color="auto"/>
            </w:tcBorders>
            <w:vAlign w:val="bottom"/>
          </w:tcPr>
          <w:p w:rsidR="00A91A38" w:rsidRPr="00E50E8B" w:rsidRDefault="00A91A38" w:rsidP="00A91A38">
            <w:pPr>
              <w:keepNext/>
              <w:keepLines/>
              <w:spacing w:before="40" w:after="40" w:line="240" w:lineRule="auto"/>
              <w:ind w:firstLine="0"/>
              <w:jc w:val="center"/>
              <w:rPr>
                <w:rFonts w:eastAsia="PMingLiU"/>
                <w:b/>
                <w:sz w:val="20"/>
                <w:szCs w:val="20"/>
                <w:lang w:eastAsia="zh-CN"/>
              </w:rPr>
            </w:pPr>
            <w:r w:rsidRPr="00E50E8B">
              <w:rPr>
                <w:rFonts w:eastAsia="PMingLiU"/>
                <w:b/>
                <w:sz w:val="20"/>
                <w:szCs w:val="20"/>
                <w:lang w:eastAsia="zh-CN"/>
              </w:rPr>
              <w:t>Path</w:t>
            </w:r>
          </w:p>
        </w:tc>
        <w:tc>
          <w:tcPr>
            <w:tcW w:w="1309" w:type="dxa"/>
            <w:tcBorders>
              <w:bottom w:val="single" w:sz="4" w:space="0" w:color="auto"/>
            </w:tcBorders>
            <w:vAlign w:val="bottom"/>
          </w:tcPr>
          <w:p w:rsidR="00A91A38" w:rsidRPr="00E50E8B" w:rsidRDefault="00A91A38" w:rsidP="00A91A38">
            <w:pPr>
              <w:keepNext/>
              <w:keepLines/>
              <w:spacing w:before="40" w:after="40" w:line="240" w:lineRule="auto"/>
              <w:ind w:firstLine="0"/>
              <w:jc w:val="center"/>
              <w:rPr>
                <w:rFonts w:eastAsia="PMingLiU"/>
                <w:b/>
                <w:sz w:val="20"/>
                <w:szCs w:val="20"/>
                <w:lang w:eastAsia="zh-CN"/>
              </w:rPr>
            </w:pPr>
            <w:r w:rsidRPr="00E50E8B">
              <w:rPr>
                <w:rFonts w:eastAsia="PMingLiU"/>
                <w:b/>
                <w:sz w:val="20"/>
                <w:szCs w:val="20"/>
                <w:lang w:eastAsia="zh-CN"/>
              </w:rPr>
              <w:t>Capacity</w:t>
            </w:r>
            <w:r w:rsidRPr="00E50E8B">
              <w:rPr>
                <w:rFonts w:eastAsia="PMingLiU"/>
                <w:b/>
                <w:sz w:val="20"/>
                <w:szCs w:val="20"/>
                <w:lang w:eastAsia="zh-CN"/>
              </w:rPr>
              <w:br/>
              <w:t>(</w:t>
            </w:r>
            <w:proofErr w:type="spellStart"/>
            <w:r w:rsidRPr="00E50E8B">
              <w:rPr>
                <w:rFonts w:eastAsia="PMingLiU"/>
                <w:b/>
                <w:sz w:val="20"/>
                <w:szCs w:val="20"/>
                <w:lang w:eastAsia="zh-CN"/>
              </w:rPr>
              <w:t>Dth</w:t>
            </w:r>
            <w:proofErr w:type="spellEnd"/>
            <w:r w:rsidRPr="00E50E8B">
              <w:rPr>
                <w:rFonts w:eastAsia="PMingLiU"/>
                <w:b/>
                <w:sz w:val="20"/>
                <w:szCs w:val="20"/>
                <w:lang w:eastAsia="zh-CN"/>
              </w:rPr>
              <w:t>/d)</w:t>
            </w:r>
          </w:p>
        </w:tc>
        <w:tc>
          <w:tcPr>
            <w:tcW w:w="1734" w:type="dxa"/>
            <w:tcBorders>
              <w:bottom w:val="single" w:sz="4" w:space="0" w:color="auto"/>
            </w:tcBorders>
          </w:tcPr>
          <w:p w:rsidR="00A91A38" w:rsidRPr="00E50E8B" w:rsidRDefault="00A91A38" w:rsidP="00A91A38">
            <w:pPr>
              <w:keepNext/>
              <w:keepLines/>
              <w:spacing w:before="40" w:after="40" w:line="240" w:lineRule="auto"/>
              <w:ind w:firstLine="0"/>
              <w:jc w:val="center"/>
              <w:rPr>
                <w:rFonts w:eastAsia="PMingLiU"/>
                <w:b/>
                <w:sz w:val="20"/>
                <w:szCs w:val="20"/>
                <w:lang w:eastAsia="zh-CN"/>
              </w:rPr>
            </w:pPr>
            <w:r>
              <w:rPr>
                <w:rFonts w:eastAsia="PMingLiU"/>
                <w:b/>
                <w:sz w:val="20"/>
                <w:szCs w:val="20"/>
                <w:lang w:eastAsia="zh-CN"/>
              </w:rPr>
              <w:t>Annual</w:t>
            </w:r>
            <w:r w:rsidRPr="00C34CCE">
              <w:rPr>
                <w:rFonts w:eastAsia="PMingLiU"/>
                <w:b/>
                <w:sz w:val="20"/>
                <w:szCs w:val="20"/>
                <w:vertAlign w:val="superscript"/>
                <w:lang w:eastAsia="zh-CN"/>
              </w:rPr>
              <w:t>(1)</w:t>
            </w:r>
            <w:r w:rsidRPr="00E50E8B">
              <w:rPr>
                <w:rFonts w:eastAsia="PMingLiU"/>
                <w:b/>
                <w:sz w:val="20"/>
                <w:szCs w:val="20"/>
                <w:lang w:eastAsia="zh-CN"/>
              </w:rPr>
              <w:br/>
              <w:t>Demand Cost</w:t>
            </w:r>
            <w:r w:rsidRPr="00E50E8B">
              <w:rPr>
                <w:rFonts w:eastAsia="PMingLiU"/>
                <w:b/>
                <w:sz w:val="20"/>
                <w:szCs w:val="20"/>
                <w:lang w:eastAsia="zh-CN"/>
              </w:rPr>
              <w:br/>
              <w:t>($000)</w:t>
            </w:r>
          </w:p>
        </w:tc>
      </w:tr>
      <w:tr w:rsidR="00A91A38" w:rsidTr="00F54729">
        <w:tc>
          <w:tcPr>
            <w:tcW w:w="3069" w:type="dxa"/>
            <w:tcBorders>
              <w:top w:val="single" w:sz="4" w:space="0" w:color="auto"/>
            </w:tcBorders>
          </w:tcPr>
          <w:p w:rsidR="00A91A38" w:rsidRPr="006B7D9E" w:rsidRDefault="00A91A38" w:rsidP="00A91A38">
            <w:pPr>
              <w:keepNext/>
              <w:keepLines/>
              <w:spacing w:before="40" w:after="40" w:line="240" w:lineRule="auto"/>
              <w:ind w:firstLine="0"/>
              <w:rPr>
                <w:rFonts w:eastAsia="PMingLiU"/>
                <w:sz w:val="20"/>
                <w:szCs w:val="20"/>
                <w:lang w:eastAsia="zh-CN"/>
              </w:rPr>
            </w:pPr>
            <w:r>
              <w:rPr>
                <w:rFonts w:eastAsia="PMingLiU"/>
                <w:sz w:val="20"/>
                <w:szCs w:val="20"/>
                <w:lang w:eastAsia="zh-CN"/>
              </w:rPr>
              <w:t>Northwest Pipeline</w:t>
            </w:r>
          </w:p>
        </w:tc>
        <w:tc>
          <w:tcPr>
            <w:tcW w:w="2972" w:type="dxa"/>
            <w:tcBorders>
              <w:top w:val="single" w:sz="4" w:space="0" w:color="auto"/>
            </w:tcBorders>
          </w:tcPr>
          <w:p w:rsidR="00A91A38" w:rsidRPr="006B7D9E" w:rsidRDefault="00A91A38" w:rsidP="00A91A38">
            <w:pPr>
              <w:keepNext/>
              <w:keepLines/>
              <w:spacing w:before="40" w:after="40" w:line="240" w:lineRule="auto"/>
              <w:ind w:firstLine="0"/>
              <w:rPr>
                <w:rFonts w:eastAsia="PMingLiU"/>
                <w:sz w:val="20"/>
                <w:szCs w:val="20"/>
                <w:lang w:eastAsia="zh-CN"/>
              </w:rPr>
            </w:pPr>
            <w:r>
              <w:rPr>
                <w:rFonts w:eastAsia="PMingLiU"/>
                <w:sz w:val="20"/>
                <w:szCs w:val="20"/>
                <w:lang w:eastAsia="zh-CN"/>
              </w:rPr>
              <w:t>Sumas to Plants</w:t>
            </w:r>
          </w:p>
        </w:tc>
        <w:tc>
          <w:tcPr>
            <w:tcW w:w="1309" w:type="dxa"/>
            <w:tcBorders>
              <w:top w:val="single" w:sz="4" w:space="0" w:color="auto"/>
            </w:tcBorders>
          </w:tcPr>
          <w:p w:rsidR="00A91A38" w:rsidRPr="006B7D9E" w:rsidRDefault="00A91A38" w:rsidP="008847E9">
            <w:pPr>
              <w:keepNext/>
              <w:keepLines/>
              <w:spacing w:before="40" w:after="40" w:line="240" w:lineRule="auto"/>
              <w:ind w:right="228" w:firstLine="0"/>
              <w:jc w:val="right"/>
              <w:rPr>
                <w:rFonts w:eastAsia="PMingLiU"/>
                <w:sz w:val="20"/>
                <w:szCs w:val="20"/>
                <w:lang w:eastAsia="zh-CN"/>
              </w:rPr>
            </w:pPr>
            <w:r>
              <w:rPr>
                <w:rFonts w:eastAsia="PMingLiU"/>
                <w:sz w:val="20"/>
                <w:szCs w:val="20"/>
                <w:lang w:eastAsia="zh-CN"/>
              </w:rPr>
              <w:t>108</w:t>
            </w:r>
            <w:r w:rsidR="008847E9">
              <w:rPr>
                <w:rFonts w:eastAsia="PMingLiU"/>
                <w:sz w:val="20"/>
                <w:szCs w:val="20"/>
                <w:lang w:eastAsia="zh-CN"/>
              </w:rPr>
              <w:t>,957</w:t>
            </w:r>
          </w:p>
        </w:tc>
        <w:tc>
          <w:tcPr>
            <w:tcW w:w="1734" w:type="dxa"/>
            <w:tcBorders>
              <w:top w:val="single" w:sz="4" w:space="0" w:color="auto"/>
            </w:tcBorders>
          </w:tcPr>
          <w:p w:rsidR="00A91A38" w:rsidRPr="006B7D9E" w:rsidRDefault="005878A4" w:rsidP="00DE5633">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11,818</w:t>
            </w:r>
          </w:p>
        </w:tc>
      </w:tr>
      <w:tr w:rsidR="00A91A38" w:rsidTr="00BC57A0">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E50E8B">
              <w:rPr>
                <w:rFonts w:eastAsia="PMingLiU"/>
                <w:sz w:val="20"/>
                <w:szCs w:val="20"/>
                <w:lang w:eastAsia="zh-CN"/>
              </w:rPr>
              <w:t>Northwest Pipeline</w:t>
            </w:r>
          </w:p>
        </w:tc>
        <w:tc>
          <w:tcPr>
            <w:tcW w:w="2972"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E50E8B">
              <w:rPr>
                <w:rFonts w:eastAsia="PMingLiU"/>
                <w:sz w:val="20"/>
                <w:szCs w:val="20"/>
                <w:lang w:eastAsia="zh-CN"/>
              </w:rPr>
              <w:t xml:space="preserve">Stanfield or Plymouth to </w:t>
            </w:r>
            <w:r>
              <w:rPr>
                <w:rFonts w:eastAsia="PMingLiU"/>
                <w:sz w:val="20"/>
                <w:szCs w:val="20"/>
                <w:lang w:eastAsia="zh-CN"/>
              </w:rPr>
              <w:t>P</w:t>
            </w:r>
            <w:r w:rsidRPr="00E50E8B">
              <w:rPr>
                <w:rFonts w:eastAsia="PMingLiU"/>
                <w:sz w:val="20"/>
                <w:szCs w:val="20"/>
                <w:lang w:eastAsia="zh-CN"/>
              </w:rPr>
              <w:t>lants</w:t>
            </w:r>
          </w:p>
        </w:tc>
        <w:tc>
          <w:tcPr>
            <w:tcW w:w="1309" w:type="dxa"/>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sidRPr="008847E9">
              <w:rPr>
                <w:rFonts w:eastAsia="PMingLiU"/>
                <w:sz w:val="20"/>
                <w:szCs w:val="20"/>
                <w:lang w:eastAsia="zh-CN"/>
              </w:rPr>
              <w:t>78,928</w:t>
            </w:r>
          </w:p>
        </w:tc>
        <w:tc>
          <w:tcPr>
            <w:tcW w:w="1734" w:type="dxa"/>
          </w:tcPr>
          <w:p w:rsidR="00A91A38" w:rsidRPr="006B7D9E"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11,812</w:t>
            </w:r>
          </w:p>
        </w:tc>
      </w:tr>
      <w:tr w:rsidR="00A91A38" w:rsidTr="00BC57A0">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E50E8B">
              <w:rPr>
                <w:rFonts w:eastAsia="PMingLiU"/>
                <w:sz w:val="20"/>
                <w:szCs w:val="20"/>
                <w:lang w:eastAsia="zh-CN"/>
              </w:rPr>
              <w:t>Northwest Pipeline</w:t>
            </w:r>
          </w:p>
        </w:tc>
        <w:tc>
          <w:tcPr>
            <w:tcW w:w="2972"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E50E8B">
              <w:rPr>
                <w:rFonts w:eastAsia="PMingLiU"/>
                <w:sz w:val="20"/>
                <w:szCs w:val="20"/>
                <w:lang w:eastAsia="zh-CN"/>
              </w:rPr>
              <w:t xml:space="preserve">Plymouth or Stanfield to </w:t>
            </w:r>
            <w:r>
              <w:rPr>
                <w:rFonts w:eastAsia="PMingLiU"/>
                <w:sz w:val="20"/>
                <w:szCs w:val="20"/>
                <w:lang w:eastAsia="zh-CN"/>
              </w:rPr>
              <w:t>P</w:t>
            </w:r>
            <w:r w:rsidRPr="00E50E8B">
              <w:rPr>
                <w:rFonts w:eastAsia="PMingLiU"/>
                <w:sz w:val="20"/>
                <w:szCs w:val="20"/>
                <w:lang w:eastAsia="zh-CN"/>
              </w:rPr>
              <w:t>lants</w:t>
            </w:r>
          </w:p>
        </w:tc>
        <w:tc>
          <w:tcPr>
            <w:tcW w:w="1309" w:type="dxa"/>
            <w:tcBorders>
              <w:bottom w:val="single" w:sz="4" w:space="0" w:color="auto"/>
            </w:tcBorders>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Pr>
                <w:rFonts w:eastAsia="PMingLiU"/>
                <w:sz w:val="20"/>
                <w:szCs w:val="20"/>
                <w:lang w:eastAsia="zh-CN"/>
              </w:rPr>
              <w:t>1</w:t>
            </w:r>
            <w:r w:rsidRPr="00E50E8B">
              <w:rPr>
                <w:rFonts w:eastAsia="PMingLiU"/>
                <w:sz w:val="20"/>
                <w:szCs w:val="20"/>
                <w:lang w:eastAsia="zh-CN"/>
              </w:rPr>
              <w:t>5,000</w:t>
            </w:r>
          </w:p>
        </w:tc>
        <w:tc>
          <w:tcPr>
            <w:tcW w:w="1734" w:type="dxa"/>
            <w:tcBorders>
              <w:bottom w:val="single" w:sz="4" w:space="0" w:color="auto"/>
            </w:tcBorders>
          </w:tcPr>
          <w:p w:rsidR="00A91A38" w:rsidRPr="006B7D9E" w:rsidRDefault="00A91A38" w:rsidP="00A91A38">
            <w:pPr>
              <w:keepNext/>
              <w:keepLines/>
              <w:spacing w:before="40" w:after="40" w:line="240" w:lineRule="auto"/>
              <w:ind w:right="252" w:firstLine="0"/>
              <w:jc w:val="right"/>
              <w:rPr>
                <w:rFonts w:eastAsia="PMingLiU"/>
                <w:sz w:val="20"/>
                <w:szCs w:val="20"/>
                <w:lang w:eastAsia="zh-CN"/>
              </w:rPr>
            </w:pPr>
            <w:r w:rsidRPr="00E50E8B">
              <w:rPr>
                <w:rFonts w:eastAsia="PMingLiU"/>
                <w:sz w:val="20"/>
                <w:szCs w:val="20"/>
                <w:lang w:eastAsia="zh-CN"/>
              </w:rPr>
              <w:t>557</w:t>
            </w:r>
          </w:p>
        </w:tc>
      </w:tr>
      <w:tr w:rsidR="00F54729" w:rsidTr="00BC57A0">
        <w:tc>
          <w:tcPr>
            <w:tcW w:w="6041" w:type="dxa"/>
            <w:gridSpan w:val="2"/>
          </w:tcPr>
          <w:p w:rsidR="00F54729" w:rsidRPr="006B7D9E" w:rsidRDefault="00F54729" w:rsidP="00F54729">
            <w:pPr>
              <w:keepNext/>
              <w:keepLines/>
              <w:spacing w:before="40" w:after="40" w:line="240" w:lineRule="auto"/>
              <w:ind w:left="270" w:firstLine="0"/>
              <w:rPr>
                <w:rFonts w:eastAsia="PMingLiU"/>
                <w:sz w:val="20"/>
                <w:szCs w:val="20"/>
                <w:lang w:eastAsia="zh-CN"/>
              </w:rPr>
            </w:pPr>
            <w:r>
              <w:rPr>
                <w:rFonts w:eastAsia="PMingLiU"/>
                <w:sz w:val="20"/>
                <w:szCs w:val="20"/>
                <w:lang w:eastAsia="zh-CN"/>
              </w:rPr>
              <w:t xml:space="preserve">Total </w:t>
            </w:r>
            <w:r w:rsidRPr="00F54729">
              <w:rPr>
                <w:rFonts w:eastAsia="PMingLiU"/>
                <w:sz w:val="20"/>
                <w:szCs w:val="20"/>
                <w:lang w:eastAsia="zh-CN"/>
              </w:rPr>
              <w:t>Northwest Pipeline</w:t>
            </w:r>
            <w:r>
              <w:rPr>
                <w:rFonts w:eastAsia="PMingLiU"/>
                <w:sz w:val="20"/>
                <w:szCs w:val="20"/>
                <w:lang w:eastAsia="zh-CN"/>
              </w:rPr>
              <w:t xml:space="preserve"> Annual</w:t>
            </w:r>
          </w:p>
        </w:tc>
        <w:tc>
          <w:tcPr>
            <w:tcW w:w="1309" w:type="dxa"/>
            <w:tcBorders>
              <w:top w:val="single" w:sz="4" w:space="0" w:color="auto"/>
            </w:tcBorders>
          </w:tcPr>
          <w:p w:rsidR="00F54729" w:rsidRPr="006B7D9E" w:rsidRDefault="00F54729" w:rsidP="00A91A38">
            <w:pPr>
              <w:keepNext/>
              <w:keepLines/>
              <w:spacing w:before="40" w:after="40" w:line="240" w:lineRule="auto"/>
              <w:ind w:right="48" w:firstLine="0"/>
              <w:jc w:val="right"/>
              <w:rPr>
                <w:rFonts w:eastAsia="PMingLiU"/>
                <w:sz w:val="20"/>
                <w:szCs w:val="20"/>
                <w:lang w:eastAsia="zh-CN"/>
              </w:rPr>
            </w:pPr>
            <w:r>
              <w:rPr>
                <w:rFonts w:eastAsia="PMingLiU"/>
                <w:sz w:val="20"/>
                <w:szCs w:val="20"/>
                <w:lang w:eastAsia="zh-CN"/>
              </w:rPr>
              <w:t>202,885</w:t>
            </w:r>
            <w:r w:rsidRPr="005A4C6B">
              <w:rPr>
                <w:rFonts w:eastAsia="PMingLiU"/>
                <w:sz w:val="20"/>
                <w:szCs w:val="20"/>
                <w:vertAlign w:val="superscript"/>
                <w:lang w:eastAsia="zh-CN"/>
              </w:rPr>
              <w:t>(2)</w:t>
            </w:r>
          </w:p>
        </w:tc>
        <w:tc>
          <w:tcPr>
            <w:tcW w:w="1734" w:type="dxa"/>
            <w:tcBorders>
              <w:top w:val="single" w:sz="4" w:space="0" w:color="auto"/>
            </w:tcBorders>
          </w:tcPr>
          <w:p w:rsidR="00F54729" w:rsidRPr="006B7D9E" w:rsidRDefault="005878A4"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24,187</w:t>
            </w:r>
          </w:p>
        </w:tc>
      </w:tr>
      <w:tr w:rsidR="00A91A38" w:rsidTr="00BC57A0">
        <w:tc>
          <w:tcPr>
            <w:tcW w:w="3069" w:type="dxa"/>
          </w:tcPr>
          <w:p w:rsidR="00A91A38" w:rsidRPr="006B7D9E" w:rsidRDefault="00F54729" w:rsidP="00A91A38">
            <w:pPr>
              <w:keepNext/>
              <w:keepLines/>
              <w:spacing w:before="40" w:after="40" w:line="240" w:lineRule="auto"/>
              <w:ind w:firstLine="0"/>
              <w:rPr>
                <w:rFonts w:eastAsia="PMingLiU"/>
                <w:sz w:val="20"/>
                <w:szCs w:val="20"/>
                <w:lang w:eastAsia="zh-CN"/>
              </w:rPr>
            </w:pPr>
            <w:r w:rsidRPr="00F54729">
              <w:rPr>
                <w:rFonts w:eastAsia="PMingLiU"/>
                <w:sz w:val="20"/>
                <w:szCs w:val="20"/>
                <w:lang w:eastAsia="zh-CN"/>
              </w:rPr>
              <w:t>Northwest Pipeline</w:t>
            </w:r>
            <w:r w:rsidR="00A91A38">
              <w:rPr>
                <w:rFonts w:eastAsia="PMingLiU"/>
                <w:sz w:val="20"/>
                <w:szCs w:val="20"/>
                <w:lang w:eastAsia="zh-CN"/>
              </w:rPr>
              <w:t>-Winter Only</w:t>
            </w:r>
          </w:p>
        </w:tc>
        <w:tc>
          <w:tcPr>
            <w:tcW w:w="2972"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E50E8B">
              <w:rPr>
                <w:rFonts w:eastAsia="PMingLiU"/>
                <w:sz w:val="20"/>
                <w:szCs w:val="20"/>
                <w:lang w:eastAsia="zh-CN"/>
              </w:rPr>
              <w:t xml:space="preserve">Jackson Prairie to </w:t>
            </w:r>
            <w:r>
              <w:rPr>
                <w:rFonts w:eastAsia="PMingLiU"/>
                <w:sz w:val="20"/>
                <w:szCs w:val="20"/>
                <w:lang w:eastAsia="zh-CN"/>
              </w:rPr>
              <w:t>P</w:t>
            </w:r>
            <w:r w:rsidRPr="00E50E8B">
              <w:rPr>
                <w:rFonts w:eastAsia="PMingLiU"/>
                <w:sz w:val="20"/>
                <w:szCs w:val="20"/>
                <w:lang w:eastAsia="zh-CN"/>
              </w:rPr>
              <w:t>lants</w:t>
            </w:r>
          </w:p>
        </w:tc>
        <w:tc>
          <w:tcPr>
            <w:tcW w:w="1309" w:type="dxa"/>
            <w:tcBorders>
              <w:bottom w:val="single" w:sz="4" w:space="0" w:color="auto"/>
            </w:tcBorders>
          </w:tcPr>
          <w:p w:rsidR="00A91A38" w:rsidRPr="006B7D9E" w:rsidRDefault="00A91A38" w:rsidP="00A91A38">
            <w:pPr>
              <w:keepNext/>
              <w:keepLines/>
              <w:spacing w:before="40" w:after="40" w:line="240" w:lineRule="auto"/>
              <w:ind w:right="48" w:firstLine="0"/>
              <w:jc w:val="right"/>
              <w:rPr>
                <w:rFonts w:eastAsia="PMingLiU"/>
                <w:sz w:val="20"/>
                <w:szCs w:val="20"/>
                <w:lang w:eastAsia="zh-CN"/>
              </w:rPr>
            </w:pPr>
            <w:r w:rsidRPr="008847E9">
              <w:rPr>
                <w:rFonts w:eastAsia="PMingLiU"/>
                <w:sz w:val="20"/>
                <w:szCs w:val="20"/>
                <w:lang w:eastAsia="zh-CN"/>
              </w:rPr>
              <w:t>34,197</w:t>
            </w:r>
            <w:r w:rsidRPr="008847E9">
              <w:rPr>
                <w:rFonts w:eastAsia="PMingLiU"/>
                <w:sz w:val="20"/>
                <w:szCs w:val="20"/>
                <w:vertAlign w:val="superscript"/>
                <w:lang w:eastAsia="zh-CN"/>
              </w:rPr>
              <w:t>(2</w:t>
            </w:r>
            <w:r w:rsidRPr="005A4C6B">
              <w:rPr>
                <w:rFonts w:eastAsia="PMingLiU"/>
                <w:sz w:val="20"/>
                <w:szCs w:val="20"/>
                <w:vertAlign w:val="superscript"/>
                <w:lang w:eastAsia="zh-CN"/>
              </w:rPr>
              <w:t>)</w:t>
            </w:r>
          </w:p>
        </w:tc>
        <w:tc>
          <w:tcPr>
            <w:tcW w:w="1734" w:type="dxa"/>
            <w:tcBorders>
              <w:bottom w:val="single" w:sz="4" w:space="0" w:color="auto"/>
            </w:tcBorders>
          </w:tcPr>
          <w:p w:rsidR="00A91A38" w:rsidRPr="006B7D9E"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1,270</w:t>
            </w:r>
          </w:p>
        </w:tc>
      </w:tr>
      <w:tr w:rsidR="00F54729" w:rsidTr="00BC57A0">
        <w:tc>
          <w:tcPr>
            <w:tcW w:w="6041" w:type="dxa"/>
            <w:gridSpan w:val="2"/>
          </w:tcPr>
          <w:p w:rsidR="00F54729" w:rsidRPr="006B7D9E" w:rsidRDefault="00F54729" w:rsidP="00F54729">
            <w:pPr>
              <w:keepNext/>
              <w:keepLines/>
              <w:spacing w:before="40" w:after="40" w:line="240" w:lineRule="auto"/>
              <w:ind w:left="270" w:firstLine="0"/>
              <w:rPr>
                <w:rFonts w:eastAsia="PMingLiU"/>
                <w:sz w:val="20"/>
                <w:szCs w:val="20"/>
                <w:lang w:eastAsia="zh-CN"/>
              </w:rPr>
            </w:pPr>
            <w:r>
              <w:rPr>
                <w:rFonts w:eastAsia="PMingLiU"/>
                <w:sz w:val="20"/>
                <w:szCs w:val="20"/>
                <w:lang w:eastAsia="zh-CN"/>
              </w:rPr>
              <w:t xml:space="preserve">Total </w:t>
            </w:r>
            <w:r w:rsidRPr="00F54729">
              <w:rPr>
                <w:rFonts w:eastAsia="PMingLiU"/>
                <w:sz w:val="20"/>
                <w:szCs w:val="20"/>
                <w:lang w:eastAsia="zh-CN"/>
              </w:rPr>
              <w:t>Northwest Pipeline</w:t>
            </w:r>
            <w:r>
              <w:rPr>
                <w:rFonts w:eastAsia="PMingLiU"/>
                <w:sz w:val="20"/>
                <w:szCs w:val="20"/>
                <w:lang w:eastAsia="zh-CN"/>
              </w:rPr>
              <w:t xml:space="preserve"> Winter</w:t>
            </w:r>
          </w:p>
        </w:tc>
        <w:tc>
          <w:tcPr>
            <w:tcW w:w="1309" w:type="dxa"/>
            <w:tcBorders>
              <w:top w:val="single" w:sz="4" w:space="0" w:color="auto"/>
              <w:bottom w:val="single" w:sz="4" w:space="0" w:color="auto"/>
            </w:tcBorders>
          </w:tcPr>
          <w:p w:rsidR="00F54729" w:rsidRPr="006B7D9E" w:rsidRDefault="00F54729" w:rsidP="00A91A38">
            <w:pPr>
              <w:keepNext/>
              <w:keepLines/>
              <w:spacing w:before="40" w:after="40" w:line="240" w:lineRule="auto"/>
              <w:ind w:right="228" w:firstLine="0"/>
              <w:jc w:val="right"/>
              <w:rPr>
                <w:rFonts w:eastAsia="PMingLiU"/>
                <w:sz w:val="20"/>
                <w:szCs w:val="20"/>
                <w:lang w:eastAsia="zh-CN"/>
              </w:rPr>
            </w:pPr>
            <w:r w:rsidRPr="00E50E8B">
              <w:rPr>
                <w:rFonts w:eastAsia="PMingLiU"/>
                <w:sz w:val="20"/>
                <w:szCs w:val="20"/>
                <w:lang w:eastAsia="zh-CN"/>
              </w:rPr>
              <w:t>237,082</w:t>
            </w:r>
          </w:p>
        </w:tc>
        <w:tc>
          <w:tcPr>
            <w:tcW w:w="1734" w:type="dxa"/>
            <w:tcBorders>
              <w:top w:val="single" w:sz="4" w:space="0" w:color="auto"/>
              <w:bottom w:val="single" w:sz="4" w:space="0" w:color="auto"/>
            </w:tcBorders>
          </w:tcPr>
          <w:p w:rsidR="00F54729" w:rsidRPr="006B7D9E" w:rsidRDefault="005878A4"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25,457</w:t>
            </w:r>
          </w:p>
        </w:tc>
      </w:tr>
      <w:tr w:rsidR="00A91A38" w:rsidRPr="004D381F" w:rsidTr="00BC57A0">
        <w:tc>
          <w:tcPr>
            <w:tcW w:w="3069" w:type="dxa"/>
          </w:tcPr>
          <w:p w:rsidR="00A91A38" w:rsidRPr="004D381F" w:rsidRDefault="00A91A38" w:rsidP="00A91A38">
            <w:pPr>
              <w:keepNext/>
              <w:keepLines/>
              <w:spacing w:before="40" w:after="40" w:line="240" w:lineRule="auto"/>
              <w:ind w:firstLine="0"/>
              <w:rPr>
                <w:rFonts w:eastAsia="PMingLiU"/>
                <w:sz w:val="2"/>
                <w:szCs w:val="2"/>
                <w:lang w:eastAsia="zh-CN"/>
              </w:rPr>
            </w:pPr>
          </w:p>
        </w:tc>
        <w:tc>
          <w:tcPr>
            <w:tcW w:w="2972" w:type="dxa"/>
          </w:tcPr>
          <w:p w:rsidR="00A91A38" w:rsidRPr="004D381F" w:rsidRDefault="00A91A38" w:rsidP="00A91A38">
            <w:pPr>
              <w:keepNext/>
              <w:keepLines/>
              <w:spacing w:before="40" w:after="40" w:line="240" w:lineRule="auto"/>
              <w:ind w:firstLine="0"/>
              <w:rPr>
                <w:rFonts w:eastAsia="PMingLiU"/>
                <w:sz w:val="2"/>
                <w:szCs w:val="2"/>
                <w:lang w:eastAsia="zh-CN"/>
              </w:rPr>
            </w:pPr>
          </w:p>
        </w:tc>
        <w:tc>
          <w:tcPr>
            <w:tcW w:w="1309" w:type="dxa"/>
            <w:tcBorders>
              <w:top w:val="single" w:sz="4" w:space="0" w:color="auto"/>
            </w:tcBorders>
          </w:tcPr>
          <w:p w:rsidR="00A91A38" w:rsidRPr="004D381F" w:rsidRDefault="00A91A38" w:rsidP="00A91A38">
            <w:pPr>
              <w:keepNext/>
              <w:keepLines/>
              <w:spacing w:before="40" w:after="40" w:line="240" w:lineRule="auto"/>
              <w:ind w:right="228" w:firstLine="0"/>
              <w:jc w:val="right"/>
              <w:rPr>
                <w:rFonts w:eastAsia="PMingLiU"/>
                <w:sz w:val="2"/>
                <w:szCs w:val="2"/>
                <w:lang w:eastAsia="zh-CN"/>
              </w:rPr>
            </w:pPr>
          </w:p>
        </w:tc>
        <w:tc>
          <w:tcPr>
            <w:tcW w:w="1734" w:type="dxa"/>
            <w:tcBorders>
              <w:top w:val="single" w:sz="4" w:space="0" w:color="auto"/>
            </w:tcBorders>
          </w:tcPr>
          <w:p w:rsidR="00A91A38" w:rsidRPr="004D381F" w:rsidRDefault="00A91A38" w:rsidP="00A91A38">
            <w:pPr>
              <w:keepNext/>
              <w:keepLines/>
              <w:spacing w:before="40" w:after="40" w:line="240" w:lineRule="auto"/>
              <w:ind w:right="252" w:firstLine="0"/>
              <w:jc w:val="right"/>
              <w:rPr>
                <w:rFonts w:eastAsia="PMingLiU"/>
                <w:sz w:val="2"/>
                <w:szCs w:val="2"/>
                <w:lang w:eastAsia="zh-CN"/>
              </w:rPr>
            </w:pPr>
          </w:p>
        </w:tc>
      </w:tr>
      <w:tr w:rsidR="00A91A38" w:rsidTr="00F54729">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Cascade Natural Gas</w:t>
            </w:r>
          </w:p>
        </w:tc>
        <w:tc>
          <w:tcPr>
            <w:tcW w:w="2972"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 xml:space="preserve">Sumas to </w:t>
            </w:r>
            <w:proofErr w:type="spellStart"/>
            <w:r w:rsidRPr="004D381F">
              <w:rPr>
                <w:rFonts w:eastAsia="PMingLiU"/>
                <w:sz w:val="20"/>
                <w:szCs w:val="20"/>
                <w:lang w:eastAsia="zh-CN"/>
              </w:rPr>
              <w:t>Whitehorn</w:t>
            </w:r>
            <w:proofErr w:type="spellEnd"/>
            <w:r w:rsidRPr="004D381F">
              <w:rPr>
                <w:rFonts w:eastAsia="PMingLiU"/>
                <w:sz w:val="20"/>
                <w:szCs w:val="20"/>
                <w:lang w:eastAsia="zh-CN"/>
              </w:rPr>
              <w:t xml:space="preserve"> </w:t>
            </w:r>
          </w:p>
        </w:tc>
        <w:tc>
          <w:tcPr>
            <w:tcW w:w="1309" w:type="dxa"/>
          </w:tcPr>
          <w:p w:rsidR="00A91A38" w:rsidRPr="006B7D9E" w:rsidRDefault="00A91A38" w:rsidP="00A91A38">
            <w:pPr>
              <w:keepNext/>
              <w:keepLines/>
              <w:spacing w:before="40" w:after="40" w:line="240" w:lineRule="auto"/>
              <w:ind w:right="48" w:firstLine="0"/>
              <w:jc w:val="right"/>
              <w:rPr>
                <w:rFonts w:eastAsia="PMingLiU"/>
                <w:sz w:val="20"/>
                <w:szCs w:val="20"/>
                <w:lang w:eastAsia="zh-CN"/>
              </w:rPr>
            </w:pPr>
            <w:r w:rsidRPr="004D381F">
              <w:rPr>
                <w:rFonts w:eastAsia="PMingLiU"/>
                <w:sz w:val="20"/>
                <w:szCs w:val="20"/>
                <w:lang w:eastAsia="zh-CN"/>
              </w:rPr>
              <w:t>24,000</w:t>
            </w:r>
            <w:r w:rsidRPr="005A4C6B">
              <w:rPr>
                <w:rFonts w:eastAsia="PMingLiU"/>
                <w:sz w:val="20"/>
                <w:szCs w:val="20"/>
                <w:vertAlign w:val="superscript"/>
                <w:lang w:eastAsia="zh-CN"/>
              </w:rPr>
              <w:t>(2)</w:t>
            </w:r>
          </w:p>
        </w:tc>
        <w:tc>
          <w:tcPr>
            <w:tcW w:w="1734" w:type="dxa"/>
          </w:tcPr>
          <w:p w:rsidR="00A91A38" w:rsidRPr="006B7D9E"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11</w:t>
            </w:r>
          </w:p>
        </w:tc>
      </w:tr>
      <w:tr w:rsidR="00A91A38" w:rsidRPr="004D381F" w:rsidTr="00F54729">
        <w:tc>
          <w:tcPr>
            <w:tcW w:w="3069" w:type="dxa"/>
          </w:tcPr>
          <w:p w:rsidR="00A91A38" w:rsidRPr="004D381F"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Cascade Natural Gas</w:t>
            </w:r>
          </w:p>
        </w:tc>
        <w:tc>
          <w:tcPr>
            <w:tcW w:w="2972" w:type="dxa"/>
          </w:tcPr>
          <w:p w:rsidR="00A91A38" w:rsidRPr="004D381F"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Sumas to Ferndale</w:t>
            </w:r>
          </w:p>
        </w:tc>
        <w:tc>
          <w:tcPr>
            <w:tcW w:w="1309" w:type="dxa"/>
          </w:tcPr>
          <w:p w:rsidR="00A91A38" w:rsidRPr="004D381F" w:rsidRDefault="00A91A38" w:rsidP="00BB3737">
            <w:pPr>
              <w:keepNext/>
              <w:keepLines/>
              <w:spacing w:before="40" w:after="40" w:line="240" w:lineRule="auto"/>
              <w:ind w:right="24" w:firstLine="0"/>
              <w:jc w:val="right"/>
              <w:rPr>
                <w:rFonts w:eastAsia="PMingLiU"/>
                <w:sz w:val="20"/>
                <w:szCs w:val="20"/>
                <w:lang w:eastAsia="zh-CN"/>
              </w:rPr>
            </w:pPr>
            <w:r w:rsidRPr="004D381F">
              <w:rPr>
                <w:rFonts w:eastAsia="PMingLiU"/>
                <w:sz w:val="20"/>
                <w:szCs w:val="20"/>
                <w:lang w:eastAsia="zh-CN"/>
              </w:rPr>
              <w:t>52,000</w:t>
            </w:r>
            <w:r w:rsidR="00B035D9" w:rsidRPr="005A4C6B">
              <w:rPr>
                <w:rFonts w:eastAsia="PMingLiU"/>
                <w:sz w:val="20"/>
                <w:szCs w:val="20"/>
                <w:vertAlign w:val="superscript"/>
                <w:lang w:eastAsia="zh-CN"/>
              </w:rPr>
              <w:t>(2)</w:t>
            </w:r>
          </w:p>
        </w:tc>
        <w:tc>
          <w:tcPr>
            <w:tcW w:w="1734" w:type="dxa"/>
          </w:tcPr>
          <w:p w:rsidR="00A91A38" w:rsidRPr="004D381F"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984</w:t>
            </w:r>
          </w:p>
        </w:tc>
      </w:tr>
      <w:tr w:rsidR="00A91A38" w:rsidRPr="004D381F" w:rsidTr="00F54729">
        <w:tc>
          <w:tcPr>
            <w:tcW w:w="3069" w:type="dxa"/>
          </w:tcPr>
          <w:p w:rsidR="00A91A38" w:rsidRPr="004D381F"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Cascade Natural Gas</w:t>
            </w:r>
          </w:p>
        </w:tc>
        <w:tc>
          <w:tcPr>
            <w:tcW w:w="2972" w:type="dxa"/>
          </w:tcPr>
          <w:p w:rsidR="00A91A38" w:rsidRPr="004D381F" w:rsidRDefault="00F54729" w:rsidP="00A91A38">
            <w:pPr>
              <w:keepNext/>
              <w:keepLines/>
              <w:spacing w:before="40" w:after="40" w:line="240" w:lineRule="auto"/>
              <w:ind w:firstLine="0"/>
              <w:rPr>
                <w:rFonts w:eastAsia="PMingLiU"/>
                <w:sz w:val="20"/>
                <w:szCs w:val="20"/>
                <w:lang w:eastAsia="zh-CN"/>
              </w:rPr>
            </w:pPr>
            <w:r w:rsidRPr="00F54729">
              <w:rPr>
                <w:rFonts w:eastAsia="PMingLiU"/>
                <w:sz w:val="20"/>
                <w:szCs w:val="20"/>
                <w:lang w:eastAsia="zh-CN"/>
              </w:rPr>
              <w:t>Northwest Pipeline</w:t>
            </w:r>
            <w:r w:rsidR="00A91A38" w:rsidRPr="004D381F">
              <w:rPr>
                <w:rFonts w:eastAsia="PMingLiU"/>
                <w:sz w:val="20"/>
                <w:szCs w:val="20"/>
                <w:lang w:eastAsia="zh-CN"/>
              </w:rPr>
              <w:t xml:space="preserve"> to </w:t>
            </w:r>
            <w:proofErr w:type="spellStart"/>
            <w:r w:rsidR="00A91A38" w:rsidRPr="004D381F">
              <w:rPr>
                <w:rFonts w:eastAsia="PMingLiU"/>
                <w:sz w:val="20"/>
                <w:szCs w:val="20"/>
                <w:lang w:eastAsia="zh-CN"/>
              </w:rPr>
              <w:t>Encogen</w:t>
            </w:r>
            <w:proofErr w:type="spellEnd"/>
            <w:r w:rsidR="00A91A38" w:rsidRPr="004D381F">
              <w:rPr>
                <w:rFonts w:eastAsia="PMingLiU"/>
                <w:sz w:val="20"/>
                <w:szCs w:val="20"/>
                <w:lang w:eastAsia="zh-CN"/>
              </w:rPr>
              <w:t xml:space="preserve"> </w:t>
            </w:r>
          </w:p>
        </w:tc>
        <w:tc>
          <w:tcPr>
            <w:tcW w:w="1309" w:type="dxa"/>
          </w:tcPr>
          <w:p w:rsidR="00A91A38" w:rsidRPr="004D381F" w:rsidRDefault="00A91A38" w:rsidP="00A91A38">
            <w:pPr>
              <w:keepNext/>
              <w:keepLines/>
              <w:spacing w:before="40" w:after="40" w:line="240" w:lineRule="auto"/>
              <w:ind w:right="228" w:firstLine="0"/>
              <w:jc w:val="right"/>
              <w:rPr>
                <w:rFonts w:eastAsia="PMingLiU"/>
                <w:sz w:val="20"/>
                <w:szCs w:val="20"/>
                <w:lang w:eastAsia="zh-CN"/>
              </w:rPr>
            </w:pPr>
            <w:r w:rsidRPr="004D381F">
              <w:rPr>
                <w:rFonts w:eastAsia="PMingLiU"/>
                <w:sz w:val="20"/>
                <w:szCs w:val="20"/>
                <w:lang w:eastAsia="zh-CN"/>
              </w:rPr>
              <w:t>37,000</w:t>
            </w:r>
          </w:p>
        </w:tc>
        <w:tc>
          <w:tcPr>
            <w:tcW w:w="1734" w:type="dxa"/>
          </w:tcPr>
          <w:p w:rsidR="00A91A38" w:rsidRPr="004D381F" w:rsidRDefault="0088080C" w:rsidP="005878A4">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1</w:t>
            </w:r>
            <w:r w:rsidR="005878A4">
              <w:rPr>
                <w:rFonts w:eastAsia="PMingLiU"/>
                <w:sz w:val="20"/>
                <w:szCs w:val="20"/>
                <w:lang w:eastAsia="zh-CN"/>
              </w:rPr>
              <w:t>97</w:t>
            </w:r>
          </w:p>
        </w:tc>
      </w:tr>
      <w:tr w:rsidR="00A91A38" w:rsidRPr="004D381F" w:rsidTr="00F54729">
        <w:tc>
          <w:tcPr>
            <w:tcW w:w="3069" w:type="dxa"/>
          </w:tcPr>
          <w:p w:rsidR="00A91A38" w:rsidRPr="004D381F"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Cascade Natural Gas</w:t>
            </w:r>
          </w:p>
        </w:tc>
        <w:tc>
          <w:tcPr>
            <w:tcW w:w="2972" w:type="dxa"/>
          </w:tcPr>
          <w:p w:rsidR="00A91A38" w:rsidRPr="004D381F" w:rsidRDefault="00F54729" w:rsidP="00A91A38">
            <w:pPr>
              <w:keepNext/>
              <w:keepLines/>
              <w:spacing w:before="40" w:after="40" w:line="240" w:lineRule="auto"/>
              <w:ind w:firstLine="0"/>
              <w:rPr>
                <w:rFonts w:eastAsia="PMingLiU"/>
                <w:sz w:val="20"/>
                <w:szCs w:val="20"/>
                <w:lang w:eastAsia="zh-CN"/>
              </w:rPr>
            </w:pPr>
            <w:r w:rsidRPr="00F54729">
              <w:rPr>
                <w:rFonts w:eastAsia="PMingLiU"/>
                <w:sz w:val="20"/>
                <w:szCs w:val="20"/>
                <w:lang w:eastAsia="zh-CN"/>
              </w:rPr>
              <w:t>Northwest Pipeline</w:t>
            </w:r>
            <w:r w:rsidR="00A91A38" w:rsidRPr="004D381F">
              <w:rPr>
                <w:rFonts w:eastAsia="PMingLiU"/>
                <w:sz w:val="20"/>
                <w:szCs w:val="20"/>
                <w:lang w:eastAsia="zh-CN"/>
              </w:rPr>
              <w:t xml:space="preserve"> to Fredonia</w:t>
            </w:r>
          </w:p>
        </w:tc>
        <w:tc>
          <w:tcPr>
            <w:tcW w:w="1309" w:type="dxa"/>
          </w:tcPr>
          <w:p w:rsidR="00A91A38" w:rsidRPr="004D381F" w:rsidRDefault="00A91A38" w:rsidP="00A91A38">
            <w:pPr>
              <w:keepNext/>
              <w:keepLines/>
              <w:spacing w:before="40" w:after="40" w:line="240" w:lineRule="auto"/>
              <w:ind w:right="228" w:firstLine="0"/>
              <w:jc w:val="right"/>
              <w:rPr>
                <w:rFonts w:eastAsia="PMingLiU"/>
                <w:sz w:val="20"/>
                <w:szCs w:val="20"/>
                <w:lang w:eastAsia="zh-CN"/>
              </w:rPr>
            </w:pPr>
            <w:r w:rsidRPr="004D381F">
              <w:rPr>
                <w:rFonts w:eastAsia="PMingLiU"/>
                <w:sz w:val="20"/>
                <w:szCs w:val="20"/>
                <w:lang w:eastAsia="zh-CN"/>
              </w:rPr>
              <w:t>94,000</w:t>
            </w:r>
          </w:p>
        </w:tc>
        <w:tc>
          <w:tcPr>
            <w:tcW w:w="1734" w:type="dxa"/>
          </w:tcPr>
          <w:p w:rsidR="00A91A38" w:rsidRPr="004D381F" w:rsidRDefault="00A91A38" w:rsidP="00A91A38">
            <w:pPr>
              <w:keepNext/>
              <w:keepLines/>
              <w:spacing w:before="40" w:after="40" w:line="240" w:lineRule="auto"/>
              <w:ind w:right="252" w:firstLine="0"/>
              <w:jc w:val="right"/>
              <w:rPr>
                <w:rFonts w:eastAsia="PMingLiU"/>
                <w:sz w:val="20"/>
                <w:szCs w:val="20"/>
                <w:lang w:eastAsia="zh-CN"/>
              </w:rPr>
            </w:pPr>
            <w:r w:rsidRPr="004D381F">
              <w:rPr>
                <w:rFonts w:eastAsia="PMingLiU"/>
                <w:sz w:val="20"/>
                <w:szCs w:val="20"/>
                <w:lang w:eastAsia="zh-CN"/>
              </w:rPr>
              <w:t>1,527</w:t>
            </w:r>
          </w:p>
        </w:tc>
      </w:tr>
      <w:tr w:rsidR="00A91A38" w:rsidRPr="004D381F" w:rsidTr="00F54729">
        <w:tc>
          <w:tcPr>
            <w:tcW w:w="3069" w:type="dxa"/>
          </w:tcPr>
          <w:p w:rsidR="00A91A38" w:rsidRPr="004D381F"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Cascade Natural Gas</w:t>
            </w:r>
          </w:p>
        </w:tc>
        <w:tc>
          <w:tcPr>
            <w:tcW w:w="2972" w:type="dxa"/>
          </w:tcPr>
          <w:p w:rsidR="00A91A38" w:rsidRPr="004D381F" w:rsidRDefault="00F54729" w:rsidP="00A91A38">
            <w:pPr>
              <w:keepNext/>
              <w:keepLines/>
              <w:spacing w:before="40" w:after="40" w:line="240" w:lineRule="auto"/>
              <w:ind w:firstLine="0"/>
              <w:rPr>
                <w:rFonts w:eastAsia="PMingLiU"/>
                <w:sz w:val="20"/>
                <w:szCs w:val="20"/>
                <w:lang w:eastAsia="zh-CN"/>
              </w:rPr>
            </w:pPr>
            <w:r w:rsidRPr="00F54729">
              <w:rPr>
                <w:rFonts w:eastAsia="PMingLiU"/>
                <w:sz w:val="20"/>
                <w:szCs w:val="20"/>
                <w:lang w:eastAsia="zh-CN"/>
              </w:rPr>
              <w:t>Northwest Pipeline</w:t>
            </w:r>
            <w:r w:rsidR="00A91A38" w:rsidRPr="004D381F">
              <w:rPr>
                <w:rFonts w:eastAsia="PMingLiU"/>
                <w:sz w:val="20"/>
                <w:szCs w:val="20"/>
                <w:lang w:eastAsia="zh-CN"/>
              </w:rPr>
              <w:t xml:space="preserve"> to Mint Farm</w:t>
            </w:r>
          </w:p>
        </w:tc>
        <w:tc>
          <w:tcPr>
            <w:tcW w:w="1309" w:type="dxa"/>
          </w:tcPr>
          <w:p w:rsidR="00A91A38" w:rsidRPr="004D381F" w:rsidRDefault="00A91A38" w:rsidP="00A91A38">
            <w:pPr>
              <w:keepNext/>
              <w:keepLines/>
              <w:spacing w:before="40" w:after="40" w:line="240" w:lineRule="auto"/>
              <w:ind w:right="228" w:firstLine="0"/>
              <w:jc w:val="right"/>
              <w:rPr>
                <w:rFonts w:eastAsia="PMingLiU"/>
                <w:sz w:val="20"/>
                <w:szCs w:val="20"/>
                <w:lang w:eastAsia="zh-CN"/>
              </w:rPr>
            </w:pPr>
            <w:r w:rsidRPr="004D381F">
              <w:rPr>
                <w:rFonts w:eastAsia="PMingLiU"/>
                <w:sz w:val="20"/>
                <w:szCs w:val="20"/>
                <w:lang w:eastAsia="zh-CN"/>
              </w:rPr>
              <w:t>52,000</w:t>
            </w:r>
          </w:p>
        </w:tc>
        <w:tc>
          <w:tcPr>
            <w:tcW w:w="1734" w:type="dxa"/>
          </w:tcPr>
          <w:p w:rsidR="00A91A38" w:rsidRPr="004D381F" w:rsidRDefault="00A91A38" w:rsidP="00A91A38">
            <w:pPr>
              <w:keepNext/>
              <w:keepLines/>
              <w:spacing w:before="40" w:after="40" w:line="240" w:lineRule="auto"/>
              <w:ind w:right="252" w:firstLine="0"/>
              <w:jc w:val="right"/>
              <w:rPr>
                <w:rFonts w:eastAsia="PMingLiU"/>
                <w:sz w:val="20"/>
                <w:szCs w:val="20"/>
                <w:lang w:eastAsia="zh-CN"/>
              </w:rPr>
            </w:pPr>
            <w:r w:rsidRPr="004D381F">
              <w:rPr>
                <w:rFonts w:eastAsia="PMingLiU"/>
                <w:sz w:val="20"/>
                <w:szCs w:val="20"/>
                <w:lang w:eastAsia="zh-CN"/>
              </w:rPr>
              <w:t>833</w:t>
            </w:r>
          </w:p>
        </w:tc>
      </w:tr>
      <w:tr w:rsidR="00A91A38" w:rsidTr="00F54729">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Northwest Pipeline</w:t>
            </w:r>
          </w:p>
        </w:tc>
        <w:tc>
          <w:tcPr>
            <w:tcW w:w="2972"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Goldendale Lateral</w:t>
            </w:r>
          </w:p>
        </w:tc>
        <w:tc>
          <w:tcPr>
            <w:tcW w:w="1309" w:type="dxa"/>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sidRPr="004D381F">
              <w:rPr>
                <w:rFonts w:eastAsia="PMingLiU"/>
                <w:sz w:val="20"/>
                <w:szCs w:val="20"/>
                <w:lang w:eastAsia="zh-CN"/>
              </w:rPr>
              <w:t>52,000</w:t>
            </w:r>
          </w:p>
        </w:tc>
        <w:tc>
          <w:tcPr>
            <w:tcW w:w="1734" w:type="dxa"/>
          </w:tcPr>
          <w:p w:rsidR="00A91A38" w:rsidRPr="006B7D9E"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129</w:t>
            </w:r>
          </w:p>
        </w:tc>
      </w:tr>
      <w:tr w:rsidR="00A91A38" w:rsidTr="00F54729">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Puget Sound Energy</w:t>
            </w:r>
          </w:p>
        </w:tc>
        <w:tc>
          <w:tcPr>
            <w:tcW w:w="2972"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Sumas Pipeline</w:t>
            </w:r>
          </w:p>
        </w:tc>
        <w:tc>
          <w:tcPr>
            <w:tcW w:w="1309" w:type="dxa"/>
          </w:tcPr>
          <w:p w:rsidR="00A91A38" w:rsidRPr="006B7D9E" w:rsidRDefault="00A91A38" w:rsidP="00A91A38">
            <w:pPr>
              <w:keepNext/>
              <w:keepLines/>
              <w:spacing w:before="40" w:after="40" w:line="240" w:lineRule="auto"/>
              <w:ind w:right="48" w:firstLine="0"/>
              <w:jc w:val="right"/>
              <w:rPr>
                <w:rFonts w:eastAsia="PMingLiU"/>
                <w:sz w:val="20"/>
                <w:szCs w:val="20"/>
                <w:lang w:eastAsia="zh-CN"/>
              </w:rPr>
            </w:pPr>
            <w:r w:rsidRPr="004D381F">
              <w:rPr>
                <w:rFonts w:eastAsia="PMingLiU"/>
                <w:sz w:val="20"/>
                <w:szCs w:val="20"/>
                <w:lang w:eastAsia="zh-CN"/>
              </w:rPr>
              <w:t>26,000</w:t>
            </w:r>
            <w:r w:rsidRPr="005A4C6B">
              <w:rPr>
                <w:rFonts w:eastAsia="PMingLiU"/>
                <w:sz w:val="20"/>
                <w:szCs w:val="20"/>
                <w:vertAlign w:val="superscript"/>
                <w:lang w:eastAsia="zh-CN"/>
              </w:rPr>
              <w:t>(2)</w:t>
            </w:r>
          </w:p>
        </w:tc>
        <w:tc>
          <w:tcPr>
            <w:tcW w:w="1734" w:type="dxa"/>
          </w:tcPr>
          <w:p w:rsidR="00A91A38" w:rsidRPr="006B7D9E" w:rsidRDefault="00A91A38"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w:t>
            </w:r>
          </w:p>
        </w:tc>
      </w:tr>
      <w:tr w:rsidR="00A91A38" w:rsidTr="00F54729">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Westcoast Energy</w:t>
            </w:r>
          </w:p>
        </w:tc>
        <w:tc>
          <w:tcPr>
            <w:tcW w:w="2972"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Station 2 to Sumas</w:t>
            </w:r>
          </w:p>
        </w:tc>
        <w:tc>
          <w:tcPr>
            <w:tcW w:w="1309" w:type="dxa"/>
          </w:tcPr>
          <w:p w:rsidR="00A91A38" w:rsidRPr="006B7D9E" w:rsidRDefault="00B035D9" w:rsidP="00B035D9">
            <w:pPr>
              <w:keepNext/>
              <w:keepLines/>
              <w:spacing w:before="40" w:after="40" w:line="240" w:lineRule="auto"/>
              <w:ind w:right="228" w:firstLine="0"/>
              <w:jc w:val="right"/>
              <w:rPr>
                <w:rFonts w:eastAsia="PMingLiU"/>
                <w:sz w:val="20"/>
                <w:szCs w:val="20"/>
                <w:lang w:eastAsia="zh-CN"/>
              </w:rPr>
            </w:pPr>
            <w:r>
              <w:rPr>
                <w:rFonts w:eastAsia="PMingLiU"/>
                <w:sz w:val="20"/>
                <w:szCs w:val="20"/>
                <w:lang w:eastAsia="zh-CN"/>
              </w:rPr>
              <w:t>86,143</w:t>
            </w:r>
          </w:p>
        </w:tc>
        <w:tc>
          <w:tcPr>
            <w:tcW w:w="1734" w:type="dxa"/>
          </w:tcPr>
          <w:p w:rsidR="00A91A38" w:rsidRPr="006B7D9E"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7,145</w:t>
            </w:r>
          </w:p>
        </w:tc>
      </w:tr>
      <w:tr w:rsidR="002E5CDD" w:rsidTr="00103D80">
        <w:tc>
          <w:tcPr>
            <w:tcW w:w="9084" w:type="dxa"/>
            <w:gridSpan w:val="4"/>
          </w:tcPr>
          <w:p w:rsidR="002E5CDD" w:rsidRPr="005A4C6B" w:rsidRDefault="002E5CDD" w:rsidP="00103D80">
            <w:pPr>
              <w:keepNext/>
              <w:keepLines/>
              <w:spacing w:before="40" w:after="40" w:line="240" w:lineRule="auto"/>
              <w:ind w:firstLine="0"/>
              <w:rPr>
                <w:rFonts w:eastAsia="PMingLiU"/>
                <w:sz w:val="8"/>
                <w:szCs w:val="8"/>
                <w:lang w:eastAsia="zh-CN"/>
              </w:rPr>
            </w:pPr>
          </w:p>
        </w:tc>
      </w:tr>
      <w:tr w:rsidR="002E5CDD" w:rsidRPr="00E50E8B" w:rsidTr="00103D80">
        <w:tc>
          <w:tcPr>
            <w:tcW w:w="9084" w:type="dxa"/>
            <w:gridSpan w:val="4"/>
            <w:vAlign w:val="bottom"/>
          </w:tcPr>
          <w:p w:rsidR="002E5CDD" w:rsidRPr="00A91A38" w:rsidRDefault="002E5CDD" w:rsidP="00103D80">
            <w:pPr>
              <w:keepNext/>
              <w:keepLines/>
              <w:spacing w:before="40" w:after="40" w:line="240" w:lineRule="auto"/>
              <w:ind w:left="446" w:hanging="446"/>
              <w:rPr>
                <w:rFonts w:eastAsia="PMingLiU"/>
                <w:sz w:val="20"/>
                <w:szCs w:val="20"/>
                <w:lang w:eastAsia="zh-CN"/>
              </w:rPr>
            </w:pPr>
            <w:r w:rsidRPr="00C34CCE">
              <w:rPr>
                <w:rFonts w:eastAsia="PMingLiU"/>
                <w:sz w:val="20"/>
                <w:szCs w:val="20"/>
                <w:lang w:eastAsia="zh-CN"/>
              </w:rPr>
              <w:t>(1)</w:t>
            </w:r>
            <w:r>
              <w:rPr>
                <w:rFonts w:eastAsia="PMingLiU"/>
                <w:szCs w:val="20"/>
                <w:lang w:eastAsia="zh-CN"/>
              </w:rPr>
              <w:tab/>
            </w:r>
            <w:r w:rsidRPr="006D41E9">
              <w:rPr>
                <w:rFonts w:eastAsia="PMingLiU"/>
                <w:sz w:val="20"/>
                <w:szCs w:val="20"/>
                <w:lang w:eastAsia="zh-CN"/>
              </w:rPr>
              <w:t>Expected c</w:t>
            </w:r>
            <w:r w:rsidRPr="00C34CCE">
              <w:rPr>
                <w:rFonts w:eastAsia="PMingLiU"/>
                <w:sz w:val="20"/>
                <w:szCs w:val="20"/>
                <w:lang w:eastAsia="zh-CN"/>
              </w:rPr>
              <w:t xml:space="preserve">ost for the </w:t>
            </w:r>
            <w:r>
              <w:rPr>
                <w:rFonts w:eastAsia="PMingLiU"/>
                <w:sz w:val="20"/>
                <w:szCs w:val="20"/>
                <w:lang w:eastAsia="zh-CN"/>
              </w:rPr>
              <w:t>r</w:t>
            </w:r>
            <w:r w:rsidRPr="00C34CCE">
              <w:rPr>
                <w:rFonts w:eastAsia="PMingLiU"/>
                <w:sz w:val="20"/>
                <w:szCs w:val="20"/>
                <w:lang w:eastAsia="zh-CN"/>
              </w:rPr>
              <w:t xml:space="preserve">ate </w:t>
            </w:r>
            <w:r>
              <w:rPr>
                <w:rFonts w:eastAsia="PMingLiU"/>
                <w:sz w:val="20"/>
                <w:szCs w:val="20"/>
                <w:lang w:eastAsia="zh-CN"/>
              </w:rPr>
              <w:t>y</w:t>
            </w:r>
            <w:r w:rsidRPr="00C34CCE">
              <w:rPr>
                <w:rFonts w:eastAsia="PMingLiU"/>
                <w:sz w:val="20"/>
                <w:szCs w:val="20"/>
                <w:lang w:eastAsia="zh-CN"/>
              </w:rPr>
              <w:t xml:space="preserve">ear: </w:t>
            </w:r>
            <w:r>
              <w:rPr>
                <w:rFonts w:eastAsia="PMingLiU"/>
                <w:sz w:val="20"/>
                <w:szCs w:val="20"/>
                <w:lang w:eastAsia="zh-CN"/>
              </w:rPr>
              <w:t>January 2018</w:t>
            </w:r>
            <w:r w:rsidRPr="00C34CCE">
              <w:rPr>
                <w:rFonts w:eastAsia="PMingLiU"/>
                <w:sz w:val="20"/>
                <w:szCs w:val="20"/>
                <w:lang w:eastAsia="zh-CN"/>
              </w:rPr>
              <w:t xml:space="preserve"> through </w:t>
            </w:r>
            <w:r>
              <w:rPr>
                <w:rFonts w:eastAsia="PMingLiU"/>
                <w:sz w:val="20"/>
                <w:szCs w:val="20"/>
                <w:lang w:eastAsia="zh-CN"/>
              </w:rPr>
              <w:t>December</w:t>
            </w:r>
            <w:r w:rsidRPr="00C34CCE">
              <w:rPr>
                <w:rFonts w:eastAsia="PMingLiU"/>
                <w:sz w:val="20"/>
                <w:szCs w:val="20"/>
                <w:lang w:eastAsia="zh-CN"/>
              </w:rPr>
              <w:t xml:space="preserve"> 2018</w:t>
            </w:r>
          </w:p>
        </w:tc>
      </w:tr>
      <w:tr w:rsidR="002E5CDD" w:rsidRPr="00E50E8B" w:rsidTr="00103D80">
        <w:tc>
          <w:tcPr>
            <w:tcW w:w="9084" w:type="dxa"/>
            <w:gridSpan w:val="4"/>
          </w:tcPr>
          <w:p w:rsidR="002E5CDD" w:rsidRPr="00A91A38" w:rsidRDefault="002E5CDD" w:rsidP="00103D80">
            <w:pPr>
              <w:keepNext/>
              <w:spacing w:before="40" w:after="40" w:line="240" w:lineRule="auto"/>
              <w:ind w:left="446" w:hanging="446"/>
              <w:rPr>
                <w:rFonts w:eastAsia="PMingLiU"/>
                <w:sz w:val="20"/>
                <w:szCs w:val="20"/>
                <w:lang w:eastAsia="zh-CN"/>
              </w:rPr>
            </w:pPr>
            <w:r w:rsidRPr="00C34CCE">
              <w:rPr>
                <w:rFonts w:eastAsia="PMingLiU"/>
                <w:sz w:val="20"/>
                <w:szCs w:val="20"/>
                <w:lang w:eastAsia="zh-CN"/>
              </w:rPr>
              <w:t>(2)</w:t>
            </w:r>
            <w:r>
              <w:rPr>
                <w:rFonts w:eastAsia="PMingLiU"/>
                <w:szCs w:val="20"/>
                <w:lang w:eastAsia="zh-CN"/>
              </w:rPr>
              <w:tab/>
            </w:r>
            <w:r>
              <w:rPr>
                <w:rFonts w:eastAsia="PMingLiU"/>
                <w:sz w:val="20"/>
                <w:szCs w:val="20"/>
                <w:lang w:eastAsia="zh-CN"/>
              </w:rPr>
              <w:t>C</w:t>
            </w:r>
            <w:r w:rsidRPr="00C34CCE">
              <w:rPr>
                <w:rFonts w:eastAsia="PMingLiU"/>
                <w:sz w:val="20"/>
                <w:szCs w:val="20"/>
                <w:lang w:eastAsia="zh-CN"/>
              </w:rPr>
              <w:t>apacity included in Total Capacity to plants</w:t>
            </w:r>
          </w:p>
        </w:tc>
      </w:tr>
      <w:tr w:rsidR="002E5CDD" w:rsidRPr="00E50E8B" w:rsidTr="00103D80">
        <w:tc>
          <w:tcPr>
            <w:tcW w:w="9084" w:type="dxa"/>
            <w:gridSpan w:val="4"/>
          </w:tcPr>
          <w:p w:rsidR="002E5CDD" w:rsidRPr="00C34CCE" w:rsidRDefault="002E5CDD" w:rsidP="00103D80">
            <w:pPr>
              <w:keepNext/>
              <w:spacing w:before="40" w:after="40" w:line="240" w:lineRule="auto"/>
              <w:ind w:left="446" w:hanging="446"/>
              <w:rPr>
                <w:rFonts w:eastAsia="PMingLiU"/>
                <w:sz w:val="20"/>
                <w:szCs w:val="20"/>
                <w:lang w:eastAsia="zh-CN"/>
              </w:rPr>
            </w:pPr>
            <w:r>
              <w:rPr>
                <w:rFonts w:eastAsia="PMingLiU"/>
                <w:sz w:val="20"/>
                <w:szCs w:val="20"/>
                <w:lang w:eastAsia="zh-CN"/>
              </w:rPr>
              <w:t>(3)</w:t>
            </w:r>
            <w:r>
              <w:tab/>
            </w:r>
            <w:r>
              <w:rPr>
                <w:rFonts w:eastAsia="PMingLiU"/>
                <w:sz w:val="20"/>
                <w:szCs w:val="20"/>
                <w:lang w:eastAsia="zh-CN"/>
              </w:rPr>
              <w:t>Withdrawal capacity is subject to recall</w:t>
            </w:r>
          </w:p>
        </w:tc>
      </w:tr>
      <w:tr w:rsidR="002E5CDD" w:rsidRPr="00C34CCE" w:rsidTr="00103D80">
        <w:tc>
          <w:tcPr>
            <w:tcW w:w="9084" w:type="dxa"/>
            <w:gridSpan w:val="4"/>
            <w:vAlign w:val="bottom"/>
          </w:tcPr>
          <w:p w:rsidR="002E5CDD" w:rsidRPr="00C34CCE" w:rsidRDefault="002E5CDD" w:rsidP="00103D80">
            <w:pPr>
              <w:keepNext/>
              <w:keepLines/>
              <w:spacing w:before="40" w:after="40" w:line="240" w:lineRule="auto"/>
              <w:ind w:firstLine="0"/>
              <w:jc w:val="center"/>
              <w:rPr>
                <w:rFonts w:eastAsia="PMingLiU"/>
                <w:b/>
                <w:sz w:val="4"/>
                <w:szCs w:val="4"/>
                <w:lang w:eastAsia="zh-CN"/>
              </w:rPr>
            </w:pPr>
          </w:p>
        </w:tc>
      </w:tr>
    </w:tbl>
    <w:p w:rsidR="000C6F4A" w:rsidRDefault="000C6F4A" w:rsidP="000C6F4A">
      <w:pPr>
        <w:pStyle w:val="TableHeader"/>
        <w:pageBreakBefore/>
        <w:widowControl/>
        <w:ind w:left="720"/>
      </w:pPr>
      <w:r>
        <w:lastRenderedPageBreak/>
        <w:t>Table 12. Natural Gas Resources for PSE Gas-Fired Generators (continued)</w:t>
      </w:r>
    </w:p>
    <w:tbl>
      <w:tblPr>
        <w:tblStyle w:val="TableGrid"/>
        <w:tblW w:w="9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729"/>
        <w:gridCol w:w="1710"/>
        <w:gridCol w:w="533"/>
        <w:gridCol w:w="1309"/>
        <w:gridCol w:w="1734"/>
      </w:tblGrid>
      <w:tr w:rsidR="002E5CDD" w:rsidRPr="00E50E8B" w:rsidTr="00103D80">
        <w:tc>
          <w:tcPr>
            <w:tcW w:w="9084" w:type="dxa"/>
            <w:gridSpan w:val="6"/>
            <w:vAlign w:val="bottom"/>
          </w:tcPr>
          <w:p w:rsidR="002E5CDD" w:rsidRPr="00A91A38" w:rsidRDefault="002E5CDD" w:rsidP="00103D80">
            <w:pPr>
              <w:keepNext/>
              <w:keepLines/>
              <w:spacing w:before="40" w:after="40" w:line="240" w:lineRule="auto"/>
              <w:ind w:firstLine="0"/>
              <w:jc w:val="center"/>
              <w:rPr>
                <w:rFonts w:eastAsia="PMingLiU"/>
                <w:b/>
                <w:sz w:val="20"/>
                <w:szCs w:val="20"/>
                <w:u w:val="single"/>
                <w:lang w:eastAsia="zh-CN"/>
              </w:rPr>
            </w:pPr>
            <w:r w:rsidRPr="00A91A38">
              <w:rPr>
                <w:rFonts w:eastAsia="PMingLiU"/>
                <w:b/>
                <w:sz w:val="20"/>
                <w:szCs w:val="20"/>
                <w:u w:val="single"/>
                <w:lang w:eastAsia="zh-CN"/>
              </w:rPr>
              <w:t>Firm Pipeline Service Capacity</w:t>
            </w:r>
          </w:p>
        </w:tc>
      </w:tr>
      <w:tr w:rsidR="002E5CDD" w:rsidRPr="00E50E8B" w:rsidTr="00103D80">
        <w:tc>
          <w:tcPr>
            <w:tcW w:w="3069" w:type="dxa"/>
            <w:tcBorders>
              <w:bottom w:val="single" w:sz="4" w:space="0" w:color="auto"/>
            </w:tcBorders>
            <w:vAlign w:val="bottom"/>
          </w:tcPr>
          <w:p w:rsidR="002E5CDD" w:rsidRPr="00E50E8B" w:rsidRDefault="002E5CDD" w:rsidP="00103D80">
            <w:pPr>
              <w:keepNext/>
              <w:keepLines/>
              <w:spacing w:before="40" w:after="40" w:line="240" w:lineRule="auto"/>
              <w:ind w:firstLine="0"/>
              <w:jc w:val="center"/>
              <w:rPr>
                <w:rFonts w:eastAsia="PMingLiU"/>
                <w:b/>
                <w:sz w:val="20"/>
                <w:szCs w:val="20"/>
                <w:lang w:eastAsia="zh-CN"/>
              </w:rPr>
            </w:pPr>
            <w:r w:rsidRPr="00E50E8B">
              <w:rPr>
                <w:rFonts w:eastAsia="PMingLiU"/>
                <w:b/>
                <w:sz w:val="20"/>
                <w:szCs w:val="20"/>
                <w:lang w:eastAsia="zh-CN"/>
              </w:rPr>
              <w:t>Pipeline</w:t>
            </w:r>
          </w:p>
        </w:tc>
        <w:tc>
          <w:tcPr>
            <w:tcW w:w="2972" w:type="dxa"/>
            <w:gridSpan w:val="3"/>
            <w:tcBorders>
              <w:bottom w:val="single" w:sz="4" w:space="0" w:color="auto"/>
            </w:tcBorders>
            <w:vAlign w:val="bottom"/>
          </w:tcPr>
          <w:p w:rsidR="002E5CDD" w:rsidRPr="00E50E8B" w:rsidRDefault="002E5CDD" w:rsidP="00103D80">
            <w:pPr>
              <w:keepNext/>
              <w:keepLines/>
              <w:spacing w:before="40" w:after="40" w:line="240" w:lineRule="auto"/>
              <w:ind w:firstLine="0"/>
              <w:jc w:val="center"/>
              <w:rPr>
                <w:rFonts w:eastAsia="PMingLiU"/>
                <w:b/>
                <w:sz w:val="20"/>
                <w:szCs w:val="20"/>
                <w:lang w:eastAsia="zh-CN"/>
              </w:rPr>
            </w:pPr>
            <w:r w:rsidRPr="00E50E8B">
              <w:rPr>
                <w:rFonts w:eastAsia="PMingLiU"/>
                <w:b/>
                <w:sz w:val="20"/>
                <w:szCs w:val="20"/>
                <w:lang w:eastAsia="zh-CN"/>
              </w:rPr>
              <w:t>Path</w:t>
            </w:r>
          </w:p>
        </w:tc>
        <w:tc>
          <w:tcPr>
            <w:tcW w:w="1309" w:type="dxa"/>
            <w:tcBorders>
              <w:bottom w:val="single" w:sz="4" w:space="0" w:color="auto"/>
            </w:tcBorders>
            <w:vAlign w:val="bottom"/>
          </w:tcPr>
          <w:p w:rsidR="002E5CDD" w:rsidRPr="00E50E8B" w:rsidRDefault="002E5CDD" w:rsidP="00103D80">
            <w:pPr>
              <w:keepNext/>
              <w:keepLines/>
              <w:spacing w:before="40" w:after="40" w:line="240" w:lineRule="auto"/>
              <w:ind w:firstLine="0"/>
              <w:jc w:val="center"/>
              <w:rPr>
                <w:rFonts w:eastAsia="PMingLiU"/>
                <w:b/>
                <w:sz w:val="20"/>
                <w:szCs w:val="20"/>
                <w:lang w:eastAsia="zh-CN"/>
              </w:rPr>
            </w:pPr>
            <w:r w:rsidRPr="00E50E8B">
              <w:rPr>
                <w:rFonts w:eastAsia="PMingLiU"/>
                <w:b/>
                <w:sz w:val="20"/>
                <w:szCs w:val="20"/>
                <w:lang w:eastAsia="zh-CN"/>
              </w:rPr>
              <w:t>Capacity</w:t>
            </w:r>
            <w:r w:rsidRPr="00E50E8B">
              <w:rPr>
                <w:rFonts w:eastAsia="PMingLiU"/>
                <w:b/>
                <w:sz w:val="20"/>
                <w:szCs w:val="20"/>
                <w:lang w:eastAsia="zh-CN"/>
              </w:rPr>
              <w:br/>
              <w:t>(</w:t>
            </w:r>
            <w:proofErr w:type="spellStart"/>
            <w:r w:rsidRPr="00E50E8B">
              <w:rPr>
                <w:rFonts w:eastAsia="PMingLiU"/>
                <w:b/>
                <w:sz w:val="20"/>
                <w:szCs w:val="20"/>
                <w:lang w:eastAsia="zh-CN"/>
              </w:rPr>
              <w:t>Dth</w:t>
            </w:r>
            <w:proofErr w:type="spellEnd"/>
            <w:r w:rsidRPr="00E50E8B">
              <w:rPr>
                <w:rFonts w:eastAsia="PMingLiU"/>
                <w:b/>
                <w:sz w:val="20"/>
                <w:szCs w:val="20"/>
                <w:lang w:eastAsia="zh-CN"/>
              </w:rPr>
              <w:t>/d)</w:t>
            </w:r>
          </w:p>
        </w:tc>
        <w:tc>
          <w:tcPr>
            <w:tcW w:w="1734" w:type="dxa"/>
            <w:tcBorders>
              <w:bottom w:val="single" w:sz="4" w:space="0" w:color="auto"/>
            </w:tcBorders>
          </w:tcPr>
          <w:p w:rsidR="002E5CDD" w:rsidRPr="00E50E8B" w:rsidRDefault="002E5CDD" w:rsidP="00103D80">
            <w:pPr>
              <w:keepNext/>
              <w:keepLines/>
              <w:spacing w:before="40" w:after="40" w:line="240" w:lineRule="auto"/>
              <w:ind w:firstLine="0"/>
              <w:jc w:val="center"/>
              <w:rPr>
                <w:rFonts w:eastAsia="PMingLiU"/>
                <w:b/>
                <w:sz w:val="20"/>
                <w:szCs w:val="20"/>
                <w:lang w:eastAsia="zh-CN"/>
              </w:rPr>
            </w:pPr>
            <w:r>
              <w:rPr>
                <w:rFonts w:eastAsia="PMingLiU"/>
                <w:b/>
                <w:sz w:val="20"/>
                <w:szCs w:val="20"/>
                <w:lang w:eastAsia="zh-CN"/>
              </w:rPr>
              <w:t>Annual</w:t>
            </w:r>
            <w:r w:rsidRPr="00C34CCE">
              <w:rPr>
                <w:rFonts w:eastAsia="PMingLiU"/>
                <w:b/>
                <w:sz w:val="20"/>
                <w:szCs w:val="20"/>
                <w:vertAlign w:val="superscript"/>
                <w:lang w:eastAsia="zh-CN"/>
              </w:rPr>
              <w:t>(1)</w:t>
            </w:r>
            <w:r w:rsidRPr="00E50E8B">
              <w:rPr>
                <w:rFonts w:eastAsia="PMingLiU"/>
                <w:b/>
                <w:sz w:val="20"/>
                <w:szCs w:val="20"/>
                <w:lang w:eastAsia="zh-CN"/>
              </w:rPr>
              <w:br/>
              <w:t>Demand Cost</w:t>
            </w:r>
            <w:r w:rsidRPr="00E50E8B">
              <w:rPr>
                <w:rFonts w:eastAsia="PMingLiU"/>
                <w:b/>
                <w:sz w:val="20"/>
                <w:szCs w:val="20"/>
                <w:lang w:eastAsia="zh-CN"/>
              </w:rPr>
              <w:br/>
              <w:t>($000)</w:t>
            </w:r>
          </w:p>
        </w:tc>
      </w:tr>
      <w:tr w:rsidR="00A91A38" w:rsidTr="00F54729">
        <w:tc>
          <w:tcPr>
            <w:tcW w:w="3069" w:type="dxa"/>
          </w:tcPr>
          <w:p w:rsidR="00A91A38" w:rsidRPr="006B7D9E" w:rsidRDefault="00AA7FA6" w:rsidP="00A91A38">
            <w:pPr>
              <w:keepNext/>
              <w:keepLines/>
              <w:spacing w:before="40" w:after="40" w:line="240" w:lineRule="auto"/>
              <w:ind w:firstLine="0"/>
              <w:rPr>
                <w:rFonts w:eastAsia="PMingLiU"/>
                <w:sz w:val="20"/>
                <w:szCs w:val="20"/>
                <w:lang w:eastAsia="zh-CN"/>
              </w:rPr>
            </w:pPr>
            <w:proofErr w:type="spellStart"/>
            <w:r>
              <w:rPr>
                <w:rFonts w:eastAsia="PMingLiU"/>
                <w:sz w:val="20"/>
                <w:szCs w:val="20"/>
                <w:lang w:eastAsia="zh-CN"/>
              </w:rPr>
              <w:t>NGTL</w:t>
            </w:r>
            <w:proofErr w:type="spellEnd"/>
          </w:p>
        </w:tc>
        <w:tc>
          <w:tcPr>
            <w:tcW w:w="2972" w:type="dxa"/>
            <w:gridSpan w:val="3"/>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NIT to A/BC</w:t>
            </w:r>
          </w:p>
        </w:tc>
        <w:tc>
          <w:tcPr>
            <w:tcW w:w="1309" w:type="dxa"/>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sidRPr="004D381F">
              <w:rPr>
                <w:rFonts w:eastAsia="PMingLiU"/>
                <w:sz w:val="20"/>
                <w:szCs w:val="20"/>
                <w:lang w:eastAsia="zh-CN"/>
              </w:rPr>
              <w:t>41,420</w:t>
            </w:r>
          </w:p>
        </w:tc>
        <w:tc>
          <w:tcPr>
            <w:tcW w:w="1734" w:type="dxa"/>
          </w:tcPr>
          <w:p w:rsidR="00A91A38" w:rsidRPr="006B7D9E"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1,879</w:t>
            </w:r>
          </w:p>
        </w:tc>
      </w:tr>
      <w:tr w:rsidR="00A91A38" w:rsidTr="00BC57A0">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Foothills Pipeline</w:t>
            </w:r>
          </w:p>
        </w:tc>
        <w:tc>
          <w:tcPr>
            <w:tcW w:w="2972" w:type="dxa"/>
            <w:gridSpan w:val="3"/>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A/BC to Kingsgate</w:t>
            </w:r>
          </w:p>
        </w:tc>
        <w:tc>
          <w:tcPr>
            <w:tcW w:w="1309" w:type="dxa"/>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sidRPr="004D381F">
              <w:rPr>
                <w:rFonts w:eastAsia="PMingLiU"/>
                <w:sz w:val="20"/>
                <w:szCs w:val="20"/>
                <w:lang w:eastAsia="zh-CN"/>
              </w:rPr>
              <w:t>40,946</w:t>
            </w:r>
          </w:p>
        </w:tc>
        <w:tc>
          <w:tcPr>
            <w:tcW w:w="1734" w:type="dxa"/>
          </w:tcPr>
          <w:p w:rsidR="00A91A38" w:rsidRPr="006B7D9E" w:rsidRDefault="0088080C"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978</w:t>
            </w:r>
          </w:p>
        </w:tc>
      </w:tr>
      <w:tr w:rsidR="00A91A38" w:rsidTr="00BC57A0">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Gas Transmission NW</w:t>
            </w:r>
          </w:p>
        </w:tc>
        <w:tc>
          <w:tcPr>
            <w:tcW w:w="2972" w:type="dxa"/>
            <w:gridSpan w:val="3"/>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Kingsgate to Stanfield</w:t>
            </w:r>
          </w:p>
        </w:tc>
        <w:tc>
          <w:tcPr>
            <w:tcW w:w="1309" w:type="dxa"/>
            <w:tcBorders>
              <w:bottom w:val="single" w:sz="4" w:space="0" w:color="auto"/>
            </w:tcBorders>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Pr>
                <w:rFonts w:eastAsia="PMingLiU"/>
                <w:sz w:val="20"/>
                <w:szCs w:val="20"/>
                <w:lang w:eastAsia="zh-CN"/>
              </w:rPr>
              <w:t>4</w:t>
            </w:r>
            <w:r w:rsidRPr="004D381F">
              <w:rPr>
                <w:rFonts w:eastAsia="PMingLiU"/>
                <w:sz w:val="20"/>
                <w:szCs w:val="20"/>
                <w:lang w:eastAsia="zh-CN"/>
              </w:rPr>
              <w:t>0,567</w:t>
            </w:r>
          </w:p>
        </w:tc>
        <w:tc>
          <w:tcPr>
            <w:tcW w:w="1734" w:type="dxa"/>
            <w:tcBorders>
              <w:bottom w:val="single" w:sz="4" w:space="0" w:color="auto"/>
            </w:tcBorders>
          </w:tcPr>
          <w:p w:rsidR="00A91A38" w:rsidRPr="006B7D9E" w:rsidRDefault="00A91A38" w:rsidP="00A91A38">
            <w:pPr>
              <w:keepNext/>
              <w:keepLines/>
              <w:spacing w:before="40" w:after="40" w:line="240" w:lineRule="auto"/>
              <w:ind w:right="252" w:firstLine="0"/>
              <w:jc w:val="right"/>
              <w:rPr>
                <w:rFonts w:eastAsia="PMingLiU"/>
                <w:sz w:val="20"/>
                <w:szCs w:val="20"/>
                <w:lang w:eastAsia="zh-CN"/>
              </w:rPr>
            </w:pPr>
            <w:r w:rsidRPr="004D381F">
              <w:rPr>
                <w:rFonts w:eastAsia="PMingLiU"/>
                <w:sz w:val="20"/>
                <w:szCs w:val="20"/>
                <w:lang w:eastAsia="zh-CN"/>
              </w:rPr>
              <w:t>2,292</w:t>
            </w:r>
          </w:p>
        </w:tc>
      </w:tr>
      <w:tr w:rsidR="00A91A38" w:rsidTr="00BC57A0">
        <w:tc>
          <w:tcPr>
            <w:tcW w:w="3069" w:type="dxa"/>
          </w:tcPr>
          <w:p w:rsidR="00A91A38" w:rsidRPr="006B7D9E" w:rsidRDefault="00A91A38" w:rsidP="00A91A38">
            <w:pPr>
              <w:keepNext/>
              <w:keepLines/>
              <w:spacing w:before="40" w:after="40" w:line="240" w:lineRule="auto"/>
              <w:ind w:left="270" w:firstLine="0"/>
              <w:rPr>
                <w:rFonts w:eastAsia="PMingLiU"/>
                <w:sz w:val="20"/>
                <w:szCs w:val="20"/>
                <w:lang w:eastAsia="zh-CN"/>
              </w:rPr>
            </w:pPr>
            <w:r w:rsidRPr="004D381F">
              <w:rPr>
                <w:rFonts w:eastAsia="PMingLiU"/>
                <w:sz w:val="20"/>
                <w:szCs w:val="20"/>
                <w:lang w:eastAsia="zh-CN"/>
              </w:rPr>
              <w:t xml:space="preserve">Total Capacity to </w:t>
            </w:r>
            <w:r>
              <w:rPr>
                <w:rFonts w:eastAsia="PMingLiU"/>
                <w:sz w:val="20"/>
                <w:szCs w:val="20"/>
                <w:lang w:eastAsia="zh-CN"/>
              </w:rPr>
              <w:t>P</w:t>
            </w:r>
            <w:r w:rsidRPr="004D381F">
              <w:rPr>
                <w:rFonts w:eastAsia="PMingLiU"/>
                <w:sz w:val="20"/>
                <w:szCs w:val="20"/>
                <w:lang w:eastAsia="zh-CN"/>
              </w:rPr>
              <w:t>lants</w:t>
            </w:r>
          </w:p>
        </w:tc>
        <w:tc>
          <w:tcPr>
            <w:tcW w:w="2972" w:type="dxa"/>
            <w:gridSpan w:val="3"/>
          </w:tcPr>
          <w:p w:rsidR="00A91A38" w:rsidRPr="006B7D9E" w:rsidRDefault="00A91A38" w:rsidP="00A91A38">
            <w:pPr>
              <w:keepNext/>
              <w:keepLines/>
              <w:spacing w:before="40" w:after="40" w:line="240" w:lineRule="auto"/>
              <w:ind w:firstLine="0"/>
              <w:rPr>
                <w:rFonts w:eastAsia="PMingLiU"/>
                <w:sz w:val="20"/>
                <w:szCs w:val="20"/>
                <w:lang w:eastAsia="zh-CN"/>
              </w:rPr>
            </w:pPr>
            <w:r w:rsidRPr="004D381F">
              <w:rPr>
                <w:rFonts w:eastAsia="PMingLiU"/>
                <w:sz w:val="20"/>
                <w:szCs w:val="20"/>
                <w:lang w:eastAsia="zh-CN"/>
              </w:rPr>
              <w:t>Annual</w:t>
            </w:r>
          </w:p>
        </w:tc>
        <w:tc>
          <w:tcPr>
            <w:tcW w:w="1309" w:type="dxa"/>
            <w:tcBorders>
              <w:top w:val="single" w:sz="4" w:space="0" w:color="auto"/>
              <w:bottom w:val="double" w:sz="4" w:space="0" w:color="auto"/>
            </w:tcBorders>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sidRPr="004D381F">
              <w:rPr>
                <w:rFonts w:eastAsia="PMingLiU"/>
                <w:sz w:val="20"/>
                <w:szCs w:val="20"/>
                <w:lang w:eastAsia="zh-CN"/>
              </w:rPr>
              <w:t>304,885</w:t>
            </w:r>
          </w:p>
        </w:tc>
        <w:tc>
          <w:tcPr>
            <w:tcW w:w="1734" w:type="dxa"/>
            <w:tcBorders>
              <w:top w:val="single" w:sz="4" w:space="0" w:color="auto"/>
            </w:tcBorders>
          </w:tcPr>
          <w:p w:rsidR="00A91A38" w:rsidRPr="006B7D9E" w:rsidRDefault="00A91A38" w:rsidP="00A91A38">
            <w:pPr>
              <w:keepNext/>
              <w:keepLines/>
              <w:spacing w:before="40" w:after="40" w:line="240" w:lineRule="auto"/>
              <w:ind w:right="252" w:firstLine="0"/>
              <w:jc w:val="right"/>
              <w:rPr>
                <w:rFonts w:eastAsia="PMingLiU"/>
                <w:sz w:val="20"/>
                <w:szCs w:val="20"/>
                <w:lang w:eastAsia="zh-CN"/>
              </w:rPr>
            </w:pPr>
          </w:p>
        </w:tc>
      </w:tr>
      <w:tr w:rsidR="00A91A38" w:rsidTr="00F54729">
        <w:tc>
          <w:tcPr>
            <w:tcW w:w="3069" w:type="dxa"/>
          </w:tcPr>
          <w:p w:rsidR="00A91A38" w:rsidRPr="006B7D9E" w:rsidRDefault="00A91A38" w:rsidP="00A91A38">
            <w:pPr>
              <w:keepNext/>
              <w:keepLines/>
              <w:spacing w:before="40" w:after="40" w:line="240" w:lineRule="auto"/>
              <w:ind w:firstLine="0"/>
              <w:rPr>
                <w:rFonts w:eastAsia="PMingLiU"/>
                <w:sz w:val="20"/>
                <w:szCs w:val="20"/>
                <w:lang w:eastAsia="zh-CN"/>
              </w:rPr>
            </w:pPr>
          </w:p>
        </w:tc>
        <w:tc>
          <w:tcPr>
            <w:tcW w:w="2972" w:type="dxa"/>
            <w:gridSpan w:val="3"/>
          </w:tcPr>
          <w:p w:rsidR="00A91A38" w:rsidRPr="006B7D9E" w:rsidRDefault="00A91A38" w:rsidP="00A91A38">
            <w:pPr>
              <w:keepNext/>
              <w:keepLines/>
              <w:spacing w:before="40" w:after="40" w:line="240" w:lineRule="auto"/>
              <w:ind w:firstLine="0"/>
              <w:rPr>
                <w:rFonts w:eastAsia="PMingLiU"/>
                <w:sz w:val="20"/>
                <w:szCs w:val="20"/>
                <w:lang w:eastAsia="zh-CN"/>
              </w:rPr>
            </w:pPr>
            <w:r>
              <w:rPr>
                <w:rFonts w:eastAsia="PMingLiU"/>
                <w:sz w:val="20"/>
                <w:szCs w:val="20"/>
                <w:lang w:eastAsia="zh-CN"/>
              </w:rPr>
              <w:t>Winter</w:t>
            </w:r>
          </w:p>
        </w:tc>
        <w:tc>
          <w:tcPr>
            <w:tcW w:w="1309" w:type="dxa"/>
            <w:tcBorders>
              <w:top w:val="double" w:sz="4" w:space="0" w:color="auto"/>
              <w:bottom w:val="double" w:sz="4" w:space="0" w:color="auto"/>
            </w:tcBorders>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r>
              <w:rPr>
                <w:rFonts w:eastAsia="PMingLiU"/>
                <w:sz w:val="20"/>
                <w:szCs w:val="20"/>
                <w:lang w:eastAsia="zh-CN"/>
              </w:rPr>
              <w:t>339</w:t>
            </w:r>
            <w:r w:rsidRPr="004D381F">
              <w:rPr>
                <w:rFonts w:eastAsia="PMingLiU"/>
                <w:sz w:val="20"/>
                <w:szCs w:val="20"/>
                <w:lang w:eastAsia="zh-CN"/>
              </w:rPr>
              <w:t>,</w:t>
            </w:r>
            <w:r>
              <w:rPr>
                <w:rFonts w:eastAsia="PMingLiU"/>
                <w:sz w:val="20"/>
                <w:szCs w:val="20"/>
                <w:lang w:eastAsia="zh-CN"/>
              </w:rPr>
              <w:t>082</w:t>
            </w:r>
          </w:p>
        </w:tc>
        <w:tc>
          <w:tcPr>
            <w:tcW w:w="1734" w:type="dxa"/>
          </w:tcPr>
          <w:p w:rsidR="00A91A38" w:rsidRPr="006B7D9E" w:rsidRDefault="00A91A38" w:rsidP="00A91A38">
            <w:pPr>
              <w:keepNext/>
              <w:keepLines/>
              <w:spacing w:before="40" w:after="40" w:line="240" w:lineRule="auto"/>
              <w:ind w:right="252" w:firstLine="0"/>
              <w:jc w:val="right"/>
              <w:rPr>
                <w:rFonts w:eastAsia="PMingLiU"/>
                <w:sz w:val="20"/>
                <w:szCs w:val="20"/>
                <w:lang w:eastAsia="zh-CN"/>
              </w:rPr>
            </w:pPr>
          </w:p>
        </w:tc>
      </w:tr>
      <w:tr w:rsidR="00A91A38" w:rsidTr="00F54729">
        <w:tc>
          <w:tcPr>
            <w:tcW w:w="3069" w:type="dxa"/>
          </w:tcPr>
          <w:p w:rsidR="00A91A38" w:rsidRPr="006B7D9E" w:rsidRDefault="00A91A38" w:rsidP="00A91A38">
            <w:pPr>
              <w:keepNext/>
              <w:keepLines/>
              <w:spacing w:before="40" w:after="40" w:line="240" w:lineRule="auto"/>
              <w:ind w:left="270" w:firstLine="0"/>
              <w:rPr>
                <w:rFonts w:eastAsia="PMingLiU"/>
                <w:sz w:val="20"/>
                <w:szCs w:val="20"/>
                <w:lang w:eastAsia="zh-CN"/>
              </w:rPr>
            </w:pPr>
            <w:r>
              <w:rPr>
                <w:rFonts w:eastAsia="PMingLiU"/>
                <w:sz w:val="20"/>
                <w:szCs w:val="20"/>
                <w:lang w:eastAsia="zh-CN"/>
              </w:rPr>
              <w:t>Total Pipeline Demand Charge</w:t>
            </w:r>
          </w:p>
        </w:tc>
        <w:tc>
          <w:tcPr>
            <w:tcW w:w="2972" w:type="dxa"/>
            <w:gridSpan w:val="3"/>
          </w:tcPr>
          <w:p w:rsidR="00A91A38" w:rsidRPr="006B7D9E" w:rsidRDefault="00A91A38" w:rsidP="00A91A38">
            <w:pPr>
              <w:keepNext/>
              <w:keepLines/>
              <w:spacing w:before="40" w:after="40" w:line="240" w:lineRule="auto"/>
              <w:ind w:firstLine="0"/>
              <w:rPr>
                <w:rFonts w:eastAsia="PMingLiU"/>
                <w:sz w:val="20"/>
                <w:szCs w:val="20"/>
                <w:lang w:eastAsia="zh-CN"/>
              </w:rPr>
            </w:pPr>
          </w:p>
        </w:tc>
        <w:tc>
          <w:tcPr>
            <w:tcW w:w="1309" w:type="dxa"/>
            <w:tcBorders>
              <w:top w:val="double" w:sz="4" w:space="0" w:color="auto"/>
            </w:tcBorders>
          </w:tcPr>
          <w:p w:rsidR="00A91A38" w:rsidRPr="006B7D9E" w:rsidRDefault="00A91A38" w:rsidP="00A91A38">
            <w:pPr>
              <w:keepNext/>
              <w:keepLines/>
              <w:spacing w:before="40" w:after="40" w:line="240" w:lineRule="auto"/>
              <w:ind w:right="228" w:firstLine="0"/>
              <w:jc w:val="right"/>
              <w:rPr>
                <w:rFonts w:eastAsia="PMingLiU"/>
                <w:sz w:val="20"/>
                <w:szCs w:val="20"/>
                <w:lang w:eastAsia="zh-CN"/>
              </w:rPr>
            </w:pPr>
          </w:p>
        </w:tc>
        <w:tc>
          <w:tcPr>
            <w:tcW w:w="1734" w:type="dxa"/>
            <w:tcBorders>
              <w:bottom w:val="double" w:sz="4" w:space="0" w:color="auto"/>
            </w:tcBorders>
          </w:tcPr>
          <w:p w:rsidR="00A91A38" w:rsidRPr="006B7D9E" w:rsidRDefault="005878A4" w:rsidP="00F800E6">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41,450</w:t>
            </w:r>
          </w:p>
        </w:tc>
      </w:tr>
      <w:tr w:rsidR="000C6F4A" w:rsidTr="000C6F4A">
        <w:tc>
          <w:tcPr>
            <w:tcW w:w="3069" w:type="dxa"/>
          </w:tcPr>
          <w:p w:rsidR="000C6F4A" w:rsidRPr="006B7D9E" w:rsidRDefault="000C6F4A" w:rsidP="007C3D2B">
            <w:pPr>
              <w:keepNext/>
              <w:keepLines/>
              <w:spacing w:before="40" w:after="40" w:line="240" w:lineRule="auto"/>
              <w:ind w:left="270" w:firstLine="0"/>
              <w:rPr>
                <w:rFonts w:eastAsia="PMingLiU"/>
                <w:sz w:val="20"/>
                <w:szCs w:val="20"/>
                <w:lang w:eastAsia="zh-CN"/>
              </w:rPr>
            </w:pPr>
          </w:p>
        </w:tc>
        <w:tc>
          <w:tcPr>
            <w:tcW w:w="2972" w:type="dxa"/>
            <w:gridSpan w:val="3"/>
          </w:tcPr>
          <w:p w:rsidR="000C6F4A" w:rsidRPr="006B7D9E" w:rsidRDefault="000C6F4A" w:rsidP="007C3D2B">
            <w:pPr>
              <w:keepNext/>
              <w:keepLines/>
              <w:spacing w:before="40" w:after="40" w:line="240" w:lineRule="auto"/>
              <w:ind w:firstLine="0"/>
              <w:rPr>
                <w:rFonts w:eastAsia="PMingLiU"/>
                <w:sz w:val="20"/>
                <w:szCs w:val="20"/>
                <w:lang w:eastAsia="zh-CN"/>
              </w:rPr>
            </w:pPr>
          </w:p>
        </w:tc>
        <w:tc>
          <w:tcPr>
            <w:tcW w:w="1309" w:type="dxa"/>
          </w:tcPr>
          <w:p w:rsidR="000C6F4A" w:rsidRPr="006B7D9E" w:rsidRDefault="000C6F4A" w:rsidP="007C3D2B">
            <w:pPr>
              <w:keepNext/>
              <w:keepLines/>
              <w:spacing w:before="40" w:after="40" w:line="240" w:lineRule="auto"/>
              <w:ind w:right="228" w:firstLine="0"/>
              <w:jc w:val="right"/>
              <w:rPr>
                <w:rFonts w:eastAsia="PMingLiU"/>
                <w:sz w:val="20"/>
                <w:szCs w:val="20"/>
                <w:lang w:eastAsia="zh-CN"/>
              </w:rPr>
            </w:pPr>
          </w:p>
        </w:tc>
        <w:tc>
          <w:tcPr>
            <w:tcW w:w="1734" w:type="dxa"/>
          </w:tcPr>
          <w:p w:rsidR="000C6F4A" w:rsidRPr="006B7D9E" w:rsidRDefault="000C6F4A" w:rsidP="007C3D2B">
            <w:pPr>
              <w:keepNext/>
              <w:keepLines/>
              <w:spacing w:before="40" w:after="40" w:line="240" w:lineRule="auto"/>
              <w:ind w:right="252" w:firstLine="0"/>
              <w:jc w:val="right"/>
              <w:rPr>
                <w:rFonts w:eastAsia="PMingLiU"/>
                <w:sz w:val="20"/>
                <w:szCs w:val="20"/>
                <w:lang w:eastAsia="zh-CN"/>
              </w:rPr>
            </w:pPr>
          </w:p>
        </w:tc>
      </w:tr>
      <w:tr w:rsidR="00C34CCE" w:rsidRPr="00E50E8B" w:rsidTr="000C6F4A">
        <w:tc>
          <w:tcPr>
            <w:tcW w:w="9084" w:type="dxa"/>
            <w:gridSpan w:val="6"/>
            <w:vAlign w:val="bottom"/>
          </w:tcPr>
          <w:p w:rsidR="00C34CCE" w:rsidRPr="00CF740F" w:rsidRDefault="00C34CCE" w:rsidP="00B035D9">
            <w:pPr>
              <w:keepNext/>
              <w:keepLines/>
              <w:spacing w:before="40" w:after="40" w:line="240" w:lineRule="auto"/>
              <w:ind w:firstLine="0"/>
              <w:jc w:val="center"/>
              <w:rPr>
                <w:rFonts w:eastAsia="PMingLiU"/>
                <w:b/>
                <w:sz w:val="20"/>
                <w:szCs w:val="20"/>
                <w:u w:val="single"/>
                <w:lang w:eastAsia="zh-CN"/>
              </w:rPr>
            </w:pPr>
            <w:r w:rsidRPr="00CF740F">
              <w:rPr>
                <w:rFonts w:eastAsia="PMingLiU"/>
                <w:b/>
                <w:sz w:val="20"/>
                <w:szCs w:val="20"/>
                <w:u w:val="single"/>
                <w:lang w:eastAsia="zh-CN"/>
              </w:rPr>
              <w:t>Firm Storage Service</w:t>
            </w:r>
          </w:p>
        </w:tc>
      </w:tr>
      <w:tr w:rsidR="005A4C6B" w:rsidTr="00F54729">
        <w:tc>
          <w:tcPr>
            <w:tcW w:w="3798" w:type="dxa"/>
            <w:gridSpan w:val="2"/>
            <w:tcBorders>
              <w:bottom w:val="single" w:sz="4" w:space="0" w:color="auto"/>
            </w:tcBorders>
            <w:vAlign w:val="bottom"/>
          </w:tcPr>
          <w:p w:rsidR="005A4C6B" w:rsidRPr="005A4C6B" w:rsidRDefault="005A4C6B" w:rsidP="00A91A38">
            <w:pPr>
              <w:keepNext/>
              <w:keepLines/>
              <w:spacing w:before="40" w:after="40" w:line="240" w:lineRule="auto"/>
              <w:ind w:firstLine="0"/>
              <w:jc w:val="center"/>
              <w:rPr>
                <w:rFonts w:eastAsia="PMingLiU"/>
                <w:b/>
                <w:sz w:val="20"/>
                <w:szCs w:val="20"/>
                <w:lang w:eastAsia="zh-CN"/>
              </w:rPr>
            </w:pPr>
            <w:r w:rsidRPr="005A4C6B">
              <w:rPr>
                <w:rFonts w:eastAsia="PMingLiU"/>
                <w:b/>
                <w:sz w:val="20"/>
                <w:szCs w:val="20"/>
                <w:lang w:eastAsia="zh-CN"/>
              </w:rPr>
              <w:t>Project</w:t>
            </w:r>
          </w:p>
        </w:tc>
        <w:tc>
          <w:tcPr>
            <w:tcW w:w="1710" w:type="dxa"/>
            <w:tcBorders>
              <w:bottom w:val="single" w:sz="4" w:space="0" w:color="auto"/>
            </w:tcBorders>
            <w:vAlign w:val="bottom"/>
          </w:tcPr>
          <w:p w:rsidR="005A4C6B" w:rsidRPr="005A4C6B" w:rsidRDefault="005A4C6B" w:rsidP="00A91A38">
            <w:pPr>
              <w:keepNext/>
              <w:keepLines/>
              <w:spacing w:before="40" w:after="40" w:line="240" w:lineRule="auto"/>
              <w:ind w:firstLine="0"/>
              <w:jc w:val="center"/>
              <w:rPr>
                <w:rFonts w:eastAsia="PMingLiU"/>
                <w:b/>
                <w:sz w:val="20"/>
                <w:szCs w:val="20"/>
                <w:lang w:eastAsia="zh-CN"/>
              </w:rPr>
            </w:pPr>
            <w:r w:rsidRPr="005A4C6B">
              <w:rPr>
                <w:rFonts w:eastAsia="PMingLiU"/>
                <w:b/>
                <w:sz w:val="20"/>
                <w:szCs w:val="20"/>
                <w:lang w:eastAsia="zh-CN"/>
              </w:rPr>
              <w:t>Withdrawal</w:t>
            </w:r>
            <w:r w:rsidRPr="005A4C6B">
              <w:rPr>
                <w:rFonts w:eastAsia="PMingLiU"/>
                <w:b/>
                <w:sz w:val="20"/>
                <w:szCs w:val="20"/>
                <w:lang w:eastAsia="zh-CN"/>
              </w:rPr>
              <w:br/>
              <w:t>Capacity</w:t>
            </w:r>
            <w:r w:rsidRPr="005A4C6B">
              <w:rPr>
                <w:rFonts w:eastAsia="PMingLiU"/>
                <w:b/>
                <w:sz w:val="20"/>
                <w:szCs w:val="20"/>
                <w:lang w:eastAsia="zh-CN"/>
              </w:rPr>
              <w:br/>
              <w:t>(</w:t>
            </w:r>
            <w:proofErr w:type="spellStart"/>
            <w:r w:rsidRPr="005A4C6B">
              <w:rPr>
                <w:rFonts w:eastAsia="PMingLiU"/>
                <w:b/>
                <w:sz w:val="20"/>
                <w:szCs w:val="20"/>
                <w:lang w:eastAsia="zh-CN"/>
              </w:rPr>
              <w:t>Dth</w:t>
            </w:r>
            <w:proofErr w:type="spellEnd"/>
            <w:r w:rsidRPr="005A4C6B">
              <w:rPr>
                <w:rFonts w:eastAsia="PMingLiU"/>
                <w:b/>
                <w:sz w:val="20"/>
                <w:szCs w:val="20"/>
                <w:lang w:eastAsia="zh-CN"/>
              </w:rPr>
              <w:t>/d)</w:t>
            </w:r>
          </w:p>
        </w:tc>
        <w:tc>
          <w:tcPr>
            <w:tcW w:w="1842" w:type="dxa"/>
            <w:gridSpan w:val="2"/>
            <w:tcBorders>
              <w:bottom w:val="single" w:sz="4" w:space="0" w:color="auto"/>
            </w:tcBorders>
            <w:vAlign w:val="bottom"/>
          </w:tcPr>
          <w:p w:rsidR="005A4C6B" w:rsidRPr="005A4C6B" w:rsidRDefault="005A4C6B" w:rsidP="00A91A38">
            <w:pPr>
              <w:keepNext/>
              <w:keepLines/>
              <w:spacing w:before="40" w:after="40" w:line="240" w:lineRule="auto"/>
              <w:ind w:firstLine="0"/>
              <w:jc w:val="center"/>
              <w:rPr>
                <w:rFonts w:eastAsia="PMingLiU"/>
                <w:b/>
                <w:sz w:val="20"/>
                <w:szCs w:val="20"/>
                <w:lang w:eastAsia="zh-CN"/>
              </w:rPr>
            </w:pPr>
            <w:r w:rsidRPr="005A4C6B">
              <w:rPr>
                <w:rFonts w:eastAsia="PMingLiU"/>
                <w:b/>
                <w:sz w:val="20"/>
                <w:szCs w:val="20"/>
                <w:lang w:eastAsia="zh-CN"/>
              </w:rPr>
              <w:t>Storage</w:t>
            </w:r>
            <w:r w:rsidRPr="005A4C6B">
              <w:rPr>
                <w:rFonts w:eastAsia="PMingLiU"/>
                <w:b/>
                <w:sz w:val="20"/>
                <w:szCs w:val="20"/>
                <w:lang w:eastAsia="zh-CN"/>
              </w:rPr>
              <w:br/>
              <w:t>Capacity</w:t>
            </w:r>
            <w:r w:rsidRPr="005A4C6B">
              <w:rPr>
                <w:rFonts w:eastAsia="PMingLiU"/>
                <w:b/>
                <w:sz w:val="20"/>
                <w:szCs w:val="20"/>
                <w:lang w:eastAsia="zh-CN"/>
              </w:rPr>
              <w:br/>
              <w:t>(</w:t>
            </w:r>
            <w:proofErr w:type="spellStart"/>
            <w:r w:rsidRPr="005A4C6B">
              <w:rPr>
                <w:rFonts w:eastAsia="PMingLiU"/>
                <w:b/>
                <w:sz w:val="20"/>
                <w:szCs w:val="20"/>
                <w:lang w:eastAsia="zh-CN"/>
              </w:rPr>
              <w:t>Dth</w:t>
            </w:r>
            <w:proofErr w:type="spellEnd"/>
            <w:r w:rsidRPr="005A4C6B">
              <w:rPr>
                <w:rFonts w:eastAsia="PMingLiU"/>
                <w:b/>
                <w:sz w:val="20"/>
                <w:szCs w:val="20"/>
                <w:lang w:eastAsia="zh-CN"/>
              </w:rPr>
              <w:t>)</w:t>
            </w:r>
          </w:p>
        </w:tc>
        <w:tc>
          <w:tcPr>
            <w:tcW w:w="1734" w:type="dxa"/>
            <w:tcBorders>
              <w:bottom w:val="single" w:sz="4" w:space="0" w:color="auto"/>
            </w:tcBorders>
            <w:vAlign w:val="bottom"/>
          </w:tcPr>
          <w:p w:rsidR="005A4C6B" w:rsidRPr="005A4C6B" w:rsidRDefault="005A4C6B" w:rsidP="00A91A38">
            <w:pPr>
              <w:keepNext/>
              <w:keepLines/>
              <w:spacing w:before="40" w:after="40" w:line="240" w:lineRule="auto"/>
              <w:ind w:firstLine="0"/>
              <w:jc w:val="center"/>
              <w:rPr>
                <w:rFonts w:eastAsia="PMingLiU"/>
                <w:b/>
                <w:sz w:val="20"/>
                <w:szCs w:val="20"/>
                <w:lang w:eastAsia="zh-CN"/>
              </w:rPr>
            </w:pPr>
            <w:r w:rsidRPr="005A4C6B">
              <w:rPr>
                <w:rFonts w:eastAsia="PMingLiU"/>
                <w:b/>
                <w:sz w:val="20"/>
                <w:szCs w:val="20"/>
                <w:lang w:eastAsia="zh-CN"/>
              </w:rPr>
              <w:t>Annual</w:t>
            </w:r>
            <w:r w:rsidRPr="005A4C6B">
              <w:rPr>
                <w:rFonts w:eastAsia="PMingLiU"/>
                <w:b/>
                <w:sz w:val="20"/>
                <w:szCs w:val="20"/>
                <w:vertAlign w:val="superscript"/>
                <w:lang w:eastAsia="zh-CN"/>
              </w:rPr>
              <w:t>(1)</w:t>
            </w:r>
            <w:r w:rsidRPr="005A4C6B">
              <w:rPr>
                <w:rFonts w:eastAsia="PMingLiU"/>
                <w:b/>
                <w:sz w:val="20"/>
                <w:szCs w:val="20"/>
                <w:lang w:eastAsia="zh-CN"/>
              </w:rPr>
              <w:br/>
              <w:t>Demand Cost</w:t>
            </w:r>
            <w:r w:rsidRPr="005A4C6B">
              <w:rPr>
                <w:rFonts w:eastAsia="PMingLiU"/>
                <w:b/>
                <w:sz w:val="20"/>
                <w:szCs w:val="20"/>
                <w:lang w:eastAsia="zh-CN"/>
              </w:rPr>
              <w:br/>
              <w:t>($000)</w:t>
            </w:r>
          </w:p>
        </w:tc>
      </w:tr>
      <w:tr w:rsidR="005A4C6B" w:rsidTr="00F54729">
        <w:tc>
          <w:tcPr>
            <w:tcW w:w="3798" w:type="dxa"/>
            <w:gridSpan w:val="2"/>
            <w:tcBorders>
              <w:top w:val="single" w:sz="4" w:space="0" w:color="auto"/>
            </w:tcBorders>
          </w:tcPr>
          <w:p w:rsidR="005A4C6B" w:rsidRPr="006B7D9E" w:rsidRDefault="00F54729" w:rsidP="00A91A38">
            <w:pPr>
              <w:keepNext/>
              <w:keepLines/>
              <w:spacing w:before="40" w:after="40" w:line="240" w:lineRule="auto"/>
              <w:ind w:firstLine="0"/>
              <w:rPr>
                <w:rFonts w:eastAsia="PMingLiU"/>
                <w:sz w:val="20"/>
                <w:szCs w:val="20"/>
                <w:lang w:eastAsia="zh-CN"/>
              </w:rPr>
            </w:pPr>
            <w:r w:rsidRPr="00F54729">
              <w:rPr>
                <w:rFonts w:eastAsia="PMingLiU"/>
                <w:sz w:val="20"/>
                <w:szCs w:val="20"/>
                <w:lang w:eastAsia="zh-CN"/>
              </w:rPr>
              <w:t>Northwest Pipeline</w:t>
            </w:r>
            <w:r w:rsidR="005A4C6B" w:rsidRPr="005A4C6B">
              <w:rPr>
                <w:rFonts w:eastAsia="PMingLiU"/>
                <w:sz w:val="20"/>
                <w:szCs w:val="20"/>
                <w:lang w:eastAsia="zh-CN"/>
              </w:rPr>
              <w:t xml:space="preserve"> Plymouth LNG</w:t>
            </w:r>
          </w:p>
        </w:tc>
        <w:tc>
          <w:tcPr>
            <w:tcW w:w="1710" w:type="dxa"/>
            <w:tcBorders>
              <w:top w:val="single" w:sz="4" w:space="0" w:color="auto"/>
            </w:tcBorders>
          </w:tcPr>
          <w:p w:rsidR="005A4C6B" w:rsidRPr="006B7D9E" w:rsidRDefault="005A4C6B" w:rsidP="00A91A38">
            <w:pPr>
              <w:keepNext/>
              <w:keepLines/>
              <w:spacing w:before="40" w:after="40" w:line="240" w:lineRule="auto"/>
              <w:ind w:right="342" w:firstLine="0"/>
              <w:jc w:val="right"/>
              <w:rPr>
                <w:rFonts w:eastAsia="PMingLiU"/>
                <w:sz w:val="20"/>
                <w:szCs w:val="20"/>
                <w:lang w:eastAsia="zh-CN"/>
              </w:rPr>
            </w:pPr>
            <w:r w:rsidRPr="005A4C6B">
              <w:rPr>
                <w:rFonts w:eastAsia="PMingLiU"/>
                <w:sz w:val="20"/>
                <w:szCs w:val="20"/>
                <w:lang w:eastAsia="zh-CN"/>
              </w:rPr>
              <w:t>70,500</w:t>
            </w:r>
          </w:p>
        </w:tc>
        <w:tc>
          <w:tcPr>
            <w:tcW w:w="1842" w:type="dxa"/>
            <w:gridSpan w:val="2"/>
            <w:tcBorders>
              <w:top w:val="single" w:sz="4" w:space="0" w:color="auto"/>
            </w:tcBorders>
          </w:tcPr>
          <w:p w:rsidR="005A4C6B" w:rsidRPr="006B7D9E" w:rsidRDefault="005A4C6B" w:rsidP="00A91A38">
            <w:pPr>
              <w:keepNext/>
              <w:keepLines/>
              <w:spacing w:before="40" w:after="40" w:line="240" w:lineRule="auto"/>
              <w:ind w:right="408" w:firstLine="0"/>
              <w:jc w:val="right"/>
              <w:rPr>
                <w:rFonts w:eastAsia="PMingLiU"/>
                <w:sz w:val="20"/>
                <w:szCs w:val="20"/>
                <w:lang w:eastAsia="zh-CN"/>
              </w:rPr>
            </w:pPr>
            <w:r w:rsidRPr="005A4C6B">
              <w:rPr>
                <w:rFonts w:eastAsia="PMingLiU"/>
                <w:sz w:val="20"/>
                <w:szCs w:val="20"/>
                <w:lang w:eastAsia="zh-CN"/>
              </w:rPr>
              <w:t>241,700</w:t>
            </w:r>
          </w:p>
        </w:tc>
        <w:tc>
          <w:tcPr>
            <w:tcW w:w="1734" w:type="dxa"/>
            <w:tcBorders>
              <w:top w:val="single" w:sz="4" w:space="0" w:color="auto"/>
            </w:tcBorders>
          </w:tcPr>
          <w:p w:rsidR="005A4C6B" w:rsidRPr="006B7D9E" w:rsidRDefault="00F800E6" w:rsidP="00F800E6">
            <w:pPr>
              <w:keepNext/>
              <w:keepLines/>
              <w:spacing w:before="40" w:after="40" w:line="240" w:lineRule="auto"/>
              <w:ind w:right="252" w:firstLine="0"/>
              <w:jc w:val="right"/>
              <w:rPr>
                <w:rFonts w:eastAsia="PMingLiU"/>
                <w:sz w:val="20"/>
                <w:szCs w:val="20"/>
                <w:lang w:eastAsia="zh-CN"/>
              </w:rPr>
            </w:pPr>
            <w:r w:rsidRPr="005A4C6B">
              <w:rPr>
                <w:rFonts w:eastAsia="PMingLiU"/>
                <w:sz w:val="20"/>
                <w:szCs w:val="20"/>
                <w:lang w:eastAsia="zh-CN"/>
              </w:rPr>
              <w:t>9</w:t>
            </w:r>
            <w:r>
              <w:rPr>
                <w:rFonts w:eastAsia="PMingLiU"/>
                <w:sz w:val="20"/>
                <w:szCs w:val="20"/>
                <w:lang w:eastAsia="zh-CN"/>
              </w:rPr>
              <w:t>58</w:t>
            </w:r>
          </w:p>
        </w:tc>
      </w:tr>
      <w:tr w:rsidR="005A4C6B" w:rsidTr="00BC57A0">
        <w:tc>
          <w:tcPr>
            <w:tcW w:w="3798" w:type="dxa"/>
            <w:gridSpan w:val="2"/>
          </w:tcPr>
          <w:p w:rsidR="005A4C6B" w:rsidRPr="006B7D9E" w:rsidRDefault="00F54729" w:rsidP="00A91A38">
            <w:pPr>
              <w:keepNext/>
              <w:keepLines/>
              <w:spacing w:before="40" w:after="40" w:line="240" w:lineRule="auto"/>
              <w:ind w:firstLine="0"/>
              <w:rPr>
                <w:rFonts w:eastAsia="PMingLiU"/>
                <w:sz w:val="20"/>
                <w:szCs w:val="20"/>
                <w:lang w:eastAsia="zh-CN"/>
              </w:rPr>
            </w:pPr>
            <w:r w:rsidRPr="00F54729">
              <w:rPr>
                <w:rFonts w:eastAsia="PMingLiU"/>
                <w:sz w:val="20"/>
                <w:szCs w:val="20"/>
                <w:lang w:eastAsia="zh-CN"/>
              </w:rPr>
              <w:t>Northwest Pipeline</w:t>
            </w:r>
            <w:r w:rsidR="005A4C6B" w:rsidRPr="00C34CCE">
              <w:rPr>
                <w:rFonts w:eastAsia="PMingLiU"/>
                <w:sz w:val="20"/>
                <w:szCs w:val="20"/>
                <w:lang w:eastAsia="zh-CN"/>
              </w:rPr>
              <w:t xml:space="preserve"> Jackson Prairie</w:t>
            </w:r>
          </w:p>
        </w:tc>
        <w:tc>
          <w:tcPr>
            <w:tcW w:w="1710" w:type="dxa"/>
          </w:tcPr>
          <w:p w:rsidR="005A4C6B" w:rsidRPr="006B7D9E" w:rsidRDefault="005A4C6B" w:rsidP="00A91A38">
            <w:pPr>
              <w:keepNext/>
              <w:keepLines/>
              <w:spacing w:before="40" w:after="40" w:line="240" w:lineRule="auto"/>
              <w:ind w:right="342" w:firstLine="0"/>
              <w:jc w:val="right"/>
              <w:rPr>
                <w:rFonts w:eastAsia="PMingLiU"/>
                <w:sz w:val="20"/>
                <w:szCs w:val="20"/>
                <w:lang w:eastAsia="zh-CN"/>
              </w:rPr>
            </w:pPr>
            <w:r w:rsidRPr="00C34CCE">
              <w:rPr>
                <w:rFonts w:eastAsia="PMingLiU"/>
                <w:sz w:val="20"/>
                <w:szCs w:val="20"/>
                <w:lang w:eastAsia="zh-CN"/>
              </w:rPr>
              <w:t>6,704</w:t>
            </w:r>
          </w:p>
        </w:tc>
        <w:tc>
          <w:tcPr>
            <w:tcW w:w="1842" w:type="dxa"/>
            <w:gridSpan w:val="2"/>
          </w:tcPr>
          <w:p w:rsidR="005A4C6B" w:rsidRPr="006B7D9E" w:rsidRDefault="005A4C6B" w:rsidP="00A91A38">
            <w:pPr>
              <w:keepNext/>
              <w:keepLines/>
              <w:spacing w:before="40" w:after="40" w:line="240" w:lineRule="auto"/>
              <w:ind w:right="408" w:firstLine="0"/>
              <w:jc w:val="right"/>
              <w:rPr>
                <w:rFonts w:eastAsia="PMingLiU"/>
                <w:sz w:val="20"/>
                <w:szCs w:val="20"/>
                <w:lang w:eastAsia="zh-CN"/>
              </w:rPr>
            </w:pPr>
            <w:r w:rsidRPr="00C34CCE">
              <w:rPr>
                <w:rFonts w:eastAsia="PMingLiU"/>
                <w:sz w:val="20"/>
                <w:szCs w:val="20"/>
                <w:lang w:eastAsia="zh-CN"/>
              </w:rPr>
              <w:t>140,622</w:t>
            </w:r>
          </w:p>
        </w:tc>
        <w:tc>
          <w:tcPr>
            <w:tcW w:w="1734" w:type="dxa"/>
          </w:tcPr>
          <w:p w:rsidR="005A4C6B" w:rsidRPr="006B7D9E" w:rsidRDefault="00F800E6" w:rsidP="00F800E6">
            <w:pPr>
              <w:keepNext/>
              <w:keepLines/>
              <w:spacing w:before="40" w:after="40" w:line="240" w:lineRule="auto"/>
              <w:ind w:right="252" w:firstLine="0"/>
              <w:jc w:val="right"/>
              <w:rPr>
                <w:rFonts w:eastAsia="PMingLiU"/>
                <w:sz w:val="20"/>
                <w:szCs w:val="20"/>
                <w:lang w:eastAsia="zh-CN"/>
              </w:rPr>
            </w:pPr>
            <w:r w:rsidRPr="00C34CCE">
              <w:rPr>
                <w:rFonts w:eastAsia="PMingLiU"/>
                <w:sz w:val="20"/>
                <w:szCs w:val="20"/>
                <w:lang w:eastAsia="zh-CN"/>
              </w:rPr>
              <w:t>6</w:t>
            </w:r>
            <w:r>
              <w:rPr>
                <w:rFonts w:eastAsia="PMingLiU"/>
                <w:sz w:val="20"/>
                <w:szCs w:val="20"/>
                <w:lang w:eastAsia="zh-CN"/>
              </w:rPr>
              <w:t>7</w:t>
            </w:r>
          </w:p>
        </w:tc>
      </w:tr>
      <w:tr w:rsidR="005A4C6B" w:rsidTr="00BC57A0">
        <w:tc>
          <w:tcPr>
            <w:tcW w:w="3798" w:type="dxa"/>
            <w:gridSpan w:val="2"/>
          </w:tcPr>
          <w:p w:rsidR="005A4C6B" w:rsidRPr="006B7D9E" w:rsidRDefault="005A4C6B" w:rsidP="00A91A38">
            <w:pPr>
              <w:keepNext/>
              <w:keepLines/>
              <w:spacing w:before="40" w:after="40" w:line="240" w:lineRule="auto"/>
              <w:ind w:firstLine="0"/>
              <w:rPr>
                <w:rFonts w:eastAsia="PMingLiU"/>
                <w:sz w:val="20"/>
                <w:szCs w:val="20"/>
                <w:lang w:eastAsia="zh-CN"/>
              </w:rPr>
            </w:pPr>
            <w:r w:rsidRPr="00C34CCE">
              <w:rPr>
                <w:rFonts w:eastAsia="PMingLiU"/>
                <w:sz w:val="20"/>
                <w:szCs w:val="20"/>
                <w:lang w:eastAsia="zh-CN"/>
              </w:rPr>
              <w:t>Jackson Prairie Storage Project (</w:t>
            </w:r>
            <w:proofErr w:type="spellStart"/>
            <w:r w:rsidRPr="00C34CCE">
              <w:rPr>
                <w:rFonts w:eastAsia="PMingLiU"/>
                <w:sz w:val="20"/>
                <w:szCs w:val="20"/>
                <w:lang w:eastAsia="zh-CN"/>
              </w:rPr>
              <w:t>interbook</w:t>
            </w:r>
            <w:proofErr w:type="spellEnd"/>
            <w:r w:rsidRPr="00C34CCE">
              <w:rPr>
                <w:rFonts w:eastAsia="PMingLiU"/>
                <w:sz w:val="20"/>
                <w:szCs w:val="20"/>
                <w:lang w:eastAsia="zh-CN"/>
              </w:rPr>
              <w:t>)</w:t>
            </w:r>
          </w:p>
        </w:tc>
        <w:tc>
          <w:tcPr>
            <w:tcW w:w="1710" w:type="dxa"/>
            <w:tcBorders>
              <w:bottom w:val="single" w:sz="4" w:space="0" w:color="auto"/>
            </w:tcBorders>
          </w:tcPr>
          <w:p w:rsidR="005A4C6B" w:rsidRPr="006B7D9E" w:rsidRDefault="005A4C6B" w:rsidP="00A91A38">
            <w:pPr>
              <w:keepNext/>
              <w:keepLines/>
              <w:spacing w:before="40" w:after="40" w:line="240" w:lineRule="auto"/>
              <w:ind w:right="342" w:firstLine="0"/>
              <w:jc w:val="right"/>
              <w:rPr>
                <w:rFonts w:eastAsia="PMingLiU"/>
                <w:sz w:val="20"/>
                <w:szCs w:val="20"/>
                <w:lang w:eastAsia="zh-CN"/>
              </w:rPr>
            </w:pPr>
            <w:r w:rsidRPr="00C34CCE">
              <w:rPr>
                <w:rFonts w:eastAsia="PMingLiU"/>
                <w:sz w:val="20"/>
                <w:szCs w:val="20"/>
                <w:lang w:eastAsia="zh-CN"/>
              </w:rPr>
              <w:t>50,000</w:t>
            </w:r>
            <w:r w:rsidR="00C0010A" w:rsidRPr="00837D01">
              <w:rPr>
                <w:rFonts w:eastAsia="PMingLiU"/>
                <w:sz w:val="20"/>
                <w:szCs w:val="20"/>
                <w:vertAlign w:val="superscript"/>
                <w:lang w:eastAsia="zh-CN"/>
              </w:rPr>
              <w:t>(3)</w:t>
            </w:r>
          </w:p>
        </w:tc>
        <w:tc>
          <w:tcPr>
            <w:tcW w:w="1842" w:type="dxa"/>
            <w:gridSpan w:val="2"/>
            <w:tcBorders>
              <w:bottom w:val="single" w:sz="4" w:space="0" w:color="auto"/>
            </w:tcBorders>
          </w:tcPr>
          <w:p w:rsidR="005A4C6B" w:rsidRPr="006B7D9E" w:rsidRDefault="005A4C6B" w:rsidP="00A91A38">
            <w:pPr>
              <w:keepNext/>
              <w:keepLines/>
              <w:spacing w:before="40" w:after="40" w:line="240" w:lineRule="auto"/>
              <w:ind w:right="408" w:firstLine="0"/>
              <w:jc w:val="right"/>
              <w:rPr>
                <w:rFonts w:eastAsia="PMingLiU"/>
                <w:sz w:val="20"/>
                <w:szCs w:val="20"/>
                <w:lang w:eastAsia="zh-CN"/>
              </w:rPr>
            </w:pPr>
            <w:r w:rsidRPr="00C34CCE">
              <w:rPr>
                <w:rFonts w:eastAsia="PMingLiU"/>
                <w:sz w:val="20"/>
                <w:szCs w:val="20"/>
                <w:lang w:eastAsia="zh-CN"/>
              </w:rPr>
              <w:t>500,000</w:t>
            </w:r>
          </w:p>
        </w:tc>
        <w:tc>
          <w:tcPr>
            <w:tcW w:w="1734" w:type="dxa"/>
            <w:tcBorders>
              <w:bottom w:val="single" w:sz="4" w:space="0" w:color="auto"/>
            </w:tcBorders>
          </w:tcPr>
          <w:p w:rsidR="005A4C6B" w:rsidRPr="006B7D9E" w:rsidRDefault="005A4C6B" w:rsidP="00A91A38">
            <w:pPr>
              <w:keepNext/>
              <w:keepLines/>
              <w:spacing w:before="40" w:after="40" w:line="240" w:lineRule="auto"/>
              <w:ind w:right="252" w:firstLine="0"/>
              <w:jc w:val="right"/>
              <w:rPr>
                <w:rFonts w:eastAsia="PMingLiU"/>
                <w:sz w:val="20"/>
                <w:szCs w:val="20"/>
                <w:lang w:eastAsia="zh-CN"/>
              </w:rPr>
            </w:pPr>
            <w:r w:rsidRPr="00C34CCE">
              <w:rPr>
                <w:rFonts w:eastAsia="PMingLiU"/>
                <w:sz w:val="20"/>
                <w:szCs w:val="20"/>
                <w:lang w:eastAsia="zh-CN"/>
              </w:rPr>
              <w:t>980</w:t>
            </w:r>
          </w:p>
        </w:tc>
      </w:tr>
      <w:tr w:rsidR="005A4C6B" w:rsidTr="00BC57A0">
        <w:tc>
          <w:tcPr>
            <w:tcW w:w="3798" w:type="dxa"/>
            <w:gridSpan w:val="2"/>
          </w:tcPr>
          <w:p w:rsidR="005A4C6B" w:rsidRPr="006B7D9E" w:rsidRDefault="005A4C6B" w:rsidP="00A91A38">
            <w:pPr>
              <w:keepNext/>
              <w:keepLines/>
              <w:spacing w:before="40" w:after="40" w:line="240" w:lineRule="auto"/>
              <w:ind w:firstLine="0"/>
              <w:rPr>
                <w:rFonts w:eastAsia="PMingLiU"/>
                <w:sz w:val="20"/>
                <w:szCs w:val="20"/>
                <w:lang w:eastAsia="zh-CN"/>
              </w:rPr>
            </w:pPr>
            <w:r w:rsidRPr="00C34CCE">
              <w:rPr>
                <w:rFonts w:eastAsia="PMingLiU"/>
                <w:sz w:val="20"/>
                <w:szCs w:val="20"/>
                <w:lang w:eastAsia="zh-CN"/>
              </w:rPr>
              <w:t>Total Storage Service</w:t>
            </w:r>
          </w:p>
        </w:tc>
        <w:tc>
          <w:tcPr>
            <w:tcW w:w="1710" w:type="dxa"/>
            <w:tcBorders>
              <w:top w:val="single" w:sz="4" w:space="0" w:color="auto"/>
              <w:bottom w:val="double" w:sz="4" w:space="0" w:color="auto"/>
            </w:tcBorders>
          </w:tcPr>
          <w:p w:rsidR="005A4C6B" w:rsidRPr="006B7D9E" w:rsidRDefault="005A4C6B" w:rsidP="00A91A38">
            <w:pPr>
              <w:keepNext/>
              <w:keepLines/>
              <w:spacing w:before="40" w:after="40" w:line="240" w:lineRule="auto"/>
              <w:ind w:right="342" w:firstLine="0"/>
              <w:jc w:val="right"/>
              <w:rPr>
                <w:rFonts w:eastAsia="PMingLiU"/>
                <w:sz w:val="20"/>
                <w:szCs w:val="20"/>
                <w:lang w:eastAsia="zh-CN"/>
              </w:rPr>
            </w:pPr>
            <w:r w:rsidRPr="00C34CCE">
              <w:rPr>
                <w:rFonts w:eastAsia="PMingLiU"/>
                <w:sz w:val="20"/>
                <w:szCs w:val="20"/>
                <w:lang w:eastAsia="zh-CN"/>
              </w:rPr>
              <w:t>127,204</w:t>
            </w:r>
          </w:p>
        </w:tc>
        <w:tc>
          <w:tcPr>
            <w:tcW w:w="1842" w:type="dxa"/>
            <w:gridSpan w:val="2"/>
            <w:tcBorders>
              <w:top w:val="single" w:sz="4" w:space="0" w:color="auto"/>
              <w:bottom w:val="double" w:sz="4" w:space="0" w:color="auto"/>
            </w:tcBorders>
          </w:tcPr>
          <w:p w:rsidR="005A4C6B" w:rsidRPr="006B7D9E" w:rsidRDefault="005A4C6B" w:rsidP="00A91A38">
            <w:pPr>
              <w:keepNext/>
              <w:keepLines/>
              <w:spacing w:before="40" w:after="40" w:line="240" w:lineRule="auto"/>
              <w:ind w:right="408" w:firstLine="0"/>
              <w:jc w:val="right"/>
              <w:rPr>
                <w:rFonts w:eastAsia="PMingLiU"/>
                <w:sz w:val="20"/>
                <w:szCs w:val="20"/>
                <w:lang w:eastAsia="zh-CN"/>
              </w:rPr>
            </w:pPr>
            <w:r w:rsidRPr="00C34CCE">
              <w:rPr>
                <w:rFonts w:eastAsia="PMingLiU"/>
                <w:sz w:val="20"/>
                <w:szCs w:val="20"/>
                <w:lang w:eastAsia="zh-CN"/>
              </w:rPr>
              <w:t>882,322</w:t>
            </w:r>
          </w:p>
        </w:tc>
        <w:tc>
          <w:tcPr>
            <w:tcW w:w="1734" w:type="dxa"/>
            <w:tcBorders>
              <w:top w:val="single" w:sz="4" w:space="0" w:color="auto"/>
            </w:tcBorders>
          </w:tcPr>
          <w:p w:rsidR="005A4C6B" w:rsidRPr="006B7D9E" w:rsidRDefault="005A4C6B" w:rsidP="00A91A38">
            <w:pPr>
              <w:keepNext/>
              <w:keepLines/>
              <w:spacing w:before="40" w:after="40" w:line="240" w:lineRule="auto"/>
              <w:ind w:right="252" w:firstLine="0"/>
              <w:jc w:val="right"/>
              <w:rPr>
                <w:rFonts w:eastAsia="PMingLiU"/>
                <w:sz w:val="20"/>
                <w:szCs w:val="20"/>
                <w:lang w:eastAsia="zh-CN"/>
              </w:rPr>
            </w:pPr>
          </w:p>
        </w:tc>
      </w:tr>
      <w:tr w:rsidR="005A4C6B" w:rsidTr="00F54729">
        <w:tc>
          <w:tcPr>
            <w:tcW w:w="3798" w:type="dxa"/>
            <w:gridSpan w:val="2"/>
          </w:tcPr>
          <w:p w:rsidR="005A4C6B" w:rsidRPr="006B7D9E" w:rsidRDefault="005A4C6B" w:rsidP="00A91A38">
            <w:pPr>
              <w:keepNext/>
              <w:keepLines/>
              <w:spacing w:before="40" w:after="40" w:line="240" w:lineRule="auto"/>
              <w:ind w:firstLine="0"/>
              <w:rPr>
                <w:rFonts w:eastAsia="PMingLiU"/>
                <w:sz w:val="20"/>
                <w:szCs w:val="20"/>
                <w:lang w:eastAsia="zh-CN"/>
              </w:rPr>
            </w:pPr>
            <w:r w:rsidRPr="00C34CCE">
              <w:rPr>
                <w:rFonts w:eastAsia="PMingLiU"/>
                <w:sz w:val="20"/>
                <w:szCs w:val="20"/>
                <w:lang w:eastAsia="zh-CN"/>
              </w:rPr>
              <w:t>Total Storage Demand Charge</w:t>
            </w:r>
          </w:p>
        </w:tc>
        <w:tc>
          <w:tcPr>
            <w:tcW w:w="1710" w:type="dxa"/>
            <w:tcBorders>
              <w:top w:val="double" w:sz="4" w:space="0" w:color="auto"/>
            </w:tcBorders>
          </w:tcPr>
          <w:p w:rsidR="005A4C6B" w:rsidRPr="006B7D9E" w:rsidRDefault="005A4C6B" w:rsidP="00A91A38">
            <w:pPr>
              <w:keepNext/>
              <w:keepLines/>
              <w:spacing w:before="40" w:after="40" w:line="240" w:lineRule="auto"/>
              <w:ind w:right="342" w:firstLine="0"/>
              <w:jc w:val="right"/>
              <w:rPr>
                <w:rFonts w:eastAsia="PMingLiU"/>
                <w:sz w:val="20"/>
                <w:szCs w:val="20"/>
                <w:lang w:eastAsia="zh-CN"/>
              </w:rPr>
            </w:pPr>
          </w:p>
        </w:tc>
        <w:tc>
          <w:tcPr>
            <w:tcW w:w="1842" w:type="dxa"/>
            <w:gridSpan w:val="2"/>
            <w:tcBorders>
              <w:top w:val="double" w:sz="4" w:space="0" w:color="auto"/>
            </w:tcBorders>
          </w:tcPr>
          <w:p w:rsidR="005A4C6B" w:rsidRPr="006B7D9E" w:rsidRDefault="005A4C6B" w:rsidP="00A91A38">
            <w:pPr>
              <w:keepNext/>
              <w:keepLines/>
              <w:spacing w:before="40" w:after="40" w:line="240" w:lineRule="auto"/>
              <w:ind w:right="408" w:firstLine="0"/>
              <w:jc w:val="right"/>
              <w:rPr>
                <w:rFonts w:eastAsia="PMingLiU"/>
                <w:sz w:val="20"/>
                <w:szCs w:val="20"/>
                <w:lang w:eastAsia="zh-CN"/>
              </w:rPr>
            </w:pPr>
          </w:p>
        </w:tc>
        <w:tc>
          <w:tcPr>
            <w:tcW w:w="1734" w:type="dxa"/>
            <w:tcBorders>
              <w:bottom w:val="double" w:sz="4" w:space="0" w:color="auto"/>
            </w:tcBorders>
          </w:tcPr>
          <w:p w:rsidR="005A4C6B" w:rsidRPr="006B7D9E" w:rsidRDefault="001324BE" w:rsidP="00A91A38">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2,005</w:t>
            </w:r>
          </w:p>
        </w:tc>
      </w:tr>
      <w:tr w:rsidR="005A4C6B" w:rsidTr="00F54729">
        <w:tc>
          <w:tcPr>
            <w:tcW w:w="3798" w:type="dxa"/>
            <w:gridSpan w:val="2"/>
          </w:tcPr>
          <w:p w:rsidR="005A4C6B" w:rsidRPr="006B7D9E" w:rsidRDefault="005A4C6B" w:rsidP="00A91A38">
            <w:pPr>
              <w:keepNext/>
              <w:keepLines/>
              <w:spacing w:before="40" w:after="40" w:line="240" w:lineRule="auto"/>
              <w:ind w:firstLine="0"/>
              <w:rPr>
                <w:rFonts w:eastAsia="PMingLiU"/>
                <w:sz w:val="20"/>
                <w:szCs w:val="20"/>
                <w:lang w:eastAsia="zh-CN"/>
              </w:rPr>
            </w:pPr>
            <w:r w:rsidRPr="00C34CCE">
              <w:rPr>
                <w:rFonts w:eastAsia="PMingLiU"/>
                <w:sz w:val="20"/>
                <w:szCs w:val="20"/>
                <w:lang w:eastAsia="zh-CN"/>
              </w:rPr>
              <w:t>Total Gas Resource Demand Charge</w:t>
            </w:r>
          </w:p>
        </w:tc>
        <w:tc>
          <w:tcPr>
            <w:tcW w:w="1710" w:type="dxa"/>
          </w:tcPr>
          <w:p w:rsidR="005A4C6B" w:rsidRPr="006B7D9E" w:rsidRDefault="005A4C6B" w:rsidP="00A91A38">
            <w:pPr>
              <w:keepNext/>
              <w:keepLines/>
              <w:spacing w:before="40" w:after="40" w:line="240" w:lineRule="auto"/>
              <w:ind w:right="342" w:firstLine="0"/>
              <w:jc w:val="right"/>
              <w:rPr>
                <w:rFonts w:eastAsia="PMingLiU"/>
                <w:sz w:val="20"/>
                <w:szCs w:val="20"/>
                <w:lang w:eastAsia="zh-CN"/>
              </w:rPr>
            </w:pPr>
          </w:p>
        </w:tc>
        <w:tc>
          <w:tcPr>
            <w:tcW w:w="1842" w:type="dxa"/>
            <w:gridSpan w:val="2"/>
          </w:tcPr>
          <w:p w:rsidR="005A4C6B" w:rsidRPr="006B7D9E" w:rsidRDefault="005A4C6B" w:rsidP="00A91A38">
            <w:pPr>
              <w:keepNext/>
              <w:keepLines/>
              <w:spacing w:before="40" w:after="40" w:line="240" w:lineRule="auto"/>
              <w:ind w:right="408" w:firstLine="0"/>
              <w:jc w:val="right"/>
              <w:rPr>
                <w:rFonts w:eastAsia="PMingLiU"/>
                <w:sz w:val="20"/>
                <w:szCs w:val="20"/>
                <w:lang w:eastAsia="zh-CN"/>
              </w:rPr>
            </w:pPr>
          </w:p>
        </w:tc>
        <w:tc>
          <w:tcPr>
            <w:tcW w:w="1734" w:type="dxa"/>
            <w:tcBorders>
              <w:top w:val="double" w:sz="4" w:space="0" w:color="auto"/>
              <w:bottom w:val="double" w:sz="4" w:space="0" w:color="auto"/>
            </w:tcBorders>
          </w:tcPr>
          <w:p w:rsidR="005A4C6B" w:rsidRPr="006B7D9E" w:rsidRDefault="005878A4" w:rsidP="001324BE">
            <w:pPr>
              <w:keepNext/>
              <w:keepLines/>
              <w:spacing w:before="40" w:after="40" w:line="240" w:lineRule="auto"/>
              <w:ind w:right="252" w:firstLine="0"/>
              <w:jc w:val="right"/>
              <w:rPr>
                <w:rFonts w:eastAsia="PMingLiU"/>
                <w:sz w:val="20"/>
                <w:szCs w:val="20"/>
                <w:lang w:eastAsia="zh-CN"/>
              </w:rPr>
            </w:pPr>
            <w:r>
              <w:rPr>
                <w:rFonts w:eastAsia="PMingLiU"/>
                <w:sz w:val="20"/>
                <w:szCs w:val="20"/>
                <w:lang w:eastAsia="zh-CN"/>
              </w:rPr>
              <w:t>43,455</w:t>
            </w:r>
          </w:p>
        </w:tc>
      </w:tr>
      <w:tr w:rsidR="00A91A38" w:rsidTr="00F54729">
        <w:tc>
          <w:tcPr>
            <w:tcW w:w="9084" w:type="dxa"/>
            <w:gridSpan w:val="6"/>
          </w:tcPr>
          <w:p w:rsidR="00A91A38" w:rsidRPr="005A4C6B" w:rsidRDefault="00A91A38" w:rsidP="00A91A38">
            <w:pPr>
              <w:keepNext/>
              <w:keepLines/>
              <w:spacing w:before="40" w:after="40" w:line="240" w:lineRule="auto"/>
              <w:ind w:firstLine="0"/>
              <w:rPr>
                <w:rFonts w:eastAsia="PMingLiU"/>
                <w:sz w:val="8"/>
                <w:szCs w:val="8"/>
                <w:lang w:eastAsia="zh-CN"/>
              </w:rPr>
            </w:pPr>
          </w:p>
        </w:tc>
      </w:tr>
      <w:tr w:rsidR="00A91A38" w:rsidRPr="00E50E8B" w:rsidTr="00F54729">
        <w:tc>
          <w:tcPr>
            <w:tcW w:w="9084" w:type="dxa"/>
            <w:gridSpan w:val="6"/>
            <w:vAlign w:val="bottom"/>
          </w:tcPr>
          <w:p w:rsidR="00A91A38" w:rsidRPr="00A91A38" w:rsidRDefault="00A91A38" w:rsidP="00837D01">
            <w:pPr>
              <w:keepNext/>
              <w:keepLines/>
              <w:spacing w:before="40" w:after="40" w:line="240" w:lineRule="auto"/>
              <w:ind w:left="446" w:hanging="446"/>
              <w:rPr>
                <w:rFonts w:eastAsia="PMingLiU"/>
                <w:sz w:val="20"/>
                <w:szCs w:val="20"/>
                <w:lang w:eastAsia="zh-CN"/>
              </w:rPr>
            </w:pPr>
            <w:r w:rsidRPr="00C34CCE">
              <w:rPr>
                <w:rFonts w:eastAsia="PMingLiU"/>
                <w:sz w:val="20"/>
                <w:szCs w:val="20"/>
                <w:lang w:eastAsia="zh-CN"/>
              </w:rPr>
              <w:t>(1)</w:t>
            </w:r>
            <w:r>
              <w:rPr>
                <w:rFonts w:eastAsia="PMingLiU"/>
                <w:szCs w:val="20"/>
                <w:lang w:eastAsia="zh-CN"/>
              </w:rPr>
              <w:tab/>
            </w:r>
            <w:r w:rsidR="00C0010A" w:rsidRPr="006D41E9">
              <w:rPr>
                <w:rFonts w:eastAsia="PMingLiU"/>
                <w:sz w:val="20"/>
                <w:szCs w:val="20"/>
                <w:lang w:eastAsia="zh-CN"/>
              </w:rPr>
              <w:t>Expected c</w:t>
            </w:r>
            <w:r w:rsidRPr="00C34CCE">
              <w:rPr>
                <w:rFonts w:eastAsia="PMingLiU"/>
                <w:sz w:val="20"/>
                <w:szCs w:val="20"/>
                <w:lang w:eastAsia="zh-CN"/>
              </w:rPr>
              <w:t xml:space="preserve">ost for the </w:t>
            </w:r>
            <w:r w:rsidR="00C0010A">
              <w:rPr>
                <w:rFonts w:eastAsia="PMingLiU"/>
                <w:sz w:val="20"/>
                <w:szCs w:val="20"/>
                <w:lang w:eastAsia="zh-CN"/>
              </w:rPr>
              <w:t>r</w:t>
            </w:r>
            <w:r w:rsidRPr="00C34CCE">
              <w:rPr>
                <w:rFonts w:eastAsia="PMingLiU"/>
                <w:sz w:val="20"/>
                <w:szCs w:val="20"/>
                <w:lang w:eastAsia="zh-CN"/>
              </w:rPr>
              <w:t xml:space="preserve">ate </w:t>
            </w:r>
            <w:r w:rsidR="00C0010A">
              <w:rPr>
                <w:rFonts w:eastAsia="PMingLiU"/>
                <w:sz w:val="20"/>
                <w:szCs w:val="20"/>
                <w:lang w:eastAsia="zh-CN"/>
              </w:rPr>
              <w:t>y</w:t>
            </w:r>
            <w:r w:rsidRPr="00C34CCE">
              <w:rPr>
                <w:rFonts w:eastAsia="PMingLiU"/>
                <w:sz w:val="20"/>
                <w:szCs w:val="20"/>
                <w:lang w:eastAsia="zh-CN"/>
              </w:rPr>
              <w:t xml:space="preserve">ear: </w:t>
            </w:r>
            <w:r w:rsidR="00B035D9">
              <w:rPr>
                <w:rFonts w:eastAsia="PMingLiU"/>
                <w:sz w:val="20"/>
                <w:szCs w:val="20"/>
                <w:lang w:eastAsia="zh-CN"/>
              </w:rPr>
              <w:t>January 2018</w:t>
            </w:r>
            <w:r w:rsidRPr="00C34CCE">
              <w:rPr>
                <w:rFonts w:eastAsia="PMingLiU"/>
                <w:sz w:val="20"/>
                <w:szCs w:val="20"/>
                <w:lang w:eastAsia="zh-CN"/>
              </w:rPr>
              <w:t xml:space="preserve"> through </w:t>
            </w:r>
            <w:r w:rsidR="00B035D9">
              <w:rPr>
                <w:rFonts w:eastAsia="PMingLiU"/>
                <w:sz w:val="20"/>
                <w:szCs w:val="20"/>
                <w:lang w:eastAsia="zh-CN"/>
              </w:rPr>
              <w:t>December</w:t>
            </w:r>
            <w:r w:rsidRPr="00C34CCE">
              <w:rPr>
                <w:rFonts w:eastAsia="PMingLiU"/>
                <w:sz w:val="20"/>
                <w:szCs w:val="20"/>
                <w:lang w:eastAsia="zh-CN"/>
              </w:rPr>
              <w:t xml:space="preserve"> 2018</w:t>
            </w:r>
          </w:p>
        </w:tc>
      </w:tr>
      <w:tr w:rsidR="00A91A38" w:rsidRPr="00E50E8B" w:rsidTr="00F54729">
        <w:tc>
          <w:tcPr>
            <w:tcW w:w="9084" w:type="dxa"/>
            <w:gridSpan w:val="6"/>
          </w:tcPr>
          <w:p w:rsidR="00A91A38" w:rsidRPr="00A91A38" w:rsidRDefault="00A91A38" w:rsidP="00837D01">
            <w:pPr>
              <w:keepNext/>
              <w:spacing w:before="40" w:after="40" w:line="240" w:lineRule="auto"/>
              <w:ind w:left="446" w:hanging="446"/>
              <w:rPr>
                <w:rFonts w:eastAsia="PMingLiU"/>
                <w:sz w:val="20"/>
                <w:szCs w:val="20"/>
                <w:lang w:eastAsia="zh-CN"/>
              </w:rPr>
            </w:pPr>
            <w:r w:rsidRPr="00C34CCE">
              <w:rPr>
                <w:rFonts w:eastAsia="PMingLiU"/>
                <w:sz w:val="20"/>
                <w:szCs w:val="20"/>
                <w:lang w:eastAsia="zh-CN"/>
              </w:rPr>
              <w:t>(2)</w:t>
            </w:r>
            <w:r>
              <w:rPr>
                <w:rFonts w:eastAsia="PMingLiU"/>
                <w:szCs w:val="20"/>
                <w:lang w:eastAsia="zh-CN"/>
              </w:rPr>
              <w:tab/>
            </w:r>
            <w:r>
              <w:rPr>
                <w:rFonts w:eastAsia="PMingLiU"/>
                <w:sz w:val="20"/>
                <w:szCs w:val="20"/>
                <w:lang w:eastAsia="zh-CN"/>
              </w:rPr>
              <w:t>C</w:t>
            </w:r>
            <w:r w:rsidRPr="00C34CCE">
              <w:rPr>
                <w:rFonts w:eastAsia="PMingLiU"/>
                <w:sz w:val="20"/>
                <w:szCs w:val="20"/>
                <w:lang w:eastAsia="zh-CN"/>
              </w:rPr>
              <w:t>apacity included in Total Capacity to plants</w:t>
            </w:r>
          </w:p>
        </w:tc>
      </w:tr>
      <w:tr w:rsidR="00C0010A" w:rsidRPr="00E50E8B" w:rsidTr="00F54729">
        <w:tc>
          <w:tcPr>
            <w:tcW w:w="9084" w:type="dxa"/>
            <w:gridSpan w:val="6"/>
          </w:tcPr>
          <w:p w:rsidR="00C0010A" w:rsidRPr="00C34CCE" w:rsidRDefault="00C0010A" w:rsidP="00837D01">
            <w:pPr>
              <w:keepNext/>
              <w:spacing w:before="40" w:after="40" w:line="240" w:lineRule="auto"/>
              <w:ind w:left="446" w:hanging="446"/>
              <w:rPr>
                <w:rFonts w:eastAsia="PMingLiU"/>
                <w:sz w:val="20"/>
                <w:szCs w:val="20"/>
                <w:lang w:eastAsia="zh-CN"/>
              </w:rPr>
            </w:pPr>
            <w:r>
              <w:rPr>
                <w:rFonts w:eastAsia="PMingLiU"/>
                <w:sz w:val="20"/>
                <w:szCs w:val="20"/>
                <w:lang w:eastAsia="zh-CN"/>
              </w:rPr>
              <w:t>(3)</w:t>
            </w:r>
            <w:r w:rsidR="00EF4436">
              <w:tab/>
            </w:r>
            <w:r>
              <w:rPr>
                <w:rFonts w:eastAsia="PMingLiU"/>
                <w:sz w:val="20"/>
                <w:szCs w:val="20"/>
                <w:lang w:eastAsia="zh-CN"/>
              </w:rPr>
              <w:t>Withdrawal capacity is subject to recall</w:t>
            </w:r>
          </w:p>
        </w:tc>
      </w:tr>
    </w:tbl>
    <w:p w:rsidR="000947BF" w:rsidRDefault="000947BF" w:rsidP="002E5CDD">
      <w:pPr>
        <w:pStyle w:val="Heading2"/>
        <w:spacing w:before="360"/>
      </w:pPr>
      <w:bookmarkStart w:id="31" w:name="_Toc471319032"/>
      <w:r>
        <w:t>B.</w:t>
      </w:r>
      <w:r>
        <w:tab/>
        <w:t>New and Renewed Resources</w:t>
      </w:r>
      <w:bookmarkEnd w:id="31"/>
    </w:p>
    <w:p w:rsidR="00396816" w:rsidRDefault="00396816" w:rsidP="00396816">
      <w:pPr>
        <w:pStyle w:val="question"/>
      </w:pPr>
      <w:r>
        <w:t>Q.</w:t>
      </w:r>
      <w:r>
        <w:tab/>
        <w:t xml:space="preserve">Please describe changes to the gas pipeline resources that have taken place since the 2014 </w:t>
      </w:r>
      <w:proofErr w:type="spellStart"/>
      <w:r>
        <w:t>PCORC</w:t>
      </w:r>
      <w:proofErr w:type="spellEnd"/>
      <w:r>
        <w:t>.</w:t>
      </w:r>
    </w:p>
    <w:p w:rsidR="00396816" w:rsidRDefault="00396816" w:rsidP="00396816">
      <w:pPr>
        <w:pStyle w:val="answer"/>
      </w:pPr>
      <w:r>
        <w:t>A.</w:t>
      </w:r>
      <w:r>
        <w:tab/>
        <w:t xml:space="preserve">PSE </w:t>
      </w:r>
      <w:r w:rsidR="00263017">
        <w:t xml:space="preserve">has </w:t>
      </w:r>
      <w:r>
        <w:t xml:space="preserve">acquired resources since rates were set in the 2014 </w:t>
      </w:r>
      <w:proofErr w:type="spellStart"/>
      <w:r>
        <w:t>PCORC</w:t>
      </w:r>
      <w:proofErr w:type="spellEnd"/>
      <w:r w:rsidR="00263017">
        <w:t>. In general, they were related to supply at Stanfield, Plymouth Liquefied Natural Gas (</w:t>
      </w:r>
      <w:r w:rsidR="009F02BA">
        <w:t>“</w:t>
      </w:r>
      <w:r w:rsidR="00BB3737">
        <w:t>Plymouth </w:t>
      </w:r>
      <w:r w:rsidR="00263017">
        <w:t>LNG</w:t>
      </w:r>
      <w:r w:rsidR="009F02BA">
        <w:t>”</w:t>
      </w:r>
      <w:r w:rsidR="00263017">
        <w:t>), and Sumas.</w:t>
      </w:r>
    </w:p>
    <w:p w:rsidR="00263017" w:rsidRDefault="00263017" w:rsidP="00263017">
      <w:pPr>
        <w:pStyle w:val="question"/>
      </w:pPr>
      <w:r>
        <w:lastRenderedPageBreak/>
        <w:t>Q.</w:t>
      </w:r>
      <w:r>
        <w:tab/>
        <w:t>Please explain the resources related to supply at Stanfield.</w:t>
      </w:r>
    </w:p>
    <w:p w:rsidR="00CB1C91" w:rsidRPr="00CB1C91" w:rsidRDefault="00263017" w:rsidP="00CB1C91">
      <w:pPr>
        <w:pStyle w:val="answer"/>
      </w:pPr>
      <w:r>
        <w:t>A.</w:t>
      </w:r>
      <w:r>
        <w:tab/>
      </w:r>
      <w:r w:rsidR="00CB1C91" w:rsidRPr="00CB1C91">
        <w:t>PSE</w:t>
      </w:r>
      <w:r w:rsidR="009F02BA">
        <w:t>’</w:t>
      </w:r>
      <w:r w:rsidR="00CB1C91" w:rsidRPr="00CB1C91">
        <w:t>s generation portfolio currently relies on a ready supply of approximately 79,000 </w:t>
      </w:r>
      <w:proofErr w:type="spellStart"/>
      <w:r w:rsidR="00CB1C91" w:rsidRPr="00CB1C91">
        <w:t>Dth</w:t>
      </w:r>
      <w:proofErr w:type="spellEnd"/>
      <w:r w:rsidR="00CB1C91" w:rsidRPr="00CB1C91">
        <w:t>/d of gas at the Northwest Pipeline (</w:t>
      </w:r>
      <w:r w:rsidR="009F02BA">
        <w:t>“</w:t>
      </w:r>
      <w:r w:rsidR="00CB1C91" w:rsidRPr="00CB1C91">
        <w:t>NWP</w:t>
      </w:r>
      <w:r w:rsidR="009F02BA">
        <w:t>”</w:t>
      </w:r>
      <w:r w:rsidR="00CB1C91" w:rsidRPr="00CB1C91">
        <w:t>) Stanfield interconnect with TransCanada</w:t>
      </w:r>
      <w:r w:rsidR="009F02BA">
        <w:t>’</w:t>
      </w:r>
      <w:r w:rsidR="00CB1C91" w:rsidRPr="00CB1C91">
        <w:t>s Gas Transmission Northwest (</w:t>
      </w:r>
      <w:r w:rsidR="009F02BA">
        <w:t>“</w:t>
      </w:r>
      <w:proofErr w:type="spellStart"/>
      <w:r w:rsidR="00CB1C91" w:rsidRPr="00CB1C91">
        <w:t>GTN</w:t>
      </w:r>
      <w:proofErr w:type="spellEnd"/>
      <w:r w:rsidR="009F02BA">
        <w:t>”</w:t>
      </w:r>
      <w:r w:rsidR="00CB1C91" w:rsidRPr="00CB1C91">
        <w:t xml:space="preserve">). The </w:t>
      </w:r>
      <w:proofErr w:type="spellStart"/>
      <w:r w:rsidR="00CB1C91" w:rsidRPr="00CB1C91">
        <w:t>GTN</w:t>
      </w:r>
      <w:proofErr w:type="spellEnd"/>
      <w:r w:rsidR="00CB1C91" w:rsidRPr="00CB1C91">
        <w:t xml:space="preserve"> system accesses gas from Alberta via TransCanada</w:t>
      </w:r>
      <w:r w:rsidR="009F02BA">
        <w:t>’</w:t>
      </w:r>
      <w:r w:rsidR="00CB1C91" w:rsidRPr="00CB1C91">
        <w:t>s Foothills Pipeline (</w:t>
      </w:r>
      <w:r w:rsidR="009F02BA">
        <w:t>“</w:t>
      </w:r>
      <w:r w:rsidR="00CB1C91" w:rsidRPr="00CB1C91">
        <w:t>Foothills Pipeline</w:t>
      </w:r>
      <w:r w:rsidR="009F02BA">
        <w:t>”</w:t>
      </w:r>
      <w:r w:rsidR="00CB1C91" w:rsidRPr="00CB1C91">
        <w:t>) and Nova Gas Transmission, Ltd. (</w:t>
      </w:r>
      <w:r w:rsidR="009F02BA">
        <w:t>“</w:t>
      </w:r>
      <w:proofErr w:type="spellStart"/>
      <w:r w:rsidR="00CB1C91" w:rsidRPr="00CB1C91">
        <w:t>NGTL</w:t>
      </w:r>
      <w:proofErr w:type="spellEnd"/>
      <w:r w:rsidR="009F02BA">
        <w:t>”</w:t>
      </w:r>
      <w:r w:rsidR="00CB1C91" w:rsidRPr="00CB1C91">
        <w:t xml:space="preserve">) systems. PSE has become concerned about the availability of uncommitted supply at Stanfield and the potential for significant price differentials between abundant supplies at the upstream </w:t>
      </w:r>
      <w:proofErr w:type="spellStart"/>
      <w:r w:rsidR="00CB1C91" w:rsidRPr="00CB1C91">
        <w:t>NGTL</w:t>
      </w:r>
      <w:proofErr w:type="spellEnd"/>
      <w:r w:rsidR="00CB1C91" w:rsidRPr="00CB1C91">
        <w:t xml:space="preserve"> trading hub, (known as NIT or </w:t>
      </w:r>
      <w:proofErr w:type="spellStart"/>
      <w:r w:rsidR="00CB1C91" w:rsidRPr="00CB1C91">
        <w:t>AECO</w:t>
      </w:r>
      <w:proofErr w:type="spellEnd"/>
      <w:r w:rsidR="00CB1C91" w:rsidRPr="00CB1C91">
        <w:t xml:space="preserve">-C), and Stanfield, due to declining capability of </w:t>
      </w:r>
      <w:proofErr w:type="spellStart"/>
      <w:r w:rsidR="00CB1C91" w:rsidRPr="00CB1C91">
        <w:t>NGTL</w:t>
      </w:r>
      <w:proofErr w:type="spellEnd"/>
      <w:r w:rsidR="00CB1C91" w:rsidRPr="00CB1C91">
        <w:t xml:space="preserve"> to flow gas to the Foothills Pipeline system. Consistent with PSE</w:t>
      </w:r>
      <w:r w:rsidR="009F02BA">
        <w:t>’</w:t>
      </w:r>
      <w:r w:rsidR="00CB1C91" w:rsidRPr="00CB1C91">
        <w:t>s strategy of holding 50% of upstream capacity from the Stanfield and Sumas hubs</w:t>
      </w:r>
      <w:r w:rsidR="00F213FB">
        <w:t>, PSE acquired these contracts</w:t>
      </w:r>
      <w:r w:rsidR="00CB1C91" w:rsidRPr="00CB1C91">
        <w:t xml:space="preserve">: </w:t>
      </w:r>
    </w:p>
    <w:p w:rsidR="00CB1C91" w:rsidRDefault="00CB1C91" w:rsidP="00BB3737">
      <w:pPr>
        <w:pStyle w:val="answer"/>
        <w:numPr>
          <w:ilvl w:val="0"/>
          <w:numId w:val="42"/>
        </w:numPr>
        <w:spacing w:after="280" w:line="240" w:lineRule="auto"/>
        <w:ind w:left="2160" w:right="720" w:hanging="720"/>
      </w:pPr>
      <w:r w:rsidRPr="00CB1C91">
        <w:t xml:space="preserve">37,913 </w:t>
      </w:r>
      <w:proofErr w:type="spellStart"/>
      <w:r w:rsidRPr="00CB1C91">
        <w:t>Dth</w:t>
      </w:r>
      <w:proofErr w:type="spellEnd"/>
      <w:r w:rsidRPr="00CB1C91">
        <w:t xml:space="preserve"> per day with </w:t>
      </w:r>
      <w:proofErr w:type="spellStart"/>
      <w:r w:rsidRPr="00CB1C91">
        <w:t>NGTL</w:t>
      </w:r>
      <w:proofErr w:type="spellEnd"/>
      <w:r w:rsidRPr="00CB1C91">
        <w:t xml:space="preserve"> from NIT to the Alberta</w:t>
      </w:r>
      <w:r w:rsidR="00C364A1">
        <w:t>-</w:t>
      </w:r>
      <w:r w:rsidRPr="00CB1C91">
        <w:t xml:space="preserve"> British Columbia border effective December 1, 20</w:t>
      </w:r>
      <w:r w:rsidR="00BB3737">
        <w:t>15;</w:t>
      </w:r>
    </w:p>
    <w:p w:rsidR="00D16B47" w:rsidRPr="00CB1C91" w:rsidRDefault="00D16B47" w:rsidP="00BB3737">
      <w:pPr>
        <w:pStyle w:val="answer"/>
        <w:numPr>
          <w:ilvl w:val="0"/>
          <w:numId w:val="42"/>
        </w:numPr>
        <w:spacing w:after="280" w:line="240" w:lineRule="auto"/>
        <w:ind w:left="2160" w:right="720" w:hanging="720"/>
      </w:pPr>
      <w:r w:rsidRPr="00CB1C91">
        <w:t>3,</w:t>
      </w:r>
      <w:r>
        <w:t>507</w:t>
      </w:r>
      <w:r w:rsidRPr="00CB1C91">
        <w:t xml:space="preserve"> </w:t>
      </w:r>
      <w:proofErr w:type="spellStart"/>
      <w:r w:rsidRPr="00CB1C91">
        <w:t>Dth</w:t>
      </w:r>
      <w:proofErr w:type="spellEnd"/>
      <w:r w:rsidRPr="00CB1C91">
        <w:t xml:space="preserve"> per day with </w:t>
      </w:r>
      <w:proofErr w:type="spellStart"/>
      <w:r w:rsidRPr="00CB1C91">
        <w:t>NGTL</w:t>
      </w:r>
      <w:proofErr w:type="spellEnd"/>
      <w:r w:rsidRPr="00CB1C91">
        <w:t xml:space="preserve"> from NIT to the Alberta</w:t>
      </w:r>
      <w:r w:rsidR="00C364A1">
        <w:t>-</w:t>
      </w:r>
      <w:r w:rsidRPr="00CB1C91">
        <w:t xml:space="preserve"> British Columbia border effective </w:t>
      </w:r>
      <w:r>
        <w:t>January 1</w:t>
      </w:r>
      <w:r w:rsidRPr="00CB1C91">
        <w:t>, 201</w:t>
      </w:r>
      <w:r>
        <w:t>6</w:t>
      </w:r>
      <w:r w:rsidR="00BB3737">
        <w:t>;</w:t>
      </w:r>
    </w:p>
    <w:p w:rsidR="00CB1C91" w:rsidRPr="00CB1C91" w:rsidRDefault="00CB1C91" w:rsidP="00BB3737">
      <w:pPr>
        <w:pStyle w:val="answer"/>
        <w:numPr>
          <w:ilvl w:val="0"/>
          <w:numId w:val="42"/>
        </w:numPr>
        <w:spacing w:after="280" w:line="240" w:lineRule="auto"/>
        <w:ind w:left="2160" w:right="720" w:hanging="720"/>
      </w:pPr>
      <w:r w:rsidRPr="00CB1C91">
        <w:t xml:space="preserve">40,946 </w:t>
      </w:r>
      <w:proofErr w:type="spellStart"/>
      <w:r w:rsidRPr="00CB1C91">
        <w:t>Dth</w:t>
      </w:r>
      <w:proofErr w:type="spellEnd"/>
      <w:r w:rsidRPr="00CB1C91">
        <w:t xml:space="preserve"> per day with Foothills Pipeline from </w:t>
      </w:r>
      <w:r w:rsidR="00C364A1">
        <w:t xml:space="preserve">the Alberta-British Columbia border </w:t>
      </w:r>
      <w:r w:rsidRPr="00CB1C91">
        <w:t>to Kingsgate effective December 1, 2015;</w:t>
      </w:r>
      <w:r w:rsidR="00BB3737">
        <w:t xml:space="preserve"> and</w:t>
      </w:r>
    </w:p>
    <w:p w:rsidR="00CB1C91" w:rsidRPr="00CB1C91" w:rsidRDefault="00CB1C91" w:rsidP="00BB3737">
      <w:pPr>
        <w:pStyle w:val="answer"/>
        <w:numPr>
          <w:ilvl w:val="0"/>
          <w:numId w:val="42"/>
        </w:numPr>
        <w:spacing w:after="280" w:line="240" w:lineRule="auto"/>
        <w:ind w:left="2160" w:right="720" w:hanging="720"/>
      </w:pPr>
      <w:r w:rsidRPr="00CB1C91">
        <w:t xml:space="preserve">40,567 </w:t>
      </w:r>
      <w:proofErr w:type="spellStart"/>
      <w:r w:rsidRPr="00CB1C91">
        <w:t>Dth</w:t>
      </w:r>
      <w:proofErr w:type="spellEnd"/>
      <w:r w:rsidRPr="00CB1C91">
        <w:t xml:space="preserve"> per day with </w:t>
      </w:r>
      <w:proofErr w:type="spellStart"/>
      <w:r w:rsidRPr="00CB1C91">
        <w:t>GTN</w:t>
      </w:r>
      <w:proofErr w:type="spellEnd"/>
      <w:r w:rsidRPr="00CB1C91">
        <w:t xml:space="preserve"> from Kingsgate to Stanfield effective November 1, 2015.</w:t>
      </w:r>
    </w:p>
    <w:p w:rsidR="00263017" w:rsidRDefault="00263017" w:rsidP="00CB1C91">
      <w:pPr>
        <w:pStyle w:val="question"/>
      </w:pPr>
      <w:r>
        <w:t>Q.</w:t>
      </w:r>
      <w:r>
        <w:tab/>
      </w:r>
      <w:r w:rsidR="00CB1C91">
        <w:t>Please explain the resources related to Plymouth</w:t>
      </w:r>
      <w:r w:rsidR="00BB3737">
        <w:t> LNG</w:t>
      </w:r>
      <w:r>
        <w:t>.</w:t>
      </w:r>
    </w:p>
    <w:p w:rsidR="00CB1C91" w:rsidRPr="00CB1C91" w:rsidRDefault="00263017" w:rsidP="00CB1C91">
      <w:pPr>
        <w:pStyle w:val="answer"/>
      </w:pPr>
      <w:r>
        <w:t>A.</w:t>
      </w:r>
      <w:r>
        <w:tab/>
      </w:r>
      <w:r w:rsidR="00CB1C91" w:rsidRPr="00CB1C91">
        <w:t>In 2014 PSE determined that the secondary firm pipeline capacity related to PSE</w:t>
      </w:r>
      <w:r w:rsidR="009F02BA">
        <w:t>’</w:t>
      </w:r>
      <w:r w:rsidR="00CB1C91" w:rsidRPr="00CB1C91">
        <w:t>s Plymouth</w:t>
      </w:r>
      <w:r w:rsidR="00BB3737">
        <w:t> </w:t>
      </w:r>
      <w:r w:rsidR="00CB1C91" w:rsidRPr="00CB1C91">
        <w:t>LNG</w:t>
      </w:r>
      <w:r w:rsidR="00BB3737">
        <w:t xml:space="preserve"> </w:t>
      </w:r>
      <w:r w:rsidR="00CB1C91" w:rsidRPr="00CB1C91">
        <w:t>storage service contract was no longer a reliable form of service</w:t>
      </w:r>
      <w:r w:rsidR="00D21512">
        <w:t xml:space="preserve"> during the coldest times of year</w:t>
      </w:r>
      <w:r w:rsidR="00CB1C91" w:rsidRPr="00CB1C91">
        <w:t>. Northwest Pipeline</w:t>
      </w:r>
      <w:r w:rsidR="00D21512">
        <w:t xml:space="preserve"> confirmed that there </w:t>
      </w:r>
      <w:r w:rsidR="00D21512">
        <w:lastRenderedPageBreak/>
        <w:t>had been changes to flow patterns that affected the reliability of this secondary firm service</w:t>
      </w:r>
      <w:r w:rsidR="00CB1C91" w:rsidRPr="00CB1C91">
        <w:t>. As a result PSE gave notice of termination of the Plymouth</w:t>
      </w:r>
      <w:r w:rsidR="00BB3737">
        <w:t> </w:t>
      </w:r>
      <w:r w:rsidR="00CB1C91" w:rsidRPr="00CB1C91">
        <w:t>LNG contract effective October</w:t>
      </w:r>
      <w:r w:rsidR="00BB3737">
        <w:t> </w:t>
      </w:r>
      <w:r w:rsidR="00CB1C91" w:rsidRPr="00CB1C91">
        <w:t>31, 2015.</w:t>
      </w:r>
    </w:p>
    <w:p w:rsidR="00CB1C91" w:rsidRPr="00CB1C91" w:rsidRDefault="00CB1C91" w:rsidP="00CB1C91">
      <w:pPr>
        <w:pStyle w:val="answer"/>
        <w:ind w:firstLine="0"/>
      </w:pPr>
      <w:r w:rsidRPr="00CB1C91">
        <w:t>Subsequently, NWP worked with PSE to create a package that included a Plymouth</w:t>
      </w:r>
      <w:r w:rsidR="00BB3737">
        <w:t> </w:t>
      </w:r>
      <w:r w:rsidRPr="00CB1C91">
        <w:t>LNG contract and winter-only firm transportation capacity that would firm up a portion of PSE</w:t>
      </w:r>
      <w:r w:rsidR="009F02BA">
        <w:t>’</w:t>
      </w:r>
      <w:r w:rsidRPr="00CB1C91">
        <w:t>s simple-cycle combustion turbine fleet. PSE re-acquired the Plymouth</w:t>
      </w:r>
      <w:r w:rsidR="00BB3737">
        <w:t> </w:t>
      </w:r>
      <w:r w:rsidRPr="00CB1C91">
        <w:t>LNG storage capacity as part of the package of resources from NWP and third parties arranged by NWP. This package of resources was for the benefit of the PSE power generation portfolio and resulted in a cost</w:t>
      </w:r>
      <w:r w:rsidR="00B25317">
        <w:t xml:space="preserve"> </w:t>
      </w:r>
      <w:r w:rsidRPr="00CB1C91">
        <w:t>savings relative to alternative resources. These transactions provide PSE with pipeline and storage resources at less than 40</w:t>
      </w:r>
      <w:r w:rsidR="00BB3737">
        <w:t> </w:t>
      </w:r>
      <w:r w:rsidRPr="00CB1C91">
        <w:t>percent of the cost of conventional year-round pipeline capacity and less than the expected cost of future expansion capacity.</w:t>
      </w:r>
    </w:p>
    <w:p w:rsidR="00CB1C91" w:rsidRPr="00CB1C91" w:rsidRDefault="00CB1C91" w:rsidP="00CB1C91">
      <w:pPr>
        <w:pStyle w:val="answer"/>
        <w:ind w:firstLine="0"/>
      </w:pPr>
      <w:r w:rsidRPr="00CB1C91">
        <w:t>The package included the following transactions related to Plymouth</w:t>
      </w:r>
      <w:r w:rsidR="00BB3737">
        <w:t> </w:t>
      </w:r>
      <w:r w:rsidRPr="00CB1C91">
        <w:t xml:space="preserve">LNG: </w:t>
      </w:r>
    </w:p>
    <w:p w:rsidR="00CB1C91" w:rsidRPr="00CB1C91" w:rsidRDefault="00CB1C91" w:rsidP="00BB3737">
      <w:pPr>
        <w:pStyle w:val="answer"/>
        <w:numPr>
          <w:ilvl w:val="0"/>
          <w:numId w:val="43"/>
        </w:numPr>
        <w:spacing w:after="280" w:line="240" w:lineRule="auto"/>
        <w:ind w:left="2160" w:right="720" w:hanging="720"/>
      </w:pPr>
      <w:r w:rsidRPr="00CB1C91">
        <w:t>Plymouth</w:t>
      </w:r>
      <w:r w:rsidR="00BB3737">
        <w:t> </w:t>
      </w:r>
      <w:r w:rsidRPr="00CB1C91">
        <w:t>LNG storage with Northwest</w:t>
      </w:r>
      <w:r w:rsidR="00BB3737">
        <w:t xml:space="preserve"> </w:t>
      </w:r>
      <w:r w:rsidRPr="00CB1C91">
        <w:t>Pipeline that provides 70,500</w:t>
      </w:r>
      <w:r w:rsidR="00BB3737">
        <w:t> </w:t>
      </w:r>
      <w:proofErr w:type="spellStart"/>
      <w:r w:rsidRPr="00CB1C91">
        <w:t>Dth</w:t>
      </w:r>
      <w:proofErr w:type="spellEnd"/>
      <w:r w:rsidRPr="00CB1C91">
        <w:t xml:space="preserve"> per day demand and 241,700</w:t>
      </w:r>
      <w:r w:rsidR="00BB3737">
        <w:t> </w:t>
      </w:r>
      <w:proofErr w:type="spellStart"/>
      <w:r w:rsidRPr="00CB1C91">
        <w:t>Dth</w:t>
      </w:r>
      <w:proofErr w:type="spellEnd"/>
      <w:r w:rsidRPr="00CB1C91">
        <w:t xml:space="preserve"> storage capacity effective November</w:t>
      </w:r>
      <w:r w:rsidR="00BB3737">
        <w:t> </w:t>
      </w:r>
      <w:r w:rsidRPr="00CB1C91">
        <w:t xml:space="preserve">1, 2015; </w:t>
      </w:r>
    </w:p>
    <w:p w:rsidR="00CB1C91" w:rsidRPr="00CB1C91" w:rsidRDefault="00CB1C91" w:rsidP="00BB3737">
      <w:pPr>
        <w:pStyle w:val="answer"/>
        <w:numPr>
          <w:ilvl w:val="0"/>
          <w:numId w:val="43"/>
        </w:numPr>
        <w:spacing w:after="280" w:line="240" w:lineRule="auto"/>
        <w:ind w:left="2160" w:right="720" w:hanging="720"/>
      </w:pPr>
      <w:r w:rsidRPr="00CB1C91">
        <w:t>34,197</w:t>
      </w:r>
      <w:r w:rsidR="00BB3737">
        <w:t> </w:t>
      </w:r>
      <w:proofErr w:type="spellStart"/>
      <w:r w:rsidRPr="00CB1C91">
        <w:t>Dth</w:t>
      </w:r>
      <w:proofErr w:type="spellEnd"/>
      <w:r w:rsidRPr="00CB1C91">
        <w:t xml:space="preserve"> per day winter only with Northwest Pipeline from Jackson Prairie to Longview and Sedro-Woolley effective November</w:t>
      </w:r>
      <w:r w:rsidR="00BB3737">
        <w:t> </w:t>
      </w:r>
      <w:r w:rsidRPr="00CB1C91">
        <w:t>1, 2015;</w:t>
      </w:r>
      <w:r w:rsidR="00BB3737">
        <w:t xml:space="preserve"> and</w:t>
      </w:r>
    </w:p>
    <w:p w:rsidR="00CB1C91" w:rsidRPr="00CB1C91" w:rsidRDefault="00CB1C91" w:rsidP="00BB3737">
      <w:pPr>
        <w:pStyle w:val="answer"/>
        <w:numPr>
          <w:ilvl w:val="0"/>
          <w:numId w:val="43"/>
        </w:numPr>
        <w:spacing w:after="280" w:line="240" w:lineRule="auto"/>
        <w:ind w:left="2160" w:right="720" w:hanging="720"/>
      </w:pPr>
      <w:r w:rsidRPr="00CB1C91">
        <w:t>15,000</w:t>
      </w:r>
      <w:r w:rsidR="00BB3737">
        <w:t> </w:t>
      </w:r>
      <w:proofErr w:type="spellStart"/>
      <w:r w:rsidRPr="00CB1C91">
        <w:t>Dth</w:t>
      </w:r>
      <w:proofErr w:type="spellEnd"/>
      <w:r w:rsidRPr="00CB1C91">
        <w:t xml:space="preserve"> per day with Northwest Pipeline from Plymouth to Sedro-Woolley, with segmentation at Jackson Prairie, effective November</w:t>
      </w:r>
      <w:r w:rsidR="00BB3737">
        <w:t> </w:t>
      </w:r>
      <w:r w:rsidRPr="00CB1C91">
        <w:t>1, 2015.</w:t>
      </w:r>
    </w:p>
    <w:p w:rsidR="00263017" w:rsidRDefault="00263017" w:rsidP="00263017">
      <w:pPr>
        <w:pStyle w:val="question"/>
      </w:pPr>
      <w:r>
        <w:t>Q.</w:t>
      </w:r>
      <w:r>
        <w:tab/>
      </w:r>
      <w:r w:rsidR="00CB1C91">
        <w:t>Please explain the resources related to supply at Sumas.</w:t>
      </w:r>
    </w:p>
    <w:p w:rsidR="00CB1C91" w:rsidRPr="00CB1C91" w:rsidRDefault="00263017" w:rsidP="00CB1C91">
      <w:pPr>
        <w:pStyle w:val="answer"/>
      </w:pPr>
      <w:r>
        <w:t>A.</w:t>
      </w:r>
      <w:r>
        <w:tab/>
      </w:r>
      <w:r w:rsidR="00CB1C91" w:rsidRPr="00CB1C91">
        <w:t>In late summer 2015, PSE was approached by another shipper that had determined it no longer required its 30,000</w:t>
      </w:r>
      <w:r w:rsidR="00BB3737">
        <w:t> </w:t>
      </w:r>
      <w:proofErr w:type="spellStart"/>
      <w:r w:rsidR="00CB1C91" w:rsidRPr="00CB1C91">
        <w:t>Dth</w:t>
      </w:r>
      <w:proofErr w:type="spellEnd"/>
      <w:r w:rsidR="00C364A1">
        <w:t xml:space="preserve"> per day</w:t>
      </w:r>
      <w:r w:rsidR="00CB1C91" w:rsidRPr="00CB1C91">
        <w:t xml:space="preserve"> of firm pipeline capacity </w:t>
      </w:r>
      <w:r w:rsidR="00CB1C91" w:rsidRPr="00CB1C91">
        <w:lastRenderedPageBreak/>
        <w:t>on NWP from Sumas to a location just north of a major constraint point on Northwest Pipeline</w:t>
      </w:r>
      <w:r w:rsidR="009F02BA">
        <w:t>’</w:t>
      </w:r>
      <w:r w:rsidR="00CB1C91" w:rsidRPr="00CB1C91">
        <w:t>s system near Chehalis, Washington. The shipper was prepared to discount the price of the capacity if PSE would take over the contract in October 2015 for its remaining term through September 2018.</w:t>
      </w:r>
    </w:p>
    <w:p w:rsidR="00263017" w:rsidRDefault="00CB1C91" w:rsidP="003B113C">
      <w:pPr>
        <w:pStyle w:val="answer"/>
        <w:ind w:firstLine="0"/>
      </w:pPr>
      <w:r w:rsidRPr="00CB1C91">
        <w:t>PSE pursued negotiations with NWP about acquiring this capacity. As a result of these negotiations PSE acquired 20,000</w:t>
      </w:r>
      <w:r w:rsidR="00BB3737">
        <w:t> </w:t>
      </w:r>
      <w:proofErr w:type="spellStart"/>
      <w:r w:rsidRPr="00CB1C91">
        <w:t>Dth</w:t>
      </w:r>
      <w:proofErr w:type="spellEnd"/>
      <w:r w:rsidR="00C364A1">
        <w:t xml:space="preserve"> per day</w:t>
      </w:r>
      <w:r w:rsidRPr="00CB1C91">
        <w:t xml:space="preserve"> from Sumas to Jackson Prairie for the term of October 1, 2015, through October</w:t>
      </w:r>
      <w:r w:rsidR="00BB3737">
        <w:t> </w:t>
      </w:r>
      <w:r w:rsidRPr="00CB1C91">
        <w:t>31, 2033, at a rate of approximately 35% of the current tariff rate until September</w:t>
      </w:r>
      <w:r w:rsidR="00BB3737">
        <w:t> </w:t>
      </w:r>
      <w:r w:rsidRPr="00CB1C91">
        <w:t>30, 2018. This capacity provides additional firm capacity to the generation fleet that will allow additional Sumas-sourced gas to flow to any of PSE</w:t>
      </w:r>
      <w:r w:rsidR="009F02BA">
        <w:t>’</w:t>
      </w:r>
      <w:r w:rsidRPr="00CB1C91">
        <w:t xml:space="preserve">s simple-cycle combustion turbine units on Northwest Pipeline and, under most conditions, to Mint Farm along with guaranteed access </w:t>
      </w:r>
      <w:r w:rsidR="00C0010A">
        <w:t xml:space="preserve">(through the major constraint point) </w:t>
      </w:r>
      <w:r w:rsidRPr="00CB1C91">
        <w:t>for injection into Jackson Prairie in all cases. The capacity supplements the entire portfolio by increasing the total firm fuel reliability of PSE</w:t>
      </w:r>
      <w:r w:rsidR="009F02BA">
        <w:t>’</w:t>
      </w:r>
      <w:r w:rsidRPr="00CB1C91">
        <w:t>s simple-cycle combustion turbine units on the Northwest Pipeline.</w:t>
      </w:r>
    </w:p>
    <w:p w:rsidR="00113899" w:rsidRDefault="004A18FC" w:rsidP="003245C7">
      <w:pPr>
        <w:pStyle w:val="question"/>
      </w:pPr>
      <w:r>
        <w:t>Q.</w:t>
      </w:r>
      <w:r>
        <w:tab/>
        <w:t xml:space="preserve">Has PSE </w:t>
      </w:r>
      <w:r w:rsidR="0047745F">
        <w:t xml:space="preserve">renewed </w:t>
      </w:r>
      <w:r w:rsidR="00113899" w:rsidRPr="0047745F">
        <w:t xml:space="preserve">any storage </w:t>
      </w:r>
      <w:r w:rsidR="0047745F" w:rsidRPr="0047745F">
        <w:t>agreement</w:t>
      </w:r>
      <w:r w:rsidR="0047745F">
        <w:t>s</w:t>
      </w:r>
      <w:r w:rsidR="00113899">
        <w:t>?</w:t>
      </w:r>
    </w:p>
    <w:p w:rsidR="003245C7" w:rsidRDefault="003245C7" w:rsidP="003245C7">
      <w:pPr>
        <w:pStyle w:val="answer"/>
      </w:pPr>
      <w:r>
        <w:t>A.</w:t>
      </w:r>
      <w:r>
        <w:tab/>
        <w:t>Yes. PSE</w:t>
      </w:r>
      <w:r w:rsidR="009F02BA">
        <w:t>’</w:t>
      </w:r>
      <w:r w:rsidR="00D753E2">
        <w:t>s</w:t>
      </w:r>
      <w:r>
        <w:t xml:space="preserve"> p</w:t>
      </w:r>
      <w:r w:rsidR="00113899">
        <w:t>ower book contracts for the use of some of PSE</w:t>
      </w:r>
      <w:r w:rsidR="009F02BA">
        <w:t>’</w:t>
      </w:r>
      <w:r w:rsidR="00113899">
        <w:t>s firm capacity in the Jackson Prairie Stor</w:t>
      </w:r>
      <w:r>
        <w:t xml:space="preserve">age Project from the gas book. </w:t>
      </w:r>
      <w:r w:rsidR="00113899">
        <w:t xml:space="preserve">The </w:t>
      </w:r>
      <w:r w:rsidR="004A18FC">
        <w:t xml:space="preserve">current </w:t>
      </w:r>
      <w:r w:rsidR="00113899">
        <w:t xml:space="preserve">internal </w:t>
      </w:r>
      <w:r w:rsidR="009F02BA">
        <w:t>“</w:t>
      </w:r>
      <w:r w:rsidR="00113899">
        <w:t>inter-book</w:t>
      </w:r>
      <w:r w:rsidR="009F02BA">
        <w:t>”</w:t>
      </w:r>
      <w:r w:rsidR="00113899">
        <w:t xml:space="preserve"> contract became effective </w:t>
      </w:r>
      <w:r w:rsidR="003B113C">
        <w:t>on April 1</w:t>
      </w:r>
      <w:r>
        <w:t>, 2016. PSE</w:t>
      </w:r>
      <w:r w:rsidR="009F02BA">
        <w:t>’</w:t>
      </w:r>
      <w:r>
        <w:t xml:space="preserve">s </w:t>
      </w:r>
      <w:r w:rsidR="00113899">
        <w:t xml:space="preserve">gas book determined that </w:t>
      </w:r>
      <w:r>
        <w:t xml:space="preserve">it </w:t>
      </w:r>
      <w:r w:rsidR="00F57379">
        <w:t>was</w:t>
      </w:r>
      <w:r>
        <w:t xml:space="preserve"> able to implement </w:t>
      </w:r>
      <w:r w:rsidR="00F57379">
        <w:t>the</w:t>
      </w:r>
      <w:r>
        <w:t xml:space="preserve"> new inter-book storage contract on substantially similar conditions and at the same cost as the </w:t>
      </w:r>
      <w:r w:rsidR="00F57379">
        <w:t>prior</w:t>
      </w:r>
      <w:r>
        <w:t xml:space="preserve"> agreement, </w:t>
      </w:r>
      <w:r w:rsidR="00F57379">
        <w:t xml:space="preserve">which expired on </w:t>
      </w:r>
      <w:r>
        <w:t>March 31, 201</w:t>
      </w:r>
      <w:r w:rsidR="00F57379">
        <w:t>6</w:t>
      </w:r>
      <w:r>
        <w:t xml:space="preserve">, </w:t>
      </w:r>
      <w:r w:rsidR="00113899">
        <w:t>as a result of</w:t>
      </w:r>
      <w:r w:rsidR="00C364A1">
        <w:t>:</w:t>
      </w:r>
      <w:r w:rsidR="00113899">
        <w:t xml:space="preserve"> </w:t>
      </w:r>
    </w:p>
    <w:p w:rsidR="003245C7" w:rsidRDefault="003245C7" w:rsidP="003245C7">
      <w:pPr>
        <w:pStyle w:val="List"/>
      </w:pPr>
      <w:r>
        <w:lastRenderedPageBreak/>
        <w:t>(i)</w:t>
      </w:r>
      <w:r>
        <w:tab/>
      </w:r>
      <w:r w:rsidR="00113899">
        <w:t>the decline in forecast design peak-day requirements for future years;</w:t>
      </w:r>
    </w:p>
    <w:p w:rsidR="003245C7" w:rsidRDefault="003245C7" w:rsidP="003245C7">
      <w:pPr>
        <w:pStyle w:val="List"/>
      </w:pPr>
      <w:r>
        <w:t>(ii)</w:t>
      </w:r>
      <w:r>
        <w:tab/>
      </w:r>
      <w:r w:rsidR="00113899">
        <w:t>the successful renewal of certain firm transportation agreements; and</w:t>
      </w:r>
    </w:p>
    <w:p w:rsidR="00113899" w:rsidRDefault="003245C7" w:rsidP="003245C7">
      <w:pPr>
        <w:pStyle w:val="List"/>
      </w:pPr>
      <w:r>
        <w:t>(iii)</w:t>
      </w:r>
      <w:r>
        <w:tab/>
      </w:r>
      <w:r w:rsidR="00113899">
        <w:t xml:space="preserve">the recent acquisition of 10,000 </w:t>
      </w:r>
      <w:proofErr w:type="spellStart"/>
      <w:r w:rsidR="00113899">
        <w:t>Dth</w:t>
      </w:r>
      <w:proofErr w:type="spellEnd"/>
      <w:r w:rsidR="00C364A1">
        <w:t xml:space="preserve"> per day</w:t>
      </w:r>
      <w:r>
        <w:t xml:space="preserve"> of new firm pipeline capacity.</w:t>
      </w:r>
    </w:p>
    <w:p w:rsidR="00113899" w:rsidRDefault="00113899" w:rsidP="00113899">
      <w:pPr>
        <w:pStyle w:val="NestedAnswer"/>
      </w:pPr>
      <w:r>
        <w:t xml:space="preserve">Under the inter-book storage agreement the power book has firm, uninterrupted access to 500,000 </w:t>
      </w:r>
      <w:proofErr w:type="spellStart"/>
      <w:r>
        <w:t>Dth</w:t>
      </w:r>
      <w:proofErr w:type="spellEnd"/>
      <w:r>
        <w:t xml:space="preserve"> of storage capacity for use as </w:t>
      </w:r>
      <w:r w:rsidR="003245C7">
        <w:t>(i</w:t>
      </w:r>
      <w:r>
        <w:t>)</w:t>
      </w:r>
      <w:r w:rsidR="003245C7">
        <w:t> </w:t>
      </w:r>
      <w:r>
        <w:t xml:space="preserve">incremental supply (when used with incremental transportation capacity); </w:t>
      </w:r>
      <w:r w:rsidR="003245C7">
        <w:t>(ii) </w:t>
      </w:r>
      <w:r>
        <w:t xml:space="preserve">supply for mid-day dispatch; </w:t>
      </w:r>
      <w:r w:rsidR="00F57379">
        <w:t>(iii) a balancing account for surplus gas supply</w:t>
      </w:r>
      <w:r w:rsidR="00C364A1">
        <w:t>;</w:t>
      </w:r>
      <w:r w:rsidR="00F57379">
        <w:t xml:space="preserve"> </w:t>
      </w:r>
      <w:r>
        <w:t xml:space="preserve">and </w:t>
      </w:r>
      <w:r w:rsidR="003245C7">
        <w:t>(i</w:t>
      </w:r>
      <w:r w:rsidR="00F57379">
        <w:t>v</w:t>
      </w:r>
      <w:r w:rsidR="003245C7">
        <w:t xml:space="preserve">) a price mitigation tool. </w:t>
      </w:r>
      <w:r>
        <w:t>The generation portfolio also has use of firm withdrawal and injection rights of up to 50,000</w:t>
      </w:r>
      <w:r w:rsidR="003245C7">
        <w:t> </w:t>
      </w:r>
      <w:proofErr w:type="spellStart"/>
      <w:r>
        <w:t>Dth</w:t>
      </w:r>
      <w:proofErr w:type="spellEnd"/>
      <w:r w:rsidR="00C364A1">
        <w:t xml:space="preserve"> per day</w:t>
      </w:r>
      <w:r w:rsidR="003245C7">
        <w:t>,</w:t>
      </w:r>
      <w:r>
        <w:t xml:space="preserve"> except when withdrawal rights ma</w:t>
      </w:r>
      <w:r w:rsidR="003245C7">
        <w:t xml:space="preserve">y be recalled by the gas book. </w:t>
      </w:r>
      <w:r>
        <w:t xml:space="preserve">The inter-book storage agreement specifies that the gas book can recall the firm withdrawal rights for a brief period each winter in order to ensure that the gas book can serve the design peak </w:t>
      </w:r>
      <w:r w:rsidR="003245C7">
        <w:t xml:space="preserve">requirements of gas customers. </w:t>
      </w:r>
      <w:r>
        <w:t>However, the power book is allowed to utilize a portion of best efforts withdrawal rights available to PSE on the days of recall.</w:t>
      </w:r>
      <w:r w:rsidR="003245C7">
        <w:t xml:space="preserve"> </w:t>
      </w:r>
      <w:r>
        <w:t>The gas book does not have access to the inventory held in Jackson Prairie by the power book.</w:t>
      </w:r>
    </w:p>
    <w:p w:rsidR="00113899" w:rsidRDefault="00113899" w:rsidP="003245C7">
      <w:pPr>
        <w:pStyle w:val="question"/>
      </w:pPr>
      <w:r>
        <w:t>Q.</w:t>
      </w:r>
      <w:r>
        <w:tab/>
      </w:r>
      <w:r w:rsidR="00D84385" w:rsidRPr="00D84385">
        <w:t>How did PSE treat costs related to gas storage contracts in the rate year revenue requirement?</w:t>
      </w:r>
    </w:p>
    <w:p w:rsidR="00D84385" w:rsidRPr="00D84385" w:rsidRDefault="00113899" w:rsidP="00D84385">
      <w:pPr>
        <w:pStyle w:val="answer"/>
      </w:pPr>
      <w:r>
        <w:t>A.</w:t>
      </w:r>
      <w:r>
        <w:tab/>
      </w:r>
      <w:r w:rsidR="00D84385" w:rsidRPr="00D84385">
        <w:t xml:space="preserve">PSE has three contracts related to gas storage that are used for the electric generating units. These include a contract with NWP for storage at Jackson Prairie, a contract with NWP for LNG storage at Plymouth, and a contract with </w:t>
      </w:r>
      <w:r w:rsidR="00D84385" w:rsidRPr="00D84385">
        <w:lastRenderedPageBreak/>
        <w:t>PSE</w:t>
      </w:r>
      <w:r w:rsidR="009F02BA">
        <w:t>’</w:t>
      </w:r>
      <w:r w:rsidR="00D84385" w:rsidRPr="00D84385">
        <w:t>s gas book for storage at Jackson Prairie. The costs of these three contracts are included in rate year power costs and presented in Table 12.</w:t>
      </w:r>
    </w:p>
    <w:p w:rsidR="00D84385" w:rsidRDefault="00D84385" w:rsidP="00827831">
      <w:pPr>
        <w:pStyle w:val="answer"/>
        <w:ind w:firstLine="0"/>
      </w:pPr>
      <w:r w:rsidRPr="00D84385">
        <w:t xml:space="preserve">The Jackson Prairie storage currently contracted with NWP has been included in rate year power costs since it was put into rates in the 2009 </w:t>
      </w:r>
      <w:proofErr w:type="spellStart"/>
      <w:r w:rsidRPr="00D84385">
        <w:t>GRC</w:t>
      </w:r>
      <w:proofErr w:type="spellEnd"/>
      <w:r w:rsidRPr="00D84385">
        <w:t xml:space="preserve">. The Plymouth contract started in 2015, and because it provides the same type of service that the NWP Jackson Prairie contract provides, PSE included it in rate year power costs also. Previous versions of the Jackson Prairie inter-book contract were included in production </w:t>
      </w:r>
      <w:proofErr w:type="spellStart"/>
      <w:r w:rsidRPr="00D84385">
        <w:t>O&amp;M</w:t>
      </w:r>
      <w:proofErr w:type="spellEnd"/>
      <w:r w:rsidRPr="00D84385">
        <w:t>. The newest inter-book contract, effective in April 2016, is included in rate year power costs because it serves the same function as the two NWP storage contracts.</w:t>
      </w:r>
    </w:p>
    <w:p w:rsidR="00347731" w:rsidRPr="00347731" w:rsidRDefault="00347731" w:rsidP="00347731">
      <w:pPr>
        <w:pStyle w:val="question"/>
      </w:pPr>
      <w:r>
        <w:t>Q.</w:t>
      </w:r>
      <w:r>
        <w:tab/>
      </w:r>
      <w:r w:rsidRPr="00347731">
        <w:t>Why is storage considered a power cost?</w:t>
      </w:r>
    </w:p>
    <w:p w:rsidR="00347731" w:rsidRPr="00347731" w:rsidRDefault="00347731" w:rsidP="00347731">
      <w:pPr>
        <w:pStyle w:val="answer"/>
      </w:pPr>
      <w:r>
        <w:t>A.</w:t>
      </w:r>
      <w:r>
        <w:tab/>
      </w:r>
      <w:r w:rsidRPr="00347731">
        <w:t xml:space="preserve">Gas storage is an integral part of the overall transportation of fuel to the generating site. This was acknowledged by FERC in Order 636, in which FERC amended 18 C.F.R. Section 284.1(a) to read as follows: </w:t>
      </w:r>
      <w:r w:rsidR="009F02BA">
        <w:t>“</w:t>
      </w:r>
      <w:r w:rsidRPr="00347731">
        <w:t>Transportation includes storage, exchange, backhaul, displacement or other methods of transportation.</w:t>
      </w:r>
      <w:r w:rsidR="009F02BA">
        <w:t>”</w:t>
      </w:r>
      <w:r w:rsidRPr="00347731">
        <w:t xml:space="preserve"> FERC subsequently required FERC-jurisdictional storage to be subject to the same rate design, contracting and capacity release rules as gas transportation. Gas storage is an integrated component of gas transportation service and is used on a daily basis to afford the efficient management of fuel supply for generation, and is properly considered a fuel cost.</w:t>
      </w:r>
    </w:p>
    <w:p w:rsidR="00347731" w:rsidRPr="00347731" w:rsidRDefault="00347731" w:rsidP="00827831">
      <w:pPr>
        <w:pStyle w:val="answer"/>
        <w:ind w:firstLine="0"/>
      </w:pPr>
      <w:r w:rsidRPr="00347731">
        <w:t xml:space="preserve">Some of the firm transportation contracts used by PSE to transport fuel to the generating sites are only available for use if the supply they are transporting </w:t>
      </w:r>
      <w:r w:rsidRPr="00347731">
        <w:lastRenderedPageBreak/>
        <w:t>originates from either Jackson Prairie or Plymouth. This makes storage integral to gas transportation, which has long been considered a fuel cost.</w:t>
      </w:r>
    </w:p>
    <w:p w:rsidR="00F57379" w:rsidRDefault="000947BF" w:rsidP="00F57379">
      <w:pPr>
        <w:pStyle w:val="Heading2"/>
      </w:pPr>
      <w:bookmarkStart w:id="32" w:name="_Toc471319033"/>
      <w:r>
        <w:t>C</w:t>
      </w:r>
      <w:r w:rsidR="00F57379">
        <w:t>.</w:t>
      </w:r>
      <w:r w:rsidR="00F57379">
        <w:tab/>
        <w:t>Pipeline Capacity Costs</w:t>
      </w:r>
      <w:bookmarkEnd w:id="32"/>
    </w:p>
    <w:p w:rsidR="00F57379" w:rsidRDefault="00F57379" w:rsidP="00F57379">
      <w:pPr>
        <w:pStyle w:val="question"/>
      </w:pPr>
      <w:r>
        <w:t>Q.</w:t>
      </w:r>
      <w:r>
        <w:tab/>
        <w:t xml:space="preserve">Does PSE anticipate significant changes to pipeline rates during the rate period? </w:t>
      </w:r>
    </w:p>
    <w:p w:rsidR="006737A7" w:rsidRDefault="00F57379" w:rsidP="00F57379">
      <w:pPr>
        <w:pStyle w:val="answer"/>
      </w:pPr>
      <w:r>
        <w:t>A.</w:t>
      </w:r>
      <w:r>
        <w:tab/>
        <w:t>Yes. Pursuant to a 2012 FERC approved settlement with customers Northwest Pipeline is obligated to either file a FERC Section</w:t>
      </w:r>
      <w:r w:rsidR="006737A7">
        <w:t> </w:t>
      </w:r>
      <w:r>
        <w:t>4 rate case for new rates to become effective January</w:t>
      </w:r>
      <w:r w:rsidR="006737A7">
        <w:t> </w:t>
      </w:r>
      <w:r>
        <w:t>1, 2018 or reach a new settlement for rates effective January</w:t>
      </w:r>
      <w:r w:rsidR="006737A7">
        <w:t> </w:t>
      </w:r>
      <w:r>
        <w:t>1, 2018.</w:t>
      </w:r>
      <w:r w:rsidR="008F6098">
        <w:t xml:space="preserve"> </w:t>
      </w:r>
      <w:r>
        <w:t>PSE and other shippers are currently engaged in negotiations with Northwest Pipeline that are currently expected to result in a settlement agreement that would be approved by the FERC to be effective January</w:t>
      </w:r>
      <w:r w:rsidR="006737A7">
        <w:t> </w:t>
      </w:r>
      <w:r>
        <w:t>1, 2018.</w:t>
      </w:r>
    </w:p>
    <w:p w:rsidR="00F57379" w:rsidRDefault="00F57379" w:rsidP="006737A7">
      <w:pPr>
        <w:pStyle w:val="answer"/>
        <w:ind w:firstLine="0"/>
      </w:pPr>
      <w:r>
        <w:t xml:space="preserve">In addition, PSE expects </w:t>
      </w:r>
      <w:r w:rsidR="006737A7">
        <w:t>the Canada National Energy Board (</w:t>
      </w:r>
      <w:r w:rsidR="009F02BA">
        <w:t>“</w:t>
      </w:r>
      <w:r>
        <w:t>NEB</w:t>
      </w:r>
      <w:r w:rsidR="009F02BA">
        <w:t>”</w:t>
      </w:r>
      <w:r w:rsidR="006737A7">
        <w:t>)</w:t>
      </w:r>
      <w:r>
        <w:t xml:space="preserve"> </w:t>
      </w:r>
      <w:r w:rsidR="006737A7">
        <w:t>to approve</w:t>
      </w:r>
      <w:r>
        <w:t xml:space="preserve"> adjustments to the rates of Westcoast, </w:t>
      </w:r>
      <w:proofErr w:type="spellStart"/>
      <w:r>
        <w:t>NGTL</w:t>
      </w:r>
      <w:proofErr w:type="spellEnd"/>
      <w:r>
        <w:t xml:space="preserve"> and Foothills Pipeline </w:t>
      </w:r>
      <w:r w:rsidR="00C0010A">
        <w:t xml:space="preserve">effective </w:t>
      </w:r>
      <w:r>
        <w:t>on January</w:t>
      </w:r>
      <w:r w:rsidR="006737A7">
        <w:t> </w:t>
      </w:r>
      <w:r>
        <w:t>1, 2018 and April</w:t>
      </w:r>
      <w:r w:rsidR="006737A7">
        <w:t> </w:t>
      </w:r>
      <w:r>
        <w:t>1, 2018 under the normal Canadian regulatory process. If FERC or NEB approval (as appropriate) is achieved during the pendency of this case</w:t>
      </w:r>
      <w:r w:rsidR="00C364A1">
        <w:t>,</w:t>
      </w:r>
      <w:r w:rsidR="00D27E51">
        <w:t xml:space="preserve"> </w:t>
      </w:r>
      <w:r>
        <w:t xml:space="preserve">PSE </w:t>
      </w:r>
      <w:r w:rsidR="00C364A1">
        <w:t>will</w:t>
      </w:r>
      <w:r>
        <w:t xml:space="preserve"> include adjustments to the pipeline rates and related gas costs when power costs are updated.</w:t>
      </w:r>
    </w:p>
    <w:p w:rsidR="00F33FA5" w:rsidRDefault="000947BF" w:rsidP="00F33FA5">
      <w:pPr>
        <w:pStyle w:val="Heading2"/>
      </w:pPr>
      <w:bookmarkStart w:id="33" w:name="_Toc471319034"/>
      <w:r>
        <w:lastRenderedPageBreak/>
        <w:t>D</w:t>
      </w:r>
      <w:r w:rsidR="00F33FA5">
        <w:t>.</w:t>
      </w:r>
      <w:r w:rsidR="00F33FA5">
        <w:tab/>
        <w:t>Graphic Representation of Natural Gas Resources Held by the Gas-for-Power Portfolio</w:t>
      </w:r>
      <w:bookmarkEnd w:id="33"/>
    </w:p>
    <w:p w:rsidR="00F33FA5" w:rsidRDefault="00F33FA5" w:rsidP="00F33FA5">
      <w:pPr>
        <w:pStyle w:val="question"/>
      </w:pPr>
      <w:r>
        <w:t>Q.</w:t>
      </w:r>
      <w:r>
        <w:tab/>
        <w:t>Has PSE prepared a graphic representation of the natural gas resources held by the gas-for-power portfolio that reflect the changes described above?</w:t>
      </w:r>
    </w:p>
    <w:p w:rsidR="00F33FA5" w:rsidRDefault="00F33FA5" w:rsidP="00F33FA5">
      <w:pPr>
        <w:pStyle w:val="answer"/>
      </w:pPr>
      <w:r>
        <w:t>A.</w:t>
      </w:r>
      <w:r>
        <w:tab/>
        <w:t>Yes. Please see Picture 1 for graphic representation of the natural gas resources held by the gas-for-power portfolio that reflect the changes described above.</w:t>
      </w:r>
    </w:p>
    <w:p w:rsidR="00B258E0" w:rsidRDefault="004B2F58" w:rsidP="00A06B5D">
      <w:pPr>
        <w:pStyle w:val="answer"/>
        <w:jc w:val="center"/>
      </w:pPr>
      <w:r>
        <w:rPr>
          <w:noProof/>
          <w:lang w:eastAsia="en-US"/>
        </w:rPr>
        <w:drawing>
          <wp:inline distT="0" distB="0" distL="0" distR="0" wp14:anchorId="793A6931" wp14:editId="50E270B7">
            <wp:extent cx="4523847" cy="5650896"/>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3782" cy="5650815"/>
                    </a:xfrm>
                    <a:prstGeom prst="rect">
                      <a:avLst/>
                    </a:prstGeom>
                    <a:noFill/>
                  </pic:spPr>
                </pic:pic>
              </a:graphicData>
            </a:graphic>
          </wp:inline>
        </w:drawing>
      </w:r>
    </w:p>
    <w:p w:rsidR="00866BF4" w:rsidRDefault="00866BF4" w:rsidP="00E64745">
      <w:pPr>
        <w:pStyle w:val="Heading1"/>
      </w:pPr>
      <w:bookmarkStart w:id="34" w:name="_Toc471319035"/>
      <w:r>
        <w:lastRenderedPageBreak/>
        <w:t>VII.</w:t>
      </w:r>
      <w:r>
        <w:tab/>
        <w:t>ENERGY IMBALANCE MARKET</w:t>
      </w:r>
      <w:bookmarkEnd w:id="34"/>
    </w:p>
    <w:p w:rsidR="00866BF4" w:rsidRDefault="00866BF4" w:rsidP="00866BF4">
      <w:pPr>
        <w:pStyle w:val="question"/>
      </w:pPr>
      <w:r>
        <w:t>Q.</w:t>
      </w:r>
      <w:r>
        <w:tab/>
        <w:t>What is the Energy Imbalance Market (</w:t>
      </w:r>
      <w:r w:rsidR="009F02BA">
        <w:t>“</w:t>
      </w:r>
      <w:r>
        <w:t>EIM</w:t>
      </w:r>
      <w:r w:rsidR="009F02BA">
        <w:t>”</w:t>
      </w:r>
      <w:r>
        <w:t>)?</w:t>
      </w:r>
    </w:p>
    <w:p w:rsidR="009562CD" w:rsidRDefault="00866BF4" w:rsidP="00F20D1E">
      <w:pPr>
        <w:pStyle w:val="answer"/>
      </w:pPr>
      <w:r>
        <w:t>A.</w:t>
      </w:r>
      <w:r>
        <w:tab/>
      </w:r>
      <w:r w:rsidR="007A1D5E">
        <w:t xml:space="preserve">The EIM is a </w:t>
      </w:r>
      <w:r w:rsidR="00BD6DC1" w:rsidRPr="00BD6DC1">
        <w:t xml:space="preserve">voluntary, within-hour energy market </w:t>
      </w:r>
      <w:r w:rsidR="00BD6DC1">
        <w:t>that</w:t>
      </w:r>
      <w:r w:rsidR="00BD6DC1" w:rsidRPr="00BD6DC1">
        <w:t xml:space="preserve"> provides </w:t>
      </w:r>
      <w:r w:rsidR="00BD6DC1" w:rsidRPr="007A1D5E">
        <w:t>Balancing Authorit</w:t>
      </w:r>
      <w:r w:rsidR="00BD6DC1">
        <w:t>ies</w:t>
      </w:r>
      <w:r w:rsidR="00BD6DC1" w:rsidRPr="00BD6DC1">
        <w:t xml:space="preserve"> </w:t>
      </w:r>
      <w:r w:rsidR="00C364A1">
        <w:t>(</w:t>
      </w:r>
      <w:r w:rsidR="009F02BA">
        <w:t>“</w:t>
      </w:r>
      <w:r w:rsidR="00C364A1">
        <w:t>BA</w:t>
      </w:r>
      <w:r w:rsidR="009F02BA">
        <w:t>”</w:t>
      </w:r>
      <w:r w:rsidR="00C364A1">
        <w:t xml:space="preserve">) </w:t>
      </w:r>
      <w:r w:rsidR="00BD6DC1" w:rsidRPr="00BD6DC1">
        <w:t>another tool to reliably and economically maintain balance between electric demand (load) and supply (generating resources)</w:t>
      </w:r>
      <w:r w:rsidR="00BD6DC1">
        <w:t xml:space="preserve">. It is operated by a central </w:t>
      </w:r>
      <w:r w:rsidR="000C6F4A">
        <w:t>market operator</w:t>
      </w:r>
      <w:r w:rsidR="00BD6DC1">
        <w:t xml:space="preserve"> who optimizes the</w:t>
      </w:r>
      <w:r w:rsidR="006565EC">
        <w:t xml:space="preserve"> generation</w:t>
      </w:r>
      <w:r w:rsidR="00BD6DC1">
        <w:t xml:space="preserve"> resources of the BAs within the EIM footprint</w:t>
      </w:r>
      <w:r w:rsidR="006565EC">
        <w:t xml:space="preserve"> every fifteen and five minutes</w:t>
      </w:r>
      <w:r w:rsidR="00BD6DC1">
        <w:t>.</w:t>
      </w:r>
      <w:r w:rsidR="00776218">
        <w:t xml:space="preserve"> </w:t>
      </w:r>
      <w:r w:rsidR="00827831">
        <w:t>The California Independent System Operator (</w:t>
      </w:r>
      <w:r w:rsidR="009F02BA">
        <w:t>“</w:t>
      </w:r>
      <w:r w:rsidR="00827831">
        <w:t>CAISO</w:t>
      </w:r>
      <w:r w:rsidR="009F02BA">
        <w:t>”</w:t>
      </w:r>
      <w:r w:rsidR="00827831">
        <w:t xml:space="preserve">) serves as the </w:t>
      </w:r>
      <w:r w:rsidR="000C6F4A">
        <w:t>market operator</w:t>
      </w:r>
      <w:r w:rsidR="00827831">
        <w:t xml:space="preserve"> for the EIM in which PSE operates. </w:t>
      </w:r>
      <w:r w:rsidR="00776218">
        <w:t>Historically, energy has been predominately traded among entities through bilateral transactions of hourly energy products. Within the hour there has been no liquid market for energy, and BAs had to rely on their own generating resources to continuously match imbalances in load and non-</w:t>
      </w:r>
      <w:proofErr w:type="spellStart"/>
      <w:r w:rsidR="00776218">
        <w:t>dispatchable</w:t>
      </w:r>
      <w:proofErr w:type="spellEnd"/>
      <w:r w:rsidR="00776218">
        <w:t xml:space="preserve"> generation. The EIM provides a sub-hourly market</w:t>
      </w:r>
      <w:r w:rsidR="00836688">
        <w:t xml:space="preserve"> that enables</w:t>
      </w:r>
      <w:r w:rsidR="00776218">
        <w:t xml:space="preserve"> BAs to tra</w:t>
      </w:r>
      <w:r w:rsidR="00836688">
        <w:t xml:space="preserve">nsact and utilize lower-cost resources in other BAs to balance load and resources. Ahead of each operating hour participating BAs may bid their generating resources into the EIM. The EIM </w:t>
      </w:r>
      <w:r w:rsidR="000C6F4A">
        <w:t>market operator</w:t>
      </w:r>
      <w:r w:rsidR="00836688">
        <w:t xml:space="preserve"> integrates all bids into its Security Constrained Economic Dispatch software, which settles and clears a five minute energy market for imbalances across the entire EIM footprint.</w:t>
      </w:r>
      <w:r w:rsidR="00F20D1E">
        <w:t xml:space="preserve"> </w:t>
      </w:r>
      <w:r w:rsidR="007A1D5E">
        <w:t>The EIM does not replace bilateral, day-ahead, or hour-ahead markets and scheduling procedures that exist in the Western Interconnection today.</w:t>
      </w:r>
      <w:r w:rsidR="009562CD" w:rsidRPr="009562CD">
        <w:t xml:space="preserve"> </w:t>
      </w:r>
      <w:r w:rsidR="009562CD">
        <w:t>The EIM is complementary to FERC Order 764, Integration of Variable Energy Resources.</w:t>
      </w:r>
    </w:p>
    <w:p w:rsidR="00881D59" w:rsidRDefault="00881D59" w:rsidP="00881D59">
      <w:pPr>
        <w:pStyle w:val="NestedAnswer"/>
      </w:pPr>
      <w:r>
        <w:t>CAISO</w:t>
      </w:r>
      <w:r w:rsidR="00827831">
        <w:t xml:space="preserve"> </w:t>
      </w:r>
      <w:r>
        <w:t xml:space="preserve">and PacifiCorp launched the EIM on November 1, 2014. NV Energy joined the CAISO EIM </w:t>
      </w:r>
      <w:r w:rsidR="00DC6B10">
        <w:t>i</w:t>
      </w:r>
      <w:r>
        <w:t>n 2015. PSE and Arizona Public Service join</w:t>
      </w:r>
      <w:r w:rsidR="00710D3A">
        <w:t>ed</w:t>
      </w:r>
      <w:r>
        <w:t xml:space="preserve"> the </w:t>
      </w:r>
      <w:r>
        <w:lastRenderedPageBreak/>
        <w:t xml:space="preserve">CAISO EIM on October 1, 2016. Portland General Electric has announced its intentions to join the CAISO EIM </w:t>
      </w:r>
      <w:r w:rsidR="00DC6B10">
        <w:t>in</w:t>
      </w:r>
      <w:r>
        <w:t xml:space="preserve"> 2017</w:t>
      </w:r>
      <w:r w:rsidR="00C364A1">
        <w:t>,</w:t>
      </w:r>
      <w:r w:rsidR="00EC5706">
        <w:t xml:space="preserve"> </w:t>
      </w:r>
      <w:r w:rsidR="009F02BA">
        <w:t xml:space="preserve">and </w:t>
      </w:r>
      <w:r w:rsidR="00EC5706">
        <w:t xml:space="preserve">Idaho Power </w:t>
      </w:r>
      <w:r w:rsidR="009F02BA">
        <w:t xml:space="preserve">and Seattle City Light each </w:t>
      </w:r>
      <w:r w:rsidR="00EC5706">
        <w:t xml:space="preserve">plans to join </w:t>
      </w:r>
      <w:r w:rsidR="00DC6B10">
        <w:t>in</w:t>
      </w:r>
      <w:r w:rsidR="00EC5706">
        <w:t xml:space="preserve"> 2018</w:t>
      </w:r>
      <w:r w:rsidR="009F02BA">
        <w:t xml:space="preserve"> and 2019, respectively</w:t>
      </w:r>
      <w:r w:rsidR="007D2485">
        <w:t>.</w:t>
      </w:r>
    </w:p>
    <w:p w:rsidR="00866BF4" w:rsidRDefault="00866BF4" w:rsidP="00866BF4">
      <w:pPr>
        <w:pStyle w:val="question"/>
      </w:pPr>
      <w:r>
        <w:t>Q.</w:t>
      </w:r>
      <w:r>
        <w:tab/>
        <w:t xml:space="preserve">Why </w:t>
      </w:r>
      <w:r w:rsidR="00710D3A">
        <w:t xml:space="preserve">did </w:t>
      </w:r>
      <w:r>
        <w:t>PSE</w:t>
      </w:r>
      <w:r w:rsidR="00710D3A">
        <w:t xml:space="preserve"> decide</w:t>
      </w:r>
      <w:r>
        <w:t xml:space="preserve"> to be a part of the EIM?</w:t>
      </w:r>
    </w:p>
    <w:p w:rsidR="004E2D98" w:rsidRDefault="00866BF4" w:rsidP="00F20D1E">
      <w:pPr>
        <w:pStyle w:val="answer"/>
      </w:pPr>
      <w:r>
        <w:t>A.</w:t>
      </w:r>
      <w:r>
        <w:tab/>
      </w:r>
      <w:r w:rsidR="006453A0">
        <w:t xml:space="preserve">Intra-hour generation variability has increased in recent years with the influx of variable </w:t>
      </w:r>
      <w:r w:rsidR="00816B70">
        <w:t xml:space="preserve">energy </w:t>
      </w:r>
      <w:r w:rsidR="006453A0">
        <w:t>resources</w:t>
      </w:r>
      <w:r w:rsidR="00816B70">
        <w:t xml:space="preserve"> (</w:t>
      </w:r>
      <w:r w:rsidR="009F02BA">
        <w:t>“</w:t>
      </w:r>
      <w:proofErr w:type="spellStart"/>
      <w:r w:rsidR="00816B70">
        <w:t>VERS</w:t>
      </w:r>
      <w:proofErr w:type="spellEnd"/>
      <w:r w:rsidR="009F02BA">
        <w:t>”</w:t>
      </w:r>
      <w:r w:rsidR="00816B70">
        <w:t>)</w:t>
      </w:r>
      <w:r w:rsidR="006453A0">
        <w:t xml:space="preserve">. </w:t>
      </w:r>
      <w:r w:rsidR="00F20D1E">
        <w:t xml:space="preserve">The EIM </w:t>
      </w:r>
      <w:r w:rsidR="006453A0">
        <w:t xml:space="preserve">provides a </w:t>
      </w:r>
      <w:r w:rsidR="00816B70">
        <w:t xml:space="preserve">mechanism </w:t>
      </w:r>
      <w:r w:rsidR="006453A0">
        <w:t xml:space="preserve">for managing this variability, </w:t>
      </w:r>
      <w:r w:rsidR="00F20D1E">
        <w:t>allows for greater efficiency</w:t>
      </w:r>
      <w:r w:rsidR="006453A0">
        <w:t xml:space="preserve"> in sub-hourly dispatch, and may potentially allow for reductions in load following reserve requirements. </w:t>
      </w:r>
    </w:p>
    <w:p w:rsidR="00866BF4" w:rsidRDefault="00866BF4" w:rsidP="00866BF4">
      <w:pPr>
        <w:pStyle w:val="question"/>
      </w:pPr>
      <w:r>
        <w:t>Q.</w:t>
      </w:r>
      <w:r>
        <w:tab/>
        <w:t xml:space="preserve">What costs </w:t>
      </w:r>
      <w:r w:rsidR="00A940AE">
        <w:t xml:space="preserve">and benefits </w:t>
      </w:r>
      <w:r>
        <w:t>are included in rate year power costs due to the EIM?</w:t>
      </w:r>
    </w:p>
    <w:p w:rsidR="00866BF4" w:rsidRDefault="00866BF4" w:rsidP="00866BF4">
      <w:pPr>
        <w:pStyle w:val="answer"/>
      </w:pPr>
      <w:r>
        <w:t>A.</w:t>
      </w:r>
      <w:r>
        <w:tab/>
        <w:t>The</w:t>
      </w:r>
      <w:r w:rsidR="0061594A">
        <w:t xml:space="preserve"> rate year</w:t>
      </w:r>
      <w:r>
        <w:t xml:space="preserve"> increase to power costs</w:t>
      </w:r>
      <w:r w:rsidR="0088080C">
        <w:t xml:space="preserve"> </w:t>
      </w:r>
      <w:r w:rsidR="00004BAF">
        <w:t>in</w:t>
      </w:r>
      <w:r w:rsidR="0088080C">
        <w:t xml:space="preserve"> FERC </w:t>
      </w:r>
      <w:r w:rsidR="00004BAF">
        <w:t xml:space="preserve">Account </w:t>
      </w:r>
      <w:r w:rsidR="0088080C">
        <w:t>557</w:t>
      </w:r>
      <w:r w:rsidR="00004BAF">
        <w:t>, Other Expenses,</w:t>
      </w:r>
      <w:r>
        <w:t xml:space="preserve"> due to PSE</w:t>
      </w:r>
      <w:r w:rsidR="009F02BA">
        <w:t>’</w:t>
      </w:r>
      <w:r>
        <w:t xml:space="preserve">s </w:t>
      </w:r>
      <w:r w:rsidR="0061594A">
        <w:t>participation</w:t>
      </w:r>
      <w:r>
        <w:t xml:space="preserve"> in the EIM is forecast </w:t>
      </w:r>
      <w:r w:rsidRPr="00F1557F">
        <w:t xml:space="preserve">at </w:t>
      </w:r>
      <w:r w:rsidRPr="00DA456E">
        <w:t>$</w:t>
      </w:r>
      <w:r w:rsidR="005C4DAB" w:rsidRPr="00DA456E">
        <w:t>2.3</w:t>
      </w:r>
      <w:r w:rsidR="00E64745" w:rsidRPr="00F1557F">
        <w:t> </w:t>
      </w:r>
      <w:r w:rsidRPr="00F1557F">
        <w:t>million</w:t>
      </w:r>
      <w:r>
        <w:t>.</w:t>
      </w:r>
      <w:r w:rsidR="0061594A">
        <w:t xml:space="preserve"> B</w:t>
      </w:r>
      <w:r>
        <w:t>enefit</w:t>
      </w:r>
      <w:r w:rsidR="0061594A">
        <w:t xml:space="preserve">s of </w:t>
      </w:r>
      <w:r w:rsidR="009F02BA">
        <w:t xml:space="preserve">approximately </w:t>
      </w:r>
      <w:r w:rsidR="0061594A" w:rsidRPr="00DA456E">
        <w:t>$</w:t>
      </w:r>
      <w:r w:rsidR="005C4DAB" w:rsidRPr="00DA456E">
        <w:t>8.5</w:t>
      </w:r>
      <w:r w:rsidR="00E64745">
        <w:t> </w:t>
      </w:r>
      <w:r>
        <w:t xml:space="preserve">million </w:t>
      </w:r>
      <w:r w:rsidR="0061594A">
        <w:t>are also included in power costs</w:t>
      </w:r>
      <w:r w:rsidR="007D2485">
        <w:t xml:space="preserve">. </w:t>
      </w:r>
      <w:r w:rsidR="0061594A">
        <w:t>This benefit amount exactly</w:t>
      </w:r>
      <w:r>
        <w:t xml:space="preserve"> offset</w:t>
      </w:r>
      <w:r w:rsidR="0061594A">
        <w:t>s</w:t>
      </w:r>
      <w:r>
        <w:t xml:space="preserve"> the</w:t>
      </w:r>
      <w:r w:rsidR="00F1557F">
        <w:t xml:space="preserve"> sum of</w:t>
      </w:r>
      <w:r>
        <w:t xml:space="preserve"> power cost expense</w:t>
      </w:r>
      <w:r w:rsidR="00F1557F">
        <w:t>s</w:t>
      </w:r>
      <w:r>
        <w:t xml:space="preserve"> and </w:t>
      </w:r>
      <w:r w:rsidR="0061594A">
        <w:t>rate base related</w:t>
      </w:r>
      <w:r>
        <w:t xml:space="preserve"> expenses </w:t>
      </w:r>
      <w:r w:rsidR="0061594A">
        <w:t xml:space="preserve">that are </w:t>
      </w:r>
      <w:r>
        <w:t>included in</w:t>
      </w:r>
      <w:r w:rsidR="0061594A">
        <w:t xml:space="preserve"> the revenue requirement. </w:t>
      </w:r>
      <w:r>
        <w:t xml:space="preserve">For more information on EIM costs in rate base please refer </w:t>
      </w:r>
      <w:r w:rsidRPr="00F1557F">
        <w:t xml:space="preserve">to </w:t>
      </w:r>
      <w:r w:rsidRPr="00DA456E">
        <w:t>Exhibit No.</w:t>
      </w:r>
      <w:r w:rsidR="00E64745" w:rsidRPr="00DA456E">
        <w:t> </w:t>
      </w:r>
      <w:r w:rsidRPr="00DA456E">
        <w:t>___(KJB-7)</w:t>
      </w:r>
      <w:r w:rsidR="00E64745" w:rsidRPr="00DA456E">
        <w:t>.</w:t>
      </w:r>
      <w:r w:rsidR="00A940AE">
        <w:t xml:space="preserve"> </w:t>
      </w:r>
      <w:r w:rsidR="00E179FE">
        <w:t xml:space="preserve">The benefits are all included in power costs because any financial benefits PSE realizes will ultimately flow through power costs. </w:t>
      </w:r>
      <w:r w:rsidR="00A940AE">
        <w:t>B</w:t>
      </w:r>
      <w:r w:rsidR="0061594A">
        <w:t>ecause b</w:t>
      </w:r>
      <w:r w:rsidR="00A940AE">
        <w:t>enefits are included to exactly offset the estimate</w:t>
      </w:r>
      <w:r w:rsidR="0075436D">
        <w:t>d</w:t>
      </w:r>
      <w:r w:rsidR="00A940AE">
        <w:t xml:space="preserve"> costs, </w:t>
      </w:r>
      <w:r w:rsidR="0061594A">
        <w:t>there is</w:t>
      </w:r>
      <w:r w:rsidR="00A940AE">
        <w:t xml:space="preserve"> zero net cost impact from EIM. </w:t>
      </w:r>
      <w:r w:rsidR="0061594A">
        <w:t>PSE took this approach because t</w:t>
      </w:r>
      <w:r w:rsidR="00A940AE">
        <w:t>he magnitude of benefits PSE will incur in the rate year is not known and measurable at this time.</w:t>
      </w:r>
    </w:p>
    <w:p w:rsidR="00866BF4" w:rsidRDefault="00866BF4" w:rsidP="00866BF4">
      <w:pPr>
        <w:pStyle w:val="question"/>
      </w:pPr>
      <w:r>
        <w:lastRenderedPageBreak/>
        <w:t>Q.</w:t>
      </w:r>
      <w:r>
        <w:tab/>
        <w:t>What do the forecasted EIM power costs include?</w:t>
      </w:r>
    </w:p>
    <w:p w:rsidR="00866BF4" w:rsidRDefault="00866BF4" w:rsidP="00CF740F">
      <w:pPr>
        <w:pStyle w:val="answer"/>
        <w:keepNext/>
        <w:keepLines/>
      </w:pPr>
      <w:r>
        <w:t>A.</w:t>
      </w:r>
      <w:r>
        <w:tab/>
        <w:t>Table</w:t>
      </w:r>
      <w:r w:rsidR="00E64745">
        <w:t> </w:t>
      </w:r>
      <w:r>
        <w:t>1</w:t>
      </w:r>
      <w:r w:rsidR="004E2D98">
        <w:t>3</w:t>
      </w:r>
      <w:r>
        <w:t xml:space="preserve"> provides a breakdown of the </w:t>
      </w:r>
      <w:r w:rsidRPr="00DA456E">
        <w:t>$</w:t>
      </w:r>
      <w:r w:rsidR="00F1557F" w:rsidRPr="00DA456E">
        <w:t>2.3</w:t>
      </w:r>
      <w:r w:rsidR="00E64745">
        <w:t> </w:t>
      </w:r>
      <w:r>
        <w:t>million EIM rate year power costs.</w:t>
      </w:r>
    </w:p>
    <w:p w:rsidR="00E64745" w:rsidRDefault="00E64745" w:rsidP="00E64745">
      <w:pPr>
        <w:pStyle w:val="TableHeader"/>
        <w:ind w:left="1530" w:right="1620"/>
      </w:pPr>
      <w:r>
        <w:t>Table</w:t>
      </w:r>
      <w:r w:rsidR="004E2D98">
        <w:t> </w:t>
      </w:r>
      <w:r>
        <w:t>1</w:t>
      </w:r>
      <w:r w:rsidR="004E2D98">
        <w:t>3</w:t>
      </w:r>
      <w:r>
        <w:t>. Projected Rate Year Power Costs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2250"/>
      </w:tblGrid>
      <w:tr w:rsidR="00E64745" w:rsidRPr="00B155A8" w:rsidTr="00E64745">
        <w:trPr>
          <w:jc w:val="center"/>
        </w:trPr>
        <w:tc>
          <w:tcPr>
            <w:tcW w:w="3289" w:type="dxa"/>
            <w:tcBorders>
              <w:bottom w:val="single" w:sz="4" w:space="0" w:color="auto"/>
            </w:tcBorders>
            <w:vAlign w:val="bottom"/>
          </w:tcPr>
          <w:p w:rsidR="00E64745" w:rsidRPr="00B155A8" w:rsidRDefault="00E64745" w:rsidP="009573C0">
            <w:pPr>
              <w:pStyle w:val="answer"/>
              <w:keepNext/>
              <w:keepLines/>
              <w:spacing w:before="60" w:after="60" w:line="240" w:lineRule="auto"/>
              <w:ind w:left="0" w:firstLine="0"/>
              <w:jc w:val="center"/>
              <w:rPr>
                <w:b/>
              </w:rPr>
            </w:pPr>
            <w:r w:rsidRPr="00B155A8">
              <w:rPr>
                <w:b/>
              </w:rPr>
              <w:t>Resource</w:t>
            </w:r>
          </w:p>
        </w:tc>
        <w:tc>
          <w:tcPr>
            <w:tcW w:w="2250" w:type="dxa"/>
            <w:tcBorders>
              <w:bottom w:val="single" w:sz="4" w:space="0" w:color="auto"/>
            </w:tcBorders>
            <w:vAlign w:val="bottom"/>
          </w:tcPr>
          <w:p w:rsidR="00E64745" w:rsidRPr="00B155A8" w:rsidRDefault="00E64745" w:rsidP="009573C0">
            <w:pPr>
              <w:pStyle w:val="answer"/>
              <w:keepNext/>
              <w:keepLines/>
              <w:spacing w:before="60" w:after="60" w:line="240" w:lineRule="auto"/>
              <w:ind w:left="0" w:firstLine="0"/>
              <w:jc w:val="center"/>
              <w:rPr>
                <w:b/>
              </w:rPr>
            </w:pPr>
            <w:r w:rsidRPr="00B155A8">
              <w:rPr>
                <w:b/>
              </w:rPr>
              <w:t>Rate Year Power</w:t>
            </w:r>
            <w:r w:rsidRPr="00B155A8">
              <w:rPr>
                <w:b/>
              </w:rPr>
              <w:br/>
              <w:t>Cost ($000)</w:t>
            </w:r>
          </w:p>
        </w:tc>
      </w:tr>
      <w:tr w:rsidR="00E64745" w:rsidRPr="00F1557F" w:rsidTr="00E64745">
        <w:trPr>
          <w:jc w:val="center"/>
        </w:trPr>
        <w:tc>
          <w:tcPr>
            <w:tcW w:w="3289" w:type="dxa"/>
            <w:tcBorders>
              <w:top w:val="single" w:sz="4" w:space="0" w:color="auto"/>
            </w:tcBorders>
          </w:tcPr>
          <w:p w:rsidR="00E64745" w:rsidRPr="00F1557F" w:rsidRDefault="00E64745" w:rsidP="00F1557F">
            <w:pPr>
              <w:pStyle w:val="answer"/>
              <w:keepNext/>
              <w:keepLines/>
              <w:spacing w:before="60" w:after="60" w:line="240" w:lineRule="auto"/>
              <w:ind w:left="0" w:firstLine="0"/>
            </w:pPr>
            <w:r w:rsidRPr="00F1557F">
              <w:t>PSE Labor</w:t>
            </w:r>
          </w:p>
        </w:tc>
        <w:tc>
          <w:tcPr>
            <w:tcW w:w="2250" w:type="dxa"/>
            <w:tcBorders>
              <w:top w:val="single" w:sz="4" w:space="0" w:color="auto"/>
            </w:tcBorders>
          </w:tcPr>
          <w:p w:rsidR="00E64745" w:rsidRPr="00F1557F" w:rsidRDefault="00E64745" w:rsidP="00F1557F">
            <w:pPr>
              <w:pStyle w:val="answer"/>
              <w:keepNext/>
              <w:keepLines/>
              <w:spacing w:before="60" w:after="60" w:line="240" w:lineRule="auto"/>
              <w:ind w:left="0" w:right="684" w:firstLine="0"/>
              <w:jc w:val="right"/>
            </w:pPr>
            <w:r w:rsidRPr="00F1557F">
              <w:t>$</w:t>
            </w:r>
            <w:r w:rsidR="007C3D2B">
              <w:t>████</w:t>
            </w:r>
          </w:p>
        </w:tc>
      </w:tr>
      <w:tr w:rsidR="00E64745" w:rsidRPr="00F1557F" w:rsidTr="00E64745">
        <w:trPr>
          <w:jc w:val="center"/>
        </w:trPr>
        <w:tc>
          <w:tcPr>
            <w:tcW w:w="3289" w:type="dxa"/>
          </w:tcPr>
          <w:p w:rsidR="00E64745" w:rsidRPr="00F1557F" w:rsidRDefault="00E64745" w:rsidP="00E64745">
            <w:pPr>
              <w:pStyle w:val="answer"/>
              <w:keepNext/>
              <w:keepLines/>
              <w:spacing w:before="60" w:after="60" w:line="240" w:lineRule="auto"/>
              <w:ind w:left="0" w:firstLine="0"/>
            </w:pPr>
            <w:r w:rsidRPr="00F1557F">
              <w:t>Software</w:t>
            </w:r>
          </w:p>
        </w:tc>
        <w:tc>
          <w:tcPr>
            <w:tcW w:w="2250" w:type="dxa"/>
          </w:tcPr>
          <w:p w:rsidR="00E64745" w:rsidRPr="00F1557F" w:rsidRDefault="00E64745" w:rsidP="009573C0">
            <w:pPr>
              <w:pStyle w:val="answer"/>
              <w:keepNext/>
              <w:keepLines/>
              <w:spacing w:before="60" w:after="60" w:line="240" w:lineRule="auto"/>
              <w:ind w:left="0" w:right="684" w:firstLine="0"/>
              <w:jc w:val="right"/>
            </w:pPr>
            <w:r w:rsidRPr="00F1557F">
              <w:t>$</w:t>
            </w:r>
            <w:r w:rsidR="007C3D2B">
              <w:t>████</w:t>
            </w:r>
          </w:p>
        </w:tc>
      </w:tr>
      <w:tr w:rsidR="00E64745" w:rsidRPr="00F1557F" w:rsidTr="00E64745">
        <w:trPr>
          <w:jc w:val="center"/>
        </w:trPr>
        <w:tc>
          <w:tcPr>
            <w:tcW w:w="3289" w:type="dxa"/>
          </w:tcPr>
          <w:p w:rsidR="00E64745" w:rsidRPr="00F1557F" w:rsidRDefault="00E64745" w:rsidP="00E64745">
            <w:pPr>
              <w:pStyle w:val="answer"/>
              <w:keepNext/>
              <w:keepLines/>
              <w:spacing w:before="60" w:after="60" w:line="240" w:lineRule="auto"/>
              <w:ind w:left="0" w:firstLine="0"/>
            </w:pPr>
            <w:r w:rsidRPr="00F1557F">
              <w:t>Legal and Administrative Fees</w:t>
            </w:r>
          </w:p>
        </w:tc>
        <w:tc>
          <w:tcPr>
            <w:tcW w:w="2250" w:type="dxa"/>
          </w:tcPr>
          <w:p w:rsidR="00E64745" w:rsidRPr="00F1557F" w:rsidRDefault="00E64745" w:rsidP="00F1557F">
            <w:pPr>
              <w:pStyle w:val="answer"/>
              <w:keepNext/>
              <w:keepLines/>
              <w:spacing w:before="60" w:after="60" w:line="240" w:lineRule="auto"/>
              <w:ind w:left="0" w:right="684" w:firstLine="0"/>
              <w:jc w:val="right"/>
            </w:pPr>
            <w:r w:rsidRPr="00F1557F">
              <w:t>$</w:t>
            </w:r>
            <w:r w:rsidR="007C3D2B">
              <w:t>████</w:t>
            </w:r>
          </w:p>
        </w:tc>
      </w:tr>
      <w:tr w:rsidR="00E64745" w:rsidRPr="00A940AE" w:rsidTr="00E64745">
        <w:trPr>
          <w:jc w:val="center"/>
        </w:trPr>
        <w:tc>
          <w:tcPr>
            <w:tcW w:w="3289" w:type="dxa"/>
            <w:tcBorders>
              <w:top w:val="double" w:sz="4" w:space="0" w:color="auto"/>
            </w:tcBorders>
          </w:tcPr>
          <w:p w:rsidR="00E64745" w:rsidRPr="00F1557F" w:rsidRDefault="00E64745" w:rsidP="009573C0">
            <w:pPr>
              <w:pStyle w:val="answer"/>
              <w:spacing w:before="60" w:after="60" w:line="240" w:lineRule="auto"/>
              <w:ind w:left="0" w:firstLine="0"/>
              <w:rPr>
                <w:b/>
              </w:rPr>
            </w:pPr>
            <w:r w:rsidRPr="00F1557F">
              <w:rPr>
                <w:b/>
              </w:rPr>
              <w:t>Total</w:t>
            </w:r>
          </w:p>
        </w:tc>
        <w:tc>
          <w:tcPr>
            <w:tcW w:w="2250" w:type="dxa"/>
            <w:tcBorders>
              <w:top w:val="double" w:sz="4" w:space="0" w:color="auto"/>
            </w:tcBorders>
          </w:tcPr>
          <w:p w:rsidR="00E64745" w:rsidRPr="00F1557F" w:rsidRDefault="00E64745" w:rsidP="00F1557F">
            <w:pPr>
              <w:pStyle w:val="answer"/>
              <w:spacing w:before="60" w:after="60" w:line="240" w:lineRule="auto"/>
              <w:ind w:left="0" w:right="684" w:firstLine="0"/>
              <w:jc w:val="right"/>
              <w:rPr>
                <w:b/>
              </w:rPr>
            </w:pPr>
            <w:r w:rsidRPr="00F1557F">
              <w:rPr>
                <w:b/>
              </w:rPr>
              <w:t>$2,3</w:t>
            </w:r>
            <w:r w:rsidR="00F1557F" w:rsidRPr="00F1557F">
              <w:rPr>
                <w:b/>
              </w:rPr>
              <w:t>3</w:t>
            </w:r>
            <w:r w:rsidRPr="00F1557F">
              <w:rPr>
                <w:b/>
              </w:rPr>
              <w:t>3</w:t>
            </w:r>
          </w:p>
        </w:tc>
      </w:tr>
    </w:tbl>
    <w:p w:rsidR="00573E4C" w:rsidRPr="00E600A2" w:rsidRDefault="00573E4C" w:rsidP="006737A7">
      <w:pPr>
        <w:pStyle w:val="Heading1"/>
        <w:spacing w:before="360"/>
      </w:pPr>
      <w:bookmarkStart w:id="35" w:name="_Toc471319036"/>
      <w:r w:rsidRPr="00E600A2">
        <w:t>VIII.</w:t>
      </w:r>
      <w:r w:rsidR="006737A7">
        <w:tab/>
      </w:r>
      <w:r w:rsidRPr="00E600A2">
        <w:t>WASHINGTON</w:t>
      </w:r>
      <w:r w:rsidR="009F02BA">
        <w:t>’</w:t>
      </w:r>
      <w:r w:rsidRPr="00E600A2">
        <w:t>S CLEAN AIR RULE</w:t>
      </w:r>
      <w:bookmarkEnd w:id="35"/>
    </w:p>
    <w:p w:rsidR="00ED7579" w:rsidRPr="00E600A2" w:rsidRDefault="00ED7579" w:rsidP="00ED7579">
      <w:pPr>
        <w:pStyle w:val="question"/>
      </w:pPr>
      <w:r w:rsidRPr="00E600A2">
        <w:t>Q.</w:t>
      </w:r>
      <w:r w:rsidRPr="00E600A2">
        <w:tab/>
      </w:r>
      <w:r w:rsidR="00E87AC9">
        <w:t>What is</w:t>
      </w:r>
      <w:r w:rsidRPr="00E600A2">
        <w:t xml:space="preserve"> the Clean Air Rule</w:t>
      </w:r>
      <w:r w:rsidR="006737A7">
        <w:t>?</w:t>
      </w:r>
    </w:p>
    <w:p w:rsidR="0068529D" w:rsidRDefault="00ED7579" w:rsidP="00ED7579">
      <w:pPr>
        <w:pStyle w:val="answer"/>
      </w:pPr>
      <w:r w:rsidRPr="00E600A2">
        <w:t>A.</w:t>
      </w:r>
      <w:r w:rsidRPr="00E600A2">
        <w:tab/>
      </w:r>
      <w:r w:rsidR="006737A7">
        <w:t xml:space="preserve">The </w:t>
      </w:r>
      <w:r w:rsidR="006737A7" w:rsidRPr="00E600A2">
        <w:t>Clean Air Rule (</w:t>
      </w:r>
      <w:r w:rsidR="009F02BA">
        <w:t>“</w:t>
      </w:r>
      <w:r w:rsidR="006737A7" w:rsidRPr="00E600A2">
        <w:t>CAR</w:t>
      </w:r>
      <w:r w:rsidR="009F02BA">
        <w:t>”</w:t>
      </w:r>
      <w:r w:rsidR="006737A7" w:rsidRPr="00E600A2">
        <w:t>)</w:t>
      </w:r>
      <w:r w:rsidR="006737A7">
        <w:t xml:space="preserve"> </w:t>
      </w:r>
      <w:r w:rsidR="001F202E">
        <w:t xml:space="preserve">was </w:t>
      </w:r>
      <w:r w:rsidR="00E87AC9" w:rsidRPr="00E87AC9">
        <w:t>established in September 2016 by the Washington State Department of Ecology</w:t>
      </w:r>
      <w:r w:rsidR="00557C8E">
        <w:t xml:space="preserve"> (</w:t>
      </w:r>
      <w:r w:rsidR="009F02BA">
        <w:t>“</w:t>
      </w:r>
      <w:r w:rsidR="00557C8E">
        <w:t>Ecology</w:t>
      </w:r>
      <w:r w:rsidR="009F02BA">
        <w:t>”</w:t>
      </w:r>
      <w:r w:rsidR="00557C8E">
        <w:t>)</w:t>
      </w:r>
      <w:r w:rsidR="00E87AC9" w:rsidRPr="00E87AC9">
        <w:t xml:space="preserve"> under the state</w:t>
      </w:r>
      <w:r w:rsidR="009F02BA">
        <w:t>’</w:t>
      </w:r>
      <w:r w:rsidR="00E87AC9" w:rsidRPr="00E87AC9">
        <w:t xml:space="preserve">s Clean Air Act. Its purpose is to establish greenhouse gas emission standards for certain large emitters and reduce </w:t>
      </w:r>
      <w:r w:rsidR="006129C4">
        <w:t>greenhouse gas (</w:t>
      </w:r>
      <w:r w:rsidR="009F02BA">
        <w:t>“</w:t>
      </w:r>
      <w:proofErr w:type="spellStart"/>
      <w:r w:rsidR="00E87AC9" w:rsidRPr="00E87AC9">
        <w:t>GHG</w:t>
      </w:r>
      <w:proofErr w:type="spellEnd"/>
      <w:r w:rsidR="009F02BA">
        <w:t>”</w:t>
      </w:r>
      <w:r w:rsidR="006129C4">
        <w:t>)</w:t>
      </w:r>
      <w:r w:rsidR="00E87AC9" w:rsidRPr="00E87AC9">
        <w:t xml:space="preserve"> emissions. It establishes </w:t>
      </w:r>
      <w:proofErr w:type="spellStart"/>
      <w:r w:rsidR="00E87AC9" w:rsidRPr="00E87AC9">
        <w:t>GHG</w:t>
      </w:r>
      <w:proofErr w:type="spellEnd"/>
      <w:r w:rsidR="00E87AC9" w:rsidRPr="00E87AC9">
        <w:t xml:space="preserve"> emission standards for certain stationary sources, petroleum product producers and importers, and natural gas distributors. It requires covered parties to </w:t>
      </w:r>
      <w:r w:rsidR="000C6F4A">
        <w:t xml:space="preserve">essentially </w:t>
      </w:r>
      <w:r w:rsidR="00E87AC9" w:rsidRPr="00E87AC9">
        <w:t>cap their emission of greenhouse gases starting in 2017 and reduce their emissions thereafter.</w:t>
      </w:r>
    </w:p>
    <w:p w:rsidR="00573E4C" w:rsidRPr="00E600A2" w:rsidRDefault="00174A22" w:rsidP="0068529D">
      <w:pPr>
        <w:pStyle w:val="answer"/>
        <w:ind w:firstLine="0"/>
      </w:pPr>
      <w:r>
        <w:rPr>
          <w:b/>
          <w:noProof/>
          <w:lang w:eastAsia="en-US"/>
        </w:rPr>
        <mc:AlternateContent>
          <mc:Choice Requires="wpg">
            <w:drawing>
              <wp:anchor distT="0" distB="0" distL="114300" distR="114300" simplePos="0" relativeHeight="251731968" behindDoc="0" locked="0" layoutInCell="1" allowOverlap="1" wp14:anchorId="61D7FDA1" wp14:editId="3629E74D">
                <wp:simplePos x="0" y="0"/>
                <wp:positionH relativeFrom="column">
                  <wp:posOffset>1890395</wp:posOffset>
                </wp:positionH>
                <wp:positionV relativeFrom="paragraph">
                  <wp:posOffset>1885315</wp:posOffset>
                </wp:positionV>
                <wp:extent cx="1546860" cy="6502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650240"/>
                          <a:chOff x="4401" y="11656"/>
                          <a:chExt cx="4320" cy="780"/>
                        </a:xfrm>
                      </wpg:grpSpPr>
                      <wps:wsp>
                        <wps:cNvPr id="25"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A609B9"/>
                          </w:txbxContent>
                        </wps:txbx>
                        <wps:bodyPr rot="0" vert="horz" wrap="square" lIns="91440" tIns="91440" rIns="91440" bIns="91440" anchor="t" anchorCtr="0" upright="1">
                          <a:noAutofit/>
                        </wps:bodyPr>
                      </wps:wsp>
                      <wps:wsp>
                        <wps:cNvPr id="29"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7C3D2B" w:rsidP="00A609B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A609B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8" style="position:absolute;left:0;text-align:left;margin-left:148.85pt;margin-top:148.45pt;width:121.8pt;height:51.2pt;z-index:251731968"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">
                <v:shape id="Text Box 12" o:spid="_x0000_s1039"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sxMQA&#10;AADbAAAADwAAAGRycy9kb3ducmV2LnhtbESPQWvCQBSE74X+h+UVems2hlZC6ipFKNRbq2J7fGRf&#10;NsHs25DdxNRf7wqCx2FmvmEWq8m2YqTeN44VzJIUBHHpdMNGwX73+ZKD8AFZY+uYFPyTh9Xy8WGB&#10;hXYn/qFxG4yIEPYFKqhD6AopfVmTRZ+4jjh6lesthih7I3WPpwi3rczSdC4tNhwXauxoXVN53A5W&#10;wa+Zb9rv/Kir17/zYWaGcVxvKqWen6aPdxCBpnAP39pfWkH2B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8bMTEAAAA2wAAAA8AAAAAAAAAAAAAAAAAmAIAAGRycy9k&#10;b3ducmV2LnhtbFBLBQYAAAAABAAEAPUAAACJAwAAAAA=&#10;" fillcolor="gray" stroked="f">
                  <v:textbox inset=",7.2pt,,7.2pt">
                    <w:txbxContent>
                      <w:p w:rsidR="007C3D2B" w:rsidRDefault="007C3D2B" w:rsidP="00A609B9"/>
                    </w:txbxContent>
                  </v:textbox>
                </v:shape>
                <v:shape id="Text Box 13" o:spid="_x0000_s1040"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vg8IA&#10;AADbAAAADwAAAGRycy9kb3ducmV2LnhtbERPTWuDQBS8F/oflhfIpcS1KZXEZhOKEAheSkzw/HBf&#10;VeK+te5G7b/vFgq9zTBfzO4wm06MNLjWsoLnKAZBXFndcq3gejmuNiCcR9bYWSYF3+TgsH982GGq&#10;7cRnGgtfi1DCLkUFjfd9KqWrGjLoItsTB+3TDgZ9oEMt9YBTKDedXMdxIg22HBYa7ClrqLoVd6Mg&#10;y8sAz18fZfnSvSZ5MWVPWa3UcjG/v4HwNPt/81/6pBWst/D7Jf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q+DwgAAANsAAAAPAAAAAAAAAAAAAAAAAJgCAABkcnMvZG93&#10;bnJldi54bWxQSwUGAAAAAAQABAD1AAAAhwMAAAAA&#10;" strokeweight="1.5pt">
                  <v:textbox inset=",7.2pt,,7.2pt">
                    <w:txbxContent>
                      <w:p w:rsidR="007C3D2B" w:rsidRDefault="007C3D2B" w:rsidP="00A609B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A609B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v:textbox>
                </v:shape>
              </v:group>
            </w:pict>
          </mc:Fallback>
        </mc:AlternateContent>
      </w:r>
      <w:r w:rsidR="00E87AC9" w:rsidRPr="00E87AC9">
        <w:t xml:space="preserve">Initially, covered parties that are responsible for 100,000 metric tons of </w:t>
      </w:r>
      <w:proofErr w:type="spellStart"/>
      <w:r w:rsidR="00E87AC9" w:rsidRPr="00E87AC9">
        <w:t>GHG</w:t>
      </w:r>
      <w:proofErr w:type="spellEnd"/>
      <w:r w:rsidR="00E87AC9" w:rsidRPr="00E87AC9">
        <w:t xml:space="preserve"> </w:t>
      </w:r>
      <w:r w:rsidR="00DC6B10">
        <w:t xml:space="preserve">emissions </w:t>
      </w:r>
      <w:r w:rsidR="00E87AC9" w:rsidRPr="00E87AC9">
        <w:t xml:space="preserve">annually are required to reduce their emissions or offset those emissions beginning in 2017. This 100,000 ton threshold is reduced every three years until it reaches 70,000 metric tons in 2035. Actual average emissions </w:t>
      </w:r>
      <w:r w:rsidR="002F4038">
        <w:t>for</w:t>
      </w:r>
      <w:r w:rsidR="00E87AC9" w:rsidRPr="00E87AC9">
        <w:t xml:space="preserve"> 2012</w:t>
      </w:r>
      <w:r w:rsidR="002F4038">
        <w:t>-2016</w:t>
      </w:r>
      <w:r w:rsidR="00E87AC9" w:rsidRPr="00E87AC9">
        <w:t xml:space="preserve"> </w:t>
      </w:r>
      <w:r w:rsidR="002F4038">
        <w:t>will be</w:t>
      </w:r>
      <w:r w:rsidR="00E87AC9" w:rsidRPr="00E87AC9">
        <w:t xml:space="preserve"> used to determine whether a party exceeds the threshold.</w:t>
      </w:r>
      <w:r w:rsidR="007669E1">
        <w:t xml:space="preserve"> </w:t>
      </w:r>
      <w:r w:rsidR="007669E1" w:rsidRPr="00E87AC9">
        <w:t xml:space="preserve">The </w:t>
      </w:r>
      <w:r w:rsidR="007669E1" w:rsidRPr="00E87AC9">
        <w:lastRenderedPageBreak/>
        <w:t>rule contains a description of how the baseline</w:t>
      </w:r>
      <w:r w:rsidR="007669E1">
        <w:t xml:space="preserve"> cap</w:t>
      </w:r>
      <w:r w:rsidR="007669E1" w:rsidRPr="00E87AC9">
        <w:t xml:space="preserve"> for each stationary source will be established and reduced over time by the Department of Ecology.</w:t>
      </w:r>
    </w:p>
    <w:p w:rsidR="00E87AC9" w:rsidRPr="00E600A2" w:rsidRDefault="00E87AC9" w:rsidP="00E87AC9">
      <w:pPr>
        <w:pStyle w:val="question"/>
      </w:pPr>
      <w:r w:rsidRPr="00E600A2">
        <w:t>Q.</w:t>
      </w:r>
      <w:r w:rsidRPr="00E600A2">
        <w:tab/>
      </w:r>
      <w:r w:rsidRPr="00E87AC9">
        <w:t>Which of PSE</w:t>
      </w:r>
      <w:r w:rsidR="009F02BA">
        <w:t>’</w:t>
      </w:r>
      <w:r w:rsidRPr="00E87AC9">
        <w:t xml:space="preserve">s generating plants </w:t>
      </w:r>
      <w:r w:rsidR="00816B70">
        <w:t>are likely to</w:t>
      </w:r>
      <w:r w:rsidR="00816B70" w:rsidRPr="00E87AC9">
        <w:t xml:space="preserve"> </w:t>
      </w:r>
      <w:r w:rsidRPr="00E87AC9">
        <w:t>have caps?</w:t>
      </w:r>
    </w:p>
    <w:p w:rsidR="00E87AC9" w:rsidRPr="00E600A2" w:rsidRDefault="00E87AC9" w:rsidP="00E87AC9">
      <w:pPr>
        <w:pStyle w:val="answer"/>
      </w:pPr>
      <w:r w:rsidRPr="00E600A2">
        <w:t>A.</w:t>
      </w:r>
      <w:r w:rsidRPr="00E600A2">
        <w:tab/>
      </w:r>
      <w:r w:rsidR="007669E1">
        <w:t xml:space="preserve">Based on the description of caps in the rule and historical emissions data, </w:t>
      </w:r>
      <w:r w:rsidR="00080DD9">
        <w:t>PSE estimates that s</w:t>
      </w:r>
      <w:r w:rsidRPr="00E87AC9">
        <w:t>ix of PSE</w:t>
      </w:r>
      <w:r w:rsidR="009F02BA">
        <w:t>’</w:t>
      </w:r>
      <w:r w:rsidRPr="00E87AC9">
        <w:t xml:space="preserve">s ten natural gas fired generation plants will have caps effective in the first compliance period, which is 2017-2019. The rule also applies to the remaining four gas fired plants, but their historical emissions are below the threshold for participation in the caps in the first compliance period. The six </w:t>
      </w:r>
      <w:r w:rsidR="001F202E">
        <w:t xml:space="preserve">units </w:t>
      </w:r>
      <w:r w:rsidRPr="00E87AC9">
        <w:t xml:space="preserve">that </w:t>
      </w:r>
      <w:r w:rsidR="00B6106F">
        <w:t xml:space="preserve">PSE </w:t>
      </w:r>
      <w:r w:rsidR="00557C8E">
        <w:t>expect</w:t>
      </w:r>
      <w:r w:rsidR="00B6106F">
        <w:t>s</w:t>
      </w:r>
      <w:r w:rsidR="00557C8E">
        <w:t xml:space="preserve"> to</w:t>
      </w:r>
      <w:r w:rsidRPr="00E87AC9">
        <w:t xml:space="preserve"> h</w:t>
      </w:r>
      <w:r w:rsidR="0068529D">
        <w:t>ave caps are all combined-cycle</w:t>
      </w:r>
      <w:r w:rsidRPr="00E87AC9">
        <w:t xml:space="preserve"> units, and they are </w:t>
      </w:r>
      <w:proofErr w:type="spellStart"/>
      <w:r w:rsidRPr="00E87AC9">
        <w:t>Encogen</w:t>
      </w:r>
      <w:proofErr w:type="spellEnd"/>
      <w:r w:rsidRPr="00E87AC9">
        <w:t xml:space="preserve">, Ferndale, </w:t>
      </w:r>
      <w:r w:rsidR="0068529D" w:rsidRPr="00E87AC9">
        <w:t>Frederickson</w:t>
      </w:r>
      <w:r w:rsidR="0068529D">
        <w:t> </w:t>
      </w:r>
      <w:r w:rsidRPr="00E87AC9">
        <w:t>1</w:t>
      </w:r>
      <w:r w:rsidR="0068529D">
        <w:t xml:space="preserve"> (combined-cycle)</w:t>
      </w:r>
      <w:r w:rsidRPr="00E87AC9">
        <w:t xml:space="preserve">, Goldendale, Mint Farm and Sumas. </w:t>
      </w:r>
      <w:r w:rsidR="00FB7AC0">
        <w:t xml:space="preserve">PSE expects </w:t>
      </w:r>
      <w:r w:rsidRPr="00E87AC9">
        <w:t>four plants with simple</w:t>
      </w:r>
      <w:r w:rsidR="0068529D">
        <w:t>-</w:t>
      </w:r>
      <w:r w:rsidRPr="00E87AC9">
        <w:t>cycle combustion turbines</w:t>
      </w:r>
      <w:r w:rsidR="00EF4436">
        <w:t xml:space="preserve"> </w:t>
      </w:r>
      <w:r w:rsidR="00557C8E">
        <w:t>to be</w:t>
      </w:r>
      <w:r w:rsidRPr="00E87AC9">
        <w:t xml:space="preserve"> below the </w:t>
      </w:r>
      <w:r w:rsidR="002F4038">
        <w:t xml:space="preserve">initial </w:t>
      </w:r>
      <w:r w:rsidRPr="00E87AC9">
        <w:t>threshold</w:t>
      </w:r>
      <w:r w:rsidR="00FB7AC0">
        <w:t>.</w:t>
      </w:r>
      <w:r w:rsidRPr="00E87AC9">
        <w:t xml:space="preserve"> </w:t>
      </w:r>
      <w:r w:rsidR="00FB7AC0">
        <w:t>T</w:t>
      </w:r>
      <w:r w:rsidRPr="00E87AC9">
        <w:t>hey are Frederickson</w:t>
      </w:r>
      <w:r w:rsidR="0068529D">
        <w:t> </w:t>
      </w:r>
      <w:r w:rsidRPr="00E87AC9">
        <w:t>1 &amp; 2</w:t>
      </w:r>
      <w:r w:rsidR="0068529D">
        <w:t xml:space="preserve"> (simple-cycle units)</w:t>
      </w:r>
      <w:r w:rsidRPr="00E87AC9">
        <w:t>, Fredonia</w:t>
      </w:r>
      <w:r w:rsidR="00A06B5D">
        <w:t> </w:t>
      </w:r>
      <w:r w:rsidRPr="00E87AC9">
        <w:t>1</w:t>
      </w:r>
      <w:r w:rsidR="00A06B5D">
        <w:t> </w:t>
      </w:r>
      <w:r w:rsidRPr="00E87AC9">
        <w:t>&amp; 2, Fredonia</w:t>
      </w:r>
      <w:r w:rsidR="00A06B5D">
        <w:t> </w:t>
      </w:r>
      <w:r w:rsidRPr="00E87AC9">
        <w:t>3</w:t>
      </w:r>
      <w:r w:rsidR="00A06B5D">
        <w:t> </w:t>
      </w:r>
      <w:r w:rsidRPr="00E87AC9">
        <w:t xml:space="preserve">&amp; 4, and </w:t>
      </w:r>
      <w:proofErr w:type="spellStart"/>
      <w:r w:rsidRPr="00E87AC9">
        <w:t>Whitehorn</w:t>
      </w:r>
      <w:proofErr w:type="spellEnd"/>
      <w:r w:rsidRPr="00E87AC9">
        <w:t>.</w:t>
      </w:r>
    </w:p>
    <w:p w:rsidR="00ED7579" w:rsidRPr="00E600A2" w:rsidRDefault="00ED7579" w:rsidP="00ED7579">
      <w:pPr>
        <w:pStyle w:val="question"/>
      </w:pPr>
      <w:r w:rsidRPr="00E600A2">
        <w:t>Q.</w:t>
      </w:r>
      <w:r w:rsidRPr="00E600A2">
        <w:tab/>
        <w:t>How will PSE</w:t>
      </w:r>
      <w:r w:rsidR="009F02BA">
        <w:t>’</w:t>
      </w:r>
      <w:r w:rsidRPr="00E600A2">
        <w:t xml:space="preserve">s </w:t>
      </w:r>
      <w:r w:rsidR="00E87AC9">
        <w:t xml:space="preserve">electric </w:t>
      </w:r>
      <w:r w:rsidRPr="00E600A2">
        <w:t>operation</w:t>
      </w:r>
      <w:r w:rsidR="00727157">
        <w:t>s</w:t>
      </w:r>
      <w:r w:rsidRPr="00E600A2">
        <w:t xml:space="preserve"> be impacted by CAR?</w:t>
      </w:r>
    </w:p>
    <w:p w:rsidR="00ED7579" w:rsidRPr="00E600A2" w:rsidRDefault="00ED7579" w:rsidP="00ED7579">
      <w:pPr>
        <w:pStyle w:val="answer"/>
      </w:pPr>
      <w:r w:rsidRPr="00E600A2">
        <w:t>A.</w:t>
      </w:r>
      <w:r w:rsidRPr="00E600A2">
        <w:tab/>
      </w:r>
      <w:r w:rsidR="00E87AC9" w:rsidRPr="00E87AC9">
        <w:t xml:space="preserve">To comply with the rule, PSE will have to </w:t>
      </w:r>
      <w:r w:rsidR="000C6F4A">
        <w:t xml:space="preserve">either </w:t>
      </w:r>
      <w:r w:rsidR="00E87AC9" w:rsidRPr="00E87AC9">
        <w:t xml:space="preserve">reduce its use of these plants below historical levels and below the optimal levels projected in </w:t>
      </w:r>
      <w:proofErr w:type="spellStart"/>
      <w:r w:rsidR="00E87AC9" w:rsidRPr="00E87AC9">
        <w:t>AURORA</w:t>
      </w:r>
      <w:r w:rsidR="009F02BA">
        <w:t>’</w:t>
      </w:r>
      <w:r w:rsidR="00E87AC9" w:rsidRPr="00E87AC9">
        <w:t>s</w:t>
      </w:r>
      <w:proofErr w:type="spellEnd"/>
      <w:r w:rsidR="00E87AC9" w:rsidRPr="00E87AC9">
        <w:t xml:space="preserve"> economic dispatch for the rate year</w:t>
      </w:r>
      <w:r w:rsidR="000C6F4A">
        <w:t xml:space="preserve"> or acquire offsets</w:t>
      </w:r>
      <w:r w:rsidR="00E87AC9" w:rsidRPr="00E87AC9">
        <w:t xml:space="preserve">. In order to meet its load, PSE will </w:t>
      </w:r>
      <w:r w:rsidR="00AC3987">
        <w:t xml:space="preserve">have to </w:t>
      </w:r>
      <w:r w:rsidR="00E87AC9" w:rsidRPr="00E87AC9">
        <w:t>acquire ener</w:t>
      </w:r>
      <w:r w:rsidR="00F16317">
        <w:t xml:space="preserve">gy </w:t>
      </w:r>
      <w:r w:rsidR="00AC3987">
        <w:t>through</w:t>
      </w:r>
      <w:r w:rsidR="00E87AC9" w:rsidRPr="00E87AC9">
        <w:t xml:space="preserve"> market purchases</w:t>
      </w:r>
      <w:r w:rsidR="00AC3987">
        <w:t xml:space="preserve"> </w:t>
      </w:r>
      <w:r w:rsidR="00AC3987" w:rsidRPr="00AC3987">
        <w:t>and</w:t>
      </w:r>
      <w:r w:rsidR="00F16317" w:rsidRPr="009C26CE">
        <w:t xml:space="preserve"> alter</w:t>
      </w:r>
      <w:r w:rsidR="00F16317" w:rsidRPr="00AC3987">
        <w:t xml:space="preserve"> the way it uses other </w:t>
      </w:r>
      <w:proofErr w:type="spellStart"/>
      <w:r w:rsidR="00F16317" w:rsidRPr="00AC3987">
        <w:t>dispatchable</w:t>
      </w:r>
      <w:proofErr w:type="spellEnd"/>
      <w:r w:rsidR="00F16317" w:rsidRPr="00AC3987">
        <w:t xml:space="preserve"> resources to meet load.</w:t>
      </w:r>
    </w:p>
    <w:p w:rsidR="00877A7E" w:rsidRPr="00E600A2" w:rsidRDefault="00877A7E" w:rsidP="00877A7E">
      <w:pPr>
        <w:pStyle w:val="question"/>
      </w:pPr>
      <w:r w:rsidRPr="00E600A2">
        <w:lastRenderedPageBreak/>
        <w:t>Q.</w:t>
      </w:r>
      <w:r w:rsidRPr="00E600A2">
        <w:tab/>
      </w:r>
      <w:r>
        <w:t>How did PSE account for the impacts of CAR in its rate year power costs in this proceeding</w:t>
      </w:r>
      <w:r w:rsidRPr="00E600A2">
        <w:t>?</w:t>
      </w:r>
    </w:p>
    <w:p w:rsidR="00877A7E" w:rsidRDefault="00877A7E" w:rsidP="00DA456E">
      <w:pPr>
        <w:pStyle w:val="answer"/>
      </w:pPr>
      <w:r w:rsidRPr="00E600A2">
        <w:t>A.</w:t>
      </w:r>
      <w:r w:rsidRPr="00E600A2">
        <w:tab/>
      </w:r>
      <w:r>
        <w:t xml:space="preserve">PSE calculated emissions caps for its combined cycle units consistent with the </w:t>
      </w:r>
      <w:r w:rsidR="000C6F4A">
        <w:t xml:space="preserve">methodology </w:t>
      </w:r>
      <w:r>
        <w:t>descri</w:t>
      </w:r>
      <w:r w:rsidR="000C6F4A">
        <w:t>bed</w:t>
      </w:r>
      <w:r>
        <w:t xml:space="preserve"> in the rule. These limits were placed on the units in AURORA, </w:t>
      </w:r>
      <w:r w:rsidR="00F405CA">
        <w:t xml:space="preserve">the hourly dispatch model used to forecast power costs, </w:t>
      </w:r>
      <w:r>
        <w:t>and the model was run with the emissions constraints in place.</w:t>
      </w:r>
      <w:r w:rsidR="00F7421E">
        <w:t xml:space="preserve"> The AURORA output reflects the dispatch of PSE resources and market purchases with the CAR emissions limits in place.</w:t>
      </w:r>
    </w:p>
    <w:p w:rsidR="00866BF4" w:rsidRDefault="00E6746A" w:rsidP="00E64745">
      <w:pPr>
        <w:pStyle w:val="Heading1"/>
      </w:pPr>
      <w:bookmarkStart w:id="36" w:name="_Toc471319037"/>
      <w:r>
        <w:t>IX</w:t>
      </w:r>
      <w:r w:rsidR="00866BF4">
        <w:t>.</w:t>
      </w:r>
      <w:r w:rsidR="00866BF4">
        <w:tab/>
        <w:t>PROJECTED RATE YEAR POWER COSTS</w:t>
      </w:r>
      <w:bookmarkEnd w:id="36"/>
    </w:p>
    <w:p w:rsidR="00866BF4" w:rsidRDefault="00866BF4" w:rsidP="00E64745">
      <w:pPr>
        <w:pStyle w:val="Heading2"/>
      </w:pPr>
      <w:bookmarkStart w:id="37" w:name="_Toc471319038"/>
      <w:r>
        <w:t>A.</w:t>
      </w:r>
      <w:r>
        <w:tab/>
        <w:t>Overview of Projected Power Costs for this Proceeding</w:t>
      </w:r>
      <w:bookmarkEnd w:id="37"/>
    </w:p>
    <w:p w:rsidR="00A561C3" w:rsidRDefault="00A561C3" w:rsidP="00A561C3">
      <w:pPr>
        <w:pStyle w:val="question"/>
      </w:pPr>
      <w:r>
        <w:t>Q.</w:t>
      </w:r>
      <w:r>
        <w:tab/>
        <w:t>What is included in PSE</w:t>
      </w:r>
      <w:r w:rsidR="009F02BA">
        <w:t>’</w:t>
      </w:r>
      <w:r>
        <w:t>s power costs?</w:t>
      </w:r>
    </w:p>
    <w:p w:rsidR="00A561C3" w:rsidRDefault="00A561C3" w:rsidP="00A561C3">
      <w:pPr>
        <w:pStyle w:val="answer"/>
      </w:pPr>
      <w:r>
        <w:t>A.</w:t>
      </w:r>
      <w:r>
        <w:tab/>
        <w:t>Power cost</w:t>
      </w:r>
      <w:r w:rsidR="00273599">
        <w:t>s</w:t>
      </w:r>
      <w:r>
        <w:t xml:space="preserve"> include the costs of fuel to run</w:t>
      </w:r>
      <w:r w:rsidR="009E4667">
        <w:t xml:space="preserve"> generating units, purchased power, and third party transmission</w:t>
      </w:r>
      <w:r>
        <w:t>.</w:t>
      </w:r>
      <w:r w:rsidR="00273599">
        <w:t xml:space="preserve"> Specifically, power costs include costs of coal, gas and oil to run thermal generators, long term power purchase agreements, other market purchases and sales, fixed and variable costs of upstream natural gas transportation and storage, BPA transmission, and various other power costs.</w:t>
      </w:r>
    </w:p>
    <w:p w:rsidR="00A561C3" w:rsidRDefault="00A561C3" w:rsidP="00A561C3">
      <w:pPr>
        <w:pStyle w:val="question"/>
      </w:pPr>
      <w:r>
        <w:lastRenderedPageBreak/>
        <w:t>Q.</w:t>
      </w:r>
      <w:r>
        <w:tab/>
        <w:t>Please quantify PSE</w:t>
      </w:r>
      <w:r w:rsidR="009F02BA">
        <w:t>’</w:t>
      </w:r>
      <w:r>
        <w:t>s net power cost projection for this proceeding.</w:t>
      </w:r>
    </w:p>
    <w:p w:rsidR="00A561C3" w:rsidRDefault="00A561C3" w:rsidP="00564992">
      <w:pPr>
        <w:pStyle w:val="answer"/>
        <w:keepNext/>
        <w:keepLines/>
      </w:pPr>
      <w:r>
        <w:t>A.</w:t>
      </w:r>
      <w:r>
        <w:tab/>
        <w:t>As shown in Table 14 below, PSE</w:t>
      </w:r>
      <w:r w:rsidR="009F02BA">
        <w:t>’</w:t>
      </w:r>
      <w:r>
        <w:t xml:space="preserve">s projected rate year net power costs are </w:t>
      </w:r>
      <w:r w:rsidRPr="00DA456E">
        <w:t>$</w:t>
      </w:r>
      <w:r w:rsidR="00BD4833">
        <w:t>745</w:t>
      </w:r>
      <w:r w:rsidR="00F405CA">
        <w:t>.3</w:t>
      </w:r>
      <w:r>
        <w:t> million.</w:t>
      </w:r>
    </w:p>
    <w:p w:rsidR="00E64745" w:rsidRPr="00281C78" w:rsidRDefault="00E64745" w:rsidP="00E64745">
      <w:pPr>
        <w:pStyle w:val="TableHeader"/>
        <w:ind w:left="1530" w:right="1620"/>
      </w:pPr>
      <w:r>
        <w:t>Table</w:t>
      </w:r>
      <w:r w:rsidR="004E2D98">
        <w:t> </w:t>
      </w:r>
      <w:r>
        <w:t>1</w:t>
      </w:r>
      <w:r w:rsidR="004E2D98">
        <w:t>4</w:t>
      </w:r>
      <w:r>
        <w:t>. Projected Rate Year Power Costs</w:t>
      </w:r>
      <w:r>
        <w:br/>
        <w:t>($ in thousand</w:t>
      </w:r>
      <w:r w:rsidRPr="00281C78">
        <w:t>s)</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1286"/>
      </w:tblGrid>
      <w:tr w:rsidR="00E64745" w:rsidRPr="00281C78" w:rsidTr="00837D01">
        <w:trPr>
          <w:jc w:val="center"/>
        </w:trPr>
        <w:tc>
          <w:tcPr>
            <w:tcW w:w="4054" w:type="dxa"/>
          </w:tcPr>
          <w:p w:rsidR="00E64745" w:rsidRPr="00281C78" w:rsidRDefault="00E64745" w:rsidP="00E64745">
            <w:pPr>
              <w:pStyle w:val="answer"/>
              <w:keepNext/>
              <w:keepLines/>
              <w:spacing w:before="60" w:after="60" w:line="240" w:lineRule="auto"/>
              <w:ind w:left="0" w:firstLine="0"/>
            </w:pPr>
            <w:r w:rsidRPr="00281C78">
              <w:t>AURORA</w:t>
            </w:r>
          </w:p>
        </w:tc>
        <w:tc>
          <w:tcPr>
            <w:tcW w:w="1286" w:type="dxa"/>
          </w:tcPr>
          <w:p w:rsidR="00E64745" w:rsidRPr="00281C78" w:rsidRDefault="00E64745" w:rsidP="00281C78">
            <w:pPr>
              <w:pStyle w:val="answer"/>
              <w:keepNext/>
              <w:keepLines/>
              <w:spacing w:before="60" w:after="60" w:line="240" w:lineRule="auto"/>
              <w:ind w:left="0" w:right="10" w:firstLine="0"/>
              <w:jc w:val="right"/>
            </w:pPr>
            <w:r w:rsidRPr="00281C78">
              <w:t>$</w:t>
            </w:r>
            <w:r w:rsidR="00281C78" w:rsidRPr="00281C78">
              <w:t>493,630</w:t>
            </w:r>
          </w:p>
        </w:tc>
      </w:tr>
      <w:tr w:rsidR="00E64745" w:rsidRPr="00281C78" w:rsidTr="00837D01">
        <w:trPr>
          <w:jc w:val="center"/>
        </w:trPr>
        <w:tc>
          <w:tcPr>
            <w:tcW w:w="4054" w:type="dxa"/>
          </w:tcPr>
          <w:p w:rsidR="00E64745" w:rsidRPr="00281C78" w:rsidRDefault="009F4557" w:rsidP="00E64745">
            <w:pPr>
              <w:pStyle w:val="answer"/>
              <w:keepNext/>
              <w:keepLines/>
              <w:spacing w:before="60" w:after="60" w:line="240" w:lineRule="auto"/>
              <w:ind w:left="0" w:firstLine="0"/>
            </w:pPr>
            <w:r>
              <w:t>Costs not in AURORA</w:t>
            </w:r>
          </w:p>
        </w:tc>
        <w:tc>
          <w:tcPr>
            <w:tcW w:w="1286" w:type="dxa"/>
          </w:tcPr>
          <w:p w:rsidR="00E64745" w:rsidRPr="00281C78" w:rsidRDefault="00E64745" w:rsidP="00F405CA">
            <w:pPr>
              <w:pStyle w:val="answer"/>
              <w:keepNext/>
              <w:keepLines/>
              <w:spacing w:before="60" w:after="60" w:line="240" w:lineRule="auto"/>
              <w:ind w:left="0" w:right="10" w:firstLine="0"/>
              <w:jc w:val="right"/>
            </w:pPr>
            <w:r w:rsidRPr="00281C78">
              <w:t>$</w:t>
            </w:r>
            <w:r w:rsidR="00281C78" w:rsidRPr="00281C78">
              <w:t>25</w:t>
            </w:r>
            <w:r w:rsidR="00F405CA">
              <w:t>1</w:t>
            </w:r>
            <w:r w:rsidR="00281C78" w:rsidRPr="00281C78">
              <w:t>,</w:t>
            </w:r>
            <w:r w:rsidR="00BD4833">
              <w:t>646</w:t>
            </w:r>
          </w:p>
        </w:tc>
      </w:tr>
      <w:tr w:rsidR="00E64745" w:rsidRPr="00974C91" w:rsidTr="00837D01">
        <w:trPr>
          <w:jc w:val="center"/>
        </w:trPr>
        <w:tc>
          <w:tcPr>
            <w:tcW w:w="4054" w:type="dxa"/>
            <w:tcBorders>
              <w:top w:val="double" w:sz="4" w:space="0" w:color="auto"/>
            </w:tcBorders>
          </w:tcPr>
          <w:p w:rsidR="00E64745" w:rsidRPr="00281C78" w:rsidRDefault="00E64745" w:rsidP="000C6F4A">
            <w:pPr>
              <w:pStyle w:val="answer"/>
              <w:spacing w:before="60" w:after="60" w:line="240" w:lineRule="auto"/>
              <w:ind w:left="0" w:firstLine="0"/>
              <w:rPr>
                <w:b/>
              </w:rPr>
            </w:pPr>
            <w:r w:rsidRPr="00281C78">
              <w:rPr>
                <w:b/>
              </w:rPr>
              <w:t>Projected Rate Year Power Costs</w:t>
            </w:r>
          </w:p>
        </w:tc>
        <w:tc>
          <w:tcPr>
            <w:tcW w:w="1286" w:type="dxa"/>
            <w:tcBorders>
              <w:top w:val="double" w:sz="4" w:space="0" w:color="auto"/>
            </w:tcBorders>
          </w:tcPr>
          <w:p w:rsidR="00E64745" w:rsidRPr="00281C78" w:rsidRDefault="00E64745" w:rsidP="00F405CA">
            <w:pPr>
              <w:pStyle w:val="answer"/>
              <w:spacing w:before="60" w:after="60" w:line="240" w:lineRule="auto"/>
              <w:ind w:left="0" w:right="10" w:firstLine="0"/>
              <w:jc w:val="right"/>
              <w:rPr>
                <w:b/>
              </w:rPr>
            </w:pPr>
            <w:r w:rsidRPr="00281C78">
              <w:rPr>
                <w:b/>
              </w:rPr>
              <w:t>$</w:t>
            </w:r>
            <w:r w:rsidR="00281C78" w:rsidRPr="00281C78">
              <w:rPr>
                <w:b/>
              </w:rPr>
              <w:t>7</w:t>
            </w:r>
            <w:r w:rsidR="00BD4833">
              <w:rPr>
                <w:b/>
              </w:rPr>
              <w:t>45,276</w:t>
            </w:r>
          </w:p>
        </w:tc>
      </w:tr>
    </w:tbl>
    <w:p w:rsidR="00866BF4" w:rsidRDefault="00866BF4" w:rsidP="001069D7">
      <w:pPr>
        <w:pStyle w:val="answer"/>
        <w:spacing w:before="360"/>
        <w:ind w:firstLine="0"/>
      </w:pPr>
      <w:r>
        <w:t>Please see Exhibit No.</w:t>
      </w:r>
      <w:r w:rsidR="001069D7">
        <w:t> </w:t>
      </w:r>
      <w:r>
        <w:t>___(</w:t>
      </w:r>
      <w:r w:rsidR="009E4667">
        <w:t>PKW</w:t>
      </w:r>
      <w:r>
        <w:t>-</w:t>
      </w:r>
      <w:r w:rsidR="00D44A9C">
        <w:t>3</w:t>
      </w:r>
      <w:r>
        <w:t>) for PSE</w:t>
      </w:r>
      <w:r w:rsidR="009F02BA">
        <w:t>’</w:t>
      </w:r>
      <w:r>
        <w:t>s projected rate year net power costs.</w:t>
      </w:r>
      <w:r w:rsidR="00404C71">
        <w:t xml:space="preserve"> </w:t>
      </w:r>
      <w:r>
        <w:t xml:space="preserve">Please also see the </w:t>
      </w:r>
      <w:proofErr w:type="spellStart"/>
      <w:r>
        <w:t>Prefiled</w:t>
      </w:r>
      <w:proofErr w:type="spellEnd"/>
      <w:r>
        <w:t xml:space="preserve"> Direct Testimony of Katherine</w:t>
      </w:r>
      <w:r w:rsidR="001069D7">
        <w:t> J.</w:t>
      </w:r>
      <w:r>
        <w:t xml:space="preserve"> Barnard, Exhibit No.</w:t>
      </w:r>
      <w:r w:rsidR="001069D7">
        <w:t> </w:t>
      </w:r>
      <w:r>
        <w:t>___(KJB-1T), for the adjustment of PSE</w:t>
      </w:r>
      <w:r w:rsidR="009F02BA">
        <w:t>’</w:t>
      </w:r>
      <w:r>
        <w:t xml:space="preserve">s projected rate year power costs to test year levels and the </w:t>
      </w:r>
      <w:proofErr w:type="spellStart"/>
      <w:r>
        <w:t>Prefiled</w:t>
      </w:r>
      <w:proofErr w:type="spellEnd"/>
      <w:r>
        <w:t xml:space="preserve"> Direct Testimony of Ronald</w:t>
      </w:r>
      <w:r w:rsidR="001069D7">
        <w:t> </w:t>
      </w:r>
      <w:r>
        <w:t>J. Roberts, Exhibit No.</w:t>
      </w:r>
      <w:r w:rsidR="001069D7">
        <w:t> </w:t>
      </w:r>
      <w:r>
        <w:t>___(RJR-1CT), for PSE</w:t>
      </w:r>
      <w:r w:rsidR="009F02BA">
        <w:t>’</w:t>
      </w:r>
      <w:r>
        <w:t>s projected rate year production operations and maintenance costs.</w:t>
      </w:r>
    </w:p>
    <w:p w:rsidR="00866BF4" w:rsidRDefault="00866BF4" w:rsidP="00866BF4">
      <w:pPr>
        <w:pStyle w:val="question"/>
      </w:pPr>
      <w:r>
        <w:t>Q.</w:t>
      </w:r>
      <w:r>
        <w:tab/>
        <w:t>Please describe how PSE projected its net power costs in this proceeding.</w:t>
      </w:r>
    </w:p>
    <w:p w:rsidR="00866BF4" w:rsidRDefault="00866BF4" w:rsidP="003870C5">
      <w:pPr>
        <w:pStyle w:val="answer"/>
      </w:pPr>
      <w:r>
        <w:t>A.</w:t>
      </w:r>
      <w:r>
        <w:tab/>
        <w:t xml:space="preserve">PSE developed projected power costs for the rate year months </w:t>
      </w:r>
      <w:r w:rsidR="000306CA">
        <w:t>January</w:t>
      </w:r>
      <w:r w:rsidR="001069D7">
        <w:t> </w:t>
      </w:r>
      <w:r>
        <w:t>201</w:t>
      </w:r>
      <w:r w:rsidR="000306CA">
        <w:t>8</w:t>
      </w:r>
      <w:r>
        <w:t xml:space="preserve"> through </w:t>
      </w:r>
      <w:r w:rsidR="003870C5">
        <w:t>December</w:t>
      </w:r>
      <w:r w:rsidR="001069D7">
        <w:t> </w:t>
      </w:r>
      <w:r>
        <w:t>2018 based on the information available to PSE during the preparation of the initial filing in this proceeding. These projected power costs are consistent with PSE</w:t>
      </w:r>
      <w:r w:rsidR="009F02BA">
        <w:t>’</w:t>
      </w:r>
      <w:r>
        <w:t>s prior rate c</w:t>
      </w:r>
      <w:r w:rsidR="0068529D">
        <w:t>ases except as otherwise noted.</w:t>
      </w:r>
    </w:p>
    <w:p w:rsidR="00866BF4" w:rsidRDefault="00866BF4" w:rsidP="0068529D">
      <w:pPr>
        <w:pStyle w:val="answer"/>
        <w:ind w:firstLine="0"/>
      </w:pPr>
      <w:r>
        <w:t xml:space="preserve">As in prior cases, PSE used the AURORA hourly dispatch model to project a </w:t>
      </w:r>
      <w:r w:rsidRPr="00D32BCC">
        <w:t>portion</w:t>
      </w:r>
      <w:r>
        <w:t xml:space="preserve"> of its net power costs for the rate year.</w:t>
      </w:r>
      <w:r w:rsidR="00404C71">
        <w:t xml:space="preserve"> </w:t>
      </w:r>
      <w:r>
        <w:t xml:space="preserve">The remaining rate year power costs </w:t>
      </w:r>
      <w:r w:rsidR="00DC6B10">
        <w:t>we</w:t>
      </w:r>
      <w:r>
        <w:t xml:space="preserve">re calculated outside of the AURORA model and are referred to as </w:t>
      </w:r>
      <w:r w:rsidR="009F02BA">
        <w:t>“</w:t>
      </w:r>
      <w:r w:rsidR="00EC474F">
        <w:t xml:space="preserve">Costs not </w:t>
      </w:r>
      <w:r>
        <w:t xml:space="preserve">in </w:t>
      </w:r>
      <w:r w:rsidR="00EC474F">
        <w:t>AURORA</w:t>
      </w:r>
      <w:r w:rsidR="00153DB6">
        <w:t>.</w:t>
      </w:r>
      <w:r w:rsidR="009F02BA">
        <w:t>”</w:t>
      </w:r>
    </w:p>
    <w:p w:rsidR="00866BF4" w:rsidRDefault="00866BF4" w:rsidP="00866BF4">
      <w:pPr>
        <w:pStyle w:val="question"/>
      </w:pPr>
      <w:r>
        <w:lastRenderedPageBreak/>
        <w:t>Q.</w:t>
      </w:r>
      <w:r>
        <w:tab/>
      </w:r>
      <w:r w:rsidR="00A85998">
        <w:t>Is</w:t>
      </w:r>
      <w:r>
        <w:t xml:space="preserve"> the AURORA model</w:t>
      </w:r>
      <w:r w:rsidR="00A85998">
        <w:t xml:space="preserve"> used in power costs the same as that used for evaluating transmission renewals</w:t>
      </w:r>
      <w:r>
        <w:t>?</w:t>
      </w:r>
    </w:p>
    <w:p w:rsidR="00BB3ABF" w:rsidRDefault="00866BF4" w:rsidP="00866BF4">
      <w:pPr>
        <w:pStyle w:val="answer"/>
      </w:pPr>
      <w:r>
        <w:t>A.</w:t>
      </w:r>
      <w:r>
        <w:tab/>
        <w:t xml:space="preserve">The AURORA </w:t>
      </w:r>
      <w:r w:rsidR="00A85998">
        <w:t xml:space="preserve">software is the same program used for transmission renewals discussed earlier in this testimony. However, the AURORA analysis used to estimate power costs for the rate year in this proceeding is distinct from the AURORA </w:t>
      </w:r>
      <w:r w:rsidR="00C7230D">
        <w:t>data</w:t>
      </w:r>
      <w:r w:rsidR="00A85998">
        <w:t xml:space="preserve"> used to evaluate transmission contracts</w:t>
      </w:r>
      <w:r w:rsidR="00C7230D">
        <w:t xml:space="preserve"> discussed earlier in this testimony</w:t>
      </w:r>
      <w:r w:rsidR="00A85998">
        <w:t>.</w:t>
      </w:r>
    </w:p>
    <w:p w:rsidR="00BB3ABF" w:rsidRDefault="00BB3ABF" w:rsidP="00BB3ABF">
      <w:pPr>
        <w:pStyle w:val="question"/>
      </w:pPr>
      <w:r>
        <w:t>Q.</w:t>
      </w:r>
      <w:r>
        <w:tab/>
        <w:t>What costs are projected using the AURORA model?</w:t>
      </w:r>
    </w:p>
    <w:p w:rsidR="00866BF4" w:rsidRDefault="0068529D" w:rsidP="0068529D">
      <w:pPr>
        <w:pStyle w:val="answer"/>
      </w:pPr>
      <w:r>
        <w:t>A.</w:t>
      </w:r>
      <w:r>
        <w:tab/>
      </w:r>
      <w:r w:rsidR="00A85998">
        <w:t xml:space="preserve">In the power costs analysis, </w:t>
      </w:r>
      <w:r w:rsidR="00866BF4">
        <w:t>AURORA produces a forecast of regional power prices</w:t>
      </w:r>
      <w:r w:rsidR="00A61A5F">
        <w:t xml:space="preserve"> and the dispatch of PSE</w:t>
      </w:r>
      <w:r w:rsidR="009F02BA">
        <w:t>’</w:t>
      </w:r>
      <w:r w:rsidR="00A61A5F">
        <w:t xml:space="preserve">s generating </w:t>
      </w:r>
      <w:r w:rsidR="00A61A5F" w:rsidRPr="00D32BCC">
        <w:t>units</w:t>
      </w:r>
      <w:r w:rsidR="00866BF4" w:rsidRPr="00D32BCC">
        <w:t>.</w:t>
      </w:r>
      <w:r w:rsidR="00A61A5F" w:rsidRPr="00D32BCC">
        <w:t xml:space="preserve"> The </w:t>
      </w:r>
      <w:r w:rsidR="001C4D9F" w:rsidRPr="00D32BCC">
        <w:t xml:space="preserve">variable </w:t>
      </w:r>
      <w:r w:rsidR="00A61A5F" w:rsidRPr="00D32BCC">
        <w:t>costs of</w:t>
      </w:r>
      <w:r w:rsidR="00A61A5F">
        <w:t xml:space="preserve"> fuel for PSE</w:t>
      </w:r>
      <w:r w:rsidR="009F02BA">
        <w:t>’</w:t>
      </w:r>
      <w:r w:rsidR="00A61A5F">
        <w:t xml:space="preserve">s resources, </w:t>
      </w:r>
      <w:r w:rsidR="00D32BCC">
        <w:t xml:space="preserve">certain </w:t>
      </w:r>
      <w:r w:rsidR="00A61A5F">
        <w:t>long-term power purchase agreements, and other market purchases and sales are estimate</w:t>
      </w:r>
      <w:r w:rsidR="006854BA">
        <w:t>d</w:t>
      </w:r>
      <w:r w:rsidR="00A61A5F">
        <w:t xml:space="preserve"> by AURORA and included in rate year power costs.</w:t>
      </w:r>
    </w:p>
    <w:p w:rsidR="00866BF4" w:rsidRDefault="00866BF4" w:rsidP="00866BF4">
      <w:pPr>
        <w:pStyle w:val="question"/>
      </w:pPr>
      <w:r>
        <w:t>Q.</w:t>
      </w:r>
      <w:r>
        <w:tab/>
        <w:t>Were there changes made to the AURORA hourly dispatch model since the 2014</w:t>
      </w:r>
      <w:r w:rsidR="001069D7">
        <w:t> </w:t>
      </w:r>
      <w:proofErr w:type="spellStart"/>
      <w:r>
        <w:t>PCORC</w:t>
      </w:r>
      <w:proofErr w:type="spellEnd"/>
      <w:r>
        <w:t xml:space="preserve">? </w:t>
      </w:r>
    </w:p>
    <w:p w:rsidR="00866BF4" w:rsidRPr="00F94530" w:rsidRDefault="00866BF4" w:rsidP="00866BF4">
      <w:pPr>
        <w:pStyle w:val="answer"/>
        <w:rPr>
          <w:highlight w:val="cyan"/>
        </w:rPr>
      </w:pPr>
      <w:r>
        <w:t>A.</w:t>
      </w:r>
      <w:r>
        <w:tab/>
      </w:r>
      <w:r w:rsidRPr="00222500">
        <w:t>Yes.</w:t>
      </w:r>
      <w:r w:rsidR="00404C71" w:rsidRPr="00222500">
        <w:t xml:space="preserve"> </w:t>
      </w:r>
      <w:r w:rsidRPr="00222500">
        <w:t>EPIS, Inc. (</w:t>
      </w:r>
      <w:r w:rsidR="009F02BA">
        <w:t>“</w:t>
      </w:r>
      <w:r w:rsidRPr="00222500">
        <w:t>EPIS</w:t>
      </w:r>
      <w:r w:rsidR="009F02BA">
        <w:t>”</w:t>
      </w:r>
      <w:r w:rsidRPr="00222500">
        <w:t>), the developer of the AURORA hourly dispatch model, provides periodic software and database updates.</w:t>
      </w:r>
      <w:r w:rsidR="00404C71" w:rsidRPr="00222500">
        <w:t xml:space="preserve"> </w:t>
      </w:r>
      <w:r w:rsidRPr="00222500">
        <w:t xml:space="preserve">The software version of AURORA used in this filing is </w:t>
      </w:r>
      <w:r w:rsidR="001069D7" w:rsidRPr="00222500">
        <w:t>Version </w:t>
      </w:r>
      <w:r w:rsidRPr="00222500">
        <w:t>12.</w:t>
      </w:r>
      <w:r w:rsidR="00AF64A7" w:rsidRPr="00222500">
        <w:t>1</w:t>
      </w:r>
      <w:r w:rsidRPr="00222500">
        <w:t>.1</w:t>
      </w:r>
      <w:r w:rsidR="00AF64A7" w:rsidRPr="00222500">
        <w:t>057</w:t>
      </w:r>
      <w:r w:rsidRPr="00222500">
        <w:t xml:space="preserve">, which EPIS issued on </w:t>
      </w:r>
      <w:r w:rsidR="00AF64A7" w:rsidRPr="00222500">
        <w:t>August</w:t>
      </w:r>
      <w:r w:rsidR="00EB5AB4">
        <w:t> </w:t>
      </w:r>
      <w:r w:rsidR="00AF64A7" w:rsidRPr="00222500">
        <w:t>1</w:t>
      </w:r>
      <w:r w:rsidRPr="00222500">
        <w:t>, 201</w:t>
      </w:r>
      <w:r w:rsidR="00AF64A7" w:rsidRPr="00222500">
        <w:t>6</w:t>
      </w:r>
      <w:r w:rsidRPr="00222500">
        <w:t>.</w:t>
      </w:r>
      <w:r w:rsidR="00404C71" w:rsidRPr="00222500">
        <w:t xml:space="preserve"> </w:t>
      </w:r>
      <w:r w:rsidRPr="00222500">
        <w:t>The database used is the North American Database</w:t>
      </w:r>
      <w:r w:rsidR="001069D7" w:rsidRPr="00222500">
        <w:t> </w:t>
      </w:r>
      <w:r w:rsidRPr="00222500">
        <w:t>2015.01 (</w:t>
      </w:r>
      <w:r w:rsidR="009F02BA">
        <w:t>“</w:t>
      </w:r>
      <w:r w:rsidRPr="00222500">
        <w:t>2015.01</w:t>
      </w:r>
      <w:r w:rsidR="001069D7" w:rsidRPr="00222500">
        <w:t> </w:t>
      </w:r>
      <w:r w:rsidRPr="00222500">
        <w:t>Database</w:t>
      </w:r>
      <w:r w:rsidR="009F02BA">
        <w:t>”</w:t>
      </w:r>
      <w:r w:rsidRPr="00222500">
        <w:t xml:space="preserve">), which EPIS issued </w:t>
      </w:r>
      <w:r w:rsidR="00222500" w:rsidRPr="00222500">
        <w:t>i</w:t>
      </w:r>
      <w:r w:rsidRPr="00222500">
        <w:t>n April</w:t>
      </w:r>
      <w:r w:rsidR="001069D7" w:rsidRPr="00222500">
        <w:t> </w:t>
      </w:r>
      <w:r w:rsidRPr="00222500">
        <w:t>2015.</w:t>
      </w:r>
      <w:r w:rsidR="00404C71" w:rsidRPr="00222500">
        <w:t xml:space="preserve"> </w:t>
      </w:r>
      <w:r w:rsidRPr="00222500">
        <w:t>EPIS updated the resource, demand, financial, and regional data within the 2015.01</w:t>
      </w:r>
      <w:r w:rsidR="001069D7" w:rsidRPr="00222500">
        <w:t> </w:t>
      </w:r>
      <w:r w:rsidRPr="00222500">
        <w:t xml:space="preserve">Database to </w:t>
      </w:r>
      <w:r w:rsidRPr="00222500">
        <w:lastRenderedPageBreak/>
        <w:t>reflect more recent data, information and economic conditions than those included in the AURORA d</w:t>
      </w:r>
      <w:r w:rsidR="001069D7" w:rsidRPr="00222500">
        <w:t>atabase used in the 2014 </w:t>
      </w:r>
      <w:proofErr w:type="spellStart"/>
      <w:r w:rsidR="001069D7" w:rsidRPr="00222500">
        <w:t>PCORC</w:t>
      </w:r>
      <w:proofErr w:type="spellEnd"/>
      <w:r w:rsidR="001069D7" w:rsidRPr="00222500">
        <w:t>.</w:t>
      </w:r>
      <w:r w:rsidR="00C82937" w:rsidRPr="00222500">
        <w:rPr>
          <w:rStyle w:val="FootnoteReference"/>
        </w:rPr>
        <w:footnoteReference w:id="11"/>
      </w:r>
    </w:p>
    <w:p w:rsidR="00866BF4" w:rsidRPr="00222500" w:rsidRDefault="00866BF4" w:rsidP="00866BF4">
      <w:pPr>
        <w:pStyle w:val="question"/>
      </w:pPr>
      <w:r w:rsidRPr="00222500">
        <w:t>Q.</w:t>
      </w:r>
      <w:r w:rsidRPr="00222500">
        <w:tab/>
        <w:t xml:space="preserve">Is AURORA </w:t>
      </w:r>
      <w:r w:rsidR="001069D7" w:rsidRPr="00222500">
        <w:t>V</w:t>
      </w:r>
      <w:r w:rsidRPr="00222500">
        <w:t>ersion</w:t>
      </w:r>
      <w:r w:rsidR="001069D7" w:rsidRPr="00222500">
        <w:t> </w:t>
      </w:r>
      <w:r w:rsidRPr="00222500">
        <w:t>12.</w:t>
      </w:r>
      <w:r w:rsidR="00222500" w:rsidRPr="00222500">
        <w:t>1</w:t>
      </w:r>
      <w:r w:rsidRPr="00222500">
        <w:t>.</w:t>
      </w:r>
      <w:r w:rsidR="00222500" w:rsidRPr="00222500">
        <w:t>1057</w:t>
      </w:r>
      <w:r w:rsidRPr="00222500">
        <w:t xml:space="preserve"> the most recent version of AURORA available?</w:t>
      </w:r>
    </w:p>
    <w:p w:rsidR="00866BF4" w:rsidRDefault="00866BF4" w:rsidP="00866BF4">
      <w:pPr>
        <w:pStyle w:val="answer"/>
      </w:pPr>
      <w:r w:rsidRPr="00222500">
        <w:t>A.</w:t>
      </w:r>
      <w:r w:rsidRPr="00222500">
        <w:tab/>
        <w:t>No.</w:t>
      </w:r>
      <w:r w:rsidR="00404C71" w:rsidRPr="00222500">
        <w:t xml:space="preserve"> </w:t>
      </w:r>
      <w:r w:rsidRPr="00222500">
        <w:t xml:space="preserve">EPIS recently issued </w:t>
      </w:r>
      <w:r w:rsidR="001069D7" w:rsidRPr="00222500">
        <w:t>V</w:t>
      </w:r>
      <w:r w:rsidRPr="00222500">
        <w:t>ersion</w:t>
      </w:r>
      <w:r w:rsidR="001069D7" w:rsidRPr="00222500">
        <w:t> </w:t>
      </w:r>
      <w:r w:rsidRPr="00222500">
        <w:t>12.</w:t>
      </w:r>
      <w:r w:rsidR="00222500" w:rsidRPr="00222500">
        <w:t>2</w:t>
      </w:r>
      <w:r w:rsidRPr="00222500">
        <w:t>.</w:t>
      </w:r>
      <w:r w:rsidR="006854BA" w:rsidRPr="00222500">
        <w:t>10</w:t>
      </w:r>
      <w:r w:rsidR="006854BA">
        <w:t xml:space="preserve">25 </w:t>
      </w:r>
      <w:r w:rsidRPr="00222500">
        <w:t xml:space="preserve">on </w:t>
      </w:r>
      <w:r w:rsidR="006854BA">
        <w:t>November</w:t>
      </w:r>
      <w:r w:rsidR="006854BA" w:rsidRPr="00222500">
        <w:t> </w:t>
      </w:r>
      <w:r w:rsidR="006854BA">
        <w:t>17</w:t>
      </w:r>
      <w:r w:rsidRPr="00222500">
        <w:t>, 201</w:t>
      </w:r>
      <w:r w:rsidR="00222500" w:rsidRPr="00222500">
        <w:t>6</w:t>
      </w:r>
      <w:r w:rsidRPr="00222500">
        <w:t>—long after PSE had begun its power cost modeling for this filing.</w:t>
      </w:r>
    </w:p>
    <w:p w:rsidR="00866BF4" w:rsidRDefault="00866BF4" w:rsidP="00866BF4">
      <w:pPr>
        <w:pStyle w:val="question"/>
      </w:pPr>
      <w:r>
        <w:t>Q.</w:t>
      </w:r>
      <w:r>
        <w:tab/>
        <w:t>Please explain PSE</w:t>
      </w:r>
      <w:r w:rsidR="009F02BA">
        <w:t>’</w:t>
      </w:r>
      <w:r>
        <w:t xml:space="preserve">s projected </w:t>
      </w:r>
      <w:r w:rsidR="009F02BA">
        <w:t>“</w:t>
      </w:r>
      <w:r w:rsidR="009F4557">
        <w:t>Costs not in AURORA</w:t>
      </w:r>
      <w:r w:rsidR="009F02BA">
        <w:t>”</w:t>
      </w:r>
      <w:r>
        <w:t xml:space="preserve"> power costs that are not calculated within the AURORA hourly dispatch model.</w:t>
      </w:r>
    </w:p>
    <w:p w:rsidR="00866BF4" w:rsidRDefault="00866BF4" w:rsidP="00866BF4">
      <w:pPr>
        <w:pStyle w:val="answer"/>
      </w:pPr>
      <w:r>
        <w:t>A.</w:t>
      </w:r>
      <w:r>
        <w:tab/>
        <w:t>Consistent with prior cases, PSE</w:t>
      </w:r>
      <w:r w:rsidR="009F02BA">
        <w:t>’</w:t>
      </w:r>
      <w:r>
        <w:t xml:space="preserve">s projected power costs also include costs that are not calculated within the AURORA hourly dispatch model and are called </w:t>
      </w:r>
      <w:r w:rsidR="009F02BA">
        <w:t>“</w:t>
      </w:r>
      <w:r w:rsidR="00EC474F">
        <w:t>Costs not in AURORA</w:t>
      </w:r>
      <w:r w:rsidR="009F02BA">
        <w:t>”</w:t>
      </w:r>
      <w:r>
        <w:t>.</w:t>
      </w:r>
      <w:r w:rsidR="00404C71">
        <w:t xml:space="preserve"> </w:t>
      </w:r>
      <w:r w:rsidR="009F02BA">
        <w:t>“</w:t>
      </w:r>
      <w:r w:rsidR="00EC474F">
        <w:t>Costs not in AURORA</w:t>
      </w:r>
      <w:r w:rsidR="009F02BA">
        <w:t>”</w:t>
      </w:r>
      <w:r>
        <w:t xml:space="preserve"> include items such as fixed coal supply costs</w:t>
      </w:r>
      <w:r w:rsidR="001C4D9F">
        <w:t xml:space="preserve"> (variable coal costs are included in AURORA)</w:t>
      </w:r>
      <w:r>
        <w:t>, mark-to-market for fixed-price gas for power contracts and basis differentials (fixed-price power contracts are included</w:t>
      </w:r>
      <w:r w:rsidR="001C4D9F">
        <w:t xml:space="preserve"> in AURORA</w:t>
      </w:r>
      <w:r>
        <w:t xml:space="preserve">), premiums and discounts associated with contracts priced at plus or minus index, fixed gas transportation charges (variable gas transportation charges are included in the AURORA model), contract costs for the Mid-C hydroelectric projects, amortization of regulatory assets, other power supply costs, peaking capacity costs, wind integration costs, transmission expenses, distillate fuel testing incremental costs, transmission reassignment </w:t>
      </w:r>
      <w:r>
        <w:lastRenderedPageBreak/>
        <w:t>revenues, and any other power supply costs not included in the AURORA hourly dispatch model.</w:t>
      </w:r>
    </w:p>
    <w:p w:rsidR="001B21F1" w:rsidRDefault="001B21F1" w:rsidP="001B21F1">
      <w:pPr>
        <w:pStyle w:val="question"/>
      </w:pPr>
      <w:r>
        <w:t>Q.</w:t>
      </w:r>
      <w:r>
        <w:tab/>
        <w:t xml:space="preserve">Have any new items been added to </w:t>
      </w:r>
      <w:r w:rsidR="000C6F4A">
        <w:t>“</w:t>
      </w:r>
      <w:r w:rsidR="00EC474F">
        <w:t>Costs not in AURORA</w:t>
      </w:r>
      <w:r w:rsidR="000C6F4A">
        <w:t>”</w:t>
      </w:r>
      <w:r w:rsidR="009845BE">
        <w:t xml:space="preserve"> </w:t>
      </w:r>
      <w:r>
        <w:t xml:space="preserve">since the </w:t>
      </w:r>
      <w:r w:rsidR="00DC6B10">
        <w:t>2014</w:t>
      </w:r>
      <w:r w:rsidR="000C6F4A">
        <w:t> </w:t>
      </w:r>
      <w:proofErr w:type="spellStart"/>
      <w:r w:rsidR="00DC6B10">
        <w:t>PCORC</w:t>
      </w:r>
      <w:proofErr w:type="spellEnd"/>
      <w:r>
        <w:t>?</w:t>
      </w:r>
    </w:p>
    <w:p w:rsidR="001B21F1" w:rsidRDefault="001B21F1" w:rsidP="001B21F1">
      <w:pPr>
        <w:pStyle w:val="answer"/>
      </w:pPr>
      <w:r>
        <w:t>A.</w:t>
      </w:r>
      <w:r>
        <w:tab/>
        <w:t xml:space="preserve">Yes, </w:t>
      </w:r>
      <w:r w:rsidR="00890483">
        <w:t>three</w:t>
      </w:r>
      <w:r w:rsidR="00EB5AB4">
        <w:t xml:space="preserve"> items have been added. </w:t>
      </w:r>
      <w:r>
        <w:t>As discussed above, PSE incurs costs associated with the EIM. Rate year forecasted power costs of $2.3</w:t>
      </w:r>
      <w:r w:rsidR="008F6098">
        <w:t> </w:t>
      </w:r>
      <w:r>
        <w:t xml:space="preserve">million are included as a </w:t>
      </w:r>
      <w:r w:rsidR="000C6F4A">
        <w:t>“</w:t>
      </w:r>
      <w:r w:rsidR="00EC474F">
        <w:t>Cost not in AURORA</w:t>
      </w:r>
      <w:r>
        <w:t>,</w:t>
      </w:r>
      <w:r w:rsidR="000C6F4A">
        <w:t>”</w:t>
      </w:r>
      <w:r>
        <w:t xml:space="preserve"> and </w:t>
      </w:r>
      <w:r w:rsidR="00A609B9">
        <w:t xml:space="preserve">approximately </w:t>
      </w:r>
      <w:r>
        <w:t>$8.5</w:t>
      </w:r>
      <w:r w:rsidR="008F6098">
        <w:t> </w:t>
      </w:r>
      <w:r>
        <w:t>million of power costs benefits are included to offset both the $2.3</w:t>
      </w:r>
      <w:r w:rsidR="008F6098">
        <w:t> </w:t>
      </w:r>
      <w:r>
        <w:t xml:space="preserve">million of power costs and the </w:t>
      </w:r>
      <w:r w:rsidR="009D3AD9">
        <w:t>$6.1</w:t>
      </w:r>
      <w:r w:rsidR="008F6098">
        <w:t> </w:t>
      </w:r>
      <w:r w:rsidR="009D3AD9">
        <w:t xml:space="preserve">million of </w:t>
      </w:r>
      <w:r>
        <w:t>rate base related costs.</w:t>
      </w:r>
    </w:p>
    <w:p w:rsidR="009D3AD9" w:rsidRDefault="009D3AD9" w:rsidP="009D3AD9">
      <w:pPr>
        <w:pStyle w:val="question"/>
      </w:pPr>
      <w:r>
        <w:t>Q.</w:t>
      </w:r>
      <w:r>
        <w:tab/>
        <w:t xml:space="preserve">What is the second item that has been added to </w:t>
      </w:r>
      <w:r w:rsidR="000C6F4A">
        <w:t>“</w:t>
      </w:r>
      <w:r w:rsidR="00EC474F">
        <w:t>Costs not in AURORA</w:t>
      </w:r>
      <w:r w:rsidR="000C6F4A">
        <w:t>”</w:t>
      </w:r>
      <w:r w:rsidR="00486F20">
        <w:t xml:space="preserve"> </w:t>
      </w:r>
      <w:r>
        <w:t xml:space="preserve">since the </w:t>
      </w:r>
      <w:r w:rsidR="00973881">
        <w:t>201</w:t>
      </w:r>
      <w:r w:rsidR="00DC6B10">
        <w:t>4</w:t>
      </w:r>
      <w:r w:rsidR="00973881">
        <w:t xml:space="preserve"> </w:t>
      </w:r>
      <w:proofErr w:type="spellStart"/>
      <w:r w:rsidR="00973881">
        <w:t>P</w:t>
      </w:r>
      <w:r w:rsidR="00DC6B10">
        <w:t>CORC</w:t>
      </w:r>
      <w:proofErr w:type="spellEnd"/>
      <w:r>
        <w:t>?</w:t>
      </w:r>
    </w:p>
    <w:p w:rsidR="00BB03A4" w:rsidRDefault="009D3AD9" w:rsidP="00837D01">
      <w:pPr>
        <w:pStyle w:val="answer"/>
      </w:pPr>
      <w:r>
        <w:t>A.</w:t>
      </w:r>
      <w:r>
        <w:tab/>
        <w:t xml:space="preserve">The costs of balancing reserves and contingency reserves are a </w:t>
      </w:r>
      <w:r w:rsidR="003735A0">
        <w:t>c</w:t>
      </w:r>
      <w:r w:rsidR="00EC474F">
        <w:t>ost not in AURORA</w:t>
      </w:r>
      <w:r>
        <w:t xml:space="preserve">. These costs are in addition to the wind integration cost that was included in the 2014 </w:t>
      </w:r>
      <w:proofErr w:type="spellStart"/>
      <w:r>
        <w:t>PCORC</w:t>
      </w:r>
      <w:proofErr w:type="spellEnd"/>
      <w:r>
        <w:t>. While AURORA is a powerful least-cost dispatch model, it does not fully incorporate PSE</w:t>
      </w:r>
      <w:r w:rsidR="009F02BA">
        <w:t>’</w:t>
      </w:r>
      <w:r>
        <w:t>s real time capacity reserve obligations into its dispatch of generating resources. PSE uses its Hour Ahead Balancing Model to estimate all of the costs of balancing generation wi</w:t>
      </w:r>
      <w:r w:rsidR="00EF4436">
        <w:t>th load on an hour ahead basis.</w:t>
      </w:r>
    </w:p>
    <w:p w:rsidR="00B14DEE" w:rsidRPr="00B14DEE" w:rsidRDefault="004B655E" w:rsidP="00BB03A4">
      <w:pPr>
        <w:pStyle w:val="answer"/>
        <w:rPr>
          <w:b/>
        </w:rPr>
      </w:pPr>
      <w:r w:rsidRPr="00B14DEE">
        <w:rPr>
          <w:b/>
        </w:rPr>
        <w:t>Q.</w:t>
      </w:r>
      <w:r w:rsidR="00A06B5D">
        <w:rPr>
          <w:b/>
        </w:rPr>
        <w:tab/>
        <w:t>What are contingency reserves?</w:t>
      </w:r>
    </w:p>
    <w:p w:rsidR="004B655E" w:rsidRPr="00C16640" w:rsidRDefault="00B14DEE" w:rsidP="00B14DEE">
      <w:pPr>
        <w:pStyle w:val="answer"/>
      </w:pPr>
      <w:r>
        <w:t>A.</w:t>
      </w:r>
      <w:r>
        <w:tab/>
      </w:r>
      <w:r w:rsidR="004B655E" w:rsidRPr="00310290">
        <w:t xml:space="preserve">As a </w:t>
      </w:r>
      <w:r w:rsidR="001F202E" w:rsidRPr="00310290">
        <w:t>Balancing Authority</w:t>
      </w:r>
      <w:r w:rsidR="00EF4436">
        <w:t>,</w:t>
      </w:r>
      <w:r w:rsidR="004B655E" w:rsidRPr="00310290">
        <w:t xml:space="preserve"> PSE is required by the North American Electric Reliability Corporation (</w:t>
      </w:r>
      <w:r w:rsidR="009F02BA">
        <w:t>“</w:t>
      </w:r>
      <w:r w:rsidR="004B655E" w:rsidRPr="00310290">
        <w:t>NERC</w:t>
      </w:r>
      <w:r w:rsidR="009F02BA">
        <w:t>”</w:t>
      </w:r>
      <w:r w:rsidR="004B655E" w:rsidRPr="00310290">
        <w:t>) to fulfill a Contingency Reserve Obligation</w:t>
      </w:r>
      <w:r w:rsidR="004B655E" w:rsidRPr="00C16640">
        <w:t xml:space="preserve">. Contingency reserves are capacity reserves that </w:t>
      </w:r>
      <w:r w:rsidR="00EF4436">
        <w:t>Balancing Authority</w:t>
      </w:r>
      <w:r w:rsidR="00EF4436" w:rsidRPr="00C16640">
        <w:t xml:space="preserve"> </w:t>
      </w:r>
      <w:r w:rsidR="004B655E" w:rsidRPr="00C16640">
        <w:t xml:space="preserve">operators are </w:t>
      </w:r>
      <w:r w:rsidR="004B655E" w:rsidRPr="00C16640">
        <w:lastRenderedPageBreak/>
        <w:t xml:space="preserve">required to provide to help maintain the stability of the bulk power system during system disturbance events such as a generating unit tripping offline or an unexpected transmission line outage. They are incremental reserves, which means the </w:t>
      </w:r>
      <w:r w:rsidR="00EF4436">
        <w:t>Balancing Authority</w:t>
      </w:r>
      <w:r w:rsidR="004B655E" w:rsidRPr="00C16640">
        <w:t xml:space="preserve"> operator must have the ability to increase generation in the event of a disturbance to maintain its </w:t>
      </w:r>
      <w:r w:rsidR="00EF4436" w:rsidRPr="00310290">
        <w:t>Contingency Reserve Obligation</w:t>
      </w:r>
      <w:r w:rsidR="004B655E" w:rsidRPr="00C16640">
        <w:t xml:space="preserve">. In the </w:t>
      </w:r>
      <w:proofErr w:type="spellStart"/>
      <w:r w:rsidR="004B655E" w:rsidRPr="00C16640">
        <w:t>WECC</w:t>
      </w:r>
      <w:proofErr w:type="spellEnd"/>
      <w:r w:rsidR="004B655E" w:rsidRPr="00C16640">
        <w:t xml:space="preserve">, contingency reserves are defined as three percent of the load in the </w:t>
      </w:r>
      <w:r w:rsidR="00EF4436">
        <w:t>Balancing Authority</w:t>
      </w:r>
      <w:r w:rsidR="00EF4436" w:rsidRPr="00C16640">
        <w:t xml:space="preserve"> </w:t>
      </w:r>
      <w:r w:rsidR="004B655E" w:rsidRPr="00C16640">
        <w:t xml:space="preserve">plus three percent of online generation located within the </w:t>
      </w:r>
      <w:r w:rsidR="009845BE">
        <w:t>Balancing Authority</w:t>
      </w:r>
      <w:r w:rsidR="004B655E" w:rsidRPr="00C16640">
        <w:t xml:space="preserve">. Fifty percent of the </w:t>
      </w:r>
      <w:r w:rsidR="00EF4436" w:rsidRPr="00310290">
        <w:t>Contingency Reserve Obligation</w:t>
      </w:r>
      <w:r w:rsidR="004B655E" w:rsidRPr="00C16640">
        <w:t xml:space="preserve"> must be maintained by generating units that are online (spinning), and up to 50 percent can be provided by units that are offline but can be brought online within 10 minutes (non-spinning). </w:t>
      </w:r>
    </w:p>
    <w:p w:rsidR="004B655E" w:rsidRPr="00CD27D9" w:rsidRDefault="004B655E" w:rsidP="004B655E">
      <w:pPr>
        <w:pStyle w:val="question"/>
      </w:pPr>
      <w:r w:rsidRPr="00CD27D9">
        <w:t>Q.</w:t>
      </w:r>
      <w:r w:rsidRPr="00CD27D9">
        <w:tab/>
      </w:r>
      <w:r>
        <w:t>What are balancing reserves?</w:t>
      </w:r>
    </w:p>
    <w:p w:rsidR="004B655E" w:rsidRPr="00310290" w:rsidRDefault="004B655E" w:rsidP="004B655E">
      <w:pPr>
        <w:pStyle w:val="answer"/>
      </w:pPr>
      <w:r w:rsidRPr="00310290">
        <w:t>A.</w:t>
      </w:r>
      <w:r w:rsidRPr="00310290">
        <w:tab/>
        <w:t xml:space="preserve">A </w:t>
      </w:r>
      <w:r w:rsidR="00EF4436">
        <w:t>Balancing Authority</w:t>
      </w:r>
      <w:r w:rsidR="00EF4436" w:rsidRPr="00310290">
        <w:t xml:space="preserve"> </w:t>
      </w:r>
      <w:r w:rsidRPr="00310290">
        <w:t xml:space="preserve">operator must have sufficient capacity reserves available to continuously balance load and generation with its </w:t>
      </w:r>
      <w:r w:rsidR="009845BE">
        <w:t>Balancing Authority</w:t>
      </w:r>
      <w:r w:rsidR="009845BE" w:rsidRPr="00310290">
        <w:t xml:space="preserve"> </w:t>
      </w:r>
      <w:r w:rsidRPr="00310290">
        <w:t xml:space="preserve">pursuant to NERC and </w:t>
      </w:r>
      <w:proofErr w:type="spellStart"/>
      <w:r w:rsidRPr="00310290">
        <w:t>WECC</w:t>
      </w:r>
      <w:proofErr w:type="spellEnd"/>
      <w:r w:rsidRPr="00310290">
        <w:t xml:space="preserve"> reliability criteria. As loads and output from generating resources vary within an hour, the </w:t>
      </w:r>
      <w:r w:rsidR="009845BE">
        <w:t>Balancing Authority</w:t>
      </w:r>
      <w:r w:rsidR="009845BE" w:rsidRPr="00310290">
        <w:t xml:space="preserve"> </w:t>
      </w:r>
      <w:r w:rsidRPr="00310290">
        <w:t xml:space="preserve">operator must re-dispatch generation in real time so that overall </w:t>
      </w:r>
      <w:r w:rsidR="009845BE">
        <w:t>Balancing Authority</w:t>
      </w:r>
      <w:r w:rsidR="009845BE" w:rsidRPr="00310290">
        <w:t xml:space="preserve"> </w:t>
      </w:r>
      <w:r w:rsidRPr="00310290">
        <w:t xml:space="preserve">load equals overall </w:t>
      </w:r>
      <w:r w:rsidR="009845BE">
        <w:t>Balancing Authority</w:t>
      </w:r>
      <w:r w:rsidR="009845BE" w:rsidRPr="00310290">
        <w:t xml:space="preserve"> </w:t>
      </w:r>
      <w:r w:rsidRPr="00310290">
        <w:t xml:space="preserve">generation on an instantaneous basis. The contingency reserves described above cannot be used for balancing and therefore create additional costs for PSE. The need for balancing reserves is driven by variability in both the output from generating resources and load. Balancing reserves are both incremental and </w:t>
      </w:r>
      <w:proofErr w:type="spellStart"/>
      <w:r w:rsidRPr="00310290">
        <w:t>decremental</w:t>
      </w:r>
      <w:proofErr w:type="spellEnd"/>
      <w:r w:rsidRPr="00310290">
        <w:t xml:space="preserve">, that is, the </w:t>
      </w:r>
      <w:r w:rsidR="009845BE">
        <w:t>Balancing Authority</w:t>
      </w:r>
      <w:r w:rsidR="009845BE" w:rsidRPr="00310290">
        <w:t xml:space="preserve"> </w:t>
      </w:r>
      <w:r w:rsidRPr="00310290">
        <w:t>operator must be able to either increase or decrease generation on short notice.</w:t>
      </w:r>
    </w:p>
    <w:p w:rsidR="004B655E" w:rsidRDefault="004B655E" w:rsidP="004B655E">
      <w:pPr>
        <w:pStyle w:val="question"/>
      </w:pPr>
      <w:r w:rsidRPr="00CD27D9">
        <w:lastRenderedPageBreak/>
        <w:t>Q.</w:t>
      </w:r>
      <w:r w:rsidRPr="00CD27D9">
        <w:tab/>
      </w:r>
      <w:r>
        <w:t>How are balancing and contingency reserves related to wind integration?</w:t>
      </w:r>
    </w:p>
    <w:p w:rsidR="003735A0" w:rsidRDefault="004B655E" w:rsidP="004B655E">
      <w:pPr>
        <w:pStyle w:val="answer"/>
      </w:pPr>
      <w:r w:rsidRPr="00CD27D9">
        <w:t>A.</w:t>
      </w:r>
      <w:r w:rsidRPr="00CD27D9">
        <w:tab/>
      </w:r>
      <w:r>
        <w:t xml:space="preserve">Balancing reserves relate to variability in both generation and load. Since the 2007 </w:t>
      </w:r>
      <w:proofErr w:type="spellStart"/>
      <w:r>
        <w:t>GRC</w:t>
      </w:r>
      <w:proofErr w:type="spellEnd"/>
      <w:r w:rsidR="00A609B9">
        <w:t>,</w:t>
      </w:r>
      <w:r>
        <w:t xml:space="preserve"> PSE has included hour-ahead wind integration costs in its revenue requirement. These costs are a portion of the costs of maintaining balancing reserves specifically related to PSE</w:t>
      </w:r>
      <w:r w:rsidR="009F02BA">
        <w:t>’</w:t>
      </w:r>
      <w:r>
        <w:t xml:space="preserve">s Wild Horse Wind Facility. Wind integration costs do not include the costs related to the variability of other generating resources in the </w:t>
      </w:r>
      <w:r w:rsidR="009845BE">
        <w:t xml:space="preserve">Balancing Authority </w:t>
      </w:r>
      <w:r>
        <w:t>or load.</w:t>
      </w:r>
      <w:r w:rsidR="00EF4436">
        <w:t xml:space="preserve"> </w:t>
      </w:r>
      <w:r>
        <w:t xml:space="preserve">They are specific to wind only. Contingency reserves must be maintained in addition to balancing reserves and, again, create additional costs. </w:t>
      </w:r>
    </w:p>
    <w:p w:rsidR="004B655E" w:rsidRDefault="003735A0" w:rsidP="00837D01">
      <w:pPr>
        <w:pStyle w:val="question"/>
      </w:pPr>
      <w:r>
        <w:t>Q.</w:t>
      </w:r>
      <w:r>
        <w:tab/>
      </w:r>
      <w:r w:rsidR="004B655E">
        <w:t xml:space="preserve">Why is PSE including </w:t>
      </w:r>
      <w:r>
        <w:t xml:space="preserve">balancing and </w:t>
      </w:r>
      <w:r w:rsidR="004B655E">
        <w:t>contingency reserve costs in this proceeding?</w:t>
      </w:r>
    </w:p>
    <w:p w:rsidR="004B655E" w:rsidRDefault="004B655E" w:rsidP="004B655E">
      <w:pPr>
        <w:pStyle w:val="answer"/>
        <w:ind w:firstLine="0"/>
      </w:pPr>
      <w:r>
        <w:t>PSE is obligated to hold a portion of its resources in reserve to meet these reserve obligations. Managing these reserves requires holding back generation that would otherwise be used to meet the company</w:t>
      </w:r>
      <w:r w:rsidR="009F02BA">
        <w:t>’</w:t>
      </w:r>
      <w:r>
        <w:t>s load obligations.</w:t>
      </w:r>
      <w:r w:rsidR="00EF4436">
        <w:t xml:space="preserve"> </w:t>
      </w:r>
      <w:r>
        <w:t xml:space="preserve">The </w:t>
      </w:r>
      <w:r w:rsidR="003735A0">
        <w:t>forgone</w:t>
      </w:r>
      <w:r>
        <w:t xml:space="preserve"> generation is then replaced with higher cost </w:t>
      </w:r>
      <w:r w:rsidR="003735A0">
        <w:t>power</w:t>
      </w:r>
      <w:r>
        <w:t xml:space="preserve">. The wind integration costs, as previously included in rates, are only a portion of the total costs. </w:t>
      </w:r>
    </w:p>
    <w:p w:rsidR="004B655E" w:rsidRPr="000D5C5E" w:rsidRDefault="004B655E" w:rsidP="004B655E">
      <w:pPr>
        <w:pStyle w:val="question"/>
      </w:pPr>
      <w:r w:rsidRPr="000D5C5E">
        <w:t>Q.</w:t>
      </w:r>
      <w:r w:rsidRPr="000D5C5E">
        <w:tab/>
        <w:t>How did PSE calculate its balancing and contingency reserves costs?</w:t>
      </w:r>
    </w:p>
    <w:p w:rsidR="004B655E" w:rsidRDefault="004B655E" w:rsidP="004B655E">
      <w:pPr>
        <w:pStyle w:val="answer"/>
      </w:pPr>
      <w:r w:rsidRPr="00CD27D9">
        <w:t>A.</w:t>
      </w:r>
      <w:r w:rsidRPr="00CD27D9">
        <w:tab/>
      </w:r>
      <w:r>
        <w:t>Because AURORA does not incorporate PSE</w:t>
      </w:r>
      <w:r w:rsidR="009F02BA">
        <w:t>’</w:t>
      </w:r>
      <w:r>
        <w:t>s real time reserve obligations into its dispatch of PSE</w:t>
      </w:r>
      <w:r w:rsidR="009F02BA">
        <w:t>’</w:t>
      </w:r>
      <w:r>
        <w:t xml:space="preserve">s generating resources, PSE calculates these costs outside of AURORA using its </w:t>
      </w:r>
      <w:r w:rsidR="00EF4436">
        <w:t>Hour Ahead Balancing Model</w:t>
      </w:r>
      <w:r>
        <w:t xml:space="preserve">. PSE used a SAS based version of the </w:t>
      </w:r>
      <w:r w:rsidR="00EF4436">
        <w:t>Hour Ahead Balancing Model</w:t>
      </w:r>
      <w:r>
        <w:t xml:space="preserve"> to calculate wind integration costs in the 2013 and 2014 </w:t>
      </w:r>
      <w:proofErr w:type="spellStart"/>
      <w:r>
        <w:t>PCORCs</w:t>
      </w:r>
      <w:proofErr w:type="spellEnd"/>
      <w:r>
        <w:t xml:space="preserve">. The current version of the model is Excel based and is </w:t>
      </w:r>
      <w:r>
        <w:lastRenderedPageBreak/>
        <w:t>capable of estimating balancing reserves and operating reserves, including the wind integration reserves that have historically been included in the revenue requirement. There were four steps to quantifying the hour-ahead costs:</w:t>
      </w:r>
    </w:p>
    <w:p w:rsidR="00EF4436" w:rsidRDefault="004B655E" w:rsidP="00EF4436">
      <w:pPr>
        <w:pStyle w:val="List"/>
      </w:pPr>
      <w:r>
        <w:t>1.</w:t>
      </w:r>
      <w:r w:rsidR="00EF4436">
        <w:tab/>
      </w:r>
      <w:r>
        <w:t>Determine the overall hour ahead balancing and contingency</w:t>
      </w:r>
      <w:r w:rsidR="00EF4436">
        <w:t xml:space="preserve"> </w:t>
      </w:r>
      <w:r>
        <w:t>reserve need;</w:t>
      </w:r>
    </w:p>
    <w:p w:rsidR="00EF4436" w:rsidRDefault="004B655E" w:rsidP="00EF4436">
      <w:pPr>
        <w:pStyle w:val="List"/>
      </w:pPr>
      <w:r>
        <w:t>2.</w:t>
      </w:r>
      <w:r w:rsidR="00EF4436">
        <w:tab/>
      </w:r>
      <w:r w:rsidRPr="000D5C5E">
        <w:t>Perform a re-dispatch of PSE</w:t>
      </w:r>
      <w:r w:rsidR="009F02BA">
        <w:t>’</w:t>
      </w:r>
      <w:r w:rsidRPr="000D5C5E">
        <w:t>s generation resources from the</w:t>
      </w:r>
      <w:r w:rsidR="00EF4436">
        <w:t xml:space="preserve"> </w:t>
      </w:r>
      <w:r w:rsidRPr="000D5C5E">
        <w:t xml:space="preserve">AURORA model so that the resulting dispatch accounts for balancing and contingency reserves. This requires two runs of the </w:t>
      </w:r>
      <w:r w:rsidR="00EF4436">
        <w:t>Hour Ahead Balancing Model</w:t>
      </w:r>
      <w:r w:rsidRPr="000D5C5E">
        <w:t>, one that</w:t>
      </w:r>
      <w:r w:rsidR="00EF4436">
        <w:t xml:space="preserve"> </w:t>
      </w:r>
      <w:r w:rsidRPr="000D5C5E">
        <w:t xml:space="preserve">includes all reserve requirements and one that includes only </w:t>
      </w:r>
      <w:r w:rsidR="00DC6B10">
        <w:t xml:space="preserve">the </w:t>
      </w:r>
      <w:r w:rsidR="00EF4436" w:rsidRPr="00310290">
        <w:t>Contingency Reserve Obligation</w:t>
      </w:r>
      <w:r w:rsidRPr="000D5C5E">
        <w:t>;</w:t>
      </w:r>
    </w:p>
    <w:p w:rsidR="00EF4436" w:rsidRDefault="004B655E" w:rsidP="00EF4436">
      <w:pPr>
        <w:pStyle w:val="List"/>
      </w:pPr>
      <w:r>
        <w:t>3.</w:t>
      </w:r>
      <w:r w:rsidR="00EF4436">
        <w:tab/>
      </w:r>
      <w:r>
        <w:t>Calculate allocation factors that identify the relative</w:t>
      </w:r>
      <w:r w:rsidR="00EF4436">
        <w:t xml:space="preserve"> </w:t>
      </w:r>
      <w:r>
        <w:t>contributions of</w:t>
      </w:r>
      <w:r w:rsidRPr="009562AE">
        <w:t xml:space="preserve"> </w:t>
      </w:r>
      <w:r>
        <w:t xml:space="preserve">Wild Horse Wind Facility, load, and third party generation in the </w:t>
      </w:r>
      <w:r w:rsidR="009845BE">
        <w:t xml:space="preserve">Balancing Authority </w:t>
      </w:r>
      <w:r>
        <w:t>to balancing reserve requirements;</w:t>
      </w:r>
    </w:p>
    <w:p w:rsidR="004B655E" w:rsidRDefault="004B655E" w:rsidP="00EF4436">
      <w:pPr>
        <w:pStyle w:val="List"/>
      </w:pPr>
      <w:r>
        <w:t>4.</w:t>
      </w:r>
      <w:r w:rsidR="00EF4436">
        <w:tab/>
      </w:r>
      <w:r>
        <w:t>Allocate the estimated balancing reserve costs to Wild Horse</w:t>
      </w:r>
      <w:r w:rsidR="00EF4436">
        <w:t xml:space="preserve"> </w:t>
      </w:r>
      <w:r>
        <w:t xml:space="preserve">Wind Facility, load, and third party generation in the </w:t>
      </w:r>
      <w:r w:rsidR="009845BE">
        <w:t xml:space="preserve">Balancing Authority </w:t>
      </w:r>
      <w:r>
        <w:t>based on these allocation factors, and remove the third party</w:t>
      </w:r>
      <w:r w:rsidR="00EF4436">
        <w:t xml:space="preserve"> </w:t>
      </w:r>
      <w:r>
        <w:t>generation costs from the total because they are not recovered from</w:t>
      </w:r>
      <w:r w:rsidR="00EF4436">
        <w:t xml:space="preserve"> </w:t>
      </w:r>
      <w:r>
        <w:t>rates established in this proceeding.</w:t>
      </w:r>
    </w:p>
    <w:p w:rsidR="004B655E" w:rsidRPr="00C215C4" w:rsidRDefault="004B655E" w:rsidP="004B655E">
      <w:pPr>
        <w:pStyle w:val="question"/>
      </w:pPr>
      <w:r w:rsidRPr="00C215C4">
        <w:t>Q.</w:t>
      </w:r>
      <w:r w:rsidRPr="00C215C4">
        <w:tab/>
        <w:t>Please summarize the estimated hour ahead balancing and contingency reserves costs.</w:t>
      </w:r>
    </w:p>
    <w:p w:rsidR="004B655E" w:rsidRDefault="004B655E" w:rsidP="004B655E">
      <w:pPr>
        <w:pStyle w:val="answer"/>
      </w:pPr>
      <w:r w:rsidRPr="00CD27D9">
        <w:t>A.</w:t>
      </w:r>
      <w:r w:rsidRPr="00CD27D9">
        <w:tab/>
      </w:r>
      <w:r>
        <w:t>Table</w:t>
      </w:r>
      <w:r w:rsidR="00FE3925">
        <w:t> </w:t>
      </w:r>
      <w:r w:rsidR="004D03B6">
        <w:t>1</w:t>
      </w:r>
      <w:r w:rsidR="00FE3925">
        <w:t>5</w:t>
      </w:r>
      <w:r w:rsidR="004D03B6">
        <w:t xml:space="preserve"> </w:t>
      </w:r>
      <w:r>
        <w:t>presents the results of this analysis. Total balancing and contingency reserves included in the revenue requirement are $3.6 million as presented in Table</w:t>
      </w:r>
      <w:r w:rsidR="00FE3925">
        <w:t> </w:t>
      </w:r>
      <w:r w:rsidR="004D03B6">
        <w:t>1</w:t>
      </w:r>
      <w:r w:rsidR="007C0A2C">
        <w:t>5</w:t>
      </w:r>
      <w:r w:rsidR="004D03B6">
        <w:t xml:space="preserve"> </w:t>
      </w:r>
      <w:r>
        <w:t>and included in Exhibit No.___(PKW-4).</w:t>
      </w:r>
    </w:p>
    <w:p w:rsidR="00A669DE" w:rsidRPr="009845BE" w:rsidRDefault="007E3CC0" w:rsidP="00174A22">
      <w:pPr>
        <w:pStyle w:val="TableHeader"/>
        <w:widowControl/>
        <w:rPr>
          <w:szCs w:val="20"/>
          <w:lang w:eastAsia="zh-CN"/>
        </w:rPr>
      </w:pPr>
      <w:r w:rsidRPr="009845BE">
        <w:lastRenderedPageBreak/>
        <w:t xml:space="preserve">Table </w:t>
      </w:r>
      <w:r w:rsidR="0009554D" w:rsidRPr="009845BE">
        <w:t>1</w:t>
      </w:r>
      <w:r w:rsidR="007C0A2C" w:rsidRPr="009845BE">
        <w:t>5</w:t>
      </w:r>
      <w:r w:rsidR="0009554D" w:rsidRPr="009845BE">
        <w:t xml:space="preserve">. </w:t>
      </w:r>
      <w:r w:rsidR="005A52D2" w:rsidRPr="009845BE">
        <w:t xml:space="preserve">Hour Ahead </w:t>
      </w:r>
      <w:r w:rsidRPr="009845BE">
        <w:t>Balancing and Contingency Reserves Costs ($000)</w:t>
      </w:r>
    </w:p>
    <w:tbl>
      <w:tblPr>
        <w:tblStyle w:val="TableGrid"/>
        <w:tblW w:w="802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28"/>
        <w:gridCol w:w="1350"/>
        <w:gridCol w:w="1350"/>
      </w:tblGrid>
      <w:tr w:rsidR="005A52D2" w:rsidTr="00E22830">
        <w:trPr>
          <w:cantSplit/>
        </w:trPr>
        <w:tc>
          <w:tcPr>
            <w:tcW w:w="5328" w:type="dxa"/>
          </w:tcPr>
          <w:p w:rsidR="00A669DE" w:rsidRPr="005A52D2" w:rsidRDefault="00A669DE" w:rsidP="00174A22">
            <w:pPr>
              <w:pStyle w:val="answer"/>
              <w:keepNext/>
              <w:keepLines/>
              <w:spacing w:before="0" w:after="0" w:line="240" w:lineRule="auto"/>
              <w:ind w:left="0" w:firstLine="0"/>
              <w:jc w:val="center"/>
              <w:rPr>
                <w:b/>
                <w:noProof/>
                <w:lang w:eastAsia="en-US"/>
              </w:rPr>
            </w:pPr>
          </w:p>
        </w:tc>
        <w:tc>
          <w:tcPr>
            <w:tcW w:w="1350" w:type="dxa"/>
          </w:tcPr>
          <w:p w:rsidR="00A669DE" w:rsidRPr="005A52D2" w:rsidRDefault="00A669DE" w:rsidP="00174A22">
            <w:pPr>
              <w:pStyle w:val="answer"/>
              <w:keepNext/>
              <w:keepLines/>
              <w:spacing w:before="0" w:after="0" w:line="240" w:lineRule="auto"/>
              <w:ind w:left="0" w:firstLine="0"/>
              <w:jc w:val="center"/>
              <w:rPr>
                <w:b/>
                <w:noProof/>
                <w:lang w:eastAsia="en-US"/>
              </w:rPr>
            </w:pPr>
            <w:r w:rsidRPr="005A52D2">
              <w:rPr>
                <w:b/>
                <w:noProof/>
                <w:lang w:eastAsia="en-US"/>
              </w:rPr>
              <w:t xml:space="preserve">Total Rate </w:t>
            </w:r>
            <w:r w:rsidRPr="007D55E6">
              <w:rPr>
                <w:b/>
                <w:noProof/>
                <w:u w:val="single"/>
                <w:lang w:eastAsia="en-US"/>
              </w:rPr>
              <w:t>Year Costs</w:t>
            </w:r>
          </w:p>
        </w:tc>
        <w:tc>
          <w:tcPr>
            <w:tcW w:w="1350" w:type="dxa"/>
          </w:tcPr>
          <w:p w:rsidR="00A669DE" w:rsidRPr="005A52D2" w:rsidRDefault="00A669DE" w:rsidP="00174A22">
            <w:pPr>
              <w:pStyle w:val="answer"/>
              <w:keepNext/>
              <w:keepLines/>
              <w:spacing w:before="0" w:after="0" w:line="240" w:lineRule="auto"/>
              <w:ind w:left="0" w:firstLine="0"/>
              <w:jc w:val="center"/>
              <w:rPr>
                <w:b/>
                <w:noProof/>
                <w:lang w:eastAsia="en-US"/>
              </w:rPr>
            </w:pPr>
          </w:p>
        </w:tc>
      </w:tr>
      <w:tr w:rsidR="005A52D2" w:rsidTr="00E22830">
        <w:trPr>
          <w:cantSplit/>
        </w:trPr>
        <w:tc>
          <w:tcPr>
            <w:tcW w:w="8028" w:type="dxa"/>
            <w:gridSpan w:val="3"/>
          </w:tcPr>
          <w:p w:rsidR="005A52D2" w:rsidRDefault="005A52D2" w:rsidP="00174A22">
            <w:pPr>
              <w:pStyle w:val="answer"/>
              <w:keepNext/>
              <w:keepLines/>
              <w:spacing w:before="0" w:after="0" w:line="240" w:lineRule="auto"/>
              <w:ind w:left="0" w:firstLine="0"/>
              <w:rPr>
                <w:noProof/>
                <w:lang w:eastAsia="en-US"/>
              </w:rPr>
            </w:pPr>
            <w:r w:rsidRPr="005A52D2">
              <w:rPr>
                <w:b/>
                <w:noProof/>
                <w:lang w:eastAsia="en-US"/>
              </w:rPr>
              <w:t>Hour Ahead Balancing Model Results</w:t>
            </w:r>
          </w:p>
        </w:tc>
      </w:tr>
      <w:tr w:rsidR="005A52D2" w:rsidTr="00E22830">
        <w:trPr>
          <w:cantSplit/>
        </w:trPr>
        <w:tc>
          <w:tcPr>
            <w:tcW w:w="5328" w:type="dxa"/>
          </w:tcPr>
          <w:p w:rsidR="00A669DE" w:rsidRDefault="005A52D2" w:rsidP="00174A22">
            <w:pPr>
              <w:pStyle w:val="answer"/>
              <w:keepNext/>
              <w:keepLines/>
              <w:spacing w:before="0" w:after="0" w:line="240" w:lineRule="auto"/>
              <w:ind w:left="0" w:firstLine="0"/>
              <w:rPr>
                <w:noProof/>
                <w:lang w:eastAsia="en-US"/>
              </w:rPr>
            </w:pPr>
            <w:r>
              <w:rPr>
                <w:noProof/>
                <w:lang w:eastAsia="en-US"/>
              </w:rPr>
              <w:t>All Reserves Costs</w:t>
            </w:r>
          </w:p>
        </w:tc>
        <w:tc>
          <w:tcPr>
            <w:tcW w:w="1350" w:type="dxa"/>
          </w:tcPr>
          <w:p w:rsidR="00A669DE" w:rsidRDefault="005A52D2" w:rsidP="00174A22">
            <w:pPr>
              <w:pStyle w:val="answer"/>
              <w:keepNext/>
              <w:keepLines/>
              <w:spacing w:before="0" w:after="0" w:line="240" w:lineRule="auto"/>
              <w:ind w:left="0" w:firstLine="0"/>
              <w:jc w:val="right"/>
              <w:rPr>
                <w:noProof/>
                <w:lang w:eastAsia="en-US"/>
              </w:rPr>
            </w:pPr>
            <w:r>
              <w:rPr>
                <w:noProof/>
                <w:lang w:eastAsia="en-US"/>
              </w:rPr>
              <w:t>$6,539</w:t>
            </w:r>
          </w:p>
        </w:tc>
        <w:tc>
          <w:tcPr>
            <w:tcW w:w="1350" w:type="dxa"/>
          </w:tcPr>
          <w:p w:rsidR="00A669DE" w:rsidRDefault="005A52D2" w:rsidP="00174A22">
            <w:pPr>
              <w:pStyle w:val="answer"/>
              <w:keepNext/>
              <w:keepLines/>
              <w:spacing w:before="0" w:after="0" w:line="240" w:lineRule="auto"/>
              <w:ind w:left="0" w:firstLine="0"/>
              <w:rPr>
                <w:noProof/>
                <w:lang w:eastAsia="en-US"/>
              </w:rPr>
            </w:pPr>
            <w:r>
              <w:rPr>
                <w:noProof/>
                <w:lang w:eastAsia="en-US"/>
              </w:rPr>
              <w:t>A</w:t>
            </w:r>
          </w:p>
        </w:tc>
      </w:tr>
      <w:tr w:rsidR="005A52D2" w:rsidTr="00E22830">
        <w:trPr>
          <w:cantSplit/>
        </w:trPr>
        <w:tc>
          <w:tcPr>
            <w:tcW w:w="5328" w:type="dxa"/>
          </w:tcPr>
          <w:p w:rsidR="00A669DE" w:rsidRDefault="005A52D2" w:rsidP="00174A22">
            <w:pPr>
              <w:pStyle w:val="answer"/>
              <w:keepNext/>
              <w:keepLines/>
              <w:spacing w:before="0" w:after="0" w:line="240" w:lineRule="auto"/>
              <w:ind w:left="0" w:firstLine="0"/>
              <w:rPr>
                <w:noProof/>
                <w:lang w:eastAsia="en-US"/>
              </w:rPr>
            </w:pPr>
            <w:r>
              <w:rPr>
                <w:noProof/>
                <w:lang w:eastAsia="en-US"/>
              </w:rPr>
              <w:t>Contingency Reserves Costs</w:t>
            </w:r>
          </w:p>
        </w:tc>
        <w:tc>
          <w:tcPr>
            <w:tcW w:w="1350" w:type="dxa"/>
          </w:tcPr>
          <w:p w:rsidR="00A669DE" w:rsidRPr="007D55E6" w:rsidRDefault="005A52D2" w:rsidP="00174A22">
            <w:pPr>
              <w:pStyle w:val="answer"/>
              <w:keepNext/>
              <w:keepLines/>
              <w:spacing w:before="0" w:after="0" w:line="240" w:lineRule="auto"/>
              <w:ind w:left="0" w:firstLine="0"/>
              <w:jc w:val="right"/>
              <w:rPr>
                <w:noProof/>
                <w:u w:val="single"/>
                <w:lang w:eastAsia="en-US"/>
              </w:rPr>
            </w:pPr>
            <w:r w:rsidRPr="007D55E6">
              <w:rPr>
                <w:noProof/>
                <w:u w:val="single"/>
                <w:lang w:eastAsia="en-US"/>
              </w:rPr>
              <w:t>$1,373</w:t>
            </w:r>
          </w:p>
        </w:tc>
        <w:tc>
          <w:tcPr>
            <w:tcW w:w="1350" w:type="dxa"/>
          </w:tcPr>
          <w:p w:rsidR="00A669DE" w:rsidRDefault="005A52D2" w:rsidP="00174A22">
            <w:pPr>
              <w:pStyle w:val="answer"/>
              <w:keepNext/>
              <w:keepLines/>
              <w:spacing w:before="0" w:after="0" w:line="240" w:lineRule="auto"/>
              <w:ind w:left="0" w:firstLine="0"/>
              <w:rPr>
                <w:noProof/>
                <w:lang w:eastAsia="en-US"/>
              </w:rPr>
            </w:pPr>
            <w:r>
              <w:rPr>
                <w:noProof/>
                <w:lang w:eastAsia="en-US"/>
              </w:rPr>
              <w:t>B</w:t>
            </w:r>
          </w:p>
        </w:tc>
      </w:tr>
      <w:tr w:rsidR="005A52D2" w:rsidTr="00E22830">
        <w:trPr>
          <w:cantSplit/>
        </w:trPr>
        <w:tc>
          <w:tcPr>
            <w:tcW w:w="5328" w:type="dxa"/>
          </w:tcPr>
          <w:p w:rsidR="00A669DE" w:rsidRDefault="005A52D2" w:rsidP="00A669DE">
            <w:pPr>
              <w:pStyle w:val="answer"/>
              <w:keepLines/>
              <w:spacing w:before="0" w:after="0" w:line="240" w:lineRule="auto"/>
              <w:ind w:left="0" w:firstLine="0"/>
              <w:rPr>
                <w:noProof/>
                <w:lang w:eastAsia="en-US"/>
              </w:rPr>
            </w:pPr>
            <w:r>
              <w:rPr>
                <w:noProof/>
                <w:lang w:eastAsia="en-US"/>
              </w:rPr>
              <w:t>Balancing Reserves Costs</w:t>
            </w:r>
          </w:p>
        </w:tc>
        <w:tc>
          <w:tcPr>
            <w:tcW w:w="1350" w:type="dxa"/>
          </w:tcPr>
          <w:p w:rsidR="00A669DE" w:rsidRDefault="005A52D2" w:rsidP="005A52D2">
            <w:pPr>
              <w:pStyle w:val="answer"/>
              <w:keepLines/>
              <w:spacing w:before="0" w:after="0" w:line="240" w:lineRule="auto"/>
              <w:ind w:left="0" w:firstLine="0"/>
              <w:jc w:val="right"/>
              <w:rPr>
                <w:noProof/>
                <w:lang w:eastAsia="en-US"/>
              </w:rPr>
            </w:pPr>
            <w:r>
              <w:rPr>
                <w:noProof/>
                <w:lang w:eastAsia="en-US"/>
              </w:rPr>
              <w:t>$5,166</w:t>
            </w:r>
          </w:p>
        </w:tc>
        <w:tc>
          <w:tcPr>
            <w:tcW w:w="1350" w:type="dxa"/>
          </w:tcPr>
          <w:p w:rsidR="00A669DE" w:rsidRDefault="005A52D2" w:rsidP="00A669DE">
            <w:pPr>
              <w:pStyle w:val="answer"/>
              <w:keepLines/>
              <w:spacing w:before="0" w:after="0" w:line="240" w:lineRule="auto"/>
              <w:ind w:left="0" w:firstLine="0"/>
              <w:rPr>
                <w:noProof/>
                <w:lang w:eastAsia="en-US"/>
              </w:rPr>
            </w:pPr>
            <w:r>
              <w:rPr>
                <w:noProof/>
                <w:lang w:eastAsia="en-US"/>
              </w:rPr>
              <w:t>C=A-B</w:t>
            </w:r>
          </w:p>
        </w:tc>
      </w:tr>
      <w:tr w:rsidR="005A52D2" w:rsidTr="00E22830">
        <w:trPr>
          <w:cantSplit/>
        </w:trPr>
        <w:tc>
          <w:tcPr>
            <w:tcW w:w="8028" w:type="dxa"/>
            <w:gridSpan w:val="3"/>
          </w:tcPr>
          <w:p w:rsidR="005A52D2" w:rsidRDefault="005A52D2" w:rsidP="00A669DE">
            <w:pPr>
              <w:pStyle w:val="answer"/>
              <w:keepLines/>
              <w:spacing w:before="0" w:after="0" w:line="240" w:lineRule="auto"/>
              <w:ind w:left="0" w:firstLine="0"/>
              <w:rPr>
                <w:b/>
                <w:noProof/>
                <w:lang w:eastAsia="en-US"/>
              </w:rPr>
            </w:pPr>
          </w:p>
        </w:tc>
      </w:tr>
      <w:tr w:rsidR="005A52D2" w:rsidTr="00E22830">
        <w:trPr>
          <w:cantSplit/>
        </w:trPr>
        <w:tc>
          <w:tcPr>
            <w:tcW w:w="8028" w:type="dxa"/>
            <w:gridSpan w:val="3"/>
          </w:tcPr>
          <w:p w:rsidR="005A52D2" w:rsidRDefault="005A52D2" w:rsidP="00A669DE">
            <w:pPr>
              <w:pStyle w:val="answer"/>
              <w:keepLines/>
              <w:spacing w:before="0" w:after="0" w:line="240" w:lineRule="auto"/>
              <w:ind w:left="0" w:firstLine="0"/>
              <w:rPr>
                <w:noProof/>
                <w:lang w:eastAsia="en-US"/>
              </w:rPr>
            </w:pPr>
            <w:r>
              <w:rPr>
                <w:b/>
                <w:noProof/>
                <w:lang w:eastAsia="en-US"/>
              </w:rPr>
              <w:t xml:space="preserve">Allocation of </w:t>
            </w:r>
            <w:r w:rsidRPr="005A52D2">
              <w:rPr>
                <w:b/>
                <w:noProof/>
                <w:lang w:eastAsia="en-US"/>
              </w:rPr>
              <w:t>Hour Ahead Balancing Model Results</w:t>
            </w:r>
          </w:p>
        </w:tc>
      </w:tr>
      <w:tr w:rsidR="005A52D2" w:rsidTr="00E22830">
        <w:trPr>
          <w:cantSplit/>
        </w:trPr>
        <w:tc>
          <w:tcPr>
            <w:tcW w:w="5328" w:type="dxa"/>
          </w:tcPr>
          <w:p w:rsidR="00A669DE" w:rsidRDefault="005A52D2" w:rsidP="00A669DE">
            <w:pPr>
              <w:pStyle w:val="answer"/>
              <w:keepLines/>
              <w:spacing w:before="0" w:after="0" w:line="240" w:lineRule="auto"/>
              <w:ind w:left="0" w:firstLine="0"/>
              <w:rPr>
                <w:noProof/>
                <w:lang w:eastAsia="en-US"/>
              </w:rPr>
            </w:pPr>
            <w:r>
              <w:rPr>
                <w:noProof/>
                <w:lang w:eastAsia="en-US"/>
              </w:rPr>
              <w:t>Load</w:t>
            </w:r>
          </w:p>
        </w:tc>
        <w:tc>
          <w:tcPr>
            <w:tcW w:w="1350" w:type="dxa"/>
          </w:tcPr>
          <w:p w:rsidR="00A669DE" w:rsidRDefault="005A52D2" w:rsidP="005A52D2">
            <w:pPr>
              <w:pStyle w:val="answer"/>
              <w:keepLines/>
              <w:spacing w:before="0" w:after="0" w:line="240" w:lineRule="auto"/>
              <w:ind w:left="0" w:firstLine="0"/>
              <w:jc w:val="right"/>
              <w:rPr>
                <w:noProof/>
                <w:lang w:eastAsia="en-US"/>
              </w:rPr>
            </w:pPr>
            <w:r>
              <w:rPr>
                <w:noProof/>
                <w:lang w:eastAsia="en-US"/>
              </w:rPr>
              <w:t>$2,235</w:t>
            </w:r>
          </w:p>
        </w:tc>
        <w:tc>
          <w:tcPr>
            <w:tcW w:w="1350" w:type="dxa"/>
          </w:tcPr>
          <w:p w:rsidR="00A669DE" w:rsidRDefault="005A52D2" w:rsidP="00A669DE">
            <w:pPr>
              <w:pStyle w:val="answer"/>
              <w:keepLines/>
              <w:spacing w:before="0" w:after="0" w:line="240" w:lineRule="auto"/>
              <w:ind w:left="0" w:firstLine="0"/>
              <w:rPr>
                <w:noProof/>
                <w:lang w:eastAsia="en-US"/>
              </w:rPr>
            </w:pPr>
            <w:r>
              <w:rPr>
                <w:noProof/>
                <w:lang w:eastAsia="en-US"/>
              </w:rPr>
              <w:t>D</w:t>
            </w:r>
          </w:p>
        </w:tc>
      </w:tr>
      <w:tr w:rsidR="005A52D2" w:rsidTr="00E22830">
        <w:trPr>
          <w:cantSplit/>
        </w:trPr>
        <w:tc>
          <w:tcPr>
            <w:tcW w:w="5328" w:type="dxa"/>
          </w:tcPr>
          <w:p w:rsidR="00A669DE" w:rsidRDefault="005A52D2" w:rsidP="00A669DE">
            <w:pPr>
              <w:pStyle w:val="answer"/>
              <w:keepLines/>
              <w:spacing w:before="0" w:after="0" w:line="240" w:lineRule="auto"/>
              <w:ind w:left="0" w:firstLine="0"/>
              <w:rPr>
                <w:noProof/>
                <w:lang w:eastAsia="en-US"/>
              </w:rPr>
            </w:pPr>
            <w:r>
              <w:rPr>
                <w:noProof/>
                <w:lang w:eastAsia="en-US"/>
              </w:rPr>
              <w:t>Wild Horse</w:t>
            </w:r>
          </w:p>
        </w:tc>
        <w:tc>
          <w:tcPr>
            <w:tcW w:w="1350" w:type="dxa"/>
          </w:tcPr>
          <w:p w:rsidR="00A669DE" w:rsidRDefault="005A52D2" w:rsidP="005A52D2">
            <w:pPr>
              <w:pStyle w:val="answer"/>
              <w:keepLines/>
              <w:spacing w:before="0" w:after="0" w:line="240" w:lineRule="auto"/>
              <w:ind w:left="0" w:firstLine="0"/>
              <w:jc w:val="right"/>
              <w:rPr>
                <w:noProof/>
                <w:lang w:eastAsia="en-US"/>
              </w:rPr>
            </w:pPr>
            <w:r>
              <w:rPr>
                <w:noProof/>
                <w:lang w:eastAsia="en-US"/>
              </w:rPr>
              <w:t>$2,408</w:t>
            </w:r>
          </w:p>
        </w:tc>
        <w:tc>
          <w:tcPr>
            <w:tcW w:w="1350" w:type="dxa"/>
          </w:tcPr>
          <w:p w:rsidR="00A669DE" w:rsidRDefault="005A52D2" w:rsidP="009845BE">
            <w:pPr>
              <w:pStyle w:val="answer"/>
              <w:keepLines/>
              <w:spacing w:before="0" w:after="0" w:line="240" w:lineRule="auto"/>
              <w:ind w:left="0" w:firstLine="0"/>
              <w:rPr>
                <w:noProof/>
                <w:lang w:eastAsia="en-US"/>
              </w:rPr>
            </w:pPr>
            <w:r>
              <w:rPr>
                <w:noProof/>
                <w:lang w:eastAsia="en-US"/>
              </w:rPr>
              <w:t>E</w:t>
            </w:r>
            <w:r w:rsidR="009845BE">
              <w:rPr>
                <w:noProof/>
                <w:lang w:eastAsia="en-US"/>
              </w:rPr>
              <w:t>**</w:t>
            </w:r>
          </w:p>
        </w:tc>
      </w:tr>
      <w:tr w:rsidR="005A52D2" w:rsidTr="00E22830">
        <w:trPr>
          <w:cantSplit/>
        </w:trPr>
        <w:tc>
          <w:tcPr>
            <w:tcW w:w="5328" w:type="dxa"/>
          </w:tcPr>
          <w:p w:rsidR="00A669DE" w:rsidRDefault="005A52D2" w:rsidP="00A669DE">
            <w:pPr>
              <w:pStyle w:val="answer"/>
              <w:keepLines/>
              <w:spacing w:before="0" w:after="0" w:line="240" w:lineRule="auto"/>
              <w:ind w:left="0" w:firstLine="0"/>
              <w:rPr>
                <w:noProof/>
                <w:lang w:eastAsia="en-US"/>
              </w:rPr>
            </w:pPr>
            <w:r>
              <w:rPr>
                <w:noProof/>
                <w:lang w:eastAsia="en-US"/>
              </w:rPr>
              <w:t>Third Party Generation</w:t>
            </w:r>
          </w:p>
        </w:tc>
        <w:tc>
          <w:tcPr>
            <w:tcW w:w="1350" w:type="dxa"/>
          </w:tcPr>
          <w:p w:rsidR="00A669DE" w:rsidRPr="007D55E6" w:rsidRDefault="005A52D2" w:rsidP="005A52D2">
            <w:pPr>
              <w:pStyle w:val="answer"/>
              <w:keepLines/>
              <w:spacing w:before="0" w:after="0" w:line="240" w:lineRule="auto"/>
              <w:ind w:left="0" w:firstLine="0"/>
              <w:jc w:val="right"/>
              <w:rPr>
                <w:noProof/>
                <w:u w:val="single"/>
                <w:lang w:eastAsia="en-US"/>
              </w:rPr>
            </w:pPr>
            <w:r w:rsidRPr="007D55E6">
              <w:rPr>
                <w:noProof/>
                <w:u w:val="single"/>
                <w:lang w:eastAsia="en-US"/>
              </w:rPr>
              <w:t>$523</w:t>
            </w:r>
          </w:p>
        </w:tc>
        <w:tc>
          <w:tcPr>
            <w:tcW w:w="1350" w:type="dxa"/>
          </w:tcPr>
          <w:p w:rsidR="00A669DE" w:rsidRDefault="005A52D2" w:rsidP="00A669DE">
            <w:pPr>
              <w:pStyle w:val="answer"/>
              <w:keepLines/>
              <w:spacing w:before="0" w:after="0" w:line="240" w:lineRule="auto"/>
              <w:ind w:left="0" w:firstLine="0"/>
              <w:rPr>
                <w:noProof/>
                <w:lang w:eastAsia="en-US"/>
              </w:rPr>
            </w:pPr>
            <w:r>
              <w:rPr>
                <w:noProof/>
                <w:lang w:eastAsia="en-US"/>
              </w:rPr>
              <w:t>F</w:t>
            </w:r>
          </w:p>
        </w:tc>
      </w:tr>
      <w:tr w:rsidR="005A52D2" w:rsidTr="00E22830">
        <w:trPr>
          <w:cantSplit/>
        </w:trPr>
        <w:tc>
          <w:tcPr>
            <w:tcW w:w="5328" w:type="dxa"/>
          </w:tcPr>
          <w:p w:rsidR="00A669DE" w:rsidRDefault="005A52D2" w:rsidP="00A669DE">
            <w:pPr>
              <w:pStyle w:val="answer"/>
              <w:keepLines/>
              <w:spacing w:before="0" w:after="0" w:line="240" w:lineRule="auto"/>
              <w:ind w:left="0" w:firstLine="0"/>
              <w:rPr>
                <w:noProof/>
                <w:lang w:eastAsia="en-US"/>
              </w:rPr>
            </w:pPr>
            <w:r>
              <w:rPr>
                <w:noProof/>
                <w:lang w:eastAsia="en-US"/>
              </w:rPr>
              <w:t>Total Balancing Reserves</w:t>
            </w:r>
          </w:p>
        </w:tc>
        <w:tc>
          <w:tcPr>
            <w:tcW w:w="1350" w:type="dxa"/>
          </w:tcPr>
          <w:p w:rsidR="00A669DE" w:rsidRDefault="005A52D2" w:rsidP="005A52D2">
            <w:pPr>
              <w:pStyle w:val="answer"/>
              <w:keepLines/>
              <w:spacing w:before="0" w:after="0" w:line="240" w:lineRule="auto"/>
              <w:ind w:left="0" w:firstLine="0"/>
              <w:jc w:val="right"/>
              <w:rPr>
                <w:noProof/>
                <w:lang w:eastAsia="en-US"/>
              </w:rPr>
            </w:pPr>
            <w:r>
              <w:rPr>
                <w:noProof/>
                <w:lang w:eastAsia="en-US"/>
              </w:rPr>
              <w:t>$5,166</w:t>
            </w:r>
          </w:p>
        </w:tc>
        <w:tc>
          <w:tcPr>
            <w:tcW w:w="1350" w:type="dxa"/>
          </w:tcPr>
          <w:p w:rsidR="00A669DE" w:rsidRDefault="005A52D2" w:rsidP="00A669DE">
            <w:pPr>
              <w:pStyle w:val="answer"/>
              <w:keepLines/>
              <w:spacing w:before="0" w:after="0" w:line="240" w:lineRule="auto"/>
              <w:ind w:left="0" w:firstLine="0"/>
              <w:rPr>
                <w:noProof/>
                <w:lang w:eastAsia="en-US"/>
              </w:rPr>
            </w:pPr>
            <w:r>
              <w:rPr>
                <w:noProof/>
                <w:lang w:eastAsia="en-US"/>
              </w:rPr>
              <w:t>Equals C</w:t>
            </w:r>
          </w:p>
        </w:tc>
      </w:tr>
      <w:tr w:rsidR="005A52D2" w:rsidTr="00E22830">
        <w:trPr>
          <w:cantSplit/>
        </w:trPr>
        <w:tc>
          <w:tcPr>
            <w:tcW w:w="8028" w:type="dxa"/>
            <w:gridSpan w:val="3"/>
          </w:tcPr>
          <w:p w:rsidR="005A52D2" w:rsidRPr="005A52D2" w:rsidRDefault="005A52D2" w:rsidP="005A52D2">
            <w:pPr>
              <w:pStyle w:val="answer"/>
              <w:keepLines/>
              <w:spacing w:before="0" w:after="0" w:line="240" w:lineRule="auto"/>
              <w:ind w:left="0" w:firstLine="0"/>
              <w:rPr>
                <w:b/>
                <w:noProof/>
                <w:lang w:eastAsia="en-US"/>
              </w:rPr>
            </w:pPr>
          </w:p>
        </w:tc>
      </w:tr>
      <w:tr w:rsidR="005A52D2" w:rsidTr="00E22830">
        <w:trPr>
          <w:cantSplit/>
        </w:trPr>
        <w:tc>
          <w:tcPr>
            <w:tcW w:w="8028" w:type="dxa"/>
            <w:gridSpan w:val="3"/>
          </w:tcPr>
          <w:p w:rsidR="005A52D2" w:rsidRDefault="005A52D2" w:rsidP="005A52D2">
            <w:pPr>
              <w:pStyle w:val="answer"/>
              <w:keepLines/>
              <w:spacing w:before="0" w:after="0" w:line="240" w:lineRule="auto"/>
              <w:ind w:left="0" w:firstLine="0"/>
              <w:rPr>
                <w:noProof/>
                <w:lang w:eastAsia="en-US"/>
              </w:rPr>
            </w:pPr>
            <w:r w:rsidRPr="005A52D2">
              <w:rPr>
                <w:b/>
                <w:noProof/>
                <w:lang w:eastAsia="en-US"/>
              </w:rPr>
              <w:t xml:space="preserve">Balancing </w:t>
            </w:r>
            <w:r>
              <w:rPr>
                <w:b/>
                <w:noProof/>
                <w:lang w:eastAsia="en-US"/>
              </w:rPr>
              <w:t>and Contingency Reserves Costs</w:t>
            </w:r>
          </w:p>
        </w:tc>
      </w:tr>
      <w:tr w:rsidR="005A52D2" w:rsidTr="00E22830">
        <w:trPr>
          <w:cantSplit/>
        </w:trPr>
        <w:tc>
          <w:tcPr>
            <w:tcW w:w="5328" w:type="dxa"/>
          </w:tcPr>
          <w:p w:rsidR="00A669DE" w:rsidRDefault="005A52D2" w:rsidP="005A52D2">
            <w:pPr>
              <w:pStyle w:val="answer"/>
              <w:keepLines/>
              <w:spacing w:before="0" w:after="0" w:line="240" w:lineRule="auto"/>
              <w:ind w:left="0" w:firstLine="0"/>
              <w:rPr>
                <w:noProof/>
                <w:lang w:eastAsia="en-US"/>
              </w:rPr>
            </w:pPr>
            <w:r>
              <w:rPr>
                <w:noProof/>
                <w:lang w:eastAsia="en-US"/>
              </w:rPr>
              <w:t>Contingency Reserves</w:t>
            </w:r>
          </w:p>
        </w:tc>
        <w:tc>
          <w:tcPr>
            <w:tcW w:w="1350" w:type="dxa"/>
          </w:tcPr>
          <w:p w:rsidR="00A669DE" w:rsidRDefault="005A52D2" w:rsidP="005A52D2">
            <w:pPr>
              <w:pStyle w:val="answer"/>
              <w:keepLines/>
              <w:spacing w:before="0" w:after="0" w:line="240" w:lineRule="auto"/>
              <w:ind w:left="0" w:firstLine="0"/>
              <w:jc w:val="right"/>
              <w:rPr>
                <w:noProof/>
                <w:lang w:eastAsia="en-US"/>
              </w:rPr>
            </w:pPr>
            <w:r>
              <w:rPr>
                <w:noProof/>
                <w:lang w:eastAsia="en-US"/>
              </w:rPr>
              <w:t>$1,373</w:t>
            </w:r>
          </w:p>
        </w:tc>
        <w:tc>
          <w:tcPr>
            <w:tcW w:w="1350" w:type="dxa"/>
          </w:tcPr>
          <w:p w:rsidR="005A52D2" w:rsidRDefault="005A52D2" w:rsidP="00A669DE">
            <w:pPr>
              <w:pStyle w:val="answer"/>
              <w:keepLines/>
              <w:spacing w:before="0" w:after="0" w:line="240" w:lineRule="auto"/>
              <w:ind w:left="0" w:firstLine="0"/>
              <w:rPr>
                <w:noProof/>
                <w:lang w:eastAsia="en-US"/>
              </w:rPr>
            </w:pPr>
            <w:r>
              <w:rPr>
                <w:noProof/>
                <w:lang w:eastAsia="en-US"/>
              </w:rPr>
              <w:t>Equals B</w:t>
            </w:r>
          </w:p>
        </w:tc>
      </w:tr>
      <w:tr w:rsidR="005A52D2" w:rsidTr="00E22830">
        <w:trPr>
          <w:cantSplit/>
        </w:trPr>
        <w:tc>
          <w:tcPr>
            <w:tcW w:w="5328" w:type="dxa"/>
          </w:tcPr>
          <w:p w:rsidR="00A669DE" w:rsidRDefault="005A52D2" w:rsidP="00A669DE">
            <w:pPr>
              <w:pStyle w:val="answer"/>
              <w:keepLines/>
              <w:spacing w:before="0" w:after="0" w:line="240" w:lineRule="auto"/>
              <w:ind w:left="0" w:firstLine="0"/>
              <w:rPr>
                <w:noProof/>
                <w:lang w:eastAsia="en-US"/>
              </w:rPr>
            </w:pPr>
            <w:r>
              <w:rPr>
                <w:noProof/>
                <w:lang w:eastAsia="en-US"/>
              </w:rPr>
              <w:t>Load Balancing Reserves</w:t>
            </w:r>
          </w:p>
        </w:tc>
        <w:tc>
          <w:tcPr>
            <w:tcW w:w="1350" w:type="dxa"/>
          </w:tcPr>
          <w:p w:rsidR="00A669DE" w:rsidRPr="007D55E6" w:rsidRDefault="005A52D2" w:rsidP="005A52D2">
            <w:pPr>
              <w:pStyle w:val="answer"/>
              <w:keepLines/>
              <w:spacing w:before="0" w:after="0" w:line="240" w:lineRule="auto"/>
              <w:ind w:left="0" w:firstLine="0"/>
              <w:jc w:val="right"/>
              <w:rPr>
                <w:noProof/>
                <w:u w:val="single"/>
                <w:lang w:eastAsia="en-US"/>
              </w:rPr>
            </w:pPr>
            <w:r w:rsidRPr="007D55E6">
              <w:rPr>
                <w:noProof/>
                <w:u w:val="single"/>
                <w:lang w:eastAsia="en-US"/>
              </w:rPr>
              <w:t>$2,235</w:t>
            </w:r>
          </w:p>
        </w:tc>
        <w:tc>
          <w:tcPr>
            <w:tcW w:w="1350" w:type="dxa"/>
          </w:tcPr>
          <w:p w:rsidR="00A669DE" w:rsidRDefault="005A52D2" w:rsidP="00A669DE">
            <w:pPr>
              <w:pStyle w:val="answer"/>
              <w:keepLines/>
              <w:spacing w:before="0" w:after="0" w:line="240" w:lineRule="auto"/>
              <w:ind w:left="0" w:firstLine="0"/>
              <w:rPr>
                <w:noProof/>
                <w:lang w:eastAsia="en-US"/>
              </w:rPr>
            </w:pPr>
            <w:r>
              <w:rPr>
                <w:noProof/>
                <w:lang w:eastAsia="en-US"/>
              </w:rPr>
              <w:t>Equals D</w:t>
            </w:r>
          </w:p>
        </w:tc>
      </w:tr>
      <w:tr w:rsidR="005A52D2" w:rsidTr="00E22830">
        <w:trPr>
          <w:cantSplit/>
        </w:trPr>
        <w:tc>
          <w:tcPr>
            <w:tcW w:w="5328" w:type="dxa"/>
          </w:tcPr>
          <w:p w:rsidR="00A669DE" w:rsidRDefault="005A52D2" w:rsidP="00A669DE">
            <w:pPr>
              <w:pStyle w:val="answer"/>
              <w:keepLines/>
              <w:spacing w:before="0" w:after="0" w:line="240" w:lineRule="auto"/>
              <w:ind w:left="0" w:firstLine="0"/>
              <w:rPr>
                <w:noProof/>
                <w:lang w:eastAsia="en-US"/>
              </w:rPr>
            </w:pPr>
            <w:r>
              <w:rPr>
                <w:noProof/>
                <w:lang w:eastAsia="en-US"/>
              </w:rPr>
              <w:t>Balancing &amp; Contingency Reserves</w:t>
            </w:r>
          </w:p>
        </w:tc>
        <w:tc>
          <w:tcPr>
            <w:tcW w:w="1350" w:type="dxa"/>
          </w:tcPr>
          <w:p w:rsidR="00A669DE" w:rsidRDefault="005A52D2" w:rsidP="005A52D2">
            <w:pPr>
              <w:pStyle w:val="answer"/>
              <w:keepLines/>
              <w:spacing w:before="0" w:after="0" w:line="240" w:lineRule="auto"/>
              <w:ind w:left="0" w:firstLine="0"/>
              <w:jc w:val="right"/>
              <w:rPr>
                <w:noProof/>
                <w:lang w:eastAsia="en-US"/>
              </w:rPr>
            </w:pPr>
            <w:r>
              <w:rPr>
                <w:noProof/>
                <w:lang w:eastAsia="en-US"/>
              </w:rPr>
              <w:t>$3,608</w:t>
            </w:r>
          </w:p>
        </w:tc>
        <w:tc>
          <w:tcPr>
            <w:tcW w:w="1350" w:type="dxa"/>
          </w:tcPr>
          <w:p w:rsidR="00A669DE" w:rsidRDefault="00A669DE" w:rsidP="00A669DE">
            <w:pPr>
              <w:pStyle w:val="answer"/>
              <w:keepLines/>
              <w:spacing w:before="0" w:after="0" w:line="240" w:lineRule="auto"/>
              <w:ind w:left="0" w:firstLine="0"/>
              <w:rPr>
                <w:noProof/>
                <w:lang w:eastAsia="en-US"/>
              </w:rPr>
            </w:pPr>
          </w:p>
        </w:tc>
      </w:tr>
      <w:tr w:rsidR="009845BE" w:rsidTr="00E22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28" w:type="dxa"/>
            <w:gridSpan w:val="3"/>
            <w:tcBorders>
              <w:top w:val="nil"/>
              <w:left w:val="nil"/>
              <w:bottom w:val="nil"/>
              <w:right w:val="nil"/>
            </w:tcBorders>
          </w:tcPr>
          <w:p w:rsidR="009845BE" w:rsidRDefault="009845BE" w:rsidP="00034B24">
            <w:pPr>
              <w:pStyle w:val="answer"/>
              <w:keepLines/>
              <w:spacing w:before="0" w:after="0" w:line="240" w:lineRule="auto"/>
              <w:ind w:left="0" w:firstLine="0"/>
              <w:rPr>
                <w:noProof/>
                <w:lang w:eastAsia="en-US"/>
              </w:rPr>
            </w:pPr>
          </w:p>
        </w:tc>
      </w:tr>
      <w:tr w:rsidR="009845BE" w:rsidTr="00E228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028" w:type="dxa"/>
            <w:gridSpan w:val="3"/>
            <w:tcBorders>
              <w:top w:val="nil"/>
              <w:left w:val="nil"/>
              <w:bottom w:val="nil"/>
              <w:right w:val="nil"/>
            </w:tcBorders>
          </w:tcPr>
          <w:p w:rsidR="009845BE" w:rsidRDefault="009845BE" w:rsidP="00034B24">
            <w:pPr>
              <w:pStyle w:val="answer"/>
              <w:keepLines/>
              <w:spacing w:before="0" w:after="0" w:line="240" w:lineRule="auto"/>
              <w:ind w:left="0" w:firstLine="0"/>
              <w:rPr>
                <w:noProof/>
                <w:lang w:eastAsia="en-US"/>
              </w:rPr>
            </w:pPr>
            <w:r>
              <w:rPr>
                <w:noProof/>
                <w:lang w:eastAsia="en-US"/>
              </w:rPr>
              <w:t>** reported as hour ahead wind integration</w:t>
            </w:r>
          </w:p>
        </w:tc>
      </w:tr>
    </w:tbl>
    <w:p w:rsidR="00890483" w:rsidRDefault="00890483" w:rsidP="00174A22">
      <w:pPr>
        <w:pStyle w:val="question"/>
        <w:spacing w:before="360"/>
      </w:pPr>
      <w:r>
        <w:t>Q.</w:t>
      </w:r>
      <w:r>
        <w:tab/>
        <w:t xml:space="preserve">What is the third change to </w:t>
      </w:r>
      <w:r w:rsidR="000C6F4A">
        <w:t>“</w:t>
      </w:r>
      <w:r w:rsidR="00EC474F">
        <w:t>Costs not in AURORA</w:t>
      </w:r>
      <w:r w:rsidR="000C6F4A">
        <w:t>”</w:t>
      </w:r>
      <w:r>
        <w:t>?</w:t>
      </w:r>
    </w:p>
    <w:p w:rsidR="00890483" w:rsidRDefault="00890483" w:rsidP="001B21F1">
      <w:pPr>
        <w:pStyle w:val="answer"/>
      </w:pPr>
      <w:r>
        <w:t>A.</w:t>
      </w:r>
      <w:r>
        <w:tab/>
      </w:r>
      <w:r w:rsidRPr="00837D01">
        <w:t xml:space="preserve">PSE added an adjustment to AURORA generated fuel costs to remove </w:t>
      </w:r>
      <w:r w:rsidR="0014050D">
        <w:t xml:space="preserve">non-fuel startup </w:t>
      </w:r>
      <w:r w:rsidRPr="00837D01">
        <w:t xml:space="preserve">costs of the </w:t>
      </w:r>
      <w:r w:rsidR="0014050D">
        <w:t xml:space="preserve">simple cycle </w:t>
      </w:r>
      <w:r w:rsidRPr="00837D01">
        <w:t xml:space="preserve">gas fired resources. AURORA </w:t>
      </w:r>
      <w:r w:rsidR="0014050D">
        <w:t>considers startup costs in the unit commitment decision, and includes these costs in fuel cost of</w:t>
      </w:r>
      <w:r w:rsidRPr="00837D01">
        <w:t xml:space="preserve"> the simple cycle combustion turbines. This adjustment is necessary to remove these costs because they are </w:t>
      </w:r>
      <w:proofErr w:type="spellStart"/>
      <w:r w:rsidRPr="00837D01">
        <w:t>O&amp;M</w:t>
      </w:r>
      <w:proofErr w:type="spellEnd"/>
      <w:r w:rsidRPr="00837D01">
        <w:t xml:space="preserve"> rather than power costs. This is </w:t>
      </w:r>
      <w:r w:rsidR="00EB5AB4" w:rsidRPr="00837D01">
        <w:t xml:space="preserve">a decrease </w:t>
      </w:r>
      <w:r w:rsidRPr="00837D01">
        <w:t>of $261,367</w:t>
      </w:r>
      <w:r w:rsidR="0014050D">
        <w:t xml:space="preserve"> to A</w:t>
      </w:r>
      <w:r w:rsidR="003735A0">
        <w:t>URORA</w:t>
      </w:r>
      <w:r w:rsidR="0014050D">
        <w:t>-generated power costs</w:t>
      </w:r>
      <w:r w:rsidRPr="0014050D">
        <w:t>.</w:t>
      </w:r>
    </w:p>
    <w:p w:rsidR="00866BF4" w:rsidRDefault="00866BF4" w:rsidP="00866BF4">
      <w:pPr>
        <w:pStyle w:val="question"/>
      </w:pPr>
      <w:r>
        <w:t>Q.</w:t>
      </w:r>
      <w:r>
        <w:tab/>
        <w:t>What forward market prices are used in determining the rate year power costs?</w:t>
      </w:r>
    </w:p>
    <w:p w:rsidR="00866BF4" w:rsidRDefault="00866BF4" w:rsidP="00866BF4">
      <w:pPr>
        <w:pStyle w:val="answer"/>
      </w:pPr>
      <w:r>
        <w:t>A.</w:t>
      </w:r>
      <w:r>
        <w:tab/>
        <w:t>Consistent with prior proceedings, PSE used the forward electric market prices generated by the AURORA hourly dispatch model.</w:t>
      </w:r>
      <w:r w:rsidR="00404C71">
        <w:t xml:space="preserve"> </w:t>
      </w:r>
      <w:r>
        <w:t>As discussed below, the three-</w:t>
      </w:r>
      <w:r>
        <w:lastRenderedPageBreak/>
        <w:t xml:space="preserve">month average gas prices at </w:t>
      </w:r>
      <w:r w:rsidR="0067794B">
        <w:t>September</w:t>
      </w:r>
      <w:r w:rsidR="001069D7">
        <w:t> </w:t>
      </w:r>
      <w:r w:rsidR="0067794B">
        <w:t>23</w:t>
      </w:r>
      <w:r>
        <w:t>, 201</w:t>
      </w:r>
      <w:r w:rsidR="0067794B">
        <w:t>6</w:t>
      </w:r>
      <w:r>
        <w:t>, for the rate year, are input to the AURORA model.</w:t>
      </w:r>
    </w:p>
    <w:p w:rsidR="00866BF4" w:rsidRDefault="00866BF4" w:rsidP="001069D7">
      <w:pPr>
        <w:pStyle w:val="Heading2"/>
      </w:pPr>
      <w:bookmarkStart w:id="38" w:name="_Toc471319039"/>
      <w:r>
        <w:t>B.</w:t>
      </w:r>
      <w:r>
        <w:tab/>
        <w:t>Power Cost Assumptions</w:t>
      </w:r>
      <w:bookmarkEnd w:id="38"/>
    </w:p>
    <w:p w:rsidR="00866BF4" w:rsidRDefault="00866BF4" w:rsidP="001069D7">
      <w:pPr>
        <w:pStyle w:val="Heading3"/>
      </w:pPr>
      <w:bookmarkStart w:id="39" w:name="_Toc471319040"/>
      <w:r>
        <w:t>1.</w:t>
      </w:r>
      <w:r>
        <w:tab/>
        <w:t>Rate Year Power Supply Resources</w:t>
      </w:r>
      <w:bookmarkEnd w:id="39"/>
    </w:p>
    <w:p w:rsidR="00866BF4" w:rsidRDefault="00866BF4" w:rsidP="00866BF4">
      <w:pPr>
        <w:pStyle w:val="question"/>
      </w:pPr>
      <w:r>
        <w:t>Q.</w:t>
      </w:r>
      <w:r>
        <w:tab/>
        <w:t>Is PSE</w:t>
      </w:r>
      <w:r w:rsidR="009F02BA">
        <w:t>’</w:t>
      </w:r>
      <w:r>
        <w:t>s rate year power supply portfolio for this proceeding different from the pro forma power cost portfolio approved in the 2014</w:t>
      </w:r>
      <w:r w:rsidR="001069D7">
        <w:t> </w:t>
      </w:r>
      <w:proofErr w:type="spellStart"/>
      <w:r>
        <w:t>PCORC</w:t>
      </w:r>
      <w:proofErr w:type="spellEnd"/>
      <w:r>
        <w:t>?</w:t>
      </w:r>
    </w:p>
    <w:p w:rsidR="00866BF4" w:rsidRDefault="00866BF4" w:rsidP="00866BF4">
      <w:pPr>
        <w:pStyle w:val="answer"/>
      </w:pPr>
      <w:r>
        <w:t>A.</w:t>
      </w:r>
      <w:r>
        <w:tab/>
        <w:t>Yes.</w:t>
      </w:r>
      <w:r w:rsidR="00404C71">
        <w:t xml:space="preserve"> </w:t>
      </w:r>
      <w:r>
        <w:t>A number of changes to PSE</w:t>
      </w:r>
      <w:r w:rsidR="009F02BA">
        <w:t>’</w:t>
      </w:r>
      <w:r>
        <w:t>s power supply portfolio have already occurred or will occur by or during the rate year.</w:t>
      </w:r>
      <w:r w:rsidR="00404C71">
        <w:t xml:space="preserve"> </w:t>
      </w:r>
      <w:r>
        <w:t>Specifically, the underlying portfolio used to determine PSE</w:t>
      </w:r>
      <w:r w:rsidR="009F02BA">
        <w:t>’</w:t>
      </w:r>
      <w:r>
        <w:t>s rate year power costs for this proceeding reflect the following:</w:t>
      </w:r>
    </w:p>
    <w:p w:rsidR="00866BF4" w:rsidRDefault="00866BF4" w:rsidP="001069D7">
      <w:pPr>
        <w:pStyle w:val="List"/>
      </w:pPr>
      <w:r>
        <w:t>(i)</w:t>
      </w:r>
      <w:r>
        <w:tab/>
        <w:t xml:space="preserve">the increase in forecasted quantity for the Electron </w:t>
      </w:r>
      <w:proofErr w:type="spellStart"/>
      <w:r>
        <w:t>PPA</w:t>
      </w:r>
      <w:proofErr w:type="spellEnd"/>
      <w:r>
        <w:t xml:space="preserve"> in the amount of </w:t>
      </w:r>
      <w:r w:rsidR="007C3D2B">
        <w:t>████</w:t>
      </w:r>
      <w:r w:rsidR="001069D7">
        <w:t> </w:t>
      </w:r>
      <w:r>
        <w:t>MWh;</w:t>
      </w:r>
    </w:p>
    <w:p w:rsidR="00866BF4" w:rsidRDefault="00866BF4" w:rsidP="001069D7">
      <w:pPr>
        <w:pStyle w:val="List"/>
      </w:pPr>
      <w:r>
        <w:t>(ii)</w:t>
      </w:r>
      <w:r>
        <w:tab/>
        <w:t>the increase in contract rate</w:t>
      </w:r>
      <w:r w:rsidR="000A54D1">
        <w:t xml:space="preserve"> effective December 1, 2017</w:t>
      </w:r>
      <w:r>
        <w:t xml:space="preserve"> associated with the Coal Transition </w:t>
      </w:r>
      <w:proofErr w:type="spellStart"/>
      <w:r>
        <w:t>PPA</w:t>
      </w:r>
      <w:proofErr w:type="spellEnd"/>
      <w:r>
        <w:t xml:space="preserve">. </w:t>
      </w:r>
      <w:r w:rsidR="0039389D">
        <w:t>The 201</w:t>
      </w:r>
      <w:r w:rsidR="00E22830">
        <w:t>6</w:t>
      </w:r>
      <w:r w:rsidR="0039389D">
        <w:t xml:space="preserve"> </w:t>
      </w:r>
      <w:r w:rsidR="00486F20">
        <w:t>Power Cost Update</w:t>
      </w:r>
      <w:r w:rsidR="0039389D">
        <w:t xml:space="preserve"> that changed rates effective December 1, 2016 included the December 2016 capacity increase and contract rates as of December 2016. </w:t>
      </w:r>
      <w:r>
        <w:t xml:space="preserve">The rate year reflects </w:t>
      </w:r>
      <w:r w:rsidR="007C3D2B">
        <w:t>████</w:t>
      </w:r>
      <w:r w:rsidR="001069D7">
        <w:t> </w:t>
      </w:r>
      <w:r>
        <w:t xml:space="preserve">million of costs under the Coal Transition </w:t>
      </w:r>
      <w:proofErr w:type="spellStart"/>
      <w:r>
        <w:t>PPA</w:t>
      </w:r>
      <w:proofErr w:type="spellEnd"/>
      <w:r>
        <w:t xml:space="preserve"> in return for </w:t>
      </w:r>
      <w:r w:rsidR="007C3D2B">
        <w:t>██</w:t>
      </w:r>
      <w:r w:rsidR="001069D7">
        <w:t> </w:t>
      </w:r>
      <w:r>
        <w:t>million MWh (380</w:t>
      </w:r>
      <w:r w:rsidR="001069D7">
        <w:t> MW) of generation;</w:t>
      </w:r>
    </w:p>
    <w:p w:rsidR="00866BF4" w:rsidRDefault="00866BF4" w:rsidP="001069D7">
      <w:pPr>
        <w:pStyle w:val="List"/>
      </w:pPr>
      <w:r>
        <w:t>(iii)</w:t>
      </w:r>
      <w:r>
        <w:tab/>
        <w:t>the expiration on February</w:t>
      </w:r>
      <w:r w:rsidR="001069D7">
        <w:t> </w:t>
      </w:r>
      <w:r>
        <w:t>29, 2016 of a power purchase agreement with Iberdrola Renewables for 100</w:t>
      </w:r>
      <w:r w:rsidR="001069D7">
        <w:t> </w:t>
      </w:r>
      <w:r>
        <w:t xml:space="preserve">MW of winter capacity associated with the Klamath </w:t>
      </w:r>
      <w:proofErr w:type="spellStart"/>
      <w:r>
        <w:t>peakers</w:t>
      </w:r>
      <w:proofErr w:type="spellEnd"/>
      <w:r w:rsidR="001069D7">
        <w:t>;</w:t>
      </w:r>
    </w:p>
    <w:p w:rsidR="00866BF4" w:rsidRDefault="00174A22" w:rsidP="001069D7">
      <w:pPr>
        <w:pStyle w:val="List"/>
      </w:pPr>
      <w:r>
        <w:rPr>
          <w:b/>
          <w:noProof/>
        </w:rPr>
        <mc:AlternateContent>
          <mc:Choice Requires="wpg">
            <w:drawing>
              <wp:anchor distT="0" distB="0" distL="114300" distR="114300" simplePos="0" relativeHeight="251734016" behindDoc="0" locked="0" layoutInCell="1" allowOverlap="1" wp14:anchorId="4CD07439" wp14:editId="74079A60">
                <wp:simplePos x="0" y="0"/>
                <wp:positionH relativeFrom="column">
                  <wp:posOffset>1880870</wp:posOffset>
                </wp:positionH>
                <wp:positionV relativeFrom="paragraph">
                  <wp:posOffset>2146935</wp:posOffset>
                </wp:positionV>
                <wp:extent cx="1546860" cy="6502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650240"/>
                          <a:chOff x="4401" y="11656"/>
                          <a:chExt cx="4320" cy="780"/>
                        </a:xfrm>
                      </wpg:grpSpPr>
                      <wps:wsp>
                        <wps:cNvPr id="4"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174A22"/>
                          </w:txbxContent>
                        </wps:txbx>
                        <wps:bodyPr rot="0" vert="horz" wrap="square" lIns="91440" tIns="91440" rIns="91440" bIns="91440" anchor="t" anchorCtr="0" upright="1">
                          <a:noAutofit/>
                        </wps:bodyPr>
                      </wps:wsp>
                      <wps:wsp>
                        <wps:cNvPr id="5"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7C3D2B"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41" style="position:absolute;left:0;text-align:left;margin-left:148.1pt;margin-top:169.05pt;width:121.8pt;height:51.2pt;z-index:251734016"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">
                <v:shape id="Text Box 12" o:spid="_x0000_s1042"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woMIA&#10;AADaAAAADwAAAGRycy9kb3ducmV2LnhtbESPQYvCMBSE74L/ITxhbzZVRKQaRYSF9eaquHt8NK9p&#10;sXkpTazd/fVGEDwOM/MNs9r0thYdtb5yrGCSpCCIc6crNgrOp8/xAoQPyBprx6Tgjzxs1sPBCjPt&#10;7vxN3TEYESHsM1RQhtBkUvq8JIs+cQ1x9ArXWgxRtkbqFu8Rbms5TdO5tFhxXCixoV1J+fV4swp+&#10;zHxfHxZXXcx+/y8Tc+u63b5Q6mPUb5cgAvXhHX61v7S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zCgwgAAANoAAAAPAAAAAAAAAAAAAAAAAJgCAABkcnMvZG93&#10;bnJldi54bWxQSwUGAAAAAAQABAD1AAAAhwMAAAAA&#10;" fillcolor="gray" stroked="f">
                  <v:textbox inset=",7.2pt,,7.2pt">
                    <w:txbxContent>
                      <w:p w:rsidR="007C3D2B" w:rsidRDefault="007C3D2B" w:rsidP="00174A22"/>
                    </w:txbxContent>
                  </v:textbox>
                </v:shape>
                <v:shape id="Text Box 13" o:spid="_x0000_s1043"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QMEA&#10;AADaAAAADwAAAGRycy9kb3ducmV2LnhtbERPTWuDQBS8F/ofllfIpdQ1KUqxbkIQAiGXoC2eH+6r&#10;St231t1E8++zhUJvM8wXk+8WM4grTa63rGAdxSCIG6t7bhV8fhxe3kA4j6xxsEwKbuRgt318yDHT&#10;duaSrpVvRShhl6GCzvsxk9I1HRl0kR2Jg/ZlJ4M+0KmVesI5lJtBbuI4lQZ7DgsdjlR01HxXF6Og&#10;ONUBlj/nun4dkvRUzcVz0Sq1elr27yA8Lf7f/Jc+agUJ/F4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kDBAAAA2gAAAA8AAAAAAAAAAAAAAAAAmAIAAGRycy9kb3du&#10;cmV2LnhtbFBLBQYAAAAABAAEAPUAAACGAwAAAAA=&#10;" strokeweight="1.5pt">
                  <v:textbox inset=",7.2pt,,7.2pt">
                    <w:txbxContent>
                      <w:p w:rsidR="007C3D2B" w:rsidRDefault="007C3D2B"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7C3D2B" w:rsidRPr="007C3D2B" w:rsidRDefault="007C3D2B"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v:textbox>
                </v:shape>
              </v:group>
            </w:pict>
          </mc:Fallback>
        </mc:AlternateContent>
      </w:r>
      <w:r w:rsidR="00866BF4">
        <w:t>(iv)</w:t>
      </w:r>
      <w:r w:rsidR="00866BF4">
        <w:tab/>
        <w:t>the expiration on June</w:t>
      </w:r>
      <w:r w:rsidR="001069D7">
        <w:t> </w:t>
      </w:r>
      <w:r w:rsidR="00866BF4">
        <w:t>30, 2017 of the WNP-3 Settlement Agreement with BPA that delivered up to 82</w:t>
      </w:r>
      <w:r w:rsidR="001069D7">
        <w:t> </w:t>
      </w:r>
      <w:r w:rsidR="00532EE6">
        <w:t>MW</w:t>
      </w:r>
      <w:r w:rsidR="00866BF4">
        <w:t xml:space="preserve"> in November through February during heavy load hours and up to 41</w:t>
      </w:r>
      <w:r w:rsidR="001069D7">
        <w:t> </w:t>
      </w:r>
      <w:r w:rsidR="00532EE6">
        <w:t>MW</w:t>
      </w:r>
      <w:r w:rsidR="00866BF4">
        <w:t xml:space="preserve"> during heavy load hours during the months March and April.</w:t>
      </w:r>
      <w:r w:rsidR="00404C71">
        <w:t xml:space="preserve"> </w:t>
      </w:r>
      <w:r w:rsidR="00866BF4">
        <w:t>In tandem with this expiration is the end of the Bonneville Exchange Power amortization which has reduced rate year power costs $</w:t>
      </w:r>
      <w:r w:rsidR="00E17AA5">
        <w:t>3.5</w:t>
      </w:r>
      <w:r w:rsidR="001069D7">
        <w:t> </w:t>
      </w:r>
      <w:r w:rsidR="00866BF4">
        <w:t>million;</w:t>
      </w:r>
    </w:p>
    <w:p w:rsidR="00866BF4" w:rsidRDefault="00866BF4" w:rsidP="007C3D2B">
      <w:pPr>
        <w:pStyle w:val="List"/>
        <w:keepNext/>
        <w:keepLines/>
      </w:pPr>
      <w:r>
        <w:lastRenderedPageBreak/>
        <w:t>(v)</w:t>
      </w:r>
      <w:r>
        <w:tab/>
        <w:t>the expiration on February</w:t>
      </w:r>
      <w:r w:rsidR="001069D7">
        <w:t> </w:t>
      </w:r>
      <w:r>
        <w:t>28, 2015</w:t>
      </w:r>
      <w:r w:rsidR="001069D7">
        <w:t>,</w:t>
      </w:r>
      <w:r>
        <w:t xml:space="preserve"> of a power purchase agreement with Barclays Bank PLC that delivered 75</w:t>
      </w:r>
      <w:r w:rsidR="001069D7">
        <w:t> </w:t>
      </w:r>
      <w:r w:rsidR="00532EE6">
        <w:t>MW</w:t>
      </w:r>
      <w:r>
        <w:t xml:space="preserve"> of winter months</w:t>
      </w:r>
      <w:r w:rsidR="009F02BA">
        <w:t>’</w:t>
      </w:r>
      <w:r>
        <w:t xml:space="preserve"> capacity;</w:t>
      </w:r>
    </w:p>
    <w:p w:rsidR="00866BF4" w:rsidRDefault="00866BF4" w:rsidP="001069D7">
      <w:pPr>
        <w:pStyle w:val="List"/>
      </w:pPr>
      <w:r>
        <w:t>(vi)</w:t>
      </w:r>
      <w:r>
        <w:tab/>
        <w:t>the expiration on September</w:t>
      </w:r>
      <w:r w:rsidR="001069D7">
        <w:t> </w:t>
      </w:r>
      <w:r>
        <w:t>30, 2016 of a power purchase agreement with Hutchinson Hydro LLC for the output of 1</w:t>
      </w:r>
      <w:r w:rsidR="001069D7">
        <w:t> </w:t>
      </w:r>
      <w:r>
        <w:t>MW;</w:t>
      </w:r>
    </w:p>
    <w:p w:rsidR="009B745B" w:rsidRDefault="009B745B" w:rsidP="009B745B">
      <w:pPr>
        <w:pStyle w:val="List"/>
      </w:pPr>
      <w:r>
        <w:t>(vi</w:t>
      </w:r>
      <w:r w:rsidR="00D75AA8">
        <w:t>i</w:t>
      </w:r>
      <w:r>
        <w:t>)</w:t>
      </w:r>
      <w:r>
        <w:tab/>
        <w:t>the rene</w:t>
      </w:r>
      <w:r w:rsidR="007D455E">
        <w:t>wal</w:t>
      </w:r>
      <w:r>
        <w:t xml:space="preserve"> </w:t>
      </w:r>
      <w:r w:rsidR="007D455E">
        <w:t>of a</w:t>
      </w:r>
      <w:r>
        <w:t xml:space="preserve"> of a power purchase agreement with</w:t>
      </w:r>
      <w:r w:rsidR="007D455E">
        <w:t xml:space="preserve"> Douglas PUD for output from the Wells Hydroelectric Project</w:t>
      </w:r>
      <w:r>
        <w:t xml:space="preserve"> </w:t>
      </w:r>
      <w:r w:rsidR="007D455E">
        <w:t>effective September 1, 2018</w:t>
      </w:r>
      <w:r w:rsidR="00727157">
        <w:t xml:space="preserve">. </w:t>
      </w:r>
      <w:r w:rsidR="00917DFD">
        <w:t xml:space="preserve">Projected rate year power costs reflect an increase in </w:t>
      </w:r>
      <w:r w:rsidR="00486F20">
        <w:t>PSE</w:t>
      </w:r>
      <w:r w:rsidR="009F02BA">
        <w:t>’</w:t>
      </w:r>
      <w:r w:rsidR="00486F20">
        <w:t>s allocation</w:t>
      </w:r>
      <w:r w:rsidR="00917DFD">
        <w:t xml:space="preserve"> from </w:t>
      </w:r>
      <w:r w:rsidR="00486F20">
        <w:t xml:space="preserve">29.89 percent </w:t>
      </w:r>
      <w:r w:rsidR="00917DFD">
        <w:t xml:space="preserve">to an average of </w:t>
      </w:r>
      <w:r w:rsidR="00486F20">
        <w:t>32.07 percent</w:t>
      </w:r>
      <w:r w:rsidR="00917DFD">
        <w:t xml:space="preserve"> in the last four months of the 2018 rate year.</w:t>
      </w:r>
      <w:r w:rsidR="00727157">
        <w:t xml:space="preserve"> If the final contract differs from this assumption the capacity will be updated during this proceeding</w:t>
      </w:r>
      <w:r w:rsidR="00E22830">
        <w:t xml:space="preserve"> (please see </w:t>
      </w:r>
      <w:proofErr w:type="spellStart"/>
      <w:r w:rsidR="00E22830">
        <w:t>Prefiled</w:t>
      </w:r>
      <w:proofErr w:type="spellEnd"/>
      <w:r w:rsidR="00E22830">
        <w:t xml:space="preserve"> Direct Testimony of Michael Mullal</w:t>
      </w:r>
      <w:r w:rsidR="00973793">
        <w:t>l</w:t>
      </w:r>
      <w:r w:rsidR="00E22830">
        <w:t xml:space="preserve">y, Exhibit </w:t>
      </w:r>
      <w:r w:rsidR="00973793">
        <w:t xml:space="preserve">No. __ (MM-1T), for the discussion on the renewal of the original Wells </w:t>
      </w:r>
      <w:proofErr w:type="spellStart"/>
      <w:r w:rsidR="00973793">
        <w:t>PPA</w:t>
      </w:r>
      <w:proofErr w:type="spellEnd"/>
      <w:r w:rsidR="00973793">
        <w:t>)</w:t>
      </w:r>
      <w:r w:rsidR="007D455E">
        <w:t>;</w:t>
      </w:r>
    </w:p>
    <w:p w:rsidR="00D75AA8" w:rsidRDefault="00D75AA8" w:rsidP="00D75AA8">
      <w:pPr>
        <w:pStyle w:val="List"/>
      </w:pPr>
      <w:r>
        <w:t>(viii)</w:t>
      </w:r>
      <w:r>
        <w:tab/>
        <w:t>an upgr</w:t>
      </w:r>
      <w:r w:rsidRPr="003C6847">
        <w:t xml:space="preserve">ade to the Goldendale plant that </w:t>
      </w:r>
      <w:r w:rsidR="00A333CC">
        <w:t xml:space="preserve">increased </w:t>
      </w:r>
      <w:r>
        <w:t>capacity</w:t>
      </w:r>
      <w:r w:rsidR="00BB3ABF">
        <w:t xml:space="preserve"> </w:t>
      </w:r>
      <w:r w:rsidR="006436D0">
        <w:t>to 300</w:t>
      </w:r>
      <w:r w:rsidR="001F202E">
        <w:t> </w:t>
      </w:r>
      <w:r w:rsidR="006436D0">
        <w:t xml:space="preserve">MW </w:t>
      </w:r>
      <w:r w:rsidR="00BB3ABF">
        <w:t xml:space="preserve">(please see the </w:t>
      </w:r>
      <w:proofErr w:type="spellStart"/>
      <w:r w:rsidR="001F202E">
        <w:t>Prefiled</w:t>
      </w:r>
      <w:proofErr w:type="spellEnd"/>
      <w:r w:rsidR="001F202E">
        <w:t xml:space="preserve"> Direct T</w:t>
      </w:r>
      <w:r w:rsidR="00BB3ABF">
        <w:t>estimony of Ron</w:t>
      </w:r>
      <w:r w:rsidR="001F202E">
        <w:t>ald J.</w:t>
      </w:r>
      <w:r w:rsidR="00BB3ABF">
        <w:t xml:space="preserve"> Roberts</w:t>
      </w:r>
      <w:r w:rsidR="001F202E">
        <w:t>, Exhibit No. ___(RJR-1CT),</w:t>
      </w:r>
      <w:r w:rsidR="00BB3ABF">
        <w:t xml:space="preserve"> for a description of this upgrade)</w:t>
      </w:r>
      <w:r>
        <w:t>;</w:t>
      </w:r>
    </w:p>
    <w:p w:rsidR="00D75AA8" w:rsidRDefault="00D75AA8" w:rsidP="00D75AA8">
      <w:pPr>
        <w:pStyle w:val="List"/>
      </w:pPr>
      <w:r>
        <w:t>(ix)</w:t>
      </w:r>
      <w:r>
        <w:tab/>
        <w:t xml:space="preserve">a scheduled upgrade to the Mint Farm that is expected to </w:t>
      </w:r>
      <w:r w:rsidR="00A333CC">
        <w:t xml:space="preserve">increase </w:t>
      </w:r>
      <w:r>
        <w:t>capacity</w:t>
      </w:r>
      <w:r w:rsidR="00A333CC">
        <w:t xml:space="preserve"> to 314 MW</w:t>
      </w:r>
      <w:r w:rsidR="001F202E">
        <w:t xml:space="preserve"> </w:t>
      </w:r>
      <w:r w:rsidR="00BB3ABF">
        <w:t xml:space="preserve">(please see the </w:t>
      </w:r>
      <w:proofErr w:type="spellStart"/>
      <w:r w:rsidR="001F202E">
        <w:t>Prefiled</w:t>
      </w:r>
      <w:proofErr w:type="spellEnd"/>
      <w:r w:rsidR="001F202E">
        <w:t xml:space="preserve"> Direct Testimony of Ronald J. Roberts, Exhibit No. ___(RJR-1CT),</w:t>
      </w:r>
      <w:r w:rsidR="00BB3ABF">
        <w:t>for a description of this upgrade)</w:t>
      </w:r>
      <w:r>
        <w:t>;</w:t>
      </w:r>
    </w:p>
    <w:p w:rsidR="00866BF4" w:rsidRDefault="00866BF4" w:rsidP="001069D7">
      <w:pPr>
        <w:pStyle w:val="List"/>
      </w:pPr>
      <w:r>
        <w:t>(</w:t>
      </w:r>
      <w:r w:rsidR="00D75AA8">
        <w:t>x</w:t>
      </w:r>
      <w:r>
        <w:t>)</w:t>
      </w:r>
      <w:r>
        <w:tab/>
        <w:t>updates to contracts executed under PSE</w:t>
      </w:r>
      <w:r w:rsidR="009F02BA">
        <w:t>’</w:t>
      </w:r>
      <w:r>
        <w:t>s Schedule</w:t>
      </w:r>
      <w:r w:rsidR="001069D7">
        <w:t> </w:t>
      </w:r>
      <w:r>
        <w:t xml:space="preserve">91 Tariff, </w:t>
      </w:r>
      <w:r w:rsidR="009F02BA">
        <w:t>“</w:t>
      </w:r>
      <w:r>
        <w:t>Cogeneration and Small Power Production</w:t>
      </w:r>
      <w:r w:rsidR="009F02BA">
        <w:t>”</w:t>
      </w:r>
      <w:r>
        <w:t>;</w:t>
      </w:r>
    </w:p>
    <w:p w:rsidR="001B21F1" w:rsidRDefault="00866BF4" w:rsidP="00076AC0">
      <w:pPr>
        <w:pStyle w:val="List"/>
      </w:pPr>
      <w:r>
        <w:t>(</w:t>
      </w:r>
      <w:r w:rsidR="00D75AA8">
        <w:t>x</w:t>
      </w:r>
      <w:r>
        <w:t>i)</w:t>
      </w:r>
      <w:r>
        <w:tab/>
        <w:t xml:space="preserve">changes in the gas pipeline capacity and pipeline rates for the power book as discussed </w:t>
      </w:r>
      <w:r w:rsidR="001B21F1">
        <w:t>earlier</w:t>
      </w:r>
      <w:r>
        <w:t>;</w:t>
      </w:r>
    </w:p>
    <w:p w:rsidR="00866BF4" w:rsidRDefault="001B21F1" w:rsidP="00076AC0">
      <w:pPr>
        <w:pStyle w:val="List"/>
      </w:pPr>
      <w:r>
        <w:t>(xii)</w:t>
      </w:r>
      <w:r>
        <w:tab/>
        <w:t xml:space="preserve">new transmission contracts related to capacity increases at Mint Farm and Goldendale as discussed earlier; </w:t>
      </w:r>
      <w:r w:rsidR="001069D7">
        <w:t>and</w:t>
      </w:r>
    </w:p>
    <w:p w:rsidR="00866BF4" w:rsidRDefault="00866BF4" w:rsidP="001069D7">
      <w:pPr>
        <w:pStyle w:val="List"/>
      </w:pPr>
      <w:r>
        <w:t>(x</w:t>
      </w:r>
      <w:r w:rsidR="00D75AA8">
        <w:t>ii</w:t>
      </w:r>
      <w:r w:rsidR="00250061">
        <w:t>i</w:t>
      </w:r>
      <w:bookmarkStart w:id="40" w:name="_GoBack"/>
      <w:bookmarkEnd w:id="40"/>
      <w:r>
        <w:t>)</w:t>
      </w:r>
      <w:r>
        <w:tab/>
        <w:t>updates to all rate year power contracts and resources to reflect current operations, contract terms and planned maintenance.</w:t>
      </w:r>
    </w:p>
    <w:p w:rsidR="000A0729" w:rsidRDefault="000A0729" w:rsidP="000A0729">
      <w:pPr>
        <w:pStyle w:val="question"/>
      </w:pPr>
      <w:r>
        <w:lastRenderedPageBreak/>
        <w:t>Q.</w:t>
      </w:r>
      <w:r>
        <w:tab/>
        <w:t>How did PSE treat its Colstrip resources in its rate year power costs?</w:t>
      </w:r>
    </w:p>
    <w:p w:rsidR="000A0729" w:rsidRDefault="000A0729" w:rsidP="000A0729">
      <w:pPr>
        <w:pStyle w:val="answer"/>
      </w:pPr>
      <w:r>
        <w:t>A.</w:t>
      </w:r>
      <w:r>
        <w:tab/>
        <w:t xml:space="preserve">PSE has agreed to </w:t>
      </w:r>
      <w:r w:rsidR="001F202E">
        <w:t xml:space="preserve">retire the boilers of </w:t>
      </w:r>
      <w:r>
        <w:t xml:space="preserve">Colstrip </w:t>
      </w:r>
      <w:r w:rsidR="001F202E">
        <w:t>U</w:t>
      </w:r>
      <w:r>
        <w:t>nits</w:t>
      </w:r>
      <w:r w:rsidR="001F202E">
        <w:t> </w:t>
      </w:r>
      <w:r>
        <w:t>1</w:t>
      </w:r>
      <w:r w:rsidR="001F202E">
        <w:t> &amp; 2 no later than July 1, 2022</w:t>
      </w:r>
      <w:r>
        <w:t>, so they are assumed to be operational in the rate year, January – December</w:t>
      </w:r>
      <w:r w:rsidR="001F202E">
        <w:t> </w:t>
      </w:r>
      <w:r>
        <w:t xml:space="preserve">2018. </w:t>
      </w:r>
      <w:r w:rsidR="001F202E">
        <w:t xml:space="preserve">Colstrip </w:t>
      </w:r>
      <w:r>
        <w:t>Units</w:t>
      </w:r>
      <w:r w:rsidR="001F202E">
        <w:t> </w:t>
      </w:r>
      <w:r>
        <w:t>3</w:t>
      </w:r>
      <w:r w:rsidR="001F202E">
        <w:t> &amp; </w:t>
      </w:r>
      <w:r>
        <w:t xml:space="preserve">4 are also assumed to be operational throughout the rate year. </w:t>
      </w:r>
    </w:p>
    <w:p w:rsidR="00BB3ABF" w:rsidRDefault="00BB3ABF" w:rsidP="00BB3ABF">
      <w:pPr>
        <w:pStyle w:val="Heading3"/>
      </w:pPr>
      <w:bookmarkStart w:id="41" w:name="_Toc471319041"/>
      <w:r w:rsidRPr="00FF3931">
        <w:t>2.</w:t>
      </w:r>
      <w:r w:rsidRPr="00FF3931">
        <w:tab/>
        <w:t xml:space="preserve">Operating </w:t>
      </w:r>
      <w:r w:rsidR="00FB22C7" w:rsidRPr="00FF3931">
        <w:t xml:space="preserve">and Maintenance </w:t>
      </w:r>
      <w:r w:rsidRPr="00FF3931">
        <w:t xml:space="preserve">Costs of </w:t>
      </w:r>
      <w:r w:rsidR="00FB22C7" w:rsidRPr="00FF3931">
        <w:t>Gas-Fired Resources</w:t>
      </w:r>
      <w:bookmarkEnd w:id="41"/>
    </w:p>
    <w:p w:rsidR="00BB3ABF" w:rsidRPr="00EA6C93" w:rsidRDefault="00BB3ABF" w:rsidP="00BB3ABF">
      <w:pPr>
        <w:pStyle w:val="question"/>
      </w:pPr>
      <w:r w:rsidRPr="00EA6C93">
        <w:t>Q.</w:t>
      </w:r>
      <w:r w:rsidRPr="00EA6C93">
        <w:tab/>
      </w:r>
      <w:r w:rsidR="00EA6C93" w:rsidRPr="00EA6C93">
        <w:t>Have the variable operating and maintenance costs used to model</w:t>
      </w:r>
      <w:r w:rsidR="00FB22C7" w:rsidRPr="00EA6C93">
        <w:t xml:space="preserve"> the dispatch</w:t>
      </w:r>
      <w:r w:rsidR="00EA6C93" w:rsidRPr="00EA6C93">
        <w:t xml:space="preserve"> of gas-fired resou</w:t>
      </w:r>
      <w:r w:rsidR="00EA6C93">
        <w:t>r</w:t>
      </w:r>
      <w:r w:rsidR="00EA6C93" w:rsidRPr="00EA6C93">
        <w:t xml:space="preserve">ces changed since the 2014 </w:t>
      </w:r>
      <w:proofErr w:type="spellStart"/>
      <w:r w:rsidR="00EA6C93" w:rsidRPr="00EA6C93">
        <w:t>PCORC</w:t>
      </w:r>
      <w:proofErr w:type="spellEnd"/>
      <w:r w:rsidR="00324D8D">
        <w:t>?</w:t>
      </w:r>
    </w:p>
    <w:p w:rsidR="00BB3ABF" w:rsidRDefault="00BB3ABF" w:rsidP="00BB3ABF">
      <w:pPr>
        <w:pStyle w:val="answer"/>
      </w:pPr>
      <w:r w:rsidRPr="00EA6C93">
        <w:t>A.</w:t>
      </w:r>
      <w:r w:rsidRPr="00EA6C93">
        <w:tab/>
      </w:r>
      <w:r w:rsidR="00EA6C93" w:rsidRPr="00324D8D">
        <w:t>Yes, they have changed.</w:t>
      </w:r>
      <w:r w:rsidR="00324D8D">
        <w:t xml:space="preserve"> In the 2014 </w:t>
      </w:r>
      <w:proofErr w:type="spellStart"/>
      <w:r w:rsidR="00324D8D">
        <w:t>PCORC</w:t>
      </w:r>
      <w:proofErr w:type="spellEnd"/>
      <w:r w:rsidR="00324D8D">
        <w:t xml:space="preserve"> only variable operating costs were used to model dispatch of the gas-fired resources in AURORA. This was consistent with actual operation</w:t>
      </w:r>
      <w:r w:rsidR="000B0351">
        <w:t>al dispatch decision</w:t>
      </w:r>
      <w:r w:rsidR="00324D8D">
        <w:t>s at the time.</w:t>
      </w:r>
    </w:p>
    <w:p w:rsidR="00324D8D" w:rsidRDefault="00324D8D" w:rsidP="00EB5AB4">
      <w:pPr>
        <w:pStyle w:val="answer"/>
        <w:ind w:firstLine="0"/>
      </w:pPr>
      <w:r>
        <w:t xml:space="preserve">Since then, PSE re-examined its </w:t>
      </w:r>
      <w:proofErr w:type="spellStart"/>
      <w:r>
        <w:t>O&amp;M</w:t>
      </w:r>
      <w:proofErr w:type="spellEnd"/>
      <w:r>
        <w:t xml:space="preserve"> costs</w:t>
      </w:r>
      <w:r w:rsidR="00EB5AB4" w:rsidRPr="00EB5AB4">
        <w:t xml:space="preserve"> </w:t>
      </w:r>
      <w:r w:rsidR="00EB5AB4">
        <w:t>in</w:t>
      </w:r>
      <w:r w:rsidR="00F63F6D">
        <w:t xml:space="preserve"> an effort to better understand its costs and more closely align the information used </w:t>
      </w:r>
      <w:r w:rsidR="001318DF">
        <w:t xml:space="preserve">for </w:t>
      </w:r>
      <w:r w:rsidR="00F63F6D">
        <w:t>operational dispatch decisions with the true costs of operating its generating units</w:t>
      </w:r>
      <w:r>
        <w:t xml:space="preserve">. In this review process, PSE updated its estimates for variable </w:t>
      </w:r>
      <w:proofErr w:type="spellStart"/>
      <w:r>
        <w:t>O&amp;</w:t>
      </w:r>
      <w:r w:rsidR="000E3114">
        <w:t>M</w:t>
      </w:r>
      <w:proofErr w:type="spellEnd"/>
      <w:r w:rsidR="000E3114">
        <w:t xml:space="preserve"> and major maintenance. </w:t>
      </w:r>
      <w:r w:rsidR="000B0351">
        <w:t>PSE developed costs using industry definitions and three years of historical data for PSE</w:t>
      </w:r>
      <w:r w:rsidR="009F02BA">
        <w:t>’</w:t>
      </w:r>
      <w:r w:rsidR="000B0351">
        <w:t xml:space="preserve">s assets. </w:t>
      </w:r>
      <w:r w:rsidR="00537291">
        <w:t xml:space="preserve">The new estimates more accurately reflect the costs of operating </w:t>
      </w:r>
      <w:r w:rsidR="00F63F6D">
        <w:t>PSE</w:t>
      </w:r>
      <w:r w:rsidR="009F02BA">
        <w:t>’</w:t>
      </w:r>
      <w:r w:rsidR="00F63F6D">
        <w:t xml:space="preserve">s </w:t>
      </w:r>
      <w:r w:rsidR="00266AF8">
        <w:t xml:space="preserve">gas fired generation </w:t>
      </w:r>
      <w:r w:rsidR="00537291">
        <w:t xml:space="preserve">and align with </w:t>
      </w:r>
      <w:r w:rsidR="00F63F6D">
        <w:t>industry standards</w:t>
      </w:r>
      <w:r w:rsidR="00537291">
        <w:t xml:space="preserve">. </w:t>
      </w:r>
    </w:p>
    <w:p w:rsidR="00537291" w:rsidRPr="00EA6C93" w:rsidRDefault="00537291" w:rsidP="00537291">
      <w:pPr>
        <w:pStyle w:val="question"/>
      </w:pPr>
      <w:r w:rsidRPr="00EA6C93">
        <w:t>Q.</w:t>
      </w:r>
      <w:r w:rsidRPr="00EA6C93">
        <w:tab/>
      </w:r>
      <w:r>
        <w:t xml:space="preserve">What costs are included in the new estimates of variable </w:t>
      </w:r>
      <w:proofErr w:type="spellStart"/>
      <w:r>
        <w:t>O&amp;M</w:t>
      </w:r>
      <w:proofErr w:type="spellEnd"/>
      <w:r>
        <w:t xml:space="preserve"> </w:t>
      </w:r>
      <w:r w:rsidRPr="00EA6C93">
        <w:t>costs</w:t>
      </w:r>
      <w:r>
        <w:t>?</w:t>
      </w:r>
    </w:p>
    <w:p w:rsidR="00537291" w:rsidRDefault="00537291" w:rsidP="006D41E9">
      <w:pPr>
        <w:pStyle w:val="question"/>
        <w:keepNext w:val="0"/>
        <w:keepLines w:val="0"/>
        <w:rPr>
          <w:b w:val="0"/>
        </w:rPr>
      </w:pPr>
      <w:r w:rsidRPr="00DA456E">
        <w:rPr>
          <w:b w:val="0"/>
        </w:rPr>
        <w:t>A.</w:t>
      </w:r>
      <w:r w:rsidRPr="00DA456E">
        <w:rPr>
          <w:b w:val="0"/>
        </w:rPr>
        <w:tab/>
      </w:r>
      <w:r w:rsidRPr="00837D01">
        <w:rPr>
          <w:b w:val="0"/>
        </w:rPr>
        <w:t xml:space="preserve">Variable operations costs pertain to demineralizer, heat recovery system generator, emissions, makeup water treatment chemicals and consumables </w:t>
      </w:r>
      <w:r w:rsidRPr="00837D01">
        <w:rPr>
          <w:b w:val="0"/>
        </w:rPr>
        <w:lastRenderedPageBreak/>
        <w:t>supporting plant operations. Variable maintenance costs consist of corrective maintenance work that impacts the reliability and availability of the plant.</w:t>
      </w:r>
    </w:p>
    <w:p w:rsidR="000B0351" w:rsidRPr="00EA6C93" w:rsidRDefault="000B0351" w:rsidP="000B0351">
      <w:pPr>
        <w:pStyle w:val="question"/>
      </w:pPr>
      <w:r w:rsidRPr="00EA6C93">
        <w:t>Q.</w:t>
      </w:r>
      <w:r w:rsidRPr="00EA6C93">
        <w:tab/>
      </w:r>
      <w:r>
        <w:t>Did PSE also review its major maintenance costs?</w:t>
      </w:r>
    </w:p>
    <w:p w:rsidR="000B0351" w:rsidRPr="006D41E9" w:rsidRDefault="000B0351" w:rsidP="006D41E9">
      <w:pPr>
        <w:pStyle w:val="answer"/>
      </w:pPr>
      <w:r w:rsidRPr="006D41E9">
        <w:t>A.</w:t>
      </w:r>
      <w:r w:rsidRPr="006D41E9">
        <w:tab/>
        <w:t>Yes, PSE also reviewed its major maintenance costs.</w:t>
      </w:r>
      <w:r w:rsidR="00D952BE" w:rsidRPr="006D41E9">
        <w:t xml:space="preserve"> </w:t>
      </w:r>
      <w:r w:rsidR="006D41E9" w:rsidRPr="006D41E9">
        <w:t xml:space="preserve">Specifically, </w:t>
      </w:r>
      <w:r w:rsidR="00D952BE" w:rsidRPr="006D41E9">
        <w:t>PSE reviewed three years of historica</w:t>
      </w:r>
      <w:r w:rsidR="001318DF" w:rsidRPr="006D41E9">
        <w:t>l</w:t>
      </w:r>
      <w:r w:rsidR="00D952BE" w:rsidRPr="006D41E9">
        <w:t xml:space="preserve"> major maintenance data for its plants to develop cost estimat</w:t>
      </w:r>
      <w:r w:rsidR="001318DF" w:rsidRPr="006D41E9">
        <w:t>e</w:t>
      </w:r>
      <w:r w:rsidR="00D952BE" w:rsidRPr="006D41E9">
        <w:t>s. For Goldendale and Mint Farm, Long Term Service Agreements</w:t>
      </w:r>
      <w:r w:rsidR="00F9417D">
        <w:t xml:space="preserve"> </w:t>
      </w:r>
      <w:r w:rsidR="00D952BE" w:rsidRPr="006D41E9">
        <w:t xml:space="preserve">with service providers </w:t>
      </w:r>
      <w:r w:rsidR="001318DF" w:rsidRPr="006D41E9">
        <w:t>establish</w:t>
      </w:r>
      <w:r w:rsidR="00D952BE" w:rsidRPr="006D41E9">
        <w:t xml:space="preserve"> major maintenance events</w:t>
      </w:r>
      <w:r w:rsidR="001318DF" w:rsidRPr="006D41E9">
        <w:t xml:space="preserve"> based on run hours and number of starts</w:t>
      </w:r>
      <w:r w:rsidR="00D952BE" w:rsidRPr="006D41E9">
        <w:t xml:space="preserve">, and the cost estimates are based on these </w:t>
      </w:r>
      <w:r w:rsidR="006D41E9" w:rsidRPr="006D41E9">
        <w:t>Long Term Service Agreements</w:t>
      </w:r>
      <w:r w:rsidRPr="006D41E9">
        <w:t xml:space="preserve">. </w:t>
      </w:r>
      <w:r w:rsidR="00D952BE" w:rsidRPr="006D41E9">
        <w:t>Major maintenance is expressed as a Major Maintenance Adder.</w:t>
      </w:r>
    </w:p>
    <w:p w:rsidR="000B0351" w:rsidRPr="00EA6C93" w:rsidRDefault="000B0351" w:rsidP="000B0351">
      <w:pPr>
        <w:pStyle w:val="question"/>
      </w:pPr>
      <w:r w:rsidRPr="00EA6C93">
        <w:t>Q.</w:t>
      </w:r>
      <w:r w:rsidRPr="00EA6C93">
        <w:tab/>
      </w:r>
      <w:r>
        <w:t>Are major maintenance costs influenced by PSE</w:t>
      </w:r>
      <w:r w:rsidR="009F02BA">
        <w:t>’</w:t>
      </w:r>
      <w:r>
        <w:t>s dispatch of its generating units?</w:t>
      </w:r>
    </w:p>
    <w:p w:rsidR="000B0351" w:rsidRPr="000B0351" w:rsidRDefault="000B0351" w:rsidP="006D41E9">
      <w:pPr>
        <w:pStyle w:val="answer"/>
      </w:pPr>
      <w:r w:rsidRPr="00EA6C93">
        <w:t>A.</w:t>
      </w:r>
      <w:r w:rsidRPr="00EA6C93">
        <w:tab/>
      </w:r>
      <w:r>
        <w:t>Yes</w:t>
      </w:r>
      <w:r w:rsidR="005C7E76">
        <w:t>,</w:t>
      </w:r>
      <w:r>
        <w:t xml:space="preserve"> the timing, frequency, and magnitude of major maintenance events are all influenced by a resource</w:t>
      </w:r>
      <w:r w:rsidR="009F02BA">
        <w:t>’</w:t>
      </w:r>
      <w:r>
        <w:t>s run time. Operationally these events are considered in PSE</w:t>
      </w:r>
      <w:r w:rsidR="009F02BA">
        <w:t>’</w:t>
      </w:r>
      <w:r>
        <w:t>s daily dispatch decisions, and therefore they need to be included in the modeling of dispatch decisions for projecting power costs. For projecting power costs in this proceeding, major maintenance costs for simple cycle combustion turbines were modeled on a cost per start basis. For combined cycle combustion turbines, major maintenance costs were developed on a cost per hour of run time basis and</w:t>
      </w:r>
      <w:r w:rsidRPr="00D253C6">
        <w:t xml:space="preserve"> modeled </w:t>
      </w:r>
      <w:r>
        <w:t xml:space="preserve">in AURORA </w:t>
      </w:r>
      <w:r w:rsidRPr="00D253C6">
        <w:t>on cost per MWh basis.</w:t>
      </w:r>
    </w:p>
    <w:p w:rsidR="001318DF" w:rsidRPr="00EA6C93" w:rsidRDefault="001318DF" w:rsidP="001318DF">
      <w:pPr>
        <w:pStyle w:val="question"/>
      </w:pPr>
      <w:r w:rsidRPr="00EA6C93">
        <w:t>Q.</w:t>
      </w:r>
      <w:r w:rsidRPr="00EA6C93">
        <w:tab/>
      </w:r>
      <w:r>
        <w:t>How do PSE</w:t>
      </w:r>
      <w:r w:rsidR="009F02BA">
        <w:t>’</w:t>
      </w:r>
      <w:r>
        <w:t>s cost estimates compare with industry cost estimates?</w:t>
      </w:r>
    </w:p>
    <w:p w:rsidR="001318DF" w:rsidRPr="00F63F6D" w:rsidRDefault="001318DF" w:rsidP="001318DF">
      <w:pPr>
        <w:pStyle w:val="answer"/>
      </w:pPr>
      <w:r w:rsidRPr="00EA6C93">
        <w:t>A.</w:t>
      </w:r>
      <w:r w:rsidRPr="00EA6C93">
        <w:tab/>
      </w:r>
      <w:r>
        <w:t xml:space="preserve">CAISO provides estimates of variable </w:t>
      </w:r>
      <w:proofErr w:type="spellStart"/>
      <w:r>
        <w:t>O&amp;M</w:t>
      </w:r>
      <w:proofErr w:type="spellEnd"/>
      <w:r w:rsidRPr="00D952BE">
        <w:t xml:space="preserve"> </w:t>
      </w:r>
      <w:r>
        <w:t xml:space="preserve">for EIM participants, and PSE compared its estimates using CAISO definitions with the CAISO estimates. This </w:t>
      </w:r>
      <w:r>
        <w:lastRenderedPageBreak/>
        <w:t>comparison confirms that PSE</w:t>
      </w:r>
      <w:r w:rsidR="009F02BA">
        <w:t>’</w:t>
      </w:r>
      <w:r>
        <w:t>s estimates are reasonable.</w:t>
      </w:r>
      <w:r w:rsidR="001F6B6E">
        <w:t xml:space="preserve"> See Table 16 below for this comparison.</w:t>
      </w:r>
    </w:p>
    <w:p w:rsidR="000E3114" w:rsidRPr="00EA6C93" w:rsidRDefault="000E3114" w:rsidP="00537291">
      <w:pPr>
        <w:pStyle w:val="question"/>
      </w:pPr>
      <w:r w:rsidRPr="00EA6C93">
        <w:t>Q.</w:t>
      </w:r>
      <w:r w:rsidRPr="00EA6C93">
        <w:tab/>
      </w:r>
      <w:r>
        <w:t>Wh</w:t>
      </w:r>
      <w:r w:rsidR="001318DF">
        <w:t>ich</w:t>
      </w:r>
      <w:r>
        <w:t xml:space="preserve"> variable </w:t>
      </w:r>
      <w:proofErr w:type="spellStart"/>
      <w:r>
        <w:t>O&amp;M</w:t>
      </w:r>
      <w:proofErr w:type="spellEnd"/>
      <w:r>
        <w:t xml:space="preserve"> </w:t>
      </w:r>
      <w:r w:rsidRPr="00EA6C93">
        <w:t xml:space="preserve">costs </w:t>
      </w:r>
      <w:r>
        <w:t xml:space="preserve">did PSE </w:t>
      </w:r>
      <w:r w:rsidRPr="00EA6C93">
        <w:t>use to model the dispatch of gas-fired resou</w:t>
      </w:r>
      <w:r>
        <w:t>r</w:t>
      </w:r>
      <w:r w:rsidRPr="00EA6C93">
        <w:t xml:space="preserve">ces </w:t>
      </w:r>
      <w:r>
        <w:t>in this proceeding?</w:t>
      </w:r>
    </w:p>
    <w:p w:rsidR="00884539" w:rsidRDefault="000E3114">
      <w:pPr>
        <w:pStyle w:val="answer"/>
      </w:pPr>
      <w:r w:rsidRPr="00EA6C93">
        <w:t>A.</w:t>
      </w:r>
      <w:r w:rsidRPr="00EA6C93">
        <w:tab/>
      </w:r>
      <w:r>
        <w:t xml:space="preserve">With one exception, PSE uses </w:t>
      </w:r>
      <w:r w:rsidR="002233A3">
        <w:t xml:space="preserve">variable </w:t>
      </w:r>
      <w:proofErr w:type="spellStart"/>
      <w:r w:rsidR="002233A3">
        <w:t>O&amp;M</w:t>
      </w:r>
      <w:proofErr w:type="spellEnd"/>
      <w:r w:rsidR="002233A3">
        <w:t xml:space="preserve"> costs</w:t>
      </w:r>
      <w:r>
        <w:t xml:space="preserve"> established by CAISO to model dispatch of these resources. PSE</w:t>
      </w:r>
      <w:r w:rsidR="009F02BA">
        <w:t>’</w:t>
      </w:r>
      <w:r>
        <w:t xml:space="preserve">s estimate of variable </w:t>
      </w:r>
      <w:proofErr w:type="spellStart"/>
      <w:r>
        <w:t>O&amp;M</w:t>
      </w:r>
      <w:proofErr w:type="spellEnd"/>
      <w:r>
        <w:t xml:space="preserve"> for the </w:t>
      </w:r>
      <w:proofErr w:type="spellStart"/>
      <w:r>
        <w:t>Encogen</w:t>
      </w:r>
      <w:proofErr w:type="spellEnd"/>
      <w:r>
        <w:t xml:space="preserve"> combined cycle plant is higher than the CAISO </w:t>
      </w:r>
      <w:r w:rsidR="002233A3">
        <w:t>estimate</w:t>
      </w:r>
      <w:r>
        <w:t>, therefore PS</w:t>
      </w:r>
      <w:r w:rsidR="00940A01">
        <w:t>E uses its own calculated cost.</w:t>
      </w:r>
      <w:r w:rsidR="005929DF">
        <w:t xml:space="preserve"> Use of these costs is consistent with PSE operations.</w:t>
      </w:r>
    </w:p>
    <w:p w:rsidR="00522175" w:rsidRPr="00EA6C93" w:rsidRDefault="00522175" w:rsidP="00522175">
      <w:pPr>
        <w:pStyle w:val="question"/>
      </w:pPr>
      <w:r w:rsidRPr="00EA6C93">
        <w:t>Q.</w:t>
      </w:r>
      <w:r w:rsidRPr="00EA6C93">
        <w:tab/>
      </w:r>
      <w:r w:rsidR="001318DF">
        <w:t>Please summarize the updated costs estimates and</w:t>
      </w:r>
      <w:r>
        <w:t xml:space="preserve"> those used in the 2014 </w:t>
      </w:r>
      <w:proofErr w:type="spellStart"/>
      <w:r>
        <w:t>PCORC</w:t>
      </w:r>
      <w:proofErr w:type="spellEnd"/>
      <w:r w:rsidR="001318DF">
        <w:t>.</w:t>
      </w:r>
    </w:p>
    <w:p w:rsidR="00C37C3E" w:rsidRDefault="00522175" w:rsidP="00522175">
      <w:pPr>
        <w:pStyle w:val="answer"/>
      </w:pPr>
      <w:r w:rsidRPr="00EA6C93">
        <w:t>A.</w:t>
      </w:r>
      <w:r w:rsidRPr="00EA6C93">
        <w:tab/>
      </w:r>
      <w:r w:rsidR="00C37C3E">
        <w:t xml:space="preserve">Variable </w:t>
      </w:r>
      <w:proofErr w:type="spellStart"/>
      <w:r w:rsidR="00C37C3E">
        <w:t>O&amp;M</w:t>
      </w:r>
      <w:proofErr w:type="spellEnd"/>
      <w:r w:rsidR="00C37C3E">
        <w:t xml:space="preserve"> costs used in the 2014 </w:t>
      </w:r>
      <w:proofErr w:type="spellStart"/>
      <w:r w:rsidR="00C37C3E">
        <w:t>PCORC</w:t>
      </w:r>
      <w:proofErr w:type="spellEnd"/>
      <w:r w:rsidR="00C37C3E">
        <w:t xml:space="preserve"> and this proceeding are summarized in Table 1</w:t>
      </w:r>
      <w:r w:rsidR="007C0A2C">
        <w:t>6</w:t>
      </w:r>
      <w:r w:rsidR="00D952BE">
        <w:t xml:space="preserve"> along with CAISO variable </w:t>
      </w:r>
      <w:proofErr w:type="spellStart"/>
      <w:r w:rsidR="00D952BE">
        <w:t>O&amp;M</w:t>
      </w:r>
      <w:proofErr w:type="spellEnd"/>
      <w:r w:rsidR="00D952BE">
        <w:t xml:space="preserve"> costs</w:t>
      </w:r>
      <w:r w:rsidR="00C37C3E">
        <w:t>. Major maintenance costs used in this proceeding are</w:t>
      </w:r>
      <w:r>
        <w:t xml:space="preserve"> also </w:t>
      </w:r>
      <w:r w:rsidR="00C37C3E">
        <w:t>provided.</w:t>
      </w:r>
    </w:p>
    <w:p w:rsidR="005354F2" w:rsidRPr="00FD7F1B" w:rsidRDefault="005354F2" w:rsidP="00FD7F1B">
      <w:pPr>
        <w:pStyle w:val="TableHeader"/>
      </w:pPr>
      <w:r w:rsidRPr="00FD7F1B">
        <w:lastRenderedPageBreak/>
        <w:t xml:space="preserve">Table </w:t>
      </w:r>
      <w:r w:rsidR="0098280B" w:rsidRPr="00FD7F1B">
        <w:t>1</w:t>
      </w:r>
      <w:r w:rsidR="007C0A2C">
        <w:t>6</w:t>
      </w:r>
      <w:r w:rsidR="00FD7F1B" w:rsidRPr="00FD7F1B">
        <w:br/>
      </w:r>
      <w:r w:rsidRPr="00FD7F1B">
        <w:t xml:space="preserve">Variable </w:t>
      </w:r>
      <w:proofErr w:type="spellStart"/>
      <w:r w:rsidRPr="00FD7F1B">
        <w:t>O&amp;M</w:t>
      </w:r>
      <w:proofErr w:type="spellEnd"/>
      <w:r w:rsidRPr="00FD7F1B">
        <w:t xml:space="preserve"> and Major Maintenance Costs of Gas-Fired Resources</w:t>
      </w:r>
      <w:r w:rsidR="00C32949">
        <w:t xml:space="preserve"> </w:t>
      </w:r>
    </w:p>
    <w:tbl>
      <w:tblPr>
        <w:tblStyle w:val="TableGrid"/>
        <w:tblW w:w="8816" w:type="dxa"/>
        <w:tblInd w:w="108" w:type="dxa"/>
        <w:tblLook w:val="04A0" w:firstRow="1" w:lastRow="0" w:firstColumn="1" w:lastColumn="0" w:noHBand="0" w:noVBand="1"/>
      </w:tblPr>
      <w:tblGrid>
        <w:gridCol w:w="2178"/>
        <w:gridCol w:w="1339"/>
        <w:gridCol w:w="1323"/>
        <w:gridCol w:w="1163"/>
        <w:gridCol w:w="1163"/>
        <w:gridCol w:w="1650"/>
      </w:tblGrid>
      <w:tr w:rsidR="00065E97" w:rsidRPr="002E5CDD" w:rsidTr="002E5CDD">
        <w:tc>
          <w:tcPr>
            <w:tcW w:w="2178" w:type="dxa"/>
            <w:shd w:val="clear" w:color="auto" w:fill="D9D9D9" w:themeFill="background1" w:themeFillShade="D9"/>
            <w:vAlign w:val="bottom"/>
          </w:tcPr>
          <w:p w:rsidR="00065E97" w:rsidRPr="002E5CDD" w:rsidRDefault="00065E97" w:rsidP="00065E97">
            <w:pPr>
              <w:pStyle w:val="answer"/>
              <w:keepNext/>
              <w:keepLines/>
              <w:spacing w:line="240" w:lineRule="auto"/>
              <w:ind w:left="0" w:firstLine="0"/>
              <w:jc w:val="center"/>
              <w:rPr>
                <w:b/>
                <w:szCs w:val="24"/>
              </w:rPr>
            </w:pPr>
            <w:r w:rsidRPr="002E5CDD">
              <w:rPr>
                <w:b/>
                <w:szCs w:val="24"/>
              </w:rPr>
              <w:t>Resource</w:t>
            </w:r>
          </w:p>
        </w:tc>
        <w:tc>
          <w:tcPr>
            <w:tcW w:w="1339" w:type="dxa"/>
            <w:shd w:val="clear" w:color="auto" w:fill="D9D9D9" w:themeFill="background1" w:themeFillShade="D9"/>
            <w:vAlign w:val="bottom"/>
          </w:tcPr>
          <w:p w:rsidR="00065E97" w:rsidRPr="002E5CDD" w:rsidRDefault="00065E97" w:rsidP="00065E97">
            <w:pPr>
              <w:pStyle w:val="answer"/>
              <w:keepNext/>
              <w:keepLines/>
              <w:spacing w:line="240" w:lineRule="auto"/>
              <w:ind w:left="0" w:firstLine="0"/>
              <w:jc w:val="center"/>
              <w:rPr>
                <w:b/>
                <w:szCs w:val="24"/>
              </w:rPr>
            </w:pPr>
            <w:r w:rsidRPr="002E5CDD">
              <w:rPr>
                <w:b/>
                <w:szCs w:val="24"/>
              </w:rPr>
              <w:t xml:space="preserve">2014 </w:t>
            </w:r>
            <w:proofErr w:type="spellStart"/>
            <w:r w:rsidRPr="002E5CDD">
              <w:rPr>
                <w:b/>
                <w:szCs w:val="24"/>
              </w:rPr>
              <w:t>PCORC</w:t>
            </w:r>
            <w:proofErr w:type="spellEnd"/>
            <w:r w:rsidRPr="002E5CDD">
              <w:rPr>
                <w:b/>
                <w:szCs w:val="24"/>
              </w:rPr>
              <w:t xml:space="preserve"> Variable Operating Costs ($/MWh)</w:t>
            </w:r>
          </w:p>
        </w:tc>
        <w:tc>
          <w:tcPr>
            <w:tcW w:w="1323" w:type="dxa"/>
            <w:shd w:val="clear" w:color="auto" w:fill="D9D9D9" w:themeFill="background1" w:themeFillShade="D9"/>
            <w:vAlign w:val="bottom"/>
          </w:tcPr>
          <w:p w:rsidR="00065E97" w:rsidRPr="002E5CDD" w:rsidRDefault="00065E97" w:rsidP="006D1DEF">
            <w:pPr>
              <w:pStyle w:val="answer"/>
              <w:keepNext/>
              <w:keepLines/>
              <w:spacing w:line="240" w:lineRule="auto"/>
              <w:ind w:left="0" w:firstLine="0"/>
              <w:jc w:val="center"/>
              <w:rPr>
                <w:b/>
                <w:szCs w:val="24"/>
              </w:rPr>
            </w:pPr>
            <w:r w:rsidRPr="002E5CDD">
              <w:rPr>
                <w:b/>
                <w:szCs w:val="24"/>
              </w:rPr>
              <w:t xml:space="preserve">PSE Calculated Variable </w:t>
            </w:r>
            <w:proofErr w:type="spellStart"/>
            <w:r w:rsidRPr="002E5CDD">
              <w:rPr>
                <w:b/>
                <w:szCs w:val="24"/>
              </w:rPr>
              <w:t>O&amp;M</w:t>
            </w:r>
            <w:proofErr w:type="spellEnd"/>
            <w:r w:rsidRPr="002E5CDD">
              <w:rPr>
                <w:b/>
                <w:szCs w:val="24"/>
              </w:rPr>
              <w:t xml:space="preserve"> ($/MWh)</w:t>
            </w:r>
          </w:p>
        </w:tc>
        <w:tc>
          <w:tcPr>
            <w:tcW w:w="0" w:type="auto"/>
            <w:shd w:val="clear" w:color="auto" w:fill="D9D9D9" w:themeFill="background1" w:themeFillShade="D9"/>
            <w:vAlign w:val="bottom"/>
          </w:tcPr>
          <w:p w:rsidR="00065E97" w:rsidRPr="002E5CDD" w:rsidRDefault="00065E97" w:rsidP="00192830">
            <w:pPr>
              <w:pStyle w:val="answer"/>
              <w:keepNext/>
              <w:keepLines/>
              <w:spacing w:line="240" w:lineRule="auto"/>
              <w:ind w:left="0" w:firstLine="0"/>
              <w:jc w:val="center"/>
              <w:rPr>
                <w:b/>
                <w:szCs w:val="24"/>
              </w:rPr>
            </w:pPr>
            <w:r w:rsidRPr="002E5CDD">
              <w:rPr>
                <w:b/>
                <w:szCs w:val="24"/>
              </w:rPr>
              <w:t xml:space="preserve">CAISO Variable </w:t>
            </w:r>
            <w:proofErr w:type="spellStart"/>
            <w:r w:rsidRPr="002E5CDD">
              <w:rPr>
                <w:b/>
                <w:szCs w:val="24"/>
              </w:rPr>
              <w:t>O&amp;M</w:t>
            </w:r>
            <w:proofErr w:type="spellEnd"/>
            <w:r w:rsidRPr="002E5CDD">
              <w:rPr>
                <w:b/>
                <w:szCs w:val="24"/>
              </w:rPr>
              <w:t xml:space="preserve"> ($/MWh)</w:t>
            </w:r>
          </w:p>
        </w:tc>
        <w:tc>
          <w:tcPr>
            <w:tcW w:w="0" w:type="auto"/>
            <w:shd w:val="clear" w:color="auto" w:fill="D9D9D9" w:themeFill="background1" w:themeFillShade="D9"/>
            <w:vAlign w:val="bottom"/>
          </w:tcPr>
          <w:p w:rsidR="00065E97" w:rsidRPr="002E5CDD" w:rsidRDefault="00065E97" w:rsidP="00192830">
            <w:pPr>
              <w:pStyle w:val="answer"/>
              <w:keepNext/>
              <w:keepLines/>
              <w:spacing w:line="240" w:lineRule="auto"/>
              <w:ind w:left="0" w:firstLine="0"/>
              <w:jc w:val="center"/>
              <w:rPr>
                <w:b/>
                <w:szCs w:val="24"/>
              </w:rPr>
            </w:pPr>
            <w:r w:rsidRPr="002E5CDD">
              <w:rPr>
                <w:b/>
                <w:szCs w:val="24"/>
              </w:rPr>
              <w:t xml:space="preserve">2017 </w:t>
            </w:r>
            <w:proofErr w:type="spellStart"/>
            <w:r w:rsidRPr="002E5CDD">
              <w:rPr>
                <w:b/>
                <w:szCs w:val="24"/>
              </w:rPr>
              <w:t>GRC</w:t>
            </w:r>
            <w:proofErr w:type="spellEnd"/>
            <w:r w:rsidRPr="002E5CDD">
              <w:rPr>
                <w:b/>
                <w:szCs w:val="24"/>
              </w:rPr>
              <w:t xml:space="preserve"> Variable </w:t>
            </w:r>
            <w:proofErr w:type="spellStart"/>
            <w:r w:rsidRPr="002E5CDD">
              <w:rPr>
                <w:b/>
                <w:szCs w:val="24"/>
              </w:rPr>
              <w:t>O&amp;M</w:t>
            </w:r>
            <w:proofErr w:type="spellEnd"/>
            <w:r w:rsidRPr="002E5CDD">
              <w:rPr>
                <w:b/>
                <w:szCs w:val="24"/>
              </w:rPr>
              <w:t xml:space="preserve"> ($/MWh)</w:t>
            </w:r>
          </w:p>
        </w:tc>
        <w:tc>
          <w:tcPr>
            <w:tcW w:w="1650" w:type="dxa"/>
            <w:shd w:val="clear" w:color="auto" w:fill="D9D9D9" w:themeFill="background1" w:themeFillShade="D9"/>
            <w:vAlign w:val="bottom"/>
          </w:tcPr>
          <w:p w:rsidR="00065E97" w:rsidRPr="002E5CDD" w:rsidRDefault="00065E97" w:rsidP="00192830">
            <w:pPr>
              <w:pStyle w:val="answer"/>
              <w:keepNext/>
              <w:keepLines/>
              <w:spacing w:line="240" w:lineRule="auto"/>
              <w:ind w:left="0" w:firstLine="0"/>
              <w:jc w:val="center"/>
              <w:rPr>
                <w:b/>
                <w:szCs w:val="24"/>
              </w:rPr>
            </w:pPr>
            <w:r w:rsidRPr="002E5CDD">
              <w:rPr>
                <w:b/>
                <w:szCs w:val="24"/>
              </w:rPr>
              <w:t xml:space="preserve">2017 </w:t>
            </w:r>
            <w:proofErr w:type="spellStart"/>
            <w:r w:rsidRPr="002E5CDD">
              <w:rPr>
                <w:b/>
                <w:szCs w:val="24"/>
              </w:rPr>
              <w:t>GRC</w:t>
            </w:r>
            <w:proofErr w:type="spellEnd"/>
            <w:r w:rsidRPr="002E5CDD">
              <w:rPr>
                <w:b/>
                <w:szCs w:val="24"/>
              </w:rPr>
              <w:t xml:space="preserve"> Major Maintenance </w:t>
            </w:r>
          </w:p>
        </w:tc>
      </w:tr>
      <w:tr w:rsidR="00065E97" w:rsidRPr="002E5CDD" w:rsidTr="00FD7F1B">
        <w:tc>
          <w:tcPr>
            <w:tcW w:w="8816" w:type="dxa"/>
            <w:gridSpan w:val="6"/>
          </w:tcPr>
          <w:p w:rsidR="00065E97" w:rsidRPr="002E5CDD" w:rsidRDefault="00065E97" w:rsidP="00EB5AB4">
            <w:pPr>
              <w:pStyle w:val="answer"/>
              <w:keepNext/>
              <w:keepLines/>
              <w:spacing w:line="240" w:lineRule="auto"/>
              <w:ind w:left="0" w:firstLine="0"/>
              <w:rPr>
                <w:b/>
                <w:szCs w:val="24"/>
              </w:rPr>
            </w:pPr>
            <w:r w:rsidRPr="002E5CDD">
              <w:rPr>
                <w:b/>
                <w:szCs w:val="24"/>
              </w:rPr>
              <w:t>Combined</w:t>
            </w:r>
            <w:r w:rsidR="00EB5AB4" w:rsidRPr="002E5CDD">
              <w:rPr>
                <w:b/>
                <w:szCs w:val="24"/>
              </w:rPr>
              <w:t>-</w:t>
            </w:r>
            <w:r w:rsidRPr="002E5CDD">
              <w:rPr>
                <w:b/>
                <w:szCs w:val="24"/>
              </w:rPr>
              <w:t>Cycle Combustion Turbines</w:t>
            </w:r>
          </w:p>
        </w:tc>
      </w:tr>
      <w:tr w:rsidR="00065E97" w:rsidRPr="002E5CDD" w:rsidTr="00FD7F1B">
        <w:tc>
          <w:tcPr>
            <w:tcW w:w="2178" w:type="dxa"/>
          </w:tcPr>
          <w:p w:rsidR="00065E97" w:rsidRPr="002E5CDD" w:rsidRDefault="00065E97" w:rsidP="005354F2">
            <w:pPr>
              <w:pStyle w:val="answer"/>
              <w:keepNext/>
              <w:keepLines/>
              <w:spacing w:before="60" w:after="60" w:line="240" w:lineRule="auto"/>
              <w:ind w:left="0" w:firstLine="0"/>
              <w:rPr>
                <w:szCs w:val="24"/>
              </w:rPr>
            </w:pPr>
            <w:proofErr w:type="spellStart"/>
            <w:r w:rsidRPr="002E5CDD">
              <w:rPr>
                <w:szCs w:val="24"/>
              </w:rPr>
              <w:t>Encogen</w:t>
            </w:r>
            <w:proofErr w:type="spellEnd"/>
          </w:p>
        </w:tc>
        <w:tc>
          <w:tcPr>
            <w:tcW w:w="1339" w:type="dxa"/>
          </w:tcPr>
          <w:p w:rsidR="00065E97" w:rsidRPr="002E5CDD" w:rsidRDefault="00065E97" w:rsidP="00663D65">
            <w:pPr>
              <w:pStyle w:val="answer"/>
              <w:keepNext/>
              <w:keepLines/>
              <w:spacing w:before="60" w:after="60" w:line="240" w:lineRule="auto"/>
              <w:ind w:left="0" w:firstLine="0"/>
              <w:jc w:val="center"/>
              <w:rPr>
                <w:szCs w:val="24"/>
              </w:rPr>
            </w:pPr>
            <w:r w:rsidRPr="002E5CDD">
              <w:rPr>
                <w:szCs w:val="24"/>
              </w:rPr>
              <w:t>$0.96</w:t>
            </w:r>
          </w:p>
        </w:tc>
        <w:tc>
          <w:tcPr>
            <w:tcW w:w="1323" w:type="dxa"/>
          </w:tcPr>
          <w:p w:rsidR="00065E97" w:rsidRPr="002E5CDD" w:rsidRDefault="001F202E" w:rsidP="00A06B5D">
            <w:pPr>
              <w:pStyle w:val="answer"/>
              <w:keepNext/>
              <w:keepLines/>
              <w:spacing w:before="60" w:after="60" w:line="240" w:lineRule="auto"/>
              <w:ind w:left="0" w:firstLine="0"/>
              <w:jc w:val="center"/>
              <w:rPr>
                <w:szCs w:val="24"/>
                <w:highlight w:val="lightGray"/>
              </w:rPr>
            </w:pPr>
            <w:r w:rsidRPr="002E5CDD">
              <w:rPr>
                <w:szCs w:val="24"/>
              </w:rPr>
              <w:t>$</w:t>
            </w:r>
            <w:r w:rsidR="000D17B8">
              <w:t>███</w:t>
            </w:r>
          </w:p>
        </w:tc>
        <w:tc>
          <w:tcPr>
            <w:tcW w:w="0" w:type="auto"/>
          </w:tcPr>
          <w:p w:rsidR="00065E97" w:rsidRPr="002E5CDD" w:rsidRDefault="00065E97" w:rsidP="00663D65">
            <w:pPr>
              <w:pStyle w:val="answer"/>
              <w:keepNext/>
              <w:keepLines/>
              <w:spacing w:before="60" w:after="60" w:line="240" w:lineRule="auto"/>
              <w:ind w:left="0" w:firstLine="0"/>
              <w:jc w:val="center"/>
              <w:rPr>
                <w:szCs w:val="24"/>
              </w:rPr>
            </w:pPr>
            <w:r w:rsidRPr="002E5CDD">
              <w:rPr>
                <w:szCs w:val="24"/>
              </w:rPr>
              <w:t>$2.80</w:t>
            </w:r>
          </w:p>
        </w:tc>
        <w:tc>
          <w:tcPr>
            <w:tcW w:w="0" w:type="auto"/>
          </w:tcPr>
          <w:p w:rsidR="00065E97" w:rsidRPr="002E5CDD" w:rsidRDefault="000D17B8" w:rsidP="00663D65">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p>
        </w:tc>
        <w:tc>
          <w:tcPr>
            <w:tcW w:w="1650" w:type="dxa"/>
          </w:tcPr>
          <w:p w:rsidR="00065E97" w:rsidRPr="002E5CDD" w:rsidRDefault="001F202E" w:rsidP="008E50AB">
            <w:pPr>
              <w:pStyle w:val="answer"/>
              <w:keepNext/>
              <w:keepLines/>
              <w:spacing w:before="60" w:after="60" w:line="240" w:lineRule="auto"/>
              <w:ind w:left="0" w:firstLine="0"/>
              <w:jc w:val="center"/>
              <w:rPr>
                <w:szCs w:val="24"/>
              </w:rPr>
            </w:pPr>
            <w:r w:rsidRPr="002E5CDD">
              <w:rPr>
                <w:szCs w:val="24"/>
              </w:rPr>
              <w:t>$</w:t>
            </w:r>
            <w:r w:rsidR="000D17B8" w:rsidRPr="000D17B8">
              <w:rPr>
                <w:bdr w:val="single" w:sz="4" w:space="0" w:color="auto"/>
              </w:rPr>
              <w:t>███</w:t>
            </w:r>
            <w:r w:rsidR="00065E97" w:rsidRPr="002E5CDD">
              <w:rPr>
                <w:szCs w:val="24"/>
              </w:rPr>
              <w:t xml:space="preserve"> / MWh</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r w:rsidRPr="002E5CDD">
              <w:rPr>
                <w:szCs w:val="24"/>
              </w:rPr>
              <w:t>Sumas</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$0.37</w:t>
            </w:r>
          </w:p>
        </w:tc>
        <w:tc>
          <w:tcPr>
            <w:tcW w:w="1323" w:type="dxa"/>
          </w:tcPr>
          <w:p w:rsidR="000D17B8" w:rsidRPr="002E5CDD" w:rsidRDefault="000D17B8" w:rsidP="00A06B5D">
            <w:pPr>
              <w:pStyle w:val="answer"/>
              <w:keepNext/>
              <w:keepLines/>
              <w:spacing w:before="60" w:after="60" w:line="240" w:lineRule="auto"/>
              <w:ind w:left="0" w:firstLine="0"/>
              <w:jc w:val="center"/>
              <w:rPr>
                <w:szCs w:val="24"/>
                <w:highlight w:val="lightGray"/>
              </w:rPr>
            </w:pPr>
            <w:r w:rsidRPr="002E5CDD">
              <w:rPr>
                <w:szCs w:val="24"/>
              </w:rPr>
              <w:t>$</w:t>
            </w:r>
            <w: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p>
        </w:tc>
        <w:tc>
          <w:tcPr>
            <w:tcW w:w="1650" w:type="dxa"/>
          </w:tcPr>
          <w:p w:rsidR="000D17B8" w:rsidRPr="002E5CDD" w:rsidRDefault="000D17B8" w:rsidP="00A0519F">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MWh</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r w:rsidRPr="002E5CDD">
              <w:rPr>
                <w:szCs w:val="24"/>
              </w:rPr>
              <w:t>Ferndale</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$0.60</w:t>
            </w:r>
          </w:p>
        </w:tc>
        <w:tc>
          <w:tcPr>
            <w:tcW w:w="1323" w:type="dxa"/>
          </w:tcPr>
          <w:p w:rsidR="000D17B8" w:rsidRPr="002E5CDD" w:rsidRDefault="000D17B8" w:rsidP="00663D65">
            <w:pPr>
              <w:pStyle w:val="answer"/>
              <w:keepNext/>
              <w:keepLines/>
              <w:spacing w:before="60" w:after="60" w:line="240" w:lineRule="auto"/>
              <w:ind w:left="0" w:firstLine="0"/>
              <w:jc w:val="center"/>
              <w:rPr>
                <w:szCs w:val="24"/>
                <w:highlight w:val="lightGray"/>
              </w:rPr>
            </w:pPr>
            <w: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p>
        </w:tc>
        <w:tc>
          <w:tcPr>
            <w:tcW w:w="1650" w:type="dxa"/>
          </w:tcPr>
          <w:p w:rsidR="000D17B8" w:rsidRPr="002E5CDD" w:rsidRDefault="000D17B8" w:rsidP="00A0519F">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MWh</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r w:rsidRPr="002E5CDD">
              <w:rPr>
                <w:szCs w:val="24"/>
              </w:rPr>
              <w:t>Mint Farm</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$0.22</w:t>
            </w:r>
          </w:p>
        </w:tc>
        <w:tc>
          <w:tcPr>
            <w:tcW w:w="1323" w:type="dxa"/>
          </w:tcPr>
          <w:p w:rsidR="000D17B8" w:rsidRPr="002E5CDD" w:rsidRDefault="000D17B8" w:rsidP="00A06B5D">
            <w:pPr>
              <w:pStyle w:val="answer"/>
              <w:keepNext/>
              <w:keepLines/>
              <w:spacing w:before="60" w:after="60" w:line="240" w:lineRule="auto"/>
              <w:ind w:left="0" w:firstLine="0"/>
              <w:jc w:val="center"/>
              <w:rPr>
                <w:szCs w:val="24"/>
                <w:highlight w:val="lightGray"/>
              </w:rPr>
            </w:pPr>
            <w:r w:rsidRPr="002E5CDD">
              <w:rPr>
                <w:szCs w:val="24"/>
              </w:rPr>
              <w:t>$</w:t>
            </w:r>
            <w: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r>
              <w:rPr>
                <w:b/>
                <w:noProof/>
                <w:lang w:eastAsia="en-US"/>
              </w:rPr>
              <w:t xml:space="preserve"> </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p>
        </w:tc>
        <w:tc>
          <w:tcPr>
            <w:tcW w:w="1650" w:type="dxa"/>
          </w:tcPr>
          <w:p w:rsidR="000D17B8" w:rsidRPr="002E5CDD" w:rsidRDefault="000D17B8" w:rsidP="00A0519F">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MWh</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r w:rsidRPr="002E5CDD">
              <w:rPr>
                <w:szCs w:val="24"/>
              </w:rPr>
              <w:t>Goldendale</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$1.45</w:t>
            </w:r>
          </w:p>
        </w:tc>
        <w:tc>
          <w:tcPr>
            <w:tcW w:w="1323" w:type="dxa"/>
          </w:tcPr>
          <w:p w:rsidR="000D17B8" w:rsidRPr="002E5CDD" w:rsidRDefault="000D17B8" w:rsidP="00663D65">
            <w:pPr>
              <w:pStyle w:val="answer"/>
              <w:keepNext/>
              <w:keepLines/>
              <w:spacing w:before="60" w:after="60" w:line="240" w:lineRule="auto"/>
              <w:ind w:left="0" w:firstLine="0"/>
              <w:jc w:val="center"/>
              <w:rPr>
                <w:szCs w:val="24"/>
                <w:highlight w:val="lightGray"/>
              </w:rPr>
            </w:pPr>
            <w:r w:rsidRPr="002E5CDD">
              <w:rPr>
                <w:szCs w:val="24"/>
              </w:rPr>
              <w:t>$</w:t>
            </w:r>
            <w: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$2.80</w:t>
            </w:r>
          </w:p>
        </w:tc>
        <w:tc>
          <w:tcPr>
            <w:tcW w:w="1650" w:type="dxa"/>
          </w:tcPr>
          <w:p w:rsidR="000D17B8" w:rsidRPr="002E5CDD" w:rsidRDefault="000D17B8" w:rsidP="00A0519F">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MWh</w:t>
            </w:r>
          </w:p>
        </w:tc>
      </w:tr>
      <w:tr w:rsidR="000D17B8" w:rsidRPr="002E5CDD" w:rsidTr="00FD7F1B">
        <w:tc>
          <w:tcPr>
            <w:tcW w:w="8816" w:type="dxa"/>
            <w:gridSpan w:val="6"/>
          </w:tcPr>
          <w:p w:rsidR="000D17B8" w:rsidRPr="002E5CDD" w:rsidRDefault="000D17B8" w:rsidP="00EB5AB4">
            <w:pPr>
              <w:pStyle w:val="answer"/>
              <w:keepNext/>
              <w:keepLines/>
              <w:spacing w:line="240" w:lineRule="auto"/>
              <w:ind w:left="0" w:firstLine="0"/>
              <w:rPr>
                <w:b/>
                <w:szCs w:val="24"/>
              </w:rPr>
            </w:pPr>
            <w:r w:rsidRPr="002E5CDD">
              <w:rPr>
                <w:b/>
                <w:szCs w:val="24"/>
              </w:rPr>
              <w:t>Simple-Cycle Combustion Turbines</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proofErr w:type="spellStart"/>
            <w:r w:rsidRPr="002E5CDD">
              <w:rPr>
                <w:szCs w:val="24"/>
              </w:rPr>
              <w:t>Whitehorn</w:t>
            </w:r>
            <w:proofErr w:type="spellEnd"/>
            <w:r w:rsidRPr="002E5CDD">
              <w:rPr>
                <w:szCs w:val="24"/>
              </w:rPr>
              <w:t xml:space="preserve"> 2&amp;3</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$0.07</w:t>
            </w:r>
          </w:p>
        </w:tc>
        <w:tc>
          <w:tcPr>
            <w:tcW w:w="1323" w:type="dxa"/>
          </w:tcPr>
          <w:p w:rsidR="000D17B8" w:rsidRPr="002E5CDD" w:rsidRDefault="000D17B8" w:rsidP="00663D65">
            <w:pPr>
              <w:pStyle w:val="answer"/>
              <w:keepNext/>
              <w:keepLines/>
              <w:spacing w:before="60" w:after="60" w:line="240" w:lineRule="auto"/>
              <w:ind w:left="0" w:firstLine="0"/>
              <w:jc w:val="center"/>
              <w:rPr>
                <w:szCs w:val="24"/>
                <w:highlight w:val="lightGray"/>
              </w:rPr>
            </w:pPr>
            <w:r w:rsidRPr="002E5CDD">
              <w:rPr>
                <w:szCs w:val="24"/>
              </w:rPr>
              <w:t>$</w:t>
            </w:r>
            <w:r w:rsidRPr="000D17B8">
              <w:rPr>
                <w:bdr w:val="single" w:sz="4" w:space="0" w:color="auto"/>
              </w:rP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1650"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start</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r w:rsidRPr="002E5CDD">
              <w:rPr>
                <w:szCs w:val="24"/>
              </w:rPr>
              <w:t>Frederickson 1&amp;2</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$0.01</w:t>
            </w:r>
          </w:p>
        </w:tc>
        <w:tc>
          <w:tcPr>
            <w:tcW w:w="1323" w:type="dxa"/>
          </w:tcPr>
          <w:p w:rsidR="000D17B8" w:rsidRPr="002E5CDD" w:rsidRDefault="000D17B8" w:rsidP="00A06B5D">
            <w:pPr>
              <w:pStyle w:val="answer"/>
              <w:keepNext/>
              <w:keepLines/>
              <w:spacing w:before="60" w:after="60" w:line="240" w:lineRule="auto"/>
              <w:ind w:left="0" w:firstLine="0"/>
              <w:jc w:val="center"/>
              <w:rPr>
                <w:szCs w:val="24"/>
                <w:highlight w:val="lightGray"/>
              </w:rPr>
            </w:pPr>
            <w:r w:rsidRPr="002E5CDD">
              <w:rPr>
                <w:szCs w:val="24"/>
              </w:rPr>
              <w:t>$</w:t>
            </w:r>
            <w:r w:rsidRPr="000D17B8">
              <w:rPr>
                <w:bdr w:val="single" w:sz="4" w:space="0" w:color="auto"/>
              </w:rP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1650"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start</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r w:rsidRPr="002E5CDD">
              <w:rPr>
                <w:szCs w:val="24"/>
              </w:rPr>
              <w:t>Fredonia 1&amp;2</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$0.09</w:t>
            </w:r>
          </w:p>
        </w:tc>
        <w:tc>
          <w:tcPr>
            <w:tcW w:w="1323" w:type="dxa"/>
          </w:tcPr>
          <w:p w:rsidR="000D17B8" w:rsidRPr="002E5CDD" w:rsidRDefault="000D17B8" w:rsidP="00663D65">
            <w:pPr>
              <w:pStyle w:val="answer"/>
              <w:keepNext/>
              <w:keepLines/>
              <w:spacing w:before="60" w:after="60" w:line="240" w:lineRule="auto"/>
              <w:ind w:left="0" w:firstLine="0"/>
              <w:jc w:val="center"/>
              <w:rPr>
                <w:szCs w:val="24"/>
                <w:highlight w:val="lightGray"/>
              </w:rPr>
            </w:pPr>
            <w:r w:rsidRPr="002E5CDD">
              <w:rPr>
                <w:szCs w:val="24"/>
              </w:rPr>
              <w:t>$</w:t>
            </w:r>
            <w:r w:rsidRPr="000D17B8">
              <w:rPr>
                <w:bdr w:val="single" w:sz="4" w:space="0" w:color="auto"/>
              </w:rP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1650"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start</w:t>
            </w:r>
          </w:p>
        </w:tc>
      </w:tr>
      <w:tr w:rsidR="000D17B8" w:rsidRPr="002E5CDD" w:rsidTr="00FD7F1B">
        <w:tc>
          <w:tcPr>
            <w:tcW w:w="2178" w:type="dxa"/>
          </w:tcPr>
          <w:p w:rsidR="000D17B8" w:rsidRPr="002E5CDD" w:rsidRDefault="000D17B8" w:rsidP="005354F2">
            <w:pPr>
              <w:pStyle w:val="answer"/>
              <w:keepNext/>
              <w:keepLines/>
              <w:spacing w:before="60" w:after="60" w:line="240" w:lineRule="auto"/>
              <w:ind w:left="0" w:firstLine="0"/>
              <w:rPr>
                <w:szCs w:val="24"/>
              </w:rPr>
            </w:pPr>
            <w:r w:rsidRPr="002E5CDD">
              <w:rPr>
                <w:szCs w:val="24"/>
              </w:rPr>
              <w:t>Fredonia 3&amp;4</w:t>
            </w:r>
          </w:p>
        </w:tc>
        <w:tc>
          <w:tcPr>
            <w:tcW w:w="1339"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$0.32</w:t>
            </w:r>
          </w:p>
        </w:tc>
        <w:tc>
          <w:tcPr>
            <w:tcW w:w="1323" w:type="dxa"/>
          </w:tcPr>
          <w:p w:rsidR="000D17B8" w:rsidRPr="002E5CDD" w:rsidRDefault="000D17B8" w:rsidP="00A06B5D">
            <w:pPr>
              <w:pStyle w:val="answer"/>
              <w:keepNext/>
              <w:keepLines/>
              <w:spacing w:before="60" w:after="60" w:line="240" w:lineRule="auto"/>
              <w:ind w:left="0" w:firstLine="0"/>
              <w:jc w:val="center"/>
              <w:rPr>
                <w:szCs w:val="24"/>
                <w:highlight w:val="lightGray"/>
              </w:rPr>
            </w:pPr>
            <w:r w:rsidRPr="002E5CDD">
              <w:rPr>
                <w:szCs w:val="24"/>
              </w:rPr>
              <w:t>$</w:t>
            </w:r>
            <w:r w:rsidRPr="000D17B8">
              <w:rPr>
                <w:bdr w:val="single" w:sz="4" w:space="0" w:color="auto"/>
              </w:rPr>
              <w:t>███</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0" w:type="auto"/>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$4.80</w:t>
            </w:r>
          </w:p>
        </w:tc>
        <w:tc>
          <w:tcPr>
            <w:tcW w:w="1650" w:type="dxa"/>
          </w:tcPr>
          <w:p w:rsidR="000D17B8" w:rsidRPr="002E5CDD" w:rsidRDefault="000D17B8" w:rsidP="00663D65">
            <w:pPr>
              <w:pStyle w:val="answer"/>
              <w:keepNext/>
              <w:keepLines/>
              <w:spacing w:before="60" w:after="60" w:line="240" w:lineRule="auto"/>
              <w:ind w:left="0" w:firstLine="0"/>
              <w:jc w:val="center"/>
              <w:rPr>
                <w:szCs w:val="24"/>
              </w:rPr>
            </w:pPr>
            <w:r w:rsidRPr="002E5CDD">
              <w:rPr>
                <w:szCs w:val="24"/>
              </w:rPr>
              <w:t>$</w:t>
            </w:r>
            <w:r w:rsidRPr="000D17B8">
              <w:rPr>
                <w:bdr w:val="single" w:sz="4" w:space="0" w:color="auto"/>
              </w:rPr>
              <w:t>███</w:t>
            </w:r>
            <w:r w:rsidRPr="002E5CDD">
              <w:rPr>
                <w:szCs w:val="24"/>
              </w:rPr>
              <w:t xml:space="preserve"> / start</w:t>
            </w:r>
          </w:p>
        </w:tc>
      </w:tr>
      <w:tr w:rsidR="000D17B8" w:rsidRPr="002E5CDD" w:rsidTr="00837D01">
        <w:tc>
          <w:tcPr>
            <w:tcW w:w="8816" w:type="dxa"/>
            <w:gridSpan w:val="6"/>
          </w:tcPr>
          <w:p w:rsidR="000D17B8" w:rsidRPr="002E5CDD" w:rsidRDefault="000D17B8" w:rsidP="00564992">
            <w:pPr>
              <w:pStyle w:val="answer"/>
              <w:spacing w:before="60" w:after="60" w:line="240" w:lineRule="auto"/>
              <w:ind w:left="0" w:firstLine="0"/>
              <w:rPr>
                <w:szCs w:val="24"/>
              </w:rPr>
            </w:pPr>
            <w:r w:rsidRPr="002E5CDD">
              <w:rPr>
                <w:szCs w:val="24"/>
              </w:rPr>
              <w:t xml:space="preserve">Frederickson 1 combined cycle variable </w:t>
            </w:r>
            <w:proofErr w:type="spellStart"/>
            <w:r w:rsidRPr="002E5CDD">
              <w:rPr>
                <w:szCs w:val="24"/>
              </w:rPr>
              <w:t>O&amp;M</w:t>
            </w:r>
            <w:proofErr w:type="spellEnd"/>
            <w:r w:rsidRPr="002E5CDD">
              <w:rPr>
                <w:szCs w:val="24"/>
              </w:rPr>
              <w:t xml:space="preserve"> of $</w:t>
            </w:r>
            <w:r w:rsidRPr="000D17B8">
              <w:rPr>
                <w:bdr w:val="single" w:sz="4" w:space="0" w:color="auto"/>
              </w:rPr>
              <w:t>██</w:t>
            </w:r>
            <w:r w:rsidRPr="002E5CDD">
              <w:rPr>
                <w:szCs w:val="24"/>
              </w:rPr>
              <w:t>/MWh is based on PSE</w:t>
            </w:r>
            <w:r>
              <w:rPr>
                <w:szCs w:val="24"/>
              </w:rPr>
              <w:t>’</w:t>
            </w:r>
            <w:r w:rsidRPr="002E5CDD">
              <w:rPr>
                <w:szCs w:val="24"/>
              </w:rPr>
              <w:t>s contract with the majority owner, Atlantic Power.</w:t>
            </w:r>
          </w:p>
        </w:tc>
      </w:tr>
    </w:tbl>
    <w:p w:rsidR="00EA6C93" w:rsidRPr="0089655A" w:rsidRDefault="00EA6C93" w:rsidP="009E7399">
      <w:pPr>
        <w:pStyle w:val="answer"/>
        <w:spacing w:before="360"/>
      </w:pPr>
      <w:r w:rsidRPr="00837D01">
        <w:rPr>
          <w:b/>
        </w:rPr>
        <w:t>Q.</w:t>
      </w:r>
      <w:r w:rsidRPr="00837D01">
        <w:rPr>
          <w:b/>
        </w:rPr>
        <w:tab/>
        <w:t>Are the</w:t>
      </w:r>
      <w:r w:rsidR="00304284">
        <w:rPr>
          <w:b/>
        </w:rPr>
        <w:t xml:space="preserve"> </w:t>
      </w:r>
      <w:r w:rsidRPr="00837D01">
        <w:rPr>
          <w:b/>
        </w:rPr>
        <w:t xml:space="preserve">variable </w:t>
      </w:r>
      <w:proofErr w:type="spellStart"/>
      <w:r w:rsidRPr="00837D01">
        <w:rPr>
          <w:b/>
        </w:rPr>
        <w:t>O&amp;M</w:t>
      </w:r>
      <w:proofErr w:type="spellEnd"/>
      <w:r w:rsidRPr="00837D01">
        <w:rPr>
          <w:b/>
        </w:rPr>
        <w:t xml:space="preserve"> </w:t>
      </w:r>
      <w:r w:rsidR="00EB37C5">
        <w:rPr>
          <w:b/>
        </w:rPr>
        <w:t xml:space="preserve">and major maintenance </w:t>
      </w:r>
      <w:r w:rsidRPr="00837D01">
        <w:rPr>
          <w:b/>
        </w:rPr>
        <w:t>costs included in power costs?</w:t>
      </w:r>
    </w:p>
    <w:p w:rsidR="00EA6C93" w:rsidRDefault="009E7399" w:rsidP="00EA6C93">
      <w:pPr>
        <w:pStyle w:val="answer"/>
      </w:pPr>
      <w:r>
        <w:rPr>
          <w:b/>
          <w:noProof/>
          <w:lang w:eastAsia="en-US"/>
        </w:rPr>
        <mc:AlternateContent>
          <mc:Choice Requires="wpg">
            <w:drawing>
              <wp:anchor distT="0" distB="0" distL="114300" distR="114300" simplePos="0" relativeHeight="251725824" behindDoc="0" locked="0" layoutInCell="1" allowOverlap="1" wp14:anchorId="22BB987A" wp14:editId="11D5584A">
                <wp:simplePos x="0" y="0"/>
                <wp:positionH relativeFrom="column">
                  <wp:posOffset>1890395</wp:posOffset>
                </wp:positionH>
                <wp:positionV relativeFrom="paragraph">
                  <wp:posOffset>2190115</wp:posOffset>
                </wp:positionV>
                <wp:extent cx="1546860" cy="6502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650240"/>
                          <a:chOff x="4401" y="11656"/>
                          <a:chExt cx="4320" cy="780"/>
                        </a:xfrm>
                      </wpg:grpSpPr>
                      <wps:wsp>
                        <wps:cNvPr id="16"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9E7399"/>
                          </w:txbxContent>
                        </wps:txbx>
                        <wps:bodyPr rot="0" vert="horz" wrap="square" lIns="91440" tIns="91440" rIns="91440" bIns="91440" anchor="t" anchorCtr="0" upright="1">
                          <a:noAutofit/>
                        </wps:bodyPr>
                      </wps:wsp>
                      <wps:wsp>
                        <wps:cNvPr id="17"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0D17B8" w:rsidP="009E739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0D17B8" w:rsidRPr="000D17B8" w:rsidRDefault="000D17B8" w:rsidP="009E739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44" style="position:absolute;left:0;text-align:left;margin-left:148.85pt;margin-top:172.45pt;width:121.8pt;height:51.2pt;z-index:251725824"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">
                <v:shape id="Text Box 12" o:spid="_x0000_s1045"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4DsAA&#10;AADbAAAADwAAAGRycy9kb3ducmV2LnhtbERPTYvCMBC9L/gfwgje1tRlKVKNIoKw3nZV1OPQTNNi&#10;MylNrHV/vREEb/N4nzNf9rYWHbW+cqxgMk5AEOdOV2wUHPabzykIH5A11o5JwZ08LBeDjzlm2t34&#10;j7pdMCKGsM9QQRlCk0np85Is+rFriCNXuNZiiLA1Urd4i+G2ll9JkkqLFceGEhtal5Rfdler4GTS&#10;bf07veji+/x/nJhr1623hVKjYb+agQjUh7f45f7RcX4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I4DsAAAADbAAAADwAAAAAAAAAAAAAAAACYAgAAZHJzL2Rvd25y&#10;ZXYueG1sUEsFBgAAAAAEAAQA9QAAAIUDAAAAAA==&#10;" fillcolor="gray" stroked="f">
                  <v:textbox inset=",7.2pt,,7.2pt">
                    <w:txbxContent>
                      <w:p w:rsidR="007C3D2B" w:rsidRDefault="007C3D2B" w:rsidP="009E7399"/>
                    </w:txbxContent>
                  </v:textbox>
                </v:shape>
                <v:shape id="Text Box 13" o:spid="_x0000_s1046"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U18MA&#10;AADbAAAADwAAAGRycy9kb3ducmV2LnhtbESPQYvCMBCF7wv+hzCCl0VTlVWpRpGCIF4Wu0vPQzO2&#10;xWZSm2jrvzfCwt6+Yd6892az600tHtS6yrKC6SQCQZxbXXGh4PfnMF6BcB5ZY22ZFDzJwW47+Nhg&#10;rG3HZ3qkvhDBhF2MCkrvm1hKl5dk0E1sQxx2F9sa9GFsC6lb7IK5qeUsihbSYMUhocSGkpLya3o3&#10;CpJTFvB8+86yef21OKVd8pkUSo2G/X4NwlPv/8V/10cd6i/h/UsA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1U18MAAADbAAAADwAAAAAAAAAAAAAAAACYAgAAZHJzL2Rv&#10;d25yZXYueG1sUEsFBgAAAAAEAAQA9QAAAIgDAAAAAA==&#10;" strokeweight="1.5pt">
                  <v:textbox inset=",7.2pt,,7.2pt">
                    <w:txbxContent>
                      <w:p w:rsidR="007C3D2B" w:rsidRDefault="000D17B8" w:rsidP="009E739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0D17B8" w:rsidRPr="000D17B8" w:rsidRDefault="000D17B8" w:rsidP="009E7399">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v:textbox>
                </v:shape>
              </v:group>
            </w:pict>
          </mc:Fallback>
        </mc:AlternateContent>
      </w:r>
      <w:r w:rsidR="00EA6C93" w:rsidRPr="00EA6C93">
        <w:t>A.</w:t>
      </w:r>
      <w:r w:rsidR="00EA6C93" w:rsidRPr="00EA6C93">
        <w:tab/>
      </w:r>
      <w:r w:rsidR="00EA6C93">
        <w:t xml:space="preserve">No. As discussed earlier, power costs include only fuel, purchased power and third party transmission, not </w:t>
      </w:r>
      <w:proofErr w:type="spellStart"/>
      <w:r w:rsidR="00EA6C93">
        <w:t>O&amp;M</w:t>
      </w:r>
      <w:proofErr w:type="spellEnd"/>
      <w:r w:rsidR="00EA6C93">
        <w:t xml:space="preserve">. Production </w:t>
      </w:r>
      <w:proofErr w:type="spellStart"/>
      <w:r w:rsidR="00EA6C93">
        <w:t>O&amp;M</w:t>
      </w:r>
      <w:proofErr w:type="spellEnd"/>
      <w:r w:rsidR="00EA6C93">
        <w:t xml:space="preserve"> costs are presented in the </w:t>
      </w:r>
      <w:proofErr w:type="spellStart"/>
      <w:r w:rsidR="00FD7F1B">
        <w:t>Prefiled</w:t>
      </w:r>
      <w:proofErr w:type="spellEnd"/>
      <w:r w:rsidR="00FD7F1B">
        <w:t xml:space="preserve"> Direct T</w:t>
      </w:r>
      <w:r w:rsidR="00EA6C93">
        <w:t>estimony of Ron</w:t>
      </w:r>
      <w:r w:rsidR="001F202E">
        <w:t>ald J.</w:t>
      </w:r>
      <w:r w:rsidR="00EA6C93">
        <w:t xml:space="preserve"> Roberts</w:t>
      </w:r>
      <w:r w:rsidR="00FD7F1B">
        <w:t>, Exhibit No. ___(R</w:t>
      </w:r>
      <w:r w:rsidR="001F202E">
        <w:t>J</w:t>
      </w:r>
      <w:r w:rsidR="00FD7F1B">
        <w:t>R-1CT),</w:t>
      </w:r>
      <w:r w:rsidR="007A0432">
        <w:t xml:space="preserve"> and included elsewhere in the revenue requirement presented </w:t>
      </w:r>
      <w:r w:rsidR="00FD7F1B">
        <w:t xml:space="preserve">in the </w:t>
      </w:r>
      <w:proofErr w:type="spellStart"/>
      <w:r w:rsidR="00FD7F1B">
        <w:t>Prefiled</w:t>
      </w:r>
      <w:proofErr w:type="spellEnd"/>
      <w:r w:rsidR="00FD7F1B">
        <w:t xml:space="preserve"> Direct Testimony of Katherine J. </w:t>
      </w:r>
      <w:r w:rsidR="007A0432">
        <w:t>Barnard</w:t>
      </w:r>
      <w:r w:rsidR="00FD7F1B">
        <w:t>, Exhibit No. ___(KJB-1T)</w:t>
      </w:r>
      <w:r w:rsidR="00EA6C93">
        <w:t xml:space="preserve">. The </w:t>
      </w:r>
      <w:proofErr w:type="spellStart"/>
      <w:r w:rsidR="00EA6C93">
        <w:t>O&amp;M</w:t>
      </w:r>
      <w:proofErr w:type="spellEnd"/>
      <w:r w:rsidR="00EA6C93">
        <w:t xml:space="preserve"> costs </w:t>
      </w:r>
      <w:r w:rsidR="00EA6C93">
        <w:lastRenderedPageBreak/>
        <w:t xml:space="preserve">influence power costs because AURORA considers </w:t>
      </w:r>
      <w:proofErr w:type="spellStart"/>
      <w:r w:rsidR="00EA6C93">
        <w:t>O&amp;M</w:t>
      </w:r>
      <w:proofErr w:type="spellEnd"/>
      <w:r w:rsidR="00EA6C93">
        <w:t xml:space="preserve"> in deciding when to </w:t>
      </w:r>
      <w:r w:rsidR="00811732">
        <w:t>run</w:t>
      </w:r>
      <w:r w:rsidR="00EA6C93">
        <w:t xml:space="preserve"> PSE</w:t>
      </w:r>
      <w:r w:rsidR="009F02BA">
        <w:t>’</w:t>
      </w:r>
      <w:r w:rsidR="00EA6C93">
        <w:t>s units and when to purchase power on the market.</w:t>
      </w:r>
    </w:p>
    <w:p w:rsidR="00866BF4" w:rsidRDefault="00CD27D9" w:rsidP="001069D7">
      <w:pPr>
        <w:pStyle w:val="Heading3"/>
      </w:pPr>
      <w:bookmarkStart w:id="42" w:name="_Toc471319042"/>
      <w:r>
        <w:t>3</w:t>
      </w:r>
      <w:r w:rsidR="00866BF4">
        <w:t>.</w:t>
      </w:r>
      <w:r w:rsidR="00866BF4">
        <w:tab/>
        <w:t>Projected Hydro Availability</w:t>
      </w:r>
      <w:bookmarkEnd w:id="42"/>
    </w:p>
    <w:p w:rsidR="00866BF4" w:rsidRDefault="00866BF4" w:rsidP="00866BF4">
      <w:pPr>
        <w:pStyle w:val="question"/>
      </w:pPr>
      <w:r>
        <w:t>Q.</w:t>
      </w:r>
      <w:r>
        <w:tab/>
        <w:t>What historical streamflow record has PSE used in its net power cost projection in this proceeding?</w:t>
      </w:r>
    </w:p>
    <w:p w:rsidR="00866BF4" w:rsidRDefault="00866BF4" w:rsidP="00866BF4">
      <w:pPr>
        <w:pStyle w:val="answer"/>
      </w:pPr>
      <w:r>
        <w:t>A.</w:t>
      </w:r>
      <w:r>
        <w:tab/>
      </w:r>
      <w:r w:rsidR="0063671D">
        <w:t>PSE has used the average of the 80-year Mid-C streamflow history from 1929 through 2008 to project power costs for the rate year. In</w:t>
      </w:r>
      <w:r>
        <w:t xml:space="preserve"> PSE</w:t>
      </w:r>
      <w:r w:rsidR="009F02BA">
        <w:t>’</w:t>
      </w:r>
      <w:r>
        <w:t>s 2014</w:t>
      </w:r>
      <w:r w:rsidR="001069D7">
        <w:t> </w:t>
      </w:r>
      <w:proofErr w:type="spellStart"/>
      <w:r>
        <w:t>PCORC</w:t>
      </w:r>
      <w:proofErr w:type="spellEnd"/>
      <w:r>
        <w:t>, 2013</w:t>
      </w:r>
      <w:r w:rsidR="001069D7">
        <w:t> </w:t>
      </w:r>
      <w:proofErr w:type="spellStart"/>
      <w:r>
        <w:t>PCORC</w:t>
      </w:r>
      <w:proofErr w:type="spellEnd"/>
      <w:r w:rsidR="00903721">
        <w:t xml:space="preserve"> and</w:t>
      </w:r>
      <w:r>
        <w:t xml:space="preserve"> 2011</w:t>
      </w:r>
      <w:r w:rsidR="001069D7">
        <w:t> </w:t>
      </w:r>
      <w:proofErr w:type="spellStart"/>
      <w:r>
        <w:t>GRC</w:t>
      </w:r>
      <w:proofErr w:type="spellEnd"/>
      <w:r>
        <w:t xml:space="preserve"> </w:t>
      </w:r>
      <w:r w:rsidR="00903721">
        <w:t xml:space="preserve">PSE used 70-year </w:t>
      </w:r>
      <w:r w:rsidR="003D2958">
        <w:t>Mid</w:t>
      </w:r>
      <w:r w:rsidR="00903721">
        <w:t>-C streamflow history from 1929 through 1998. PSE changed to 80-year data</w:t>
      </w:r>
      <w:r>
        <w:t xml:space="preserve"> in consideration of the 2009</w:t>
      </w:r>
      <w:r w:rsidR="001069D7">
        <w:t> </w:t>
      </w:r>
      <w:proofErr w:type="spellStart"/>
      <w:r>
        <w:t>GRC</w:t>
      </w:r>
      <w:proofErr w:type="spellEnd"/>
      <w:r>
        <w:t xml:space="preserve"> Order, which noted that future rate cases should include more recent hydro data,</w:t>
      </w:r>
      <w:r w:rsidR="00C82937">
        <w:rPr>
          <w:rStyle w:val="FootnoteReference"/>
        </w:rPr>
        <w:footnoteReference w:id="12"/>
      </w:r>
      <w:r w:rsidR="00404C71">
        <w:t xml:space="preserve"> </w:t>
      </w:r>
      <w:r>
        <w:t>It is of interest to note that the Commission stated in the 2009</w:t>
      </w:r>
      <w:r w:rsidR="001069D7">
        <w:t> </w:t>
      </w:r>
      <w:proofErr w:type="spellStart"/>
      <w:r>
        <w:t>GRC</w:t>
      </w:r>
      <w:proofErr w:type="spellEnd"/>
      <w:r>
        <w:t xml:space="preserve"> Order:</w:t>
      </w:r>
    </w:p>
    <w:p w:rsidR="001069D7" w:rsidRDefault="00866BF4" w:rsidP="001069D7">
      <w:pPr>
        <w:pStyle w:val="Quote"/>
      </w:pPr>
      <w:r>
        <w:t>Inasmuch as the Company has access to at least some of the more recent data, its power cost evidence in future rate proceedings should include consideration of that data. . . .</w:t>
      </w:r>
    </w:p>
    <w:p w:rsidR="00866BF4" w:rsidRDefault="00866BF4" w:rsidP="001069D7">
      <w:pPr>
        <w:pStyle w:val="Quote"/>
      </w:pPr>
      <w:r>
        <w:t>. . . .</w:t>
      </w:r>
      <w:r w:rsidR="00CC65A7">
        <w:t xml:space="preserve"> </w:t>
      </w:r>
      <w:r>
        <w:t>However, we have stated above our preference for using the longest span of years possible.</w:t>
      </w:r>
    </w:p>
    <w:p w:rsidR="00866BF4" w:rsidRDefault="00866BF4" w:rsidP="001069D7">
      <w:pPr>
        <w:pStyle w:val="NestedAnswer"/>
      </w:pPr>
      <w:r>
        <w:t>To be consistent with the Mid-C historical data, PSE used the same 80-year historical west side streamflow records for projections related to PSE</w:t>
      </w:r>
      <w:r w:rsidR="009F02BA">
        <w:t>’</w:t>
      </w:r>
      <w:r>
        <w:t>s owned hydropower on the west</w:t>
      </w:r>
      <w:r w:rsidR="001069D7">
        <w:t xml:space="preserve"> side of the Cascade Mountains.</w:t>
      </w:r>
    </w:p>
    <w:p w:rsidR="00866BF4" w:rsidRDefault="00866BF4" w:rsidP="00866BF4">
      <w:pPr>
        <w:pStyle w:val="question"/>
      </w:pPr>
      <w:r>
        <w:lastRenderedPageBreak/>
        <w:t>Q.</w:t>
      </w:r>
      <w:r>
        <w:tab/>
        <w:t>How does hydro generation affect p</w:t>
      </w:r>
      <w:r w:rsidR="001069D7">
        <w:t>rojected rate year power costs?</w:t>
      </w:r>
    </w:p>
    <w:p w:rsidR="00866BF4" w:rsidRDefault="00866BF4" w:rsidP="00866BF4">
      <w:pPr>
        <w:pStyle w:val="answer"/>
      </w:pPr>
      <w:r>
        <w:t>A.</w:t>
      </w:r>
      <w:r>
        <w:tab/>
        <w:t>The 80</w:t>
      </w:r>
      <w:r w:rsidR="001069D7">
        <w:t> </w:t>
      </w:r>
      <w:r>
        <w:t>years of hydro generation is input into the AURORA model.</w:t>
      </w:r>
      <w:r w:rsidR="00CC65A7">
        <w:t xml:space="preserve"> </w:t>
      </w:r>
      <w:r>
        <w:t>The AURORA model relies on factors such as supply resources and regional load demand for power and transmission to simulate competitive wholesale power markets in which the regional fleet of generating resources is dispatched to meet regional electric loads.</w:t>
      </w:r>
      <w:r w:rsidR="00CC65A7">
        <w:t xml:space="preserve"> </w:t>
      </w:r>
      <w:r>
        <w:t>AURORA develops 80 results—one for each of the 80</w:t>
      </w:r>
      <w:r w:rsidR="001069D7">
        <w:t> </w:t>
      </w:r>
      <w:r>
        <w:t>hydro years</w:t>
      </w:r>
      <w:r w:rsidR="008417C6">
        <w:t xml:space="preserve">. </w:t>
      </w:r>
      <w:r w:rsidR="00AB496E">
        <w:t xml:space="preserve">Rate year hydro generation is the average of hydro generation from these 80 model runs, and </w:t>
      </w:r>
      <w:r w:rsidR="008417C6">
        <w:t xml:space="preserve">AURORA model normalized power costs </w:t>
      </w:r>
      <w:r w:rsidR="00AB496E">
        <w:t>are</w:t>
      </w:r>
      <w:r w:rsidR="008417C6">
        <w:t xml:space="preserve"> the average </w:t>
      </w:r>
      <w:r w:rsidR="00AB496E">
        <w:t>power costs</w:t>
      </w:r>
      <w:r w:rsidR="008417C6">
        <w:t xml:space="preserve"> from the 80 model runs.</w:t>
      </w:r>
    </w:p>
    <w:p w:rsidR="00866BF4" w:rsidRDefault="00CD27D9" w:rsidP="001069D7">
      <w:pPr>
        <w:pStyle w:val="Heading3"/>
      </w:pPr>
      <w:bookmarkStart w:id="43" w:name="_Toc471319043"/>
      <w:r>
        <w:t>4</w:t>
      </w:r>
      <w:r w:rsidR="00866BF4">
        <w:t>.</w:t>
      </w:r>
      <w:r w:rsidR="00866BF4">
        <w:tab/>
        <w:t>Natural Gas Prices</w:t>
      </w:r>
      <w:bookmarkEnd w:id="43"/>
    </w:p>
    <w:p w:rsidR="00866BF4" w:rsidRDefault="00866BF4" w:rsidP="00866BF4">
      <w:pPr>
        <w:pStyle w:val="question"/>
      </w:pPr>
      <w:r>
        <w:t>Q.</w:t>
      </w:r>
      <w:r>
        <w:tab/>
        <w:t>What natural gas prices did PSE use for the rate year in running its AURORA hourly dispatch model?</w:t>
      </w:r>
    </w:p>
    <w:p w:rsidR="00866BF4" w:rsidRDefault="00866BF4" w:rsidP="00866BF4">
      <w:pPr>
        <w:pStyle w:val="answer"/>
      </w:pPr>
      <w:r>
        <w:t>A.</w:t>
      </w:r>
      <w:r>
        <w:tab/>
        <w:t xml:space="preserve">As the Commission noted in its final order in Dockets UE-060266 and UG-060267 (the </w:t>
      </w:r>
      <w:r w:rsidR="009F02BA">
        <w:t>“</w:t>
      </w:r>
      <w:r>
        <w:t>2006</w:t>
      </w:r>
      <w:r w:rsidR="001069D7">
        <w:t> </w:t>
      </w:r>
      <w:proofErr w:type="spellStart"/>
      <w:r>
        <w:t>GRC</w:t>
      </w:r>
      <w:proofErr w:type="spellEnd"/>
      <w:r w:rsidR="009F02BA">
        <w:t>”</w:t>
      </w:r>
      <w:r>
        <w:t xml:space="preserve">), the update for gas costs is </w:t>
      </w:r>
      <w:r w:rsidR="009F02BA">
        <w:t>“</w:t>
      </w:r>
      <w:r>
        <w:t>well-established</w:t>
      </w:r>
      <w:r w:rsidR="009F02BA">
        <w:t>”</w:t>
      </w:r>
      <w:r>
        <w:t xml:space="preserve"> and should be </w:t>
      </w:r>
      <w:r w:rsidR="009F02BA">
        <w:t>“</w:t>
      </w:r>
      <w:r>
        <w:t>straightforward, mechanical and non-controversial.</w:t>
      </w:r>
      <w:r w:rsidR="009F02BA">
        <w:t>”</w:t>
      </w:r>
      <w:r w:rsidR="00C82937" w:rsidRPr="00C82937">
        <w:rPr>
          <w:position w:val="6"/>
          <w:sz w:val="16"/>
        </w:rPr>
        <w:footnoteReference w:id="13"/>
      </w:r>
      <w:r w:rsidR="00CC65A7">
        <w:t xml:space="preserve"> </w:t>
      </w:r>
      <w:r>
        <w:t xml:space="preserve">Consistent with this order and all rate cases since, PSE used a three-month average of daily forward market prices for the rate year for each trading day in the three-month period ending </w:t>
      </w:r>
      <w:r w:rsidR="00641F5A">
        <w:t>September 23</w:t>
      </w:r>
      <w:r>
        <w:t>, 201</w:t>
      </w:r>
      <w:r w:rsidR="00641F5A">
        <w:t>6</w:t>
      </w:r>
      <w:r>
        <w:t>.</w:t>
      </w:r>
      <w:r w:rsidR="00CC65A7">
        <w:t xml:space="preserve"> </w:t>
      </w:r>
      <w:r>
        <w:t>PSE input these data into the AURORA hourly dispatch model for each month of the rate year.</w:t>
      </w:r>
    </w:p>
    <w:p w:rsidR="00866BF4" w:rsidRDefault="00866BF4" w:rsidP="001069D7">
      <w:pPr>
        <w:pStyle w:val="NestedAnswer"/>
      </w:pPr>
      <w:r>
        <w:lastRenderedPageBreak/>
        <w:t>In addition, consistent with prior general rate cases, all previously executed rate year short term power and gas for power contracts at the price cut</w:t>
      </w:r>
      <w:r w:rsidR="00FD7F1B">
        <w:t>-</w:t>
      </w:r>
      <w:r>
        <w:t xml:space="preserve">off date, </w:t>
      </w:r>
      <w:r w:rsidR="00641F5A">
        <w:t>September</w:t>
      </w:r>
      <w:r w:rsidR="00FD7F1B">
        <w:t> </w:t>
      </w:r>
      <w:r w:rsidR="00641F5A">
        <w:t>23</w:t>
      </w:r>
      <w:r>
        <w:t>, 201</w:t>
      </w:r>
      <w:r w:rsidR="00641F5A">
        <w:t>6</w:t>
      </w:r>
      <w:r>
        <w:t>, are included in the rate year power costs.</w:t>
      </w:r>
      <w:r w:rsidR="00CC65A7">
        <w:t xml:space="preserve"> </w:t>
      </w:r>
      <w:r>
        <w:t xml:space="preserve">Fixed-price short term rate year power contracts are included within the AURORA hourly dispatch model and fixed-price rate year contracts for natural gas for its power portfolio are adjusted outside of the AURORA hourly dispatch model in the </w:t>
      </w:r>
      <w:r w:rsidR="009F02BA">
        <w:t>“</w:t>
      </w:r>
      <w:r w:rsidR="003D2958">
        <w:t>Costs not in AURORA</w:t>
      </w:r>
      <w:r w:rsidR="009F02BA">
        <w:t>”</w:t>
      </w:r>
      <w:r>
        <w:t xml:space="preserve"> calculations.</w:t>
      </w:r>
      <w:r w:rsidR="00CC65A7">
        <w:t xml:space="preserve"> </w:t>
      </w:r>
      <w:r>
        <w:t xml:space="preserve">An adjustment is also included in the </w:t>
      </w:r>
      <w:r w:rsidR="009F02BA">
        <w:t>“</w:t>
      </w:r>
      <w:r w:rsidR="003D2958">
        <w:t>Costs not in AURORA</w:t>
      </w:r>
      <w:r w:rsidR="009F02BA">
        <w:t>”</w:t>
      </w:r>
      <w:r>
        <w:t xml:space="preserve"> calculation for premiums and discounts associated with any power and gas for power contracts priced at plus or minus index.</w:t>
      </w:r>
      <w:r w:rsidR="00CC65A7">
        <w:t xml:space="preserve"> </w:t>
      </w:r>
      <w:r>
        <w:t>These contracts require updating whenever natural gas prices are changed or updated during a proceeding.</w:t>
      </w:r>
    </w:p>
    <w:p w:rsidR="00866BF4" w:rsidRDefault="00866BF4" w:rsidP="00866BF4">
      <w:pPr>
        <w:pStyle w:val="question"/>
      </w:pPr>
      <w:r>
        <w:t>Q.</w:t>
      </w:r>
      <w:r>
        <w:tab/>
        <w:t>Please explain the fixed-price contracts mark-to-market adjustment.</w:t>
      </w:r>
    </w:p>
    <w:p w:rsidR="00866BF4" w:rsidRDefault="00866BF4" w:rsidP="00866BF4">
      <w:pPr>
        <w:pStyle w:val="answer"/>
      </w:pPr>
      <w:r>
        <w:t>A.</w:t>
      </w:r>
      <w:r>
        <w:tab/>
        <w:t xml:space="preserve">The gas price input to the AURORA hourly dispatch model represents a three-month average of the forecast market rate year gas prices at a certain point in time (in this case, </w:t>
      </w:r>
      <w:r w:rsidR="009757EF">
        <w:t>September 23</w:t>
      </w:r>
      <w:r>
        <w:t>, 201</w:t>
      </w:r>
      <w:r w:rsidR="009757EF">
        <w:t>6</w:t>
      </w:r>
      <w:r>
        <w:t>).</w:t>
      </w:r>
      <w:r w:rsidR="00CC65A7">
        <w:t xml:space="preserve"> </w:t>
      </w:r>
      <w:r>
        <w:t>Given PSE</w:t>
      </w:r>
      <w:r w:rsidR="009F02BA">
        <w:t>’</w:t>
      </w:r>
      <w:r>
        <w:t>s hedging protocol, which includes a programmatic component that requires a specified amount of hedging be done each month, rate year power costs must reflect PSE</w:t>
      </w:r>
      <w:r w:rsidR="009F02BA">
        <w:t>’</w:t>
      </w:r>
      <w:r>
        <w:t>s actual fixed price gas for power and power rate year contracts as of that date.</w:t>
      </w:r>
      <w:r w:rsidR="00CC65A7">
        <w:t xml:space="preserve"> </w:t>
      </w:r>
      <w:r>
        <w:t>Hedges are included because forecast rate year power costs consist of two components: (i)</w:t>
      </w:r>
      <w:r w:rsidR="001069D7">
        <w:t> </w:t>
      </w:r>
      <w:r>
        <w:t>costs related to actual commitments; and (ii)</w:t>
      </w:r>
      <w:r w:rsidR="001069D7">
        <w:t> </w:t>
      </w:r>
      <w:r>
        <w:t>forecast market costs dependent upon the AURORA modeled operational and market fluctuations.</w:t>
      </w:r>
      <w:r w:rsidR="00CC65A7">
        <w:t xml:space="preserve"> </w:t>
      </w:r>
      <w:r>
        <w:t>The adjustment requires calculating the difference between the three-month average monthly cost of natural gas at the pricing cut-off date (</w:t>
      </w:r>
      <w:r w:rsidR="009757EF">
        <w:t>September 23, 2016</w:t>
      </w:r>
      <w:r w:rsidR="001069D7">
        <w:t>,</w:t>
      </w:r>
      <w:r>
        <w:t xml:space="preserve"> in this proceeding) and the monthly </w:t>
      </w:r>
      <w:r>
        <w:lastRenderedPageBreak/>
        <w:t>average cost of natural gas hedges transacted for the rate year as of the same cut-off date.</w:t>
      </w:r>
    </w:p>
    <w:p w:rsidR="00866BF4" w:rsidRDefault="00866BF4" w:rsidP="001069D7">
      <w:pPr>
        <w:pStyle w:val="NestedAnswer"/>
      </w:pPr>
      <w:r>
        <w:t>For each month of the rate year, this difference is multiplied by the volume of the gas for power hedges transacted for the rate year.</w:t>
      </w:r>
      <w:r w:rsidR="00CC65A7">
        <w:t xml:space="preserve"> </w:t>
      </w:r>
      <w:r>
        <w:t xml:space="preserve">The resulting amount represents the </w:t>
      </w:r>
      <w:r w:rsidR="009F02BA">
        <w:t>“</w:t>
      </w:r>
      <w:r>
        <w:t>mark-to-market</w:t>
      </w:r>
      <w:r w:rsidR="009F02BA">
        <w:t>”</w:t>
      </w:r>
      <w:r>
        <w:t xml:space="preserve"> that is included in the power cost forecast.</w:t>
      </w:r>
      <w:r w:rsidR="00CC65A7">
        <w:t xml:space="preserve"> </w:t>
      </w:r>
      <w:r>
        <w:t xml:space="preserve">Including the fixed-price power contracts within the AURORA hourly dispatch model and marking both the fixed-price gas for power and index-based power and gas for power contracts to the three-month average rate year gas price input in the </w:t>
      </w:r>
      <w:r w:rsidR="009F02BA">
        <w:t>“</w:t>
      </w:r>
      <w:r w:rsidR="009F4557">
        <w:t>Costs not in AURORA</w:t>
      </w:r>
      <w:r w:rsidR="009F02BA">
        <w:t>”</w:t>
      </w:r>
      <w:r>
        <w:t xml:space="preserve"> calculation is consistent with the methodology used by PSE in determining rate year power costs since the 2006</w:t>
      </w:r>
      <w:r w:rsidR="001069D7">
        <w:t> </w:t>
      </w:r>
      <w:proofErr w:type="spellStart"/>
      <w:r>
        <w:t>GRC</w:t>
      </w:r>
      <w:proofErr w:type="spellEnd"/>
      <w:r>
        <w:t>.</w:t>
      </w:r>
      <w:r w:rsidR="0089655A">
        <w:t xml:space="preserve"> This adjustment ensures that the cost included in rates represents what PSE expects to pay for those contracts PSE has already entered into.</w:t>
      </w:r>
    </w:p>
    <w:p w:rsidR="00866BF4" w:rsidRDefault="00866BF4" w:rsidP="00866BF4">
      <w:pPr>
        <w:pStyle w:val="question"/>
      </w:pPr>
      <w:r>
        <w:t>Q.</w:t>
      </w:r>
      <w:r>
        <w:tab/>
        <w:t>How do projected gas prices inputs into AURORA for this proceeding compare with those in the 2014</w:t>
      </w:r>
      <w:r w:rsidR="001069D7">
        <w:t> </w:t>
      </w:r>
      <w:proofErr w:type="spellStart"/>
      <w:r>
        <w:t>PCORC</w:t>
      </w:r>
      <w:proofErr w:type="spellEnd"/>
      <w:r w:rsidR="00973793">
        <w:t xml:space="preserve"> and the 2016 Power Cost Update</w:t>
      </w:r>
      <w:r>
        <w:t>?</w:t>
      </w:r>
    </w:p>
    <w:p w:rsidR="00866BF4" w:rsidRDefault="00866BF4" w:rsidP="00866BF4">
      <w:pPr>
        <w:pStyle w:val="answer"/>
      </w:pPr>
      <w:r>
        <w:t>A.</w:t>
      </w:r>
      <w:r>
        <w:tab/>
        <w:t>Use of a single price can be misleading because there are different projected gas prices for each month of the rate year and for the different trading hubs from which PSE purchases gas.</w:t>
      </w:r>
      <w:r w:rsidR="00CC65A7">
        <w:t xml:space="preserve"> </w:t>
      </w:r>
      <w:r>
        <w:t>Additionally, these prices do not consider the impact of the fixed price gas contracts at the price cut off date, which may significantly change the average gas price.</w:t>
      </w:r>
      <w:r w:rsidR="00CC65A7">
        <w:t xml:space="preserve"> </w:t>
      </w:r>
      <w:r>
        <w:t xml:space="preserve">For purposes of comparison, however, the average </w:t>
      </w:r>
      <w:r w:rsidR="00590396">
        <w:t xml:space="preserve">forward </w:t>
      </w:r>
      <w:r>
        <w:t>gas price at the Sumas trading hub for the rate year is $2.</w:t>
      </w:r>
      <w:r w:rsidR="00654D1C">
        <w:t>70</w:t>
      </w:r>
      <w:r w:rsidR="001069D7">
        <w:t> </w:t>
      </w:r>
      <w:r>
        <w:t>per million British thermal units (</w:t>
      </w:r>
      <w:r w:rsidR="009F02BA">
        <w:t>“</w:t>
      </w:r>
      <w:r>
        <w:t>MMBtu</w:t>
      </w:r>
      <w:r w:rsidR="009F02BA">
        <w:t>”</w:t>
      </w:r>
      <w:r>
        <w:t xml:space="preserve">) (for the three months ended </w:t>
      </w:r>
      <w:r w:rsidR="00654D1C">
        <w:t>September 23</w:t>
      </w:r>
      <w:r>
        <w:t>, 201</w:t>
      </w:r>
      <w:r w:rsidR="00654D1C">
        <w:t>6</w:t>
      </w:r>
      <w:r>
        <w:t>), which is $</w:t>
      </w:r>
      <w:r w:rsidR="00654D1C">
        <w:t>0</w:t>
      </w:r>
      <w:r>
        <w:t>.</w:t>
      </w:r>
      <w:r w:rsidR="00654D1C">
        <w:t>06</w:t>
      </w:r>
      <w:r>
        <w:t xml:space="preserve"> per MMBtu lower than the average </w:t>
      </w:r>
      <w:r w:rsidR="00654D1C">
        <w:t xml:space="preserve">$2.76 per MMBtu price included in the </w:t>
      </w:r>
      <w:r w:rsidR="00304284">
        <w:t>2016 Power Cost Update</w:t>
      </w:r>
      <w:r w:rsidR="00654D1C">
        <w:t xml:space="preserve">, which was the basis for rates effective </w:t>
      </w:r>
      <w:r w:rsidR="00654D1C">
        <w:lastRenderedPageBreak/>
        <w:t>December 1, 2016. The average gas price reflected in the 2014</w:t>
      </w:r>
      <w:r w:rsidR="00FD7F1B">
        <w:t> </w:t>
      </w:r>
      <w:proofErr w:type="spellStart"/>
      <w:r w:rsidR="00654D1C">
        <w:t>PCORC</w:t>
      </w:r>
      <w:proofErr w:type="spellEnd"/>
      <w:r w:rsidR="00654D1C">
        <w:t xml:space="preserve"> settlement was </w:t>
      </w:r>
      <w:r>
        <w:t>$3.86 per MMBtu (for the three months ended October</w:t>
      </w:r>
      <w:r w:rsidR="001069D7">
        <w:t> </w:t>
      </w:r>
      <w:r>
        <w:t>28, 2014).</w:t>
      </w:r>
      <w:r w:rsidR="00CC65A7">
        <w:t xml:space="preserve"> </w:t>
      </w:r>
      <w:r>
        <w:t>Table</w:t>
      </w:r>
      <w:r w:rsidR="001069D7">
        <w:t> </w:t>
      </w:r>
      <w:r w:rsidR="004E2D98">
        <w:t>1</w:t>
      </w:r>
      <w:r w:rsidR="007C0A2C">
        <w:t>7</w:t>
      </w:r>
      <w:r>
        <w:t xml:space="preserve"> below presents average rate year gas price comparisons.</w:t>
      </w:r>
    </w:p>
    <w:p w:rsidR="001069D7" w:rsidRDefault="00BA2654" w:rsidP="001069D7">
      <w:pPr>
        <w:pStyle w:val="TableHeader"/>
        <w:ind w:left="1530" w:right="1620"/>
      </w:pPr>
      <w:r>
        <w:t>Table</w:t>
      </w:r>
      <w:r w:rsidR="00A53969">
        <w:t> </w:t>
      </w:r>
      <w:r w:rsidR="004E2D98">
        <w:t>1</w:t>
      </w:r>
      <w:r w:rsidR="007C0A2C">
        <w:t>7</w:t>
      </w:r>
      <w:r>
        <w:t>. Average Annual Rate Year Gas Prices</w:t>
      </w:r>
    </w:p>
    <w:tbl>
      <w:tblPr>
        <w:tblStyle w:val="TableGrid"/>
        <w:tblW w:w="8430" w:type="dxa"/>
        <w:jc w:val="center"/>
        <w:tblInd w:w="-209" w:type="dxa"/>
        <w:tblLook w:val="04A0" w:firstRow="1" w:lastRow="0" w:firstColumn="1" w:lastColumn="0" w:noHBand="0" w:noVBand="1"/>
      </w:tblPr>
      <w:tblGrid>
        <w:gridCol w:w="2369"/>
        <w:gridCol w:w="1471"/>
        <w:gridCol w:w="1647"/>
        <w:gridCol w:w="1503"/>
        <w:gridCol w:w="1440"/>
      </w:tblGrid>
      <w:tr w:rsidR="00815BA8" w:rsidRPr="002E5CDD" w:rsidTr="00174A22">
        <w:trPr>
          <w:jc w:val="center"/>
        </w:trPr>
        <w:tc>
          <w:tcPr>
            <w:tcW w:w="2369" w:type="dxa"/>
            <w:shd w:val="clear" w:color="auto" w:fill="D9D9D9" w:themeFill="background1" w:themeFillShade="D9"/>
            <w:vAlign w:val="bottom"/>
          </w:tcPr>
          <w:p w:rsidR="00815BA8" w:rsidRPr="002E5CDD" w:rsidRDefault="00815BA8" w:rsidP="00815BA8">
            <w:pPr>
              <w:pStyle w:val="answer"/>
              <w:keepNext/>
              <w:keepLines/>
              <w:spacing w:before="60" w:after="60" w:line="240" w:lineRule="auto"/>
              <w:ind w:left="0" w:firstLine="0"/>
              <w:jc w:val="center"/>
              <w:rPr>
                <w:b/>
                <w:szCs w:val="24"/>
              </w:rPr>
            </w:pPr>
            <w:r w:rsidRPr="002E5CDD">
              <w:rPr>
                <w:b/>
                <w:szCs w:val="24"/>
              </w:rPr>
              <w:t>Rate Case =&gt;</w:t>
            </w:r>
          </w:p>
        </w:tc>
        <w:tc>
          <w:tcPr>
            <w:tcW w:w="1471" w:type="dxa"/>
            <w:shd w:val="clear" w:color="auto" w:fill="D9D9D9" w:themeFill="background1" w:themeFillShade="D9"/>
            <w:vAlign w:val="bottom"/>
          </w:tcPr>
          <w:p w:rsidR="00815BA8" w:rsidRPr="002E5CDD" w:rsidRDefault="00815BA8" w:rsidP="00815BA8">
            <w:pPr>
              <w:pStyle w:val="answer"/>
              <w:keepNext/>
              <w:keepLines/>
              <w:spacing w:before="60" w:after="60" w:line="240" w:lineRule="auto"/>
              <w:ind w:left="0" w:firstLine="0"/>
              <w:jc w:val="center"/>
              <w:rPr>
                <w:b/>
                <w:szCs w:val="24"/>
              </w:rPr>
            </w:pPr>
            <w:r w:rsidRPr="002E5CDD">
              <w:rPr>
                <w:b/>
                <w:szCs w:val="24"/>
              </w:rPr>
              <w:t xml:space="preserve">2017 </w:t>
            </w:r>
            <w:proofErr w:type="spellStart"/>
            <w:r w:rsidRPr="002E5CDD">
              <w:rPr>
                <w:b/>
                <w:szCs w:val="24"/>
              </w:rPr>
              <w:t>GRC</w:t>
            </w:r>
            <w:proofErr w:type="spellEnd"/>
          </w:p>
        </w:tc>
        <w:tc>
          <w:tcPr>
            <w:tcW w:w="1647" w:type="dxa"/>
            <w:shd w:val="clear" w:color="auto" w:fill="D9D9D9" w:themeFill="background1" w:themeFillShade="D9"/>
            <w:vAlign w:val="bottom"/>
          </w:tcPr>
          <w:p w:rsidR="00815BA8" w:rsidRPr="002E5CDD" w:rsidRDefault="00304284" w:rsidP="00304284">
            <w:pPr>
              <w:pStyle w:val="answer"/>
              <w:keepNext/>
              <w:keepLines/>
              <w:spacing w:before="60" w:after="60" w:line="240" w:lineRule="auto"/>
              <w:ind w:left="0" w:firstLine="0"/>
              <w:jc w:val="center"/>
              <w:rPr>
                <w:b/>
                <w:szCs w:val="24"/>
              </w:rPr>
            </w:pPr>
            <w:r>
              <w:rPr>
                <w:b/>
                <w:szCs w:val="24"/>
              </w:rPr>
              <w:t>2016 Power Cost Update</w:t>
            </w:r>
          </w:p>
        </w:tc>
        <w:tc>
          <w:tcPr>
            <w:tcW w:w="1503" w:type="dxa"/>
            <w:shd w:val="clear" w:color="auto" w:fill="D9D9D9" w:themeFill="background1" w:themeFillShade="D9"/>
            <w:vAlign w:val="bottom"/>
          </w:tcPr>
          <w:p w:rsidR="00815BA8" w:rsidRPr="002E5CDD" w:rsidRDefault="00815BA8" w:rsidP="00815BA8">
            <w:pPr>
              <w:pStyle w:val="answer"/>
              <w:keepNext/>
              <w:keepLines/>
              <w:spacing w:before="60" w:after="60" w:line="240" w:lineRule="auto"/>
              <w:ind w:left="0" w:firstLine="0"/>
              <w:jc w:val="center"/>
              <w:rPr>
                <w:b/>
                <w:szCs w:val="24"/>
              </w:rPr>
            </w:pPr>
            <w:r w:rsidRPr="002E5CDD">
              <w:rPr>
                <w:b/>
                <w:szCs w:val="24"/>
              </w:rPr>
              <w:t xml:space="preserve">2014 </w:t>
            </w:r>
            <w:proofErr w:type="spellStart"/>
            <w:r w:rsidRPr="002E5CDD">
              <w:rPr>
                <w:b/>
                <w:szCs w:val="24"/>
              </w:rPr>
              <w:t>PCORC</w:t>
            </w:r>
            <w:proofErr w:type="spellEnd"/>
          </w:p>
        </w:tc>
        <w:tc>
          <w:tcPr>
            <w:tcW w:w="1440" w:type="dxa"/>
            <w:shd w:val="clear" w:color="auto" w:fill="D9D9D9" w:themeFill="background1" w:themeFillShade="D9"/>
            <w:vAlign w:val="bottom"/>
          </w:tcPr>
          <w:p w:rsidR="00815BA8" w:rsidRPr="002E5CDD" w:rsidRDefault="00815BA8" w:rsidP="00815BA8">
            <w:pPr>
              <w:pStyle w:val="answer"/>
              <w:keepNext/>
              <w:keepLines/>
              <w:spacing w:before="60" w:after="60" w:line="240" w:lineRule="auto"/>
              <w:ind w:left="0" w:firstLine="0"/>
              <w:jc w:val="center"/>
              <w:rPr>
                <w:b/>
                <w:szCs w:val="24"/>
              </w:rPr>
            </w:pPr>
            <w:r w:rsidRPr="002E5CDD">
              <w:rPr>
                <w:b/>
                <w:szCs w:val="24"/>
              </w:rPr>
              <w:t xml:space="preserve">2013 </w:t>
            </w:r>
            <w:proofErr w:type="spellStart"/>
            <w:r w:rsidRPr="002E5CDD">
              <w:rPr>
                <w:b/>
                <w:szCs w:val="24"/>
              </w:rPr>
              <w:t>PCORC</w:t>
            </w:r>
            <w:proofErr w:type="spellEnd"/>
          </w:p>
        </w:tc>
      </w:tr>
      <w:tr w:rsidR="00815BA8" w:rsidRPr="002E5CDD" w:rsidTr="00174A22">
        <w:trPr>
          <w:jc w:val="center"/>
        </w:trPr>
        <w:tc>
          <w:tcPr>
            <w:tcW w:w="2369" w:type="dxa"/>
          </w:tcPr>
          <w:p w:rsidR="00815BA8" w:rsidRPr="002E5CDD" w:rsidRDefault="00815BA8" w:rsidP="00973793">
            <w:pPr>
              <w:pStyle w:val="answer"/>
              <w:keepNext/>
              <w:keepLines/>
              <w:spacing w:before="60" w:after="60" w:line="240" w:lineRule="auto"/>
              <w:ind w:left="0" w:firstLine="0"/>
              <w:rPr>
                <w:szCs w:val="24"/>
              </w:rPr>
            </w:pPr>
            <w:r w:rsidRPr="002E5CDD">
              <w:rPr>
                <w:szCs w:val="24"/>
              </w:rPr>
              <w:t xml:space="preserve">3-Mo </w:t>
            </w:r>
            <w:r w:rsidR="00973793">
              <w:rPr>
                <w:szCs w:val="24"/>
              </w:rPr>
              <w:t>A</w:t>
            </w:r>
            <w:r w:rsidRPr="002E5CDD">
              <w:rPr>
                <w:szCs w:val="24"/>
              </w:rPr>
              <w:t>verage at =&gt;</w:t>
            </w:r>
          </w:p>
        </w:tc>
        <w:tc>
          <w:tcPr>
            <w:tcW w:w="1471" w:type="dxa"/>
          </w:tcPr>
          <w:p w:rsidR="00815BA8" w:rsidRPr="002E5CDD" w:rsidRDefault="00815BA8" w:rsidP="009757EF">
            <w:pPr>
              <w:pStyle w:val="answer"/>
              <w:keepNext/>
              <w:keepLines/>
              <w:spacing w:before="60" w:after="60" w:line="240" w:lineRule="auto"/>
              <w:ind w:left="0" w:right="201" w:firstLine="0"/>
              <w:jc w:val="right"/>
              <w:rPr>
                <w:szCs w:val="24"/>
              </w:rPr>
            </w:pPr>
            <w:r w:rsidRPr="002E5CDD">
              <w:rPr>
                <w:szCs w:val="24"/>
              </w:rPr>
              <w:t>9.23.16</w:t>
            </w:r>
          </w:p>
        </w:tc>
        <w:tc>
          <w:tcPr>
            <w:tcW w:w="1647"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8.26.16</w:t>
            </w:r>
          </w:p>
        </w:tc>
        <w:tc>
          <w:tcPr>
            <w:tcW w:w="1503"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10.28.14</w:t>
            </w:r>
          </w:p>
        </w:tc>
        <w:tc>
          <w:tcPr>
            <w:tcW w:w="1440"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8.05.13</w:t>
            </w:r>
          </w:p>
        </w:tc>
      </w:tr>
      <w:tr w:rsidR="00815BA8" w:rsidRPr="002E5CDD" w:rsidTr="00174A22">
        <w:trPr>
          <w:jc w:val="center"/>
        </w:trPr>
        <w:tc>
          <w:tcPr>
            <w:tcW w:w="2369" w:type="dxa"/>
            <w:vAlign w:val="center"/>
          </w:tcPr>
          <w:p w:rsidR="00815BA8" w:rsidRPr="002E5CDD" w:rsidRDefault="00815BA8" w:rsidP="00BA2654">
            <w:pPr>
              <w:pStyle w:val="answer"/>
              <w:keepNext/>
              <w:keepLines/>
              <w:spacing w:before="60" w:after="60" w:line="240" w:lineRule="auto"/>
              <w:ind w:left="0" w:firstLine="0"/>
              <w:rPr>
                <w:szCs w:val="24"/>
              </w:rPr>
            </w:pPr>
            <w:r w:rsidRPr="002E5CDD">
              <w:rPr>
                <w:szCs w:val="24"/>
              </w:rPr>
              <w:t>Rate Year</w:t>
            </w:r>
          </w:p>
        </w:tc>
        <w:tc>
          <w:tcPr>
            <w:tcW w:w="1471" w:type="dxa"/>
          </w:tcPr>
          <w:p w:rsidR="00815BA8" w:rsidRPr="002E5CDD" w:rsidRDefault="00815BA8" w:rsidP="009757EF">
            <w:pPr>
              <w:pStyle w:val="answer"/>
              <w:keepNext/>
              <w:keepLines/>
              <w:spacing w:before="60" w:after="60" w:line="240" w:lineRule="auto"/>
              <w:ind w:left="0" w:right="201" w:firstLine="0"/>
              <w:jc w:val="right"/>
              <w:rPr>
                <w:szCs w:val="24"/>
              </w:rPr>
            </w:pPr>
            <w:r w:rsidRPr="002E5CDD">
              <w:rPr>
                <w:szCs w:val="24"/>
              </w:rPr>
              <w:t>Jan 2018–Dec 2018</w:t>
            </w:r>
          </w:p>
        </w:tc>
        <w:tc>
          <w:tcPr>
            <w:tcW w:w="1647"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Dec 2016-Nov 2017</w:t>
            </w:r>
          </w:p>
        </w:tc>
        <w:tc>
          <w:tcPr>
            <w:tcW w:w="1503"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Dec 2014–Nov 2015</w:t>
            </w:r>
          </w:p>
        </w:tc>
        <w:tc>
          <w:tcPr>
            <w:tcW w:w="1440"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Nov 2013–Oct 2014</w:t>
            </w:r>
          </w:p>
        </w:tc>
      </w:tr>
      <w:tr w:rsidR="00815BA8" w:rsidRPr="002E5CDD" w:rsidTr="00174A22">
        <w:trPr>
          <w:jc w:val="center"/>
        </w:trPr>
        <w:tc>
          <w:tcPr>
            <w:tcW w:w="2369" w:type="dxa"/>
          </w:tcPr>
          <w:p w:rsidR="00815BA8" w:rsidRPr="002E5CDD" w:rsidRDefault="00815BA8" w:rsidP="00BA2654">
            <w:pPr>
              <w:pStyle w:val="answer"/>
              <w:keepNext/>
              <w:keepLines/>
              <w:spacing w:before="60" w:after="60" w:line="240" w:lineRule="auto"/>
              <w:ind w:left="0" w:firstLine="0"/>
              <w:rPr>
                <w:szCs w:val="24"/>
              </w:rPr>
            </w:pPr>
            <w:r w:rsidRPr="002E5CDD">
              <w:rPr>
                <w:szCs w:val="24"/>
              </w:rPr>
              <w:t>Sumas</w:t>
            </w:r>
          </w:p>
        </w:tc>
        <w:tc>
          <w:tcPr>
            <w:tcW w:w="1471" w:type="dxa"/>
          </w:tcPr>
          <w:p w:rsidR="00815BA8" w:rsidRPr="002E5CDD" w:rsidRDefault="00815BA8" w:rsidP="009757EF">
            <w:pPr>
              <w:pStyle w:val="answer"/>
              <w:keepNext/>
              <w:keepLines/>
              <w:spacing w:before="60" w:after="60" w:line="240" w:lineRule="auto"/>
              <w:ind w:left="0" w:right="201" w:firstLine="0"/>
              <w:jc w:val="right"/>
              <w:rPr>
                <w:szCs w:val="24"/>
              </w:rPr>
            </w:pPr>
            <w:r w:rsidRPr="002E5CDD">
              <w:rPr>
                <w:szCs w:val="24"/>
              </w:rPr>
              <w:t>$2.70</w:t>
            </w:r>
          </w:p>
        </w:tc>
        <w:tc>
          <w:tcPr>
            <w:tcW w:w="1647"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$2.76</w:t>
            </w:r>
          </w:p>
        </w:tc>
        <w:tc>
          <w:tcPr>
            <w:tcW w:w="1503"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$3.86</w:t>
            </w:r>
          </w:p>
        </w:tc>
        <w:tc>
          <w:tcPr>
            <w:tcW w:w="1440" w:type="dxa"/>
          </w:tcPr>
          <w:p w:rsidR="00815BA8" w:rsidRPr="002E5CDD" w:rsidRDefault="00815BA8" w:rsidP="00BA2654">
            <w:pPr>
              <w:pStyle w:val="answer"/>
              <w:keepNext/>
              <w:keepLines/>
              <w:spacing w:before="60" w:after="60" w:line="240" w:lineRule="auto"/>
              <w:ind w:left="0" w:right="138" w:firstLine="0"/>
              <w:jc w:val="right"/>
              <w:rPr>
                <w:szCs w:val="24"/>
              </w:rPr>
            </w:pPr>
            <w:r w:rsidRPr="002E5CDD">
              <w:rPr>
                <w:szCs w:val="24"/>
              </w:rPr>
              <w:t>$3.99</w:t>
            </w:r>
          </w:p>
        </w:tc>
      </w:tr>
      <w:tr w:rsidR="00815BA8" w:rsidRPr="002E5CDD" w:rsidTr="00174A22">
        <w:trPr>
          <w:jc w:val="center"/>
        </w:trPr>
        <w:tc>
          <w:tcPr>
            <w:tcW w:w="2369" w:type="dxa"/>
          </w:tcPr>
          <w:p w:rsidR="00815BA8" w:rsidRPr="002E5CDD" w:rsidRDefault="00815BA8" w:rsidP="009573C0">
            <w:pPr>
              <w:pStyle w:val="answer"/>
              <w:spacing w:before="60" w:after="60" w:line="240" w:lineRule="auto"/>
              <w:ind w:left="0" w:firstLine="0"/>
              <w:rPr>
                <w:szCs w:val="24"/>
              </w:rPr>
            </w:pPr>
            <w:r w:rsidRPr="002E5CDD">
              <w:rPr>
                <w:szCs w:val="24"/>
              </w:rPr>
              <w:t>Change from Prior</w:t>
            </w:r>
          </w:p>
        </w:tc>
        <w:tc>
          <w:tcPr>
            <w:tcW w:w="1471" w:type="dxa"/>
          </w:tcPr>
          <w:p w:rsidR="00815BA8" w:rsidRPr="002E5CDD" w:rsidRDefault="00815BA8" w:rsidP="009757EF">
            <w:pPr>
              <w:pStyle w:val="answer"/>
              <w:spacing w:before="60" w:after="60" w:line="240" w:lineRule="auto"/>
              <w:ind w:left="0" w:right="201" w:firstLine="0"/>
              <w:jc w:val="right"/>
              <w:rPr>
                <w:szCs w:val="24"/>
              </w:rPr>
            </w:pPr>
            <w:r w:rsidRPr="002E5CDD">
              <w:rPr>
                <w:szCs w:val="24"/>
              </w:rPr>
              <w:t>$(0.06)</w:t>
            </w:r>
          </w:p>
        </w:tc>
        <w:tc>
          <w:tcPr>
            <w:tcW w:w="1647" w:type="dxa"/>
          </w:tcPr>
          <w:p w:rsidR="00815BA8" w:rsidRPr="002E5CDD" w:rsidRDefault="00815BA8" w:rsidP="00152C9E">
            <w:pPr>
              <w:pStyle w:val="answer"/>
              <w:spacing w:before="60" w:after="60" w:line="240" w:lineRule="auto"/>
              <w:ind w:left="0" w:right="138" w:firstLine="0"/>
              <w:jc w:val="right"/>
              <w:rPr>
                <w:szCs w:val="24"/>
              </w:rPr>
            </w:pPr>
            <w:r w:rsidRPr="002E5CDD">
              <w:rPr>
                <w:szCs w:val="24"/>
              </w:rPr>
              <w:t>$(1.10)</w:t>
            </w:r>
          </w:p>
        </w:tc>
        <w:tc>
          <w:tcPr>
            <w:tcW w:w="1503" w:type="dxa"/>
          </w:tcPr>
          <w:p w:rsidR="00815BA8" w:rsidRPr="002E5CDD" w:rsidRDefault="00815BA8" w:rsidP="00BA2654">
            <w:pPr>
              <w:pStyle w:val="answer"/>
              <w:spacing w:before="60" w:after="60" w:line="240" w:lineRule="auto"/>
              <w:ind w:left="0" w:right="138" w:firstLine="0"/>
              <w:jc w:val="right"/>
              <w:rPr>
                <w:szCs w:val="24"/>
              </w:rPr>
            </w:pPr>
            <w:r w:rsidRPr="002E5CDD">
              <w:rPr>
                <w:szCs w:val="24"/>
              </w:rPr>
              <w:t>$(0.13)</w:t>
            </w:r>
          </w:p>
        </w:tc>
        <w:tc>
          <w:tcPr>
            <w:tcW w:w="1440" w:type="dxa"/>
          </w:tcPr>
          <w:p w:rsidR="00815BA8" w:rsidRPr="002E5CDD" w:rsidRDefault="00815BA8" w:rsidP="00BA2654">
            <w:pPr>
              <w:pStyle w:val="answer"/>
              <w:spacing w:before="60" w:after="60" w:line="240" w:lineRule="auto"/>
              <w:ind w:left="0" w:right="138" w:firstLine="0"/>
              <w:jc w:val="right"/>
              <w:rPr>
                <w:szCs w:val="24"/>
              </w:rPr>
            </w:pPr>
            <w:r w:rsidRPr="002E5CDD">
              <w:rPr>
                <w:szCs w:val="24"/>
              </w:rPr>
              <w:t>$1.09</w:t>
            </w:r>
          </w:p>
        </w:tc>
      </w:tr>
    </w:tbl>
    <w:p w:rsidR="00866BF4" w:rsidRDefault="00866BF4" w:rsidP="00F9417D">
      <w:pPr>
        <w:pStyle w:val="question"/>
        <w:spacing w:before="360"/>
      </w:pPr>
      <w:r>
        <w:t>Q.</w:t>
      </w:r>
      <w:r>
        <w:tab/>
        <w:t>Please explain the source of the gas price inputs.</w:t>
      </w:r>
    </w:p>
    <w:p w:rsidR="00866BF4" w:rsidRDefault="00866BF4" w:rsidP="00866BF4">
      <w:pPr>
        <w:pStyle w:val="answer"/>
      </w:pPr>
      <w:r>
        <w:t>A.</w:t>
      </w:r>
      <w:r>
        <w:tab/>
        <w:t xml:space="preserve">Consistent with prior rate cases, PSE has used forward gas market price data supplied by </w:t>
      </w:r>
      <w:proofErr w:type="spellStart"/>
      <w:r>
        <w:t>Kiodex</w:t>
      </w:r>
      <w:proofErr w:type="spellEnd"/>
      <w:r>
        <w:t xml:space="preserve"> Global Market Data (</w:t>
      </w:r>
      <w:r w:rsidR="009F02BA">
        <w:t>“</w:t>
      </w:r>
      <w:proofErr w:type="spellStart"/>
      <w:r>
        <w:t>Kiodex</w:t>
      </w:r>
      <w:proofErr w:type="spellEnd"/>
      <w:r w:rsidR="009F02BA">
        <w:t>”</w:t>
      </w:r>
      <w:r>
        <w:t>).</w:t>
      </w:r>
      <w:r w:rsidR="00CC65A7">
        <w:t xml:space="preserve"> </w:t>
      </w:r>
      <w:r>
        <w:t xml:space="preserve">PSE contracts with </w:t>
      </w:r>
      <w:proofErr w:type="spellStart"/>
      <w:r>
        <w:t>Kiodex</w:t>
      </w:r>
      <w:proofErr w:type="spellEnd"/>
      <w:r>
        <w:t xml:space="preserve"> for forward market price data for specific gas and power trading points and for the trading hubs that are input into AURORA.</w:t>
      </w:r>
    </w:p>
    <w:p w:rsidR="00BA2654" w:rsidRDefault="00866BF4" w:rsidP="00BA2654">
      <w:pPr>
        <w:pStyle w:val="NestedAnswer"/>
      </w:pPr>
      <w:proofErr w:type="spellStart"/>
      <w:r>
        <w:t>Kiodex</w:t>
      </w:r>
      <w:proofErr w:type="spellEnd"/>
      <w:r>
        <w:t>, however, does not offer forward price curves for the Station</w:t>
      </w:r>
      <w:r w:rsidR="007D3605">
        <w:t> </w:t>
      </w:r>
      <w:r>
        <w:t>2 hub located in British Columbia.</w:t>
      </w:r>
      <w:r w:rsidR="00CC65A7">
        <w:t xml:space="preserve"> </w:t>
      </w:r>
      <w:r>
        <w:t>Although this price hub is not a trading hub required for input to AURORA, PSE has T-south pipeline capacity between Station</w:t>
      </w:r>
      <w:r w:rsidR="007D3605">
        <w:t> </w:t>
      </w:r>
      <w:r>
        <w:t>2 and Sumas under contract with Westcoast Energy, Inc.</w:t>
      </w:r>
      <w:r w:rsidR="00CC65A7">
        <w:t xml:space="preserve"> </w:t>
      </w:r>
      <w:r>
        <w:t>Since the AURORA model uses the input Sumas gas prices for PSE</w:t>
      </w:r>
      <w:r w:rsidR="009F02BA">
        <w:t>’</w:t>
      </w:r>
      <w:r>
        <w:t>s gas fired generators</w:t>
      </w:r>
      <w:r w:rsidR="009F02BA">
        <w:t>’</w:t>
      </w:r>
      <w:r>
        <w:t xml:space="preserve"> dispatch and power costs, PSE must separately consider the cost difference between </w:t>
      </w:r>
      <w:r w:rsidR="007D3605">
        <w:t>Station 2</w:t>
      </w:r>
      <w:r>
        <w:t xml:space="preserve"> and Sumas, also known as the </w:t>
      </w:r>
      <w:r w:rsidR="009F02BA">
        <w:t>“</w:t>
      </w:r>
      <w:r>
        <w:t>basis differential</w:t>
      </w:r>
      <w:r w:rsidR="009F02BA">
        <w:t>”</w:t>
      </w:r>
      <w:r>
        <w:t xml:space="preserve">, in the </w:t>
      </w:r>
      <w:r w:rsidR="009F02BA">
        <w:t>“</w:t>
      </w:r>
      <w:r w:rsidR="009F4557">
        <w:t>Costs not in AURORA</w:t>
      </w:r>
      <w:r w:rsidR="009F02BA">
        <w:t>”</w:t>
      </w:r>
      <w:r>
        <w:t xml:space="preserve"> adjustments.</w:t>
      </w:r>
    </w:p>
    <w:p w:rsidR="00866BF4" w:rsidRDefault="00866BF4" w:rsidP="00BA2654">
      <w:pPr>
        <w:pStyle w:val="NestedAnswer"/>
      </w:pPr>
      <w:r>
        <w:lastRenderedPageBreak/>
        <w:t xml:space="preserve">Since there is no readily available forward gas price for </w:t>
      </w:r>
      <w:r w:rsidR="007D3605">
        <w:t>Station 2</w:t>
      </w:r>
      <w:r>
        <w:t xml:space="preserve">, PSE has contracted with a third party (Wood Mackenzie) to provide an independent forward price forecast of the basis differential between the Sumas and </w:t>
      </w:r>
      <w:r w:rsidR="007D3605">
        <w:t>Station 2</w:t>
      </w:r>
      <w:r>
        <w:t xml:space="preserve"> gas hubs.</w:t>
      </w:r>
      <w:r w:rsidR="00CC65A7">
        <w:t xml:space="preserve"> </w:t>
      </w:r>
      <w:r>
        <w:t xml:space="preserve">Because Sumas is one of the gas hubs acquired from </w:t>
      </w:r>
      <w:proofErr w:type="spellStart"/>
      <w:r>
        <w:t>Kiodex</w:t>
      </w:r>
      <w:proofErr w:type="spellEnd"/>
      <w:r>
        <w:t xml:space="preserve"> for input to AURORA, PSE calculate</w:t>
      </w:r>
      <w:r w:rsidR="009E7399">
        <w:t>s</w:t>
      </w:r>
      <w:r>
        <w:t xml:space="preserve"> the monthly </w:t>
      </w:r>
      <w:r w:rsidR="007D3605">
        <w:t>Station 2</w:t>
      </w:r>
      <w:r>
        <w:t xml:space="preserve"> forward gas prices for the rate year by adding the </w:t>
      </w:r>
      <w:proofErr w:type="spellStart"/>
      <w:r>
        <w:t>Kiodex</w:t>
      </w:r>
      <w:proofErr w:type="spellEnd"/>
      <w:r>
        <w:t xml:space="preserve"> Sumas forward gas price to the Wood Mackenzie basis differential.</w:t>
      </w:r>
      <w:r w:rsidR="00CC65A7">
        <w:t xml:space="preserve"> </w:t>
      </w:r>
      <w:r>
        <w:t>In this regard, all gas prices used in the determination of rate year power costs are then based upon forward price</w:t>
      </w:r>
      <w:r w:rsidR="0044791B">
        <w:t xml:space="preserve"> curves and third party</w:t>
      </w:r>
      <w:r>
        <w:t xml:space="preserve"> forecasts for the rate year period.</w:t>
      </w:r>
      <w:r w:rsidR="00CC65A7">
        <w:t xml:space="preserve"> </w:t>
      </w:r>
      <w:r w:rsidR="00BD7C8E">
        <w:t xml:space="preserve">PSE has used third party forecasts of price differentials to estimate Station 2 prices since the 2011 </w:t>
      </w:r>
      <w:proofErr w:type="spellStart"/>
      <w:r w:rsidR="00BD7C8E">
        <w:t>GRC</w:t>
      </w:r>
      <w:proofErr w:type="spellEnd"/>
      <w:r w:rsidR="00BD7C8E">
        <w:t>.</w:t>
      </w:r>
    </w:p>
    <w:p w:rsidR="00866BF4" w:rsidRDefault="00866BF4" w:rsidP="00866BF4">
      <w:pPr>
        <w:pStyle w:val="question"/>
      </w:pPr>
      <w:r>
        <w:t>Q.</w:t>
      </w:r>
      <w:r>
        <w:tab/>
        <w:t>Does PSE intend to update its projected power costs with updated gas price projections during this proceeding?</w:t>
      </w:r>
    </w:p>
    <w:p w:rsidR="00866BF4" w:rsidRDefault="00866BF4" w:rsidP="00866BF4">
      <w:pPr>
        <w:pStyle w:val="answer"/>
      </w:pPr>
      <w:r>
        <w:t>A.</w:t>
      </w:r>
      <w:r>
        <w:tab/>
        <w:t>Yes.</w:t>
      </w:r>
      <w:r w:rsidR="00CC65A7">
        <w:t xml:space="preserve"> </w:t>
      </w:r>
      <w:r>
        <w:t xml:space="preserve">Consistent with prior rate proceedings, PSE intends to update its projected power costs with updated gas price projections </w:t>
      </w:r>
      <w:r w:rsidR="00304284">
        <w:t xml:space="preserve">during the course of this proceeding </w:t>
      </w:r>
      <w:r>
        <w:t xml:space="preserve">because the factors that affect natural gas prices are constantly changing, forward market prices quickly become </w:t>
      </w:r>
      <w:r w:rsidR="009F02BA">
        <w:t>“</w:t>
      </w:r>
      <w:r>
        <w:t>stale,</w:t>
      </w:r>
      <w:r w:rsidR="009F02BA">
        <w:t>”</w:t>
      </w:r>
      <w:r>
        <w:t xml:space="preserve"> and their predictive power with respect to actual future prices decreases with time.</w:t>
      </w:r>
      <w:r w:rsidR="00CC65A7">
        <w:t xml:space="preserve"> </w:t>
      </w:r>
      <w:r>
        <w:t>Establishing rate year gas prices based on the average of the forward prices for the rate year for a three-month period of time closer to the beginning of the rate year will provide a more accurate projection of rate year gas prices.</w:t>
      </w:r>
      <w:r w:rsidR="00CC65A7">
        <w:t xml:space="preserve"> </w:t>
      </w:r>
      <w:r>
        <w:t>Therefore, PSE will adjust its requested power costs with updated forward market data prior to rates becoming effective.</w:t>
      </w:r>
      <w:r w:rsidR="00CC65A7">
        <w:t xml:space="preserve"> </w:t>
      </w:r>
      <w:r>
        <w:t xml:space="preserve">This would also include an update to the short-term fixed-price power contracts that are an AURORA input and the other fixed-price gas for power and </w:t>
      </w:r>
      <w:r>
        <w:lastRenderedPageBreak/>
        <w:t xml:space="preserve">index-based power and gas for power contracts that are an adjustment included in the </w:t>
      </w:r>
      <w:r w:rsidR="009F02BA">
        <w:t>“</w:t>
      </w:r>
      <w:r w:rsidR="009F4557">
        <w:t>Costs not in AURORA</w:t>
      </w:r>
      <w:r w:rsidR="009F02BA">
        <w:t>”</w:t>
      </w:r>
      <w:r>
        <w:t xml:space="preserve"> calculation.</w:t>
      </w:r>
      <w:r w:rsidR="00CC65A7">
        <w:t xml:space="preserve"> </w:t>
      </w:r>
      <w:r>
        <w:t xml:space="preserve">In addition, some </w:t>
      </w:r>
      <w:r w:rsidR="009F02BA">
        <w:t>“</w:t>
      </w:r>
      <w:r w:rsidR="009F4557">
        <w:t>Costs not in AURORA</w:t>
      </w:r>
      <w:r w:rsidR="009F02BA">
        <w:t>”</w:t>
      </w:r>
      <w:r>
        <w:t xml:space="preserve"> adjustments </w:t>
      </w:r>
      <w:r w:rsidR="00EE54FF">
        <w:t>are dependent on</w:t>
      </w:r>
      <w:r>
        <w:t xml:space="preserve"> AURORA </w:t>
      </w:r>
      <w:r w:rsidR="00EE54FF">
        <w:t xml:space="preserve">output and will be updated when a new AURORA </w:t>
      </w:r>
      <w:r>
        <w:t xml:space="preserve">model run </w:t>
      </w:r>
      <w:r w:rsidR="00EE54FF">
        <w:t>is completed</w:t>
      </w:r>
      <w:r>
        <w:t>.</w:t>
      </w:r>
    </w:p>
    <w:p w:rsidR="00866BF4" w:rsidRDefault="00866BF4" w:rsidP="00866BF4">
      <w:pPr>
        <w:pStyle w:val="question"/>
      </w:pPr>
      <w:r>
        <w:t>Q.</w:t>
      </w:r>
      <w:r>
        <w:tab/>
        <w:t>What is PSE</w:t>
      </w:r>
      <w:r w:rsidR="009F02BA">
        <w:t>’</w:t>
      </w:r>
      <w:r>
        <w:t>s proposal to update its projected rate year power costs during this proceeding?</w:t>
      </w:r>
    </w:p>
    <w:p w:rsidR="00866BF4" w:rsidRDefault="00866BF4" w:rsidP="00866BF4">
      <w:pPr>
        <w:pStyle w:val="answer"/>
      </w:pPr>
      <w:r>
        <w:t>A.</w:t>
      </w:r>
      <w:r>
        <w:tab/>
        <w:t>PSE intends to provide all parties with updated power cost information—including, but not limited to, updated average gas prices—</w:t>
      </w:r>
      <w:r w:rsidR="00304284">
        <w:t xml:space="preserve">during the course of the proceeding, </w:t>
      </w:r>
      <w:r>
        <w:t>in a manner and at a date that enables all parties adequate time to review the proposed changes.</w:t>
      </w:r>
      <w:r w:rsidR="00CC65A7">
        <w:t xml:space="preserve"> </w:t>
      </w:r>
    </w:p>
    <w:p w:rsidR="00866BF4" w:rsidRDefault="00866BF4" w:rsidP="00866BF4">
      <w:pPr>
        <w:pStyle w:val="question"/>
      </w:pPr>
      <w:r>
        <w:t>Q.</w:t>
      </w:r>
      <w:r>
        <w:tab/>
        <w:t xml:space="preserve">How do more recent forecast rate year natural gas prices compare to the three-month average at </w:t>
      </w:r>
      <w:r w:rsidR="00EE54FF">
        <w:t>September 23</w:t>
      </w:r>
      <w:r>
        <w:t>, 201</w:t>
      </w:r>
      <w:r w:rsidR="00EE54FF">
        <w:t>6</w:t>
      </w:r>
      <w:r>
        <w:t>?</w:t>
      </w:r>
    </w:p>
    <w:p w:rsidR="00866BF4" w:rsidRDefault="00866BF4" w:rsidP="00866BF4">
      <w:pPr>
        <w:pStyle w:val="answer"/>
      </w:pPr>
      <w:r>
        <w:t>A.</w:t>
      </w:r>
      <w:r>
        <w:tab/>
      </w:r>
      <w:r w:rsidRPr="00FC6BAC">
        <w:t xml:space="preserve">As of </w:t>
      </w:r>
      <w:r w:rsidR="00FC6BAC" w:rsidRPr="00837D01">
        <w:t>November 30</w:t>
      </w:r>
      <w:r w:rsidRPr="00837D01">
        <w:t>, 2016</w:t>
      </w:r>
      <w:r w:rsidRPr="00FC6BAC">
        <w:t>, the three-month average rat</w:t>
      </w:r>
      <w:r w:rsidRPr="007E3A33">
        <w:t xml:space="preserve">e year Sumas natural gas price has decreased to </w:t>
      </w:r>
      <w:r w:rsidRPr="00837D01">
        <w:t>$2.</w:t>
      </w:r>
      <w:r w:rsidR="00FC6BAC" w:rsidRPr="00837D01">
        <w:t>61</w:t>
      </w:r>
      <w:r w:rsidRPr="00837D01">
        <w:t>per MMBtu, a decrease of $0.</w:t>
      </w:r>
      <w:r w:rsidR="00FC6BAC" w:rsidRPr="00837D01">
        <w:t xml:space="preserve">09 </w:t>
      </w:r>
      <w:r w:rsidRPr="00837D01">
        <w:t>per MMBtu from the $2.</w:t>
      </w:r>
      <w:r w:rsidR="00FC6BAC" w:rsidRPr="00837D01">
        <w:t>70</w:t>
      </w:r>
      <w:r w:rsidRPr="00FC6BAC">
        <w:t xml:space="preserve"> per</w:t>
      </w:r>
      <w:r>
        <w:t xml:space="preserve"> MMBtu used to determine the </w:t>
      </w:r>
      <w:proofErr w:type="spellStart"/>
      <w:r>
        <w:t>prefiled</w:t>
      </w:r>
      <w:proofErr w:type="spellEnd"/>
      <w:r>
        <w:t xml:space="preserve"> rate year power costs in this proceeding.</w:t>
      </w:r>
    </w:p>
    <w:p w:rsidR="00FD033B" w:rsidRPr="00FD22FD" w:rsidRDefault="00CD27D9" w:rsidP="00FD033B">
      <w:pPr>
        <w:pStyle w:val="Heading3"/>
      </w:pPr>
      <w:bookmarkStart w:id="44" w:name="_Toc471319044"/>
      <w:r>
        <w:t>5</w:t>
      </w:r>
      <w:r w:rsidR="00FD033B" w:rsidRPr="00FD22FD">
        <w:t>.</w:t>
      </w:r>
      <w:r w:rsidR="00FD033B" w:rsidRPr="00FD22FD">
        <w:tab/>
        <w:t>Projected Wind Generation</w:t>
      </w:r>
      <w:bookmarkEnd w:id="44"/>
    </w:p>
    <w:p w:rsidR="00FD033B" w:rsidRPr="006F04BC" w:rsidRDefault="00FD033B" w:rsidP="00FD033B">
      <w:pPr>
        <w:pStyle w:val="question"/>
      </w:pPr>
      <w:r w:rsidRPr="006F04BC">
        <w:t>Q.</w:t>
      </w:r>
      <w:r w:rsidRPr="006F04BC">
        <w:tab/>
        <w:t xml:space="preserve">What </w:t>
      </w:r>
      <w:r w:rsidR="006F04BC" w:rsidRPr="006F04BC">
        <w:t>projection of wind generation</w:t>
      </w:r>
      <w:r w:rsidRPr="006F04BC">
        <w:t xml:space="preserve"> did PSE use for the rate year in </w:t>
      </w:r>
      <w:r w:rsidR="003779E1">
        <w:t>developing</w:t>
      </w:r>
      <w:r w:rsidRPr="006F04BC">
        <w:t xml:space="preserve"> its </w:t>
      </w:r>
      <w:r w:rsidR="003779E1">
        <w:t>power costs</w:t>
      </w:r>
      <w:r w:rsidRPr="006F04BC">
        <w:t>?</w:t>
      </w:r>
    </w:p>
    <w:p w:rsidR="00FD033B" w:rsidRDefault="006F04BC" w:rsidP="00FD033B">
      <w:pPr>
        <w:pStyle w:val="answer"/>
      </w:pPr>
      <w:r>
        <w:t>A.</w:t>
      </w:r>
      <w:r>
        <w:tab/>
        <w:t xml:space="preserve">In 2016 PSE retained </w:t>
      </w:r>
      <w:proofErr w:type="spellStart"/>
      <w:r>
        <w:t>Vaisala</w:t>
      </w:r>
      <w:proofErr w:type="spellEnd"/>
      <w:r>
        <w:t xml:space="preserve">, a global company that specializes in environmental and industrial measurement, to develop a forecast of energy output from its wind </w:t>
      </w:r>
      <w:r>
        <w:lastRenderedPageBreak/>
        <w:t xml:space="preserve">resources. PSE used the long-term forecast produced by </w:t>
      </w:r>
      <w:proofErr w:type="spellStart"/>
      <w:r>
        <w:t>Vaisala</w:t>
      </w:r>
      <w:proofErr w:type="spellEnd"/>
      <w:r>
        <w:t xml:space="preserve"> for each of its plants to project power costs </w:t>
      </w:r>
      <w:r w:rsidR="009E7399">
        <w:t xml:space="preserve">of wind generation </w:t>
      </w:r>
      <w:r>
        <w:t>in this proceeding.</w:t>
      </w:r>
    </w:p>
    <w:p w:rsidR="006F04BC" w:rsidRPr="006F04BC" w:rsidRDefault="006F04BC" w:rsidP="006F04BC">
      <w:pPr>
        <w:pStyle w:val="question"/>
      </w:pPr>
      <w:r w:rsidRPr="006F04BC">
        <w:t>Q.</w:t>
      </w:r>
      <w:r w:rsidRPr="006F04BC">
        <w:tab/>
        <w:t>Wh</w:t>
      </w:r>
      <w:r>
        <w:t xml:space="preserve">y did </w:t>
      </w:r>
      <w:r w:rsidRPr="006F04BC">
        <w:t xml:space="preserve">PSE </w:t>
      </w:r>
      <w:r>
        <w:t>update its wind forecast</w:t>
      </w:r>
      <w:r w:rsidRPr="006F04BC">
        <w:t>?</w:t>
      </w:r>
    </w:p>
    <w:p w:rsidR="006F04BC" w:rsidRDefault="006F04BC" w:rsidP="006F04BC">
      <w:pPr>
        <w:pStyle w:val="answer"/>
      </w:pPr>
      <w:r>
        <w:t>A.</w:t>
      </w:r>
      <w:r>
        <w:tab/>
      </w:r>
      <w:r w:rsidR="003779E1">
        <w:t xml:space="preserve">Preconstruction forecasts were developed for each of the facilities, and in 2010 PSE retained </w:t>
      </w:r>
      <w:proofErr w:type="spellStart"/>
      <w:r w:rsidR="003779E1">
        <w:t>DNV</w:t>
      </w:r>
      <w:proofErr w:type="spellEnd"/>
      <w:r w:rsidR="003779E1">
        <w:t xml:space="preserve"> to update those forecasts. These </w:t>
      </w:r>
      <w:proofErr w:type="spellStart"/>
      <w:r w:rsidR="003779E1">
        <w:t>DNV</w:t>
      </w:r>
      <w:proofErr w:type="spellEnd"/>
      <w:r w:rsidR="003779E1">
        <w:t xml:space="preserve"> forecasts were used in the 2014 </w:t>
      </w:r>
      <w:proofErr w:type="spellStart"/>
      <w:r w:rsidR="003779E1">
        <w:t>PCORC</w:t>
      </w:r>
      <w:proofErr w:type="spellEnd"/>
      <w:r w:rsidR="003779E1">
        <w:t xml:space="preserve">. </w:t>
      </w:r>
      <w:r w:rsidR="006A171F">
        <w:t>Several years have passed since the forecasts were developed, and a</w:t>
      </w:r>
      <w:r w:rsidR="003779E1">
        <w:t xml:space="preserve">t this time, there </w:t>
      </w:r>
      <w:r w:rsidR="00FD22FD">
        <w:t>is more historical</w:t>
      </w:r>
      <w:r w:rsidR="003779E1">
        <w:t xml:space="preserve"> data available to inform a new forecast: ten years </w:t>
      </w:r>
      <w:r w:rsidR="006A171F">
        <w:t xml:space="preserve">of data </w:t>
      </w:r>
      <w:r w:rsidR="003779E1">
        <w:t xml:space="preserve">for Hopkins Ridge and Wild Horse, six years for </w:t>
      </w:r>
      <w:r w:rsidR="007E3A33">
        <w:t>Wild Horse Expansion</w:t>
      </w:r>
      <w:r w:rsidR="003779E1">
        <w:t>, and four years for Lower Snake River.</w:t>
      </w:r>
      <w:r w:rsidR="006A171F">
        <w:t xml:space="preserve"> A new forecast provides a better, more up-to-date estimate of output from the facilities.</w:t>
      </w:r>
    </w:p>
    <w:p w:rsidR="006F04BC" w:rsidRPr="006F04BC" w:rsidRDefault="006F04BC" w:rsidP="006F04BC">
      <w:pPr>
        <w:pStyle w:val="question"/>
      </w:pPr>
      <w:r w:rsidRPr="006F04BC">
        <w:t>Q.</w:t>
      </w:r>
      <w:r w:rsidRPr="006F04BC">
        <w:tab/>
      </w:r>
      <w:r>
        <w:t xml:space="preserve">How does the </w:t>
      </w:r>
      <w:proofErr w:type="spellStart"/>
      <w:r>
        <w:t>Vaisala</w:t>
      </w:r>
      <w:proofErr w:type="spellEnd"/>
      <w:r>
        <w:t xml:space="preserve"> forecast compare to the previous forecast</w:t>
      </w:r>
      <w:r w:rsidRPr="006F04BC">
        <w:t>?</w:t>
      </w:r>
      <w:r w:rsidR="003779E1">
        <w:t xml:space="preserve"> </w:t>
      </w:r>
    </w:p>
    <w:p w:rsidR="006F04BC" w:rsidRDefault="006F04BC" w:rsidP="006F04BC">
      <w:pPr>
        <w:pStyle w:val="answer"/>
      </w:pPr>
      <w:r>
        <w:t>A.</w:t>
      </w:r>
      <w:r>
        <w:tab/>
      </w:r>
      <w:r w:rsidR="006A171F">
        <w:t>On average, for all of PSE</w:t>
      </w:r>
      <w:r w:rsidR="009F02BA">
        <w:t>’</w:t>
      </w:r>
      <w:r w:rsidR="006A171F">
        <w:t>s facilities together, the annual energy projection is 99,000 MWh, or 4.8</w:t>
      </w:r>
      <w:r w:rsidR="008F6098">
        <w:t> </w:t>
      </w:r>
      <w:r w:rsidR="006A171F">
        <w:t>percent, below the level in the old forecast.</w:t>
      </w:r>
    </w:p>
    <w:p w:rsidR="006A171F" w:rsidRPr="00427D23" w:rsidRDefault="006A171F" w:rsidP="006A171F">
      <w:pPr>
        <w:pStyle w:val="question"/>
      </w:pPr>
      <w:r w:rsidRPr="00427D23">
        <w:t>Q.</w:t>
      </w:r>
      <w:r w:rsidRPr="00427D23">
        <w:tab/>
      </w:r>
      <w:r w:rsidR="00427D23" w:rsidRPr="00427D23">
        <w:t xml:space="preserve">Did PSE update the forecasted generation from the </w:t>
      </w:r>
      <w:r w:rsidR="003D0684" w:rsidRPr="00427D23">
        <w:t>Klondike</w:t>
      </w:r>
      <w:r w:rsidR="00427D23" w:rsidRPr="00427D23">
        <w:t xml:space="preserve"> Power Purchase Agreement also?</w:t>
      </w:r>
    </w:p>
    <w:p w:rsidR="00FD033B" w:rsidRDefault="006A171F" w:rsidP="00866BF4">
      <w:pPr>
        <w:pStyle w:val="answer"/>
      </w:pPr>
      <w:r w:rsidRPr="00427D23">
        <w:t>A.</w:t>
      </w:r>
      <w:r w:rsidRPr="00427D23">
        <w:tab/>
      </w:r>
      <w:r w:rsidR="00427D23" w:rsidRPr="00427D23">
        <w:t>PSE request</w:t>
      </w:r>
      <w:r w:rsidR="00C042E5">
        <w:t>ed and received a forecast</w:t>
      </w:r>
      <w:r w:rsidR="00C042E5" w:rsidRPr="00C042E5">
        <w:t xml:space="preserve"> </w:t>
      </w:r>
      <w:r w:rsidR="00C042E5">
        <w:t>of</w:t>
      </w:r>
      <w:r w:rsidR="00C042E5" w:rsidRPr="00427D23">
        <w:t xml:space="preserve"> PSE</w:t>
      </w:r>
      <w:r w:rsidR="009F02BA">
        <w:t>’</w:t>
      </w:r>
      <w:r w:rsidR="00C042E5" w:rsidRPr="00427D23">
        <w:t xml:space="preserve"> share of the output of Klondike</w:t>
      </w:r>
      <w:r w:rsidR="00C042E5">
        <w:t xml:space="preserve"> from Klondike Wind Power</w:t>
      </w:r>
      <w:r w:rsidR="00427D23" w:rsidRPr="00427D23">
        <w:t>. T</w:t>
      </w:r>
      <w:r w:rsidRPr="00427D23">
        <w:t>he annual energy projection</w:t>
      </w:r>
      <w:r w:rsidR="00427D23" w:rsidRPr="00427D23">
        <w:t xml:space="preserve"> for Klondi</w:t>
      </w:r>
      <w:r w:rsidR="0087734D">
        <w:t>k</w:t>
      </w:r>
      <w:r w:rsidR="00427D23" w:rsidRPr="00427D23">
        <w:t>e</w:t>
      </w:r>
      <w:r w:rsidRPr="00427D23">
        <w:t xml:space="preserve"> is </w:t>
      </w:r>
      <w:r w:rsidR="00427D23" w:rsidRPr="00427D23">
        <w:t>28,000</w:t>
      </w:r>
      <w:r w:rsidR="0087734D">
        <w:t> </w:t>
      </w:r>
      <w:r w:rsidRPr="00427D23">
        <w:t xml:space="preserve">MWh, or </w:t>
      </w:r>
      <w:r w:rsidR="00427D23" w:rsidRPr="00427D23">
        <w:t>17.5</w:t>
      </w:r>
      <w:r w:rsidR="0087734D">
        <w:t> </w:t>
      </w:r>
      <w:r w:rsidRPr="00427D23">
        <w:t>percent, below the level in the old forecast.</w:t>
      </w:r>
    </w:p>
    <w:p w:rsidR="00866BF4" w:rsidRDefault="00CD27D9" w:rsidP="00BA2654">
      <w:pPr>
        <w:pStyle w:val="Heading3"/>
      </w:pPr>
      <w:bookmarkStart w:id="45" w:name="_Toc471319045"/>
      <w:r>
        <w:lastRenderedPageBreak/>
        <w:t>6</w:t>
      </w:r>
      <w:r w:rsidR="00866BF4">
        <w:t>.</w:t>
      </w:r>
      <w:r w:rsidR="00866BF4">
        <w:tab/>
        <w:t>Load Forecast</w:t>
      </w:r>
      <w:bookmarkEnd w:id="45"/>
    </w:p>
    <w:p w:rsidR="00866BF4" w:rsidRDefault="00866BF4" w:rsidP="00866BF4">
      <w:pPr>
        <w:pStyle w:val="question"/>
      </w:pPr>
      <w:r>
        <w:t>Q.</w:t>
      </w:r>
      <w:r>
        <w:tab/>
        <w:t>What load forecast did PSE use for the rate year in running its AURORA hourly dispatch model?</w:t>
      </w:r>
    </w:p>
    <w:p w:rsidR="00866BF4" w:rsidRDefault="00866BF4" w:rsidP="00866BF4">
      <w:pPr>
        <w:pStyle w:val="answer"/>
      </w:pPr>
      <w:r>
        <w:t>A.</w:t>
      </w:r>
      <w:r>
        <w:tab/>
        <w:t>PSE used the most current electric load forecast</w:t>
      </w:r>
      <w:r w:rsidR="007D3605">
        <w:t xml:space="preserve">—the </w:t>
      </w:r>
      <w:r w:rsidR="00DC066F">
        <w:t>F2016</w:t>
      </w:r>
      <w:r w:rsidR="007D3605">
        <w:t xml:space="preserve"> load forecast—</w:t>
      </w:r>
      <w:r>
        <w:t>as the rate year demand input to the AURORA model.</w:t>
      </w:r>
      <w:r w:rsidR="00CC65A7">
        <w:t xml:space="preserve"> </w:t>
      </w:r>
      <w:r>
        <w:t xml:space="preserve">The delivered electric load forecast, net of demand-side resources (conservation), for the </w:t>
      </w:r>
      <w:r w:rsidR="00DC066F">
        <w:t>January</w:t>
      </w:r>
      <w:r w:rsidR="00BA2654">
        <w:t> </w:t>
      </w:r>
      <w:r>
        <w:t>1</w:t>
      </w:r>
      <w:r w:rsidR="00DC066F">
        <w:t xml:space="preserve"> through December</w:t>
      </w:r>
      <w:r w:rsidR="00BA2654">
        <w:t> </w:t>
      </w:r>
      <w:r w:rsidR="00DC066F">
        <w:t>31</w:t>
      </w:r>
      <w:r>
        <w:t>, 2018</w:t>
      </w:r>
      <w:r w:rsidR="00BA2654">
        <w:t>,</w:t>
      </w:r>
      <w:r>
        <w:t xml:space="preserve"> rate year is </w:t>
      </w:r>
      <w:r w:rsidR="00CA1C2A" w:rsidRPr="00DA456E">
        <w:t>23,272,547</w:t>
      </w:r>
      <w:r w:rsidR="00BA2654" w:rsidRPr="00DA456E">
        <w:t> </w:t>
      </w:r>
      <w:r w:rsidRPr="00DA456E">
        <w:t>MWh, or 2,</w:t>
      </w:r>
      <w:r w:rsidR="00CA1C2A" w:rsidRPr="00DA456E">
        <w:t>657</w:t>
      </w:r>
      <w:r w:rsidR="00BA2654" w:rsidRPr="00DA456E">
        <w:t> </w:t>
      </w:r>
      <w:r w:rsidR="00532EE6" w:rsidRPr="00DA456E">
        <w:t>average megawatts (</w:t>
      </w:r>
      <w:r w:rsidR="009F02BA">
        <w:t>“</w:t>
      </w:r>
      <w:proofErr w:type="spellStart"/>
      <w:r w:rsidR="00532EE6" w:rsidRPr="00DA456E">
        <w:t>aMW</w:t>
      </w:r>
      <w:proofErr w:type="spellEnd"/>
      <w:r w:rsidR="009F02BA">
        <w:t>”</w:t>
      </w:r>
      <w:r w:rsidRPr="00DA456E">
        <w:t>)</w:t>
      </w:r>
      <w:r w:rsidR="00CA1C2A">
        <w:t>.</w:t>
      </w:r>
      <w:r w:rsidR="00A06B5D">
        <w:t xml:space="preserve"> </w:t>
      </w:r>
      <w:r w:rsidR="00CA1C2A">
        <w:t xml:space="preserve">This is </w:t>
      </w:r>
      <w:r w:rsidRPr="00DA456E">
        <w:t>a</w:t>
      </w:r>
      <w:r w:rsidR="00CA1C2A" w:rsidRPr="00DA456E">
        <w:t>n</w:t>
      </w:r>
      <w:r w:rsidRPr="00DA456E">
        <w:t xml:space="preserve"> </w:t>
      </w:r>
      <w:r w:rsidR="00CA1C2A" w:rsidRPr="00DA456E">
        <w:t>in</w:t>
      </w:r>
      <w:r w:rsidRPr="00DA456E">
        <w:t xml:space="preserve">crease of </w:t>
      </w:r>
      <w:r w:rsidR="00CA1C2A" w:rsidRPr="00DA456E">
        <w:t>340,034</w:t>
      </w:r>
      <w:r w:rsidR="00BA2654" w:rsidRPr="00DA456E">
        <w:t> </w:t>
      </w:r>
      <w:r w:rsidRPr="00DA456E">
        <w:t xml:space="preserve">MWh, or </w:t>
      </w:r>
      <w:r w:rsidR="00CA1C2A">
        <w:t>1.5</w:t>
      </w:r>
      <w:r w:rsidR="0087734D">
        <w:t> </w:t>
      </w:r>
      <w:r w:rsidR="00CA1C2A">
        <w:t>percent</w:t>
      </w:r>
      <w:r w:rsidRPr="00CA1C2A">
        <w:t xml:space="preserve"> from</w:t>
      </w:r>
      <w:r>
        <w:t xml:space="preserve"> the 2014</w:t>
      </w:r>
      <w:r w:rsidR="00BA2654">
        <w:t> </w:t>
      </w:r>
      <w:proofErr w:type="spellStart"/>
      <w:r>
        <w:t>PCORC</w:t>
      </w:r>
      <w:proofErr w:type="spellEnd"/>
      <w:r>
        <w:t xml:space="preserve"> load forecast of 22,932,513</w:t>
      </w:r>
      <w:r w:rsidR="00BA2654">
        <w:t> </w:t>
      </w:r>
      <w:r>
        <w:t>MWhs, or 2,618</w:t>
      </w:r>
      <w:r w:rsidR="00BA2654">
        <w:t> </w:t>
      </w:r>
      <w:proofErr w:type="spellStart"/>
      <w:r w:rsidR="00532EE6">
        <w:t>aMW</w:t>
      </w:r>
      <w:proofErr w:type="spellEnd"/>
      <w:r>
        <w:t>.</w:t>
      </w:r>
      <w:r w:rsidR="00CC65A7">
        <w:t xml:space="preserve"> </w:t>
      </w:r>
      <w:r>
        <w:t>The 2014</w:t>
      </w:r>
      <w:r w:rsidR="00BA2654">
        <w:t> </w:t>
      </w:r>
      <w:proofErr w:type="spellStart"/>
      <w:r>
        <w:t>PCORC</w:t>
      </w:r>
      <w:proofErr w:type="spellEnd"/>
      <w:r>
        <w:t xml:space="preserve"> power cost forecast used the then-current load forecast</w:t>
      </w:r>
      <w:r w:rsidR="0069161D">
        <w:t xml:space="preserve">, </w:t>
      </w:r>
      <w:r>
        <w:t>the F2013 load forecast</w:t>
      </w:r>
      <w:r w:rsidR="0069161D">
        <w:t>,</w:t>
      </w:r>
      <w:r w:rsidR="0069161D" w:rsidRPr="0069161D">
        <w:t xml:space="preserve"> </w:t>
      </w:r>
      <w:r w:rsidR="0069161D">
        <w:t>for the 2014</w:t>
      </w:r>
      <w:r w:rsidR="0087734D">
        <w:t> </w:t>
      </w:r>
      <w:proofErr w:type="spellStart"/>
      <w:r w:rsidR="0069161D">
        <w:t>PCORC</w:t>
      </w:r>
      <w:proofErr w:type="spellEnd"/>
      <w:r w:rsidR="0069161D">
        <w:t xml:space="preserve"> rate year December</w:t>
      </w:r>
      <w:r w:rsidR="0087734D">
        <w:t xml:space="preserve"> 1, </w:t>
      </w:r>
      <w:r w:rsidR="0069161D">
        <w:t>2014 through November</w:t>
      </w:r>
      <w:r w:rsidR="0087734D">
        <w:t xml:space="preserve"> 30, </w:t>
      </w:r>
      <w:r w:rsidR="0069161D">
        <w:t>2015</w:t>
      </w:r>
      <w:r>
        <w:t>.</w:t>
      </w:r>
      <w:r w:rsidR="002B5301">
        <w:t xml:space="preserve"> The difference in demand between the two periods is due to customer growth, use</w:t>
      </w:r>
      <w:r w:rsidR="00F9417D">
        <w:t xml:space="preserve"> </w:t>
      </w:r>
      <w:r w:rsidR="002B5301">
        <w:t>per customer changes as a result of conservation, and differences in projected regional economic growth between the F2016 and F2013 load forecasts.</w:t>
      </w:r>
    </w:p>
    <w:p w:rsidR="00506796" w:rsidRDefault="00506796" w:rsidP="00A06B5D">
      <w:pPr>
        <w:pStyle w:val="answer"/>
        <w:ind w:firstLine="0"/>
      </w:pPr>
      <w:r>
        <w:t xml:space="preserve">The upcoming 2017 IRP will be based on the same F2016 load forecast used to project power costs in this proceeding. </w:t>
      </w:r>
    </w:p>
    <w:p w:rsidR="00866BF4" w:rsidRDefault="00866BF4" w:rsidP="00866BF4">
      <w:pPr>
        <w:pStyle w:val="question"/>
      </w:pPr>
      <w:r>
        <w:t>Q.</w:t>
      </w:r>
      <w:r>
        <w:tab/>
        <w:t>What load forecast was used for the analysis underlying the BPA transmission contract renewals and additions?</w:t>
      </w:r>
    </w:p>
    <w:p w:rsidR="00866BF4" w:rsidRDefault="00866BF4" w:rsidP="00866BF4">
      <w:pPr>
        <w:pStyle w:val="answer"/>
      </w:pPr>
      <w:r>
        <w:t>A.</w:t>
      </w:r>
      <w:r>
        <w:tab/>
        <w:t>The analyses of the 23</w:t>
      </w:r>
      <w:r w:rsidR="00BA2654">
        <w:t> </w:t>
      </w:r>
      <w:r>
        <w:t xml:space="preserve">MW </w:t>
      </w:r>
      <w:r w:rsidR="00973793">
        <w:t>Vantage</w:t>
      </w:r>
      <w:r>
        <w:t xml:space="preserve"> transmission contract and the 94</w:t>
      </w:r>
      <w:r w:rsidR="00BA2654">
        <w:t> </w:t>
      </w:r>
      <w:r>
        <w:t xml:space="preserve">MW Garrison transmission contract were based on the F2014 load forecast, which was </w:t>
      </w:r>
      <w:r>
        <w:lastRenderedPageBreak/>
        <w:t>the current forecast at the time both analyses were completed, February and September</w:t>
      </w:r>
      <w:r w:rsidR="00BA2654">
        <w:t> </w:t>
      </w:r>
      <w:r>
        <w:t>2015, respectively.</w:t>
      </w:r>
    </w:p>
    <w:p w:rsidR="002D495F" w:rsidRPr="00CD27D9" w:rsidRDefault="00CD27D9" w:rsidP="002D495F">
      <w:pPr>
        <w:pStyle w:val="Heading3"/>
      </w:pPr>
      <w:bookmarkStart w:id="46" w:name="_Toc471319046"/>
      <w:r>
        <w:t>7</w:t>
      </w:r>
      <w:r w:rsidR="002D495F" w:rsidRPr="00CD27D9">
        <w:t>.</w:t>
      </w:r>
      <w:r w:rsidR="002D495F" w:rsidRPr="00CD27D9">
        <w:tab/>
        <w:t>Clean Air Rule</w:t>
      </w:r>
      <w:bookmarkEnd w:id="46"/>
    </w:p>
    <w:p w:rsidR="002D495F" w:rsidRPr="00CD27D9" w:rsidRDefault="002D495F" w:rsidP="002D495F">
      <w:pPr>
        <w:pStyle w:val="question"/>
      </w:pPr>
      <w:r w:rsidRPr="00CD27D9">
        <w:t>Q.</w:t>
      </w:r>
      <w:r w:rsidRPr="00CD27D9">
        <w:tab/>
      </w:r>
      <w:r w:rsidR="007304D6">
        <w:t>What input assumptions related to</w:t>
      </w:r>
      <w:r w:rsidRPr="00CD27D9">
        <w:t xml:space="preserve"> CAR </w:t>
      </w:r>
      <w:r w:rsidR="007E3A33">
        <w:t>were</w:t>
      </w:r>
      <w:r w:rsidR="007304D6">
        <w:t xml:space="preserve"> use</w:t>
      </w:r>
      <w:r w:rsidR="007E3A33">
        <w:t>d</w:t>
      </w:r>
      <w:r w:rsidR="007304D6">
        <w:t xml:space="preserve"> to project</w:t>
      </w:r>
      <w:r w:rsidRPr="00CD27D9">
        <w:t xml:space="preserve"> rate year power costs?</w:t>
      </w:r>
    </w:p>
    <w:p w:rsidR="002D495F" w:rsidRDefault="002D495F" w:rsidP="002D495F">
      <w:pPr>
        <w:pStyle w:val="answer"/>
      </w:pPr>
      <w:r w:rsidRPr="00CD27D9">
        <w:t>A.</w:t>
      </w:r>
      <w:r w:rsidRPr="00CD27D9">
        <w:tab/>
      </w:r>
      <w:r w:rsidR="00F7421E">
        <w:t>As indicated earlier,</w:t>
      </w:r>
      <w:r w:rsidR="00196013">
        <w:t xml:space="preserve"> PSE estimated emissions limits for its combined cycle plants based on the </w:t>
      </w:r>
      <w:r w:rsidR="000C6F4A">
        <w:t xml:space="preserve">methodology described </w:t>
      </w:r>
      <w:r w:rsidR="00196013">
        <w:t>in the rule and historical emissions data. These</w:t>
      </w:r>
      <w:r w:rsidR="00F7421E">
        <w:t xml:space="preserve"> </w:t>
      </w:r>
      <w:r w:rsidR="00196013">
        <w:t xml:space="preserve">estimated </w:t>
      </w:r>
      <w:r w:rsidR="00F7421E">
        <w:t>emissions limits were placed on the combined cycle units</w:t>
      </w:r>
      <w:r w:rsidR="00196013">
        <w:t xml:space="preserve"> in AURORA</w:t>
      </w:r>
      <w:r w:rsidR="00F7421E">
        <w:t>. Historical emissions for the 2012-</w:t>
      </w:r>
      <w:r w:rsidR="00BE1A73">
        <w:t xml:space="preserve">2015 </w:t>
      </w:r>
      <w:r w:rsidR="00F7421E">
        <w:t>period</w:t>
      </w:r>
      <w:r w:rsidR="00174A22">
        <w:rPr>
          <w:rStyle w:val="FootnoteReference"/>
        </w:rPr>
        <w:footnoteReference w:id="14"/>
      </w:r>
      <w:r w:rsidR="00F7421E">
        <w:t xml:space="preserve"> and the estimated caps for PSE</w:t>
      </w:r>
      <w:r w:rsidR="009F02BA">
        <w:t>’</w:t>
      </w:r>
      <w:r w:rsidR="00F7421E">
        <w:t xml:space="preserve">s combined cycle units are presented in </w:t>
      </w:r>
      <w:r w:rsidR="007021C5">
        <w:t>Exhibit</w:t>
      </w:r>
      <w:r w:rsidR="00F9417D">
        <w:t> </w:t>
      </w:r>
      <w:r w:rsidR="007021C5">
        <w:t>No.</w:t>
      </w:r>
      <w:r w:rsidR="00F9417D">
        <w:t> </w:t>
      </w:r>
      <w:r w:rsidR="007021C5">
        <w:t>___(PKW-5)</w:t>
      </w:r>
      <w:r w:rsidR="00F7421E">
        <w:t>.</w:t>
      </w:r>
    </w:p>
    <w:p w:rsidR="00C215C4" w:rsidRPr="00CD27D9" w:rsidRDefault="00C215C4" w:rsidP="00C215C4">
      <w:pPr>
        <w:pStyle w:val="question"/>
        <w:spacing w:before="360"/>
      </w:pPr>
      <w:r w:rsidRPr="00CD27D9">
        <w:t>Q.</w:t>
      </w:r>
      <w:r w:rsidRPr="00CD27D9">
        <w:tab/>
      </w:r>
      <w:r>
        <w:t>Are other generating plants in Washington also expected to be impacted by CAR</w:t>
      </w:r>
      <w:r w:rsidRPr="00CD27D9">
        <w:t>?</w:t>
      </w:r>
    </w:p>
    <w:p w:rsidR="00C215C4" w:rsidRPr="00CD27D9" w:rsidRDefault="00C215C4" w:rsidP="00C215C4">
      <w:pPr>
        <w:pStyle w:val="answer"/>
      </w:pPr>
      <w:r w:rsidRPr="00CD27D9">
        <w:t>A.</w:t>
      </w:r>
      <w:r w:rsidRPr="00CD27D9">
        <w:tab/>
      </w:r>
      <w:r>
        <w:t>Yes. The Department of Ecology</w:t>
      </w:r>
      <w:r w:rsidR="009F02BA">
        <w:t>’</w:t>
      </w:r>
      <w:r>
        <w:t xml:space="preserve">s historical emissions data indicates that </w:t>
      </w:r>
      <w:proofErr w:type="spellStart"/>
      <w:r>
        <w:t>Gray</w:t>
      </w:r>
      <w:r w:rsidR="009F02BA">
        <w:t>’</w:t>
      </w:r>
      <w:r>
        <w:t>s</w:t>
      </w:r>
      <w:proofErr w:type="spellEnd"/>
      <w:r>
        <w:t xml:space="preserve"> Harbor Energy Center, Chehalis Generating Facility, River Road Generating Plant, a</w:t>
      </w:r>
      <w:r w:rsidRPr="006129C4">
        <w:t>nd March Point</w:t>
      </w:r>
      <w:r w:rsidRPr="00DA456E">
        <w:t xml:space="preserve"> </w:t>
      </w:r>
      <w:r>
        <w:t>are</w:t>
      </w:r>
      <w:r w:rsidRPr="00DA456E">
        <w:t xml:space="preserve"> all</w:t>
      </w:r>
      <w:r>
        <w:t xml:space="preserve"> likely to</w:t>
      </w:r>
      <w:r w:rsidRPr="00DA456E">
        <w:t xml:space="preserve"> be subject to limits in 2018</w:t>
      </w:r>
      <w:r w:rsidRPr="006129C4">
        <w:t>.</w:t>
      </w:r>
      <w:r>
        <w:t xml:space="preserve"> To project PSE</w:t>
      </w:r>
      <w:r w:rsidR="009F02BA">
        <w:t>’</w:t>
      </w:r>
      <w:r>
        <w:t xml:space="preserve">s rate year power costs, PSE models the entire Western Electricity Coordinating Council, therefore it was necessary to include estimated CAR emission limits for these plants in the analysis. PSE estimated emissions caps for these units based on 2012-2015 historical data provided by the Department of </w:t>
      </w:r>
      <w:r>
        <w:lastRenderedPageBreak/>
        <w:t>Ecology and included these caps in AURORA. This historical data and the estimated caps are also included in Exhibit No.</w:t>
      </w:r>
      <w:r w:rsidR="00F9417D">
        <w:t> ___</w:t>
      </w:r>
      <w:r>
        <w:t>(PKW-5).</w:t>
      </w:r>
    </w:p>
    <w:p w:rsidR="00866BF4" w:rsidRDefault="00866BF4" w:rsidP="00BA2654">
      <w:pPr>
        <w:pStyle w:val="Heading1"/>
      </w:pPr>
      <w:bookmarkStart w:id="47" w:name="_Toc471319047"/>
      <w:r>
        <w:t>X.</w:t>
      </w:r>
      <w:r>
        <w:tab/>
        <w:t>COMPARISON OF PROJECTED POWER COSTS</w:t>
      </w:r>
      <w:r>
        <w:br/>
        <w:t xml:space="preserve">TO THE PROJECTED POWER COSTS </w:t>
      </w:r>
      <w:r w:rsidR="00973793">
        <w:t xml:space="preserve">CURRENTLY </w:t>
      </w:r>
      <w:r>
        <w:t xml:space="preserve">IN </w:t>
      </w:r>
      <w:r w:rsidR="00973793">
        <w:t>RATES</w:t>
      </w:r>
      <w:bookmarkEnd w:id="47"/>
    </w:p>
    <w:p w:rsidR="00866BF4" w:rsidRDefault="00866BF4" w:rsidP="00866BF4">
      <w:pPr>
        <w:pStyle w:val="question"/>
      </w:pPr>
      <w:r>
        <w:t>Q.</w:t>
      </w:r>
      <w:r>
        <w:tab/>
      </w:r>
      <w:r w:rsidR="00590396">
        <w:t>How do</w:t>
      </w:r>
      <w:r w:rsidR="008F6098">
        <w:t xml:space="preserve"> </w:t>
      </w:r>
      <w:r>
        <w:t xml:space="preserve">the power cost projections in this proceeding </w:t>
      </w:r>
      <w:r w:rsidR="00590396">
        <w:t>compare with</w:t>
      </w:r>
      <w:r>
        <w:t xml:space="preserve"> the power cost projections approved in the </w:t>
      </w:r>
      <w:r w:rsidR="00304284">
        <w:t>2016 Power Cost Update</w:t>
      </w:r>
      <w:r>
        <w:t>?</w:t>
      </w:r>
    </w:p>
    <w:p w:rsidR="00866BF4" w:rsidRDefault="00866BF4" w:rsidP="00866BF4">
      <w:pPr>
        <w:pStyle w:val="answer"/>
      </w:pPr>
      <w:r>
        <w:t>A.</w:t>
      </w:r>
      <w:r>
        <w:tab/>
        <w:t xml:space="preserve">The power cost projection in this case is approximately </w:t>
      </w:r>
      <w:r w:rsidRPr="00590396">
        <w:t>$</w:t>
      </w:r>
      <w:r w:rsidR="00590396" w:rsidRPr="00590396">
        <w:t>3</w:t>
      </w:r>
      <w:r w:rsidR="003848C1">
        <w:t>1.2</w:t>
      </w:r>
      <w:r w:rsidR="007D3605">
        <w:t> </w:t>
      </w:r>
      <w:r>
        <w:t xml:space="preserve">million </w:t>
      </w:r>
      <w:r w:rsidR="00590396">
        <w:t>higher</w:t>
      </w:r>
      <w:r>
        <w:t xml:space="preserve"> than the power costs projections approved in the </w:t>
      </w:r>
      <w:r w:rsidR="00304284">
        <w:t>2016 Power Cost Update</w:t>
      </w:r>
      <w:r w:rsidR="00590396">
        <w:t xml:space="preserve"> that established rates effective December</w:t>
      </w:r>
      <w:r w:rsidR="0087734D">
        <w:t> </w:t>
      </w:r>
      <w:r w:rsidR="00590396">
        <w:t>1</w:t>
      </w:r>
      <w:r w:rsidR="003848C1">
        <w:t>, 2016</w:t>
      </w:r>
      <w:r>
        <w:t>.</w:t>
      </w:r>
      <w:r w:rsidR="00590396">
        <w:t xml:space="preserve"> However, the proposed power costs are </w:t>
      </w:r>
      <w:r w:rsidR="003848C1">
        <w:t>slightly lower than</w:t>
      </w:r>
      <w:r w:rsidR="00EC5F0C">
        <w:t xml:space="preserve"> the total power costs included in the 2014</w:t>
      </w:r>
      <w:r w:rsidR="0087734D">
        <w:t> </w:t>
      </w:r>
      <w:proofErr w:type="spellStart"/>
      <w:r w:rsidR="00EC5F0C">
        <w:t>PCORC</w:t>
      </w:r>
      <w:proofErr w:type="spellEnd"/>
      <w:r w:rsidR="00EC5F0C">
        <w:t xml:space="preserve"> settlement, which were in rates through November</w:t>
      </w:r>
      <w:r w:rsidR="0087734D">
        <w:t> </w:t>
      </w:r>
      <w:r w:rsidR="00EC5F0C">
        <w:t>30, 2016. The 2014</w:t>
      </w:r>
      <w:r w:rsidR="0087734D">
        <w:t> </w:t>
      </w:r>
      <w:proofErr w:type="spellStart"/>
      <w:r w:rsidR="00EC5F0C">
        <w:t>PCORC</w:t>
      </w:r>
      <w:proofErr w:type="spellEnd"/>
      <w:r w:rsidR="00EC5F0C">
        <w:t xml:space="preserve"> settlement included power costs of $752.3</w:t>
      </w:r>
      <w:r w:rsidR="0087734D">
        <w:t> </w:t>
      </w:r>
      <w:r w:rsidR="00EC5F0C">
        <w:t>million.</w:t>
      </w:r>
      <w:r w:rsidR="00CC65A7">
        <w:t xml:space="preserve"> </w:t>
      </w:r>
      <w:r>
        <w:t>Please see Exhibit No.</w:t>
      </w:r>
      <w:r w:rsidR="00BA2654">
        <w:t> </w:t>
      </w:r>
      <w:r>
        <w:t>___(</w:t>
      </w:r>
      <w:r w:rsidR="00BB3ABF">
        <w:t>PKW</w:t>
      </w:r>
      <w:r>
        <w:t>-</w:t>
      </w:r>
      <w:r w:rsidR="00D44A9C">
        <w:t>4</w:t>
      </w:r>
      <w:r>
        <w:t xml:space="preserve">C) for a resource by resource comparison of the projected power costs and generation for the </w:t>
      </w:r>
      <w:r w:rsidR="00870F8B">
        <w:t>2016 Power Cost Update</w:t>
      </w:r>
      <w:r w:rsidR="003848C1">
        <w:t xml:space="preserve"> </w:t>
      </w:r>
      <w:r>
        <w:t>rate year (December</w:t>
      </w:r>
      <w:r w:rsidR="00BA2654">
        <w:t> </w:t>
      </w:r>
      <w:r>
        <w:t>1, 201</w:t>
      </w:r>
      <w:r w:rsidR="003848C1">
        <w:t>6</w:t>
      </w:r>
      <w:r w:rsidR="00BA2654">
        <w:t>,</w:t>
      </w:r>
      <w:r>
        <w:t xml:space="preserve"> through November</w:t>
      </w:r>
      <w:r w:rsidR="00BA2654">
        <w:t> </w:t>
      </w:r>
      <w:r>
        <w:t>30, 201</w:t>
      </w:r>
      <w:r w:rsidR="003848C1">
        <w:t>7</w:t>
      </w:r>
      <w:r>
        <w:t>) and the projected power costs for the rate year in this proceeding (</w:t>
      </w:r>
      <w:r w:rsidR="00BB3ABF">
        <w:t>January</w:t>
      </w:r>
      <w:r w:rsidR="00BA2654">
        <w:t> </w:t>
      </w:r>
      <w:r>
        <w:t>1, 201</w:t>
      </w:r>
      <w:r w:rsidR="00BB3ABF">
        <w:t>8</w:t>
      </w:r>
      <w:r>
        <w:t xml:space="preserve"> through </w:t>
      </w:r>
      <w:r w:rsidR="00BB3ABF">
        <w:t>December</w:t>
      </w:r>
      <w:r w:rsidR="00BA2654">
        <w:t> </w:t>
      </w:r>
      <w:r w:rsidR="00BB3ABF">
        <w:t>31</w:t>
      </w:r>
      <w:r>
        <w:t>, 2018).</w:t>
      </w:r>
    </w:p>
    <w:p w:rsidR="00866BF4" w:rsidRDefault="00866BF4" w:rsidP="00866BF4">
      <w:pPr>
        <w:pStyle w:val="question"/>
      </w:pPr>
      <w:r>
        <w:t>Q.</w:t>
      </w:r>
      <w:r>
        <w:tab/>
        <w:t xml:space="preserve">What are the causes of the change in projected power costs relative to the </w:t>
      </w:r>
      <w:r w:rsidR="00870F8B">
        <w:t>2016 Power Cost Update</w:t>
      </w:r>
      <w:r>
        <w:t>?</w:t>
      </w:r>
    </w:p>
    <w:p w:rsidR="00866BF4" w:rsidRDefault="00866BF4" w:rsidP="00CF740F">
      <w:pPr>
        <w:pStyle w:val="answer"/>
        <w:keepNext/>
        <w:keepLines/>
      </w:pPr>
      <w:r>
        <w:t>A.</w:t>
      </w:r>
      <w:r>
        <w:tab/>
        <w:t xml:space="preserve">The following items caused the majority of the change to projected rate year power costs from the </w:t>
      </w:r>
      <w:r w:rsidR="00870F8B">
        <w:t>2016 Power Cost Update</w:t>
      </w:r>
      <w:r>
        <w:t>:</w:t>
      </w:r>
    </w:p>
    <w:p w:rsidR="00866BF4" w:rsidRPr="00DA456E" w:rsidRDefault="00866BF4" w:rsidP="009573C0">
      <w:pPr>
        <w:pStyle w:val="List"/>
      </w:pPr>
      <w:r w:rsidRPr="00DA456E">
        <w:t>(i)</w:t>
      </w:r>
      <w:r w:rsidRPr="00DA456E">
        <w:tab/>
        <w:t xml:space="preserve">increased costs due to </w:t>
      </w:r>
      <w:r w:rsidR="00404C1A" w:rsidRPr="00DA456E">
        <w:t xml:space="preserve">compliance with </w:t>
      </w:r>
      <w:r w:rsidRPr="00DA456E">
        <w:t xml:space="preserve">the </w:t>
      </w:r>
      <w:r w:rsidR="00404C1A" w:rsidRPr="00DA456E">
        <w:t>Clean Air Rule</w:t>
      </w:r>
      <w:r w:rsidRPr="00DA456E">
        <w:t xml:space="preserve">; </w:t>
      </w:r>
    </w:p>
    <w:p w:rsidR="00866BF4" w:rsidRPr="00DA456E" w:rsidRDefault="00866BF4" w:rsidP="009573C0">
      <w:pPr>
        <w:pStyle w:val="List"/>
      </w:pPr>
      <w:r w:rsidRPr="00DA456E">
        <w:t>(ii)</w:t>
      </w:r>
      <w:r w:rsidRPr="00DA456E">
        <w:tab/>
        <w:t xml:space="preserve">increased costs due to lower </w:t>
      </w:r>
      <w:r w:rsidR="00404C1A" w:rsidRPr="00DA456E">
        <w:t>wind</w:t>
      </w:r>
      <w:r w:rsidR="00870F8B">
        <w:t xml:space="preserve"> and hydro</w:t>
      </w:r>
      <w:r w:rsidR="00404C1A" w:rsidRPr="00DA456E">
        <w:t xml:space="preserve"> generation</w:t>
      </w:r>
      <w:r w:rsidRPr="00DA456E">
        <w:t xml:space="preserve"> forecast</w:t>
      </w:r>
      <w:r w:rsidR="00A6245C">
        <w:t>s</w:t>
      </w:r>
      <w:r w:rsidRPr="00DA456E">
        <w:t>;</w:t>
      </w:r>
    </w:p>
    <w:p w:rsidR="00866BF4" w:rsidRPr="00DA456E" w:rsidRDefault="00866BF4" w:rsidP="009573C0">
      <w:pPr>
        <w:pStyle w:val="List"/>
      </w:pPr>
      <w:r w:rsidRPr="00DA456E">
        <w:lastRenderedPageBreak/>
        <w:t>(</w:t>
      </w:r>
      <w:r w:rsidR="0087734D">
        <w:t>iii</w:t>
      </w:r>
      <w:r w:rsidRPr="00DA456E">
        <w:t>)</w:t>
      </w:r>
      <w:r w:rsidRPr="00DA456E">
        <w:tab/>
        <w:t xml:space="preserve">increased gas pipeline costs; </w:t>
      </w:r>
    </w:p>
    <w:p w:rsidR="00866BF4" w:rsidRPr="00DA456E" w:rsidRDefault="00866BF4" w:rsidP="009573C0">
      <w:pPr>
        <w:pStyle w:val="List"/>
      </w:pPr>
      <w:r w:rsidRPr="00DA456E">
        <w:t>(</w:t>
      </w:r>
      <w:r w:rsidR="0087734D">
        <w:t>iv</w:t>
      </w:r>
      <w:r w:rsidRPr="00DA456E">
        <w:t>)</w:t>
      </w:r>
      <w:r w:rsidRPr="00DA456E">
        <w:tab/>
      </w:r>
      <w:r w:rsidR="00404C1A" w:rsidRPr="00DA456E">
        <w:t>in</w:t>
      </w:r>
      <w:r w:rsidRPr="00DA456E">
        <w:t xml:space="preserve">creased costs due to a </w:t>
      </w:r>
      <w:r w:rsidR="00404C1A" w:rsidRPr="00DA456E">
        <w:t>1.5</w:t>
      </w:r>
      <w:r w:rsidR="008F6098">
        <w:t> </w:t>
      </w:r>
      <w:r w:rsidR="00404C1A" w:rsidRPr="00DA456E">
        <w:t>percent increase in</w:t>
      </w:r>
      <w:r w:rsidRPr="00DA456E">
        <w:t xml:space="preserve"> forecast load;</w:t>
      </w:r>
    </w:p>
    <w:p w:rsidR="00866BF4" w:rsidRPr="00DA456E" w:rsidRDefault="00866BF4" w:rsidP="009573C0">
      <w:pPr>
        <w:pStyle w:val="List"/>
      </w:pPr>
      <w:r w:rsidRPr="00DA456E">
        <w:t>(v)</w:t>
      </w:r>
      <w:r w:rsidRPr="00DA456E">
        <w:tab/>
        <w:t>increased BPA transmission costs due to tariffs effective October</w:t>
      </w:r>
      <w:r w:rsidR="009573C0" w:rsidRPr="00DA456E">
        <w:t> </w:t>
      </w:r>
      <w:r w:rsidRPr="00DA456E">
        <w:t>1, 2015 as discussed above</w:t>
      </w:r>
      <w:r w:rsidR="00404C1A" w:rsidRPr="00DA456E">
        <w:t>, and new contracts</w:t>
      </w:r>
      <w:r w:rsidRPr="00DA456E">
        <w:t>;</w:t>
      </w:r>
    </w:p>
    <w:p w:rsidR="00866BF4" w:rsidRPr="00DA456E" w:rsidRDefault="00866BF4" w:rsidP="009573C0">
      <w:pPr>
        <w:pStyle w:val="List"/>
      </w:pPr>
      <w:r w:rsidRPr="00DA456E">
        <w:t>(</w:t>
      </w:r>
      <w:r w:rsidR="00A6245C">
        <w:t>v</w:t>
      </w:r>
      <w:r w:rsidRPr="00DA456E">
        <w:t>i)</w:t>
      </w:r>
      <w:r w:rsidRPr="00DA456E">
        <w:tab/>
      </w:r>
      <w:r w:rsidR="00891AFB" w:rsidRPr="00DA456E">
        <w:t>added</w:t>
      </w:r>
      <w:r w:rsidRPr="00DA456E">
        <w:t xml:space="preserve"> costs </w:t>
      </w:r>
      <w:r w:rsidR="00891AFB" w:rsidRPr="00DA456E">
        <w:t>related to balancing and contingency reserve obligations</w:t>
      </w:r>
      <w:r w:rsidRPr="00DA456E">
        <w:t>, and</w:t>
      </w:r>
    </w:p>
    <w:p w:rsidR="00866BF4" w:rsidRDefault="00866BF4" w:rsidP="009573C0">
      <w:pPr>
        <w:pStyle w:val="List"/>
      </w:pPr>
      <w:r w:rsidRPr="00DA456E">
        <w:t>(</w:t>
      </w:r>
      <w:r w:rsidR="00A6245C">
        <w:t>vii</w:t>
      </w:r>
      <w:r w:rsidRPr="00DA456E">
        <w:t>)</w:t>
      </w:r>
      <w:r w:rsidRPr="00DA456E">
        <w:tab/>
        <w:t>updates for new, existing and expiring purchase power agreements.</w:t>
      </w:r>
    </w:p>
    <w:p w:rsidR="00F17CFF" w:rsidRDefault="00F17CFF" w:rsidP="00F17CFF">
      <w:pPr>
        <w:pStyle w:val="question"/>
      </w:pPr>
      <w:r>
        <w:t>Q.</w:t>
      </w:r>
      <w:r>
        <w:tab/>
        <w:t>What impact did CAR have on rate year power costs?</w:t>
      </w:r>
    </w:p>
    <w:p w:rsidR="00F17CFF" w:rsidRDefault="00F17CFF" w:rsidP="00DA456E">
      <w:pPr>
        <w:pStyle w:val="answer"/>
      </w:pPr>
      <w:r>
        <w:t>A.</w:t>
      </w:r>
      <w:r>
        <w:tab/>
        <w:t>Limiting use of PSE</w:t>
      </w:r>
      <w:r w:rsidR="009F02BA">
        <w:t>’</w:t>
      </w:r>
      <w:r>
        <w:t xml:space="preserve">s gas fired generating resources based on </w:t>
      </w:r>
      <w:r w:rsidR="00196013">
        <w:t xml:space="preserve">estimated </w:t>
      </w:r>
      <w:r>
        <w:t xml:space="preserve">emissions limits imposed by CAR resulted in an </w:t>
      </w:r>
      <w:r w:rsidRPr="005C4787">
        <w:t>increase of $18</w:t>
      </w:r>
      <w:r w:rsidR="005C4787" w:rsidRPr="00DA456E">
        <w:t>.</w:t>
      </w:r>
      <w:r w:rsidR="00196013">
        <w:t>5</w:t>
      </w:r>
      <w:r w:rsidR="0087734D">
        <w:t> </w:t>
      </w:r>
      <w:r w:rsidRPr="005C4787">
        <w:t>million to</w:t>
      </w:r>
      <w:r>
        <w:t xml:space="preserve"> rate year power costs.</w:t>
      </w:r>
    </w:p>
    <w:p w:rsidR="00F17CFF" w:rsidRDefault="00F17CFF" w:rsidP="00F17CFF">
      <w:pPr>
        <w:pStyle w:val="question"/>
      </w:pPr>
      <w:r>
        <w:t>Q.</w:t>
      </w:r>
      <w:r>
        <w:tab/>
        <w:t xml:space="preserve">How </w:t>
      </w:r>
      <w:r w:rsidR="0087734D">
        <w:t xml:space="preserve">did PSE calculate this projection of </w:t>
      </w:r>
      <w:r>
        <w:t>$18</w:t>
      </w:r>
      <w:r w:rsidR="001F7EF1">
        <w:t>.</w:t>
      </w:r>
      <w:r w:rsidR="00196013">
        <w:t>5</w:t>
      </w:r>
      <w:r w:rsidR="0087734D">
        <w:t> </w:t>
      </w:r>
      <w:r>
        <w:t>million?</w:t>
      </w:r>
    </w:p>
    <w:p w:rsidR="00F17CFF" w:rsidRDefault="00F17CFF" w:rsidP="00F17CFF">
      <w:pPr>
        <w:pStyle w:val="answer"/>
      </w:pPr>
      <w:r>
        <w:t>A.</w:t>
      </w:r>
      <w:r>
        <w:tab/>
        <w:t xml:space="preserve">PSE </w:t>
      </w:r>
      <w:r w:rsidR="0087734D">
        <w:t xml:space="preserve">first </w:t>
      </w:r>
      <w:r>
        <w:t>completed its projection of power costs without CAR emissions limits. PSE then added the</w:t>
      </w:r>
      <w:r w:rsidR="00196013">
        <w:t xml:space="preserve"> estimated</w:t>
      </w:r>
      <w:r>
        <w:t xml:space="preserve"> limits to resources in Washington as discussed earlier and completed the analysis again. The difference between the power costs projections with and without CAR limits, with every other input unchanged, was </w:t>
      </w:r>
      <w:r w:rsidRPr="005C4787">
        <w:t>$18</w:t>
      </w:r>
      <w:r w:rsidR="005C4787" w:rsidRPr="005C4787">
        <w:t>.</w:t>
      </w:r>
      <w:r w:rsidR="00196013">
        <w:t>5</w:t>
      </w:r>
      <w:r w:rsidR="0087734D">
        <w:t> </w:t>
      </w:r>
      <w:r w:rsidRPr="005C4787">
        <w:t>million.</w:t>
      </w:r>
      <w:r w:rsidR="00635D72">
        <w:t xml:space="preserve"> </w:t>
      </w:r>
      <w:r w:rsidR="00983804">
        <w:t>This difference includes</w:t>
      </w:r>
      <w:r w:rsidR="00196013">
        <w:t xml:space="preserve"> both costs in AURORA and a few costs not in AURORA </w:t>
      </w:r>
      <w:r w:rsidR="00983804">
        <w:t xml:space="preserve">that </w:t>
      </w:r>
      <w:r w:rsidR="00196013">
        <w:t>changed with the inclusion of CAR because they are dependent on projected market prices, which are different with and without CAR</w:t>
      </w:r>
      <w:r w:rsidR="00333A4B">
        <w:t>.</w:t>
      </w:r>
      <w:r w:rsidR="00635D72">
        <w:t xml:space="preserve"> </w:t>
      </w:r>
      <w:r w:rsidR="00C3794E">
        <w:t>Exhibit No. </w:t>
      </w:r>
      <w:r w:rsidR="00C3794E" w:rsidRPr="005F3954">
        <w:t>___(PKW</w:t>
      </w:r>
      <w:r w:rsidR="00C3794E">
        <w:t>-</w:t>
      </w:r>
      <w:r w:rsidR="003735A0">
        <w:t>6</w:t>
      </w:r>
      <w:r w:rsidR="00174A22">
        <w:t>C</w:t>
      </w:r>
      <w:r w:rsidR="00C3794E">
        <w:t>) presents the change in costs related to CAR.</w:t>
      </w:r>
    </w:p>
    <w:p w:rsidR="00F17CFF" w:rsidRDefault="00F17CFF" w:rsidP="00F17CFF">
      <w:pPr>
        <w:pStyle w:val="question"/>
      </w:pPr>
      <w:r>
        <w:lastRenderedPageBreak/>
        <w:t>Q.</w:t>
      </w:r>
      <w:r>
        <w:tab/>
        <w:t>Why does CAR result in a</w:t>
      </w:r>
      <w:r w:rsidR="008F6098">
        <w:t xml:space="preserve"> projected</w:t>
      </w:r>
      <w:r>
        <w:t xml:space="preserve"> </w:t>
      </w:r>
      <w:r w:rsidRPr="005C4787">
        <w:t>$18</w:t>
      </w:r>
      <w:r w:rsidR="005C4787" w:rsidRPr="005C4787">
        <w:t>.</w:t>
      </w:r>
      <w:r w:rsidR="00983804">
        <w:t>5</w:t>
      </w:r>
      <w:r w:rsidR="008F6098">
        <w:t> </w:t>
      </w:r>
      <w:r w:rsidRPr="005C4787">
        <w:t>million</w:t>
      </w:r>
      <w:r>
        <w:t xml:space="preserve"> increase to power costs?</w:t>
      </w:r>
    </w:p>
    <w:p w:rsidR="00F17CFF" w:rsidRDefault="00F17CFF" w:rsidP="00F17CFF">
      <w:pPr>
        <w:pStyle w:val="answer"/>
      </w:pPr>
      <w:r>
        <w:t>A.</w:t>
      </w:r>
      <w:r>
        <w:tab/>
      </w:r>
      <w:r w:rsidR="005C4787">
        <w:t xml:space="preserve">Limiting the operation of </w:t>
      </w:r>
      <w:r w:rsidR="00983804">
        <w:t>the portfolio</w:t>
      </w:r>
      <w:r w:rsidR="009F02BA">
        <w:t>’</w:t>
      </w:r>
      <w:r w:rsidR="00983804">
        <w:t xml:space="preserve">s </w:t>
      </w:r>
      <w:r w:rsidR="005C4787">
        <w:t xml:space="preserve">most efficient gas fired generation resources creates a need to </w:t>
      </w:r>
      <w:r w:rsidR="00BE1A73">
        <w:t xml:space="preserve">run other higher cost gas fired generation resources and to </w:t>
      </w:r>
      <w:r w:rsidR="005C4787">
        <w:t>purchase power from the market.</w:t>
      </w:r>
    </w:p>
    <w:p w:rsidR="00F17CFF" w:rsidRDefault="00F17CFF" w:rsidP="00F17CFF">
      <w:pPr>
        <w:pStyle w:val="question"/>
      </w:pPr>
      <w:r>
        <w:t>Q.</w:t>
      </w:r>
      <w:r>
        <w:tab/>
      </w:r>
      <w:r w:rsidR="005C4787">
        <w:t>In the analysis, how do the emissions from PSE</w:t>
      </w:r>
      <w:r w:rsidR="009F02BA">
        <w:t>’</w:t>
      </w:r>
      <w:r w:rsidR="005C4787">
        <w:t xml:space="preserve">s combined cycles units compare with their </w:t>
      </w:r>
      <w:r w:rsidR="00983804">
        <w:t xml:space="preserve">estimated </w:t>
      </w:r>
      <w:r w:rsidR="005C4787">
        <w:t>caps</w:t>
      </w:r>
      <w:r>
        <w:t>?</w:t>
      </w:r>
    </w:p>
    <w:p w:rsidR="00F17CFF" w:rsidRDefault="00F17CFF" w:rsidP="00F17CFF">
      <w:pPr>
        <w:pStyle w:val="answer"/>
      </w:pPr>
      <w:r>
        <w:t>A.</w:t>
      </w:r>
      <w:r>
        <w:tab/>
      </w:r>
      <w:r w:rsidR="005C4787">
        <w:t xml:space="preserve">In total, emissions are below the collective </w:t>
      </w:r>
      <w:r>
        <w:t xml:space="preserve">PSE </w:t>
      </w:r>
      <w:r w:rsidR="005C4787">
        <w:t xml:space="preserve">cap by </w:t>
      </w:r>
      <w:r w:rsidR="00BE1A73">
        <w:t xml:space="preserve">136,411 </w:t>
      </w:r>
      <w:r w:rsidR="005C4787">
        <w:t>metric tons</w:t>
      </w:r>
      <w:r w:rsidR="007432CF">
        <w:t xml:space="preserve"> of CO2e</w:t>
      </w:r>
      <w:r w:rsidR="005C4787">
        <w:t xml:space="preserve">, or </w:t>
      </w:r>
      <w:r w:rsidR="00A45FA3">
        <w:t>7.8</w:t>
      </w:r>
      <w:r w:rsidR="005C4787">
        <w:t xml:space="preserve"> percent</w:t>
      </w:r>
      <w:r>
        <w:t>.</w:t>
      </w:r>
      <w:r w:rsidR="005C4787">
        <w:t xml:space="preserve"> </w:t>
      </w:r>
      <w:r w:rsidR="007432CF">
        <w:t>Three</w:t>
      </w:r>
      <w:r w:rsidR="005C4787">
        <w:t xml:space="preserve"> units are slightly above their individual caps and </w:t>
      </w:r>
      <w:r w:rsidR="007432CF">
        <w:t>three</w:t>
      </w:r>
      <w:r w:rsidR="005C4787">
        <w:t xml:space="preserve"> units are below their caps.</w:t>
      </w:r>
    </w:p>
    <w:p w:rsidR="006F312B" w:rsidRDefault="006F312B" w:rsidP="006F312B">
      <w:pPr>
        <w:pStyle w:val="Heading1"/>
      </w:pPr>
      <w:bookmarkStart w:id="48" w:name="_Toc471319048"/>
      <w:r>
        <w:t>XI.</w:t>
      </w:r>
      <w:r>
        <w:tab/>
      </w:r>
      <w:r w:rsidR="003735A0">
        <w:t>STATUS</w:t>
      </w:r>
      <w:r>
        <w:t xml:space="preserve"> OF WHITE RIVER SURPLUS PROPERTIES</w:t>
      </w:r>
      <w:bookmarkEnd w:id="48"/>
    </w:p>
    <w:p w:rsidR="00E61E21" w:rsidRDefault="002B368B" w:rsidP="00DA456E">
      <w:pPr>
        <w:pStyle w:val="question"/>
      </w:pPr>
      <w:r>
        <w:t>Q.</w:t>
      </w:r>
      <w:r w:rsidR="00E61E21">
        <w:tab/>
      </w:r>
      <w:r w:rsidR="00E61E21" w:rsidRPr="00146891">
        <w:t>Please explain the most recent regulatory order related to PSE</w:t>
      </w:r>
      <w:r w:rsidR="009F02BA">
        <w:t>’</w:t>
      </w:r>
      <w:r w:rsidR="00E61E21" w:rsidRPr="00146891">
        <w:t>s disposition of its White River properties.</w:t>
      </w:r>
    </w:p>
    <w:p w:rsidR="002B368B" w:rsidRDefault="00E61E21" w:rsidP="00DA456E">
      <w:pPr>
        <w:pStyle w:val="answer"/>
      </w:pPr>
      <w:r>
        <w:t>A.</w:t>
      </w:r>
      <w:r>
        <w:tab/>
        <w:t>When PSE discontinued operations of the White River Hydroelectric Project in 2004, PSE pursued efforts to maximize the value of the White River properties in order to offset the value of the stranded investment.</w:t>
      </w:r>
      <w:r w:rsidR="008F6098">
        <w:t xml:space="preserve"> </w:t>
      </w:r>
      <w:r>
        <w:t>PSE was able to sell certain of the properties and its water rights to the Cascade Water Alliance (</w:t>
      </w:r>
      <w:r w:rsidR="009F02BA">
        <w:t>“</w:t>
      </w:r>
      <w:r>
        <w:t>CWA</w:t>
      </w:r>
      <w:r w:rsidR="009F02BA">
        <w:t>”</w:t>
      </w:r>
      <w:r>
        <w:t xml:space="preserve">). However, </w:t>
      </w:r>
      <w:r w:rsidR="002B368B">
        <w:t xml:space="preserve">PSE </w:t>
      </w:r>
      <w:r>
        <w:t xml:space="preserve">had </w:t>
      </w:r>
      <w:r w:rsidR="00131F8B">
        <w:t>remaining project assets (</w:t>
      </w:r>
      <w:r w:rsidR="009F02BA">
        <w:t>“</w:t>
      </w:r>
      <w:r w:rsidR="00131F8B">
        <w:t>S</w:t>
      </w:r>
      <w:r>
        <w:t xml:space="preserve">urplus </w:t>
      </w:r>
      <w:r w:rsidR="00131F8B">
        <w:t>P</w:t>
      </w:r>
      <w:r>
        <w:t>roperties</w:t>
      </w:r>
      <w:r w:rsidR="009F02BA">
        <w:t>”</w:t>
      </w:r>
      <w:r w:rsidR="00131F8B">
        <w:t>)</w:t>
      </w:r>
      <w:r>
        <w:t xml:space="preserve"> that it was not able to sell.</w:t>
      </w:r>
    </w:p>
    <w:p w:rsidR="002B368B" w:rsidRDefault="00E61E21" w:rsidP="002B368B">
      <w:pPr>
        <w:pStyle w:val="answer"/>
        <w:ind w:firstLine="0"/>
      </w:pPr>
      <w:r>
        <w:t xml:space="preserve">At the time the CWA transaction was complete, PSE filed a petition under Docket UE-090399 to dispose of the CWA properties as well as to waive the requirements of RCW 80.12.020 and WAC 480-143-120 to obtain approval </w:t>
      </w:r>
      <w:r w:rsidR="0018537E">
        <w:t>for</w:t>
      </w:r>
      <w:r>
        <w:t xml:space="preserve"> disposal of the </w:t>
      </w:r>
      <w:r w:rsidR="00466AB3">
        <w:t>S</w:t>
      </w:r>
      <w:r>
        <w:t xml:space="preserve">urplus </w:t>
      </w:r>
      <w:r w:rsidR="00466AB3">
        <w:t>P</w:t>
      </w:r>
      <w:r>
        <w:t>roperties</w:t>
      </w:r>
      <w:r w:rsidR="00870F8B">
        <w:t xml:space="preserve"> (the </w:t>
      </w:r>
      <w:r w:rsidR="009F02BA">
        <w:t>“</w:t>
      </w:r>
      <w:r w:rsidR="00870F8B">
        <w:t>2009 Application</w:t>
      </w:r>
      <w:r w:rsidR="009F02BA">
        <w:t>”</w:t>
      </w:r>
      <w:r w:rsidR="00870F8B">
        <w:t>)</w:t>
      </w:r>
      <w:r>
        <w:t>.</w:t>
      </w:r>
      <w:r w:rsidR="008F6098">
        <w:t xml:space="preserve"> </w:t>
      </w:r>
      <w:r>
        <w:t xml:space="preserve">In the final order in </w:t>
      </w:r>
      <w:r>
        <w:lastRenderedPageBreak/>
        <w:t xml:space="preserve">that docket, the Commission determined that PSE could dispose of the CWA properties, but </w:t>
      </w:r>
      <w:r w:rsidR="0018537E">
        <w:t>denied</w:t>
      </w:r>
      <w:r>
        <w:t xml:space="preserve"> its petition to waive the requirements of RCW 80.12.020 and W</w:t>
      </w:r>
      <w:r w:rsidR="009E7399">
        <w:t>A</w:t>
      </w:r>
      <w:r>
        <w:t>C 480-143-120 for the Surplus Properties.</w:t>
      </w:r>
    </w:p>
    <w:p w:rsidR="00E61E21" w:rsidRDefault="00E61E21" w:rsidP="002B368B">
      <w:pPr>
        <w:pStyle w:val="answer"/>
        <w:ind w:firstLine="0"/>
      </w:pPr>
      <w:r>
        <w:t xml:space="preserve">Additionally, the order required PSE to continue to defer the total net costs, including the CWA proceeds and any other proceeds for </w:t>
      </w:r>
      <w:r w:rsidR="00466AB3">
        <w:t>Surplus Properties</w:t>
      </w:r>
      <w:r>
        <w:t xml:space="preserve">, in the regulatory asset and to bring the issue of the application of such proceeds to the Commission for consideration in the general rate case following the full disposition of the </w:t>
      </w:r>
      <w:r w:rsidR="00466AB3">
        <w:t>Surplus Properties</w:t>
      </w:r>
      <w:r>
        <w:t>.</w:t>
      </w:r>
    </w:p>
    <w:p w:rsidR="002B368B" w:rsidRPr="00DA456E" w:rsidRDefault="002B368B" w:rsidP="002B368B">
      <w:pPr>
        <w:pStyle w:val="answer"/>
        <w:ind w:firstLine="0"/>
      </w:pPr>
      <w:r>
        <w:t xml:space="preserve">Please see the </w:t>
      </w:r>
      <w:proofErr w:type="spellStart"/>
      <w:r>
        <w:t>Prefiled</w:t>
      </w:r>
      <w:proofErr w:type="spellEnd"/>
      <w:r>
        <w:t xml:space="preserve"> Direct Testimony of Ms. Katherine J. Barnard, Exhibit No. ___(KJB-1T), for a discussion regarding the regulatory background of the White River properties.</w:t>
      </w:r>
    </w:p>
    <w:p w:rsidR="0014302C" w:rsidRDefault="0014302C" w:rsidP="0014302C">
      <w:pPr>
        <w:pStyle w:val="question"/>
      </w:pPr>
      <w:r>
        <w:t>Q.</w:t>
      </w:r>
      <w:r>
        <w:tab/>
        <w:t>Has the Commission made a determination related to PSE</w:t>
      </w:r>
      <w:r w:rsidR="009F02BA">
        <w:t>’</w:t>
      </w:r>
      <w:r>
        <w:t>s sale of the White River assets to the Cascade Water Alliance?</w:t>
      </w:r>
    </w:p>
    <w:p w:rsidR="0014302C" w:rsidRDefault="0014302C" w:rsidP="00D27E51">
      <w:pPr>
        <w:pStyle w:val="answer"/>
      </w:pPr>
      <w:r w:rsidRPr="00837D01">
        <w:t>A.</w:t>
      </w:r>
      <w:r w:rsidRPr="00837D01">
        <w:tab/>
      </w:r>
      <w:r>
        <w:t xml:space="preserve">Yes. </w:t>
      </w:r>
      <w:r w:rsidRPr="0014302C">
        <w:t>In Paragraph 344 in Order 11 in PSE</w:t>
      </w:r>
      <w:r w:rsidR="009F02BA">
        <w:t>’</w:t>
      </w:r>
      <w:r w:rsidRPr="0014302C">
        <w:t>s 2009 general rate case</w:t>
      </w:r>
      <w:r w:rsidR="00973881">
        <w:t xml:space="preserve">, </w:t>
      </w:r>
      <w:r w:rsidRPr="0014302C">
        <w:t>Docket UE-090704, the Commission determined that PSE</w:t>
      </w:r>
      <w:r w:rsidR="009F02BA">
        <w:t>’</w:t>
      </w:r>
      <w:r w:rsidRPr="0014302C">
        <w:t>s sale of the White River assets to the Cascade Water Alliance was reasonable and appropriate.</w:t>
      </w:r>
      <w:r w:rsidR="00F9417D">
        <w:t xml:space="preserve"> </w:t>
      </w:r>
      <w:r w:rsidRPr="0014302C">
        <w:t xml:space="preserve">Therefore, the focus of my testimony </w:t>
      </w:r>
      <w:r w:rsidR="00131F8B">
        <w:t>i</w:t>
      </w:r>
      <w:r w:rsidRPr="0014302C">
        <w:t xml:space="preserve">s to discuss the </w:t>
      </w:r>
      <w:r w:rsidR="00131F8B">
        <w:t>current status</w:t>
      </w:r>
      <w:r w:rsidRPr="0014302C">
        <w:t xml:space="preserve"> of the Surplus Properties.</w:t>
      </w:r>
    </w:p>
    <w:p w:rsidR="00C94C08" w:rsidRDefault="00C94C08" w:rsidP="00870F8B">
      <w:pPr>
        <w:pStyle w:val="question"/>
      </w:pPr>
      <w:r>
        <w:t>Q.</w:t>
      </w:r>
      <w:r>
        <w:tab/>
        <w:t>In the 2009 general rate case,</w:t>
      </w:r>
      <w:r w:rsidR="00D27E51">
        <w:t xml:space="preserve"> </w:t>
      </w:r>
      <w:r w:rsidR="00AD7541">
        <w:t>you testified about</w:t>
      </w:r>
      <w:r>
        <w:t xml:space="preserve"> a potential </w:t>
      </w:r>
      <w:r w:rsidR="00AD7541">
        <w:t>sale of</w:t>
      </w:r>
      <w:r w:rsidR="00D27E51">
        <w:t xml:space="preserve"> </w:t>
      </w:r>
      <w:r w:rsidR="00AD7541">
        <w:t>the Surplus Properties to</w:t>
      </w:r>
      <w:r>
        <w:t xml:space="preserve"> the Muckleshoot Tribe.</w:t>
      </w:r>
      <w:r w:rsidR="00D27E51">
        <w:t xml:space="preserve"> </w:t>
      </w:r>
      <w:r>
        <w:t xml:space="preserve">Please explain what </w:t>
      </w:r>
      <w:r w:rsidR="00AD7541">
        <w:t>has transpired since that case</w:t>
      </w:r>
      <w:r>
        <w:t>.</w:t>
      </w:r>
    </w:p>
    <w:p w:rsidR="00C94C08" w:rsidRPr="00C94C08" w:rsidRDefault="00C94C08" w:rsidP="00C94C08">
      <w:pPr>
        <w:pStyle w:val="answer"/>
      </w:pPr>
      <w:r>
        <w:t>A.</w:t>
      </w:r>
      <w:r>
        <w:tab/>
      </w:r>
      <w:r w:rsidR="00AD7541">
        <w:t>In 2006 and 2007 the Muckleshoot Tribe had expressed interest in purchasing the Surplus Properties.</w:t>
      </w:r>
      <w:r w:rsidR="00333A4B">
        <w:t xml:space="preserve"> PSE engaged the Cascade Land Conservancy (now </w:t>
      </w:r>
      <w:proofErr w:type="spellStart"/>
      <w:r w:rsidR="00333A4B">
        <w:t>Forterra</w:t>
      </w:r>
      <w:proofErr w:type="spellEnd"/>
      <w:r w:rsidR="00333A4B">
        <w:t xml:space="preserve">) </w:t>
      </w:r>
      <w:r w:rsidR="00333A4B">
        <w:lastRenderedPageBreak/>
        <w:t xml:space="preserve">to access their expertise in conservation-related land transactions.  PSE asked </w:t>
      </w:r>
      <w:proofErr w:type="spellStart"/>
      <w:r w:rsidR="00333A4B">
        <w:t>Forterra</w:t>
      </w:r>
      <w:proofErr w:type="spellEnd"/>
      <w:r w:rsidR="00333A4B">
        <w:t xml:space="preserve"> to develop a transaction disposing of the Surplus Properties.</w:t>
      </w:r>
      <w:r w:rsidR="00D27E51">
        <w:t xml:space="preserve"> </w:t>
      </w:r>
      <w:r w:rsidR="004A4A53">
        <w:t xml:space="preserve">At that time, </w:t>
      </w:r>
      <w:r w:rsidR="00333A4B">
        <w:t>PSE estimated the property value</w:t>
      </w:r>
      <w:r w:rsidR="004A4A53">
        <w:t xml:space="preserve"> at $14.4 million.</w:t>
      </w:r>
      <w:r w:rsidR="00D27E51">
        <w:t xml:space="preserve"> </w:t>
      </w:r>
      <w:proofErr w:type="spellStart"/>
      <w:r w:rsidR="00333A4B">
        <w:t>Forterra</w:t>
      </w:r>
      <w:proofErr w:type="spellEnd"/>
      <w:r w:rsidR="004A4A53">
        <w:t xml:space="preserve"> initiated </w:t>
      </w:r>
      <w:r w:rsidR="00333A4B">
        <w:t>discussions</w:t>
      </w:r>
      <w:r w:rsidR="004A4A53">
        <w:t xml:space="preserve"> with the Muckleshoot Tribe regarding the sale of the properties</w:t>
      </w:r>
      <w:r w:rsidR="00333A4B">
        <w:t xml:space="preserve"> but was unable to obtain a price close to the estimated value</w:t>
      </w:r>
      <w:r w:rsidR="004A4A53">
        <w:t>.</w:t>
      </w:r>
      <w:r w:rsidR="00D27E51">
        <w:t xml:space="preserve"> </w:t>
      </w:r>
      <w:r>
        <w:t>PSE determined it could obtain more value from the properties if marketed and sold individually, and PSE was actually able to do so.</w:t>
      </w:r>
      <w:r w:rsidR="00D27E51">
        <w:t xml:space="preserve"> </w:t>
      </w:r>
      <w:r>
        <w:t>Based on this, PSE declined the offer from the Muckleshoot Tribe.</w:t>
      </w:r>
    </w:p>
    <w:p w:rsidR="00870F8B" w:rsidRDefault="00870F8B" w:rsidP="00870F8B">
      <w:pPr>
        <w:pStyle w:val="question"/>
      </w:pPr>
      <w:r>
        <w:t>Q.</w:t>
      </w:r>
      <w:r>
        <w:tab/>
        <w:t>Has PSE exhausted all options for disposal of the Surplus Properties?</w:t>
      </w:r>
    </w:p>
    <w:p w:rsidR="00870F8B" w:rsidRPr="00870F8B" w:rsidRDefault="00870F8B" w:rsidP="00870F8B">
      <w:pPr>
        <w:pStyle w:val="answer"/>
      </w:pPr>
      <w:r>
        <w:t>A.</w:t>
      </w:r>
      <w:r>
        <w:tab/>
        <w:t>Yes.</w:t>
      </w:r>
      <w:r w:rsidR="00D27E51">
        <w:t xml:space="preserve"> </w:t>
      </w:r>
      <w:r>
        <w:t>As describe</w:t>
      </w:r>
      <w:r w:rsidR="00D27E51">
        <w:t>d</w:t>
      </w:r>
      <w:r>
        <w:t xml:space="preserve"> below, PSE has sold all of the properties it can and has current or future needs for the remaining proper</w:t>
      </w:r>
      <w:r w:rsidR="00C94C08">
        <w:t>ties.</w:t>
      </w:r>
    </w:p>
    <w:p w:rsidR="00E61E21" w:rsidRDefault="00E61E21" w:rsidP="00E61E21">
      <w:pPr>
        <w:pStyle w:val="question"/>
      </w:pPr>
      <w:r>
        <w:t>Q.</w:t>
      </w:r>
      <w:r>
        <w:tab/>
      </w:r>
      <w:r w:rsidRPr="000E5F8B">
        <w:t xml:space="preserve">Please provide a background of the efforts PSE engaged in to dispose of the </w:t>
      </w:r>
      <w:r w:rsidR="00466AB3">
        <w:t>Surplus Properties</w:t>
      </w:r>
      <w:r w:rsidRPr="000E5F8B">
        <w:t>.</w:t>
      </w:r>
    </w:p>
    <w:p w:rsidR="00E61E21" w:rsidRDefault="00E61E21" w:rsidP="002B368B">
      <w:pPr>
        <w:pStyle w:val="answer"/>
      </w:pPr>
      <w:r>
        <w:t>A.</w:t>
      </w:r>
      <w:r>
        <w:tab/>
      </w:r>
      <w:r w:rsidR="0018537E">
        <w:t xml:space="preserve">In an effort to economically dispose of the </w:t>
      </w:r>
      <w:r w:rsidR="00466AB3">
        <w:t>Surplus Properties</w:t>
      </w:r>
      <w:r w:rsidR="0018537E">
        <w:t xml:space="preserve">, </w:t>
      </w:r>
      <w:r w:rsidR="002B368B">
        <w:t xml:space="preserve">PSE </w:t>
      </w:r>
      <w:r>
        <w:t xml:space="preserve">grouped </w:t>
      </w:r>
      <w:r w:rsidR="002B368B">
        <w:t xml:space="preserve">the </w:t>
      </w:r>
      <w:r w:rsidR="00466AB3">
        <w:t>Surplus Properties</w:t>
      </w:r>
      <w:r w:rsidR="002B368B">
        <w:t xml:space="preserve"> </w:t>
      </w:r>
      <w:r>
        <w:t>into four main categories based on their characteristics:</w:t>
      </w:r>
    </w:p>
    <w:p w:rsidR="00E61E21" w:rsidRDefault="00E61E21" w:rsidP="002B368B">
      <w:pPr>
        <w:pStyle w:val="ListParagraph"/>
        <w:numPr>
          <w:ilvl w:val="0"/>
          <w:numId w:val="44"/>
        </w:numPr>
        <w:spacing w:after="280"/>
        <w:ind w:left="2160" w:right="720" w:hanging="720"/>
        <w:contextualSpacing w:val="0"/>
      </w:pPr>
      <w:r>
        <w:t xml:space="preserve">Properties that </w:t>
      </w:r>
      <w:r w:rsidR="0014472A">
        <w:t>could be</w:t>
      </w:r>
      <w:r>
        <w:t xml:space="preserve"> marketed and sold</w:t>
      </w:r>
      <w:r w:rsidR="002B368B">
        <w:t>;</w:t>
      </w:r>
    </w:p>
    <w:p w:rsidR="00E61E21" w:rsidRDefault="00E61E21" w:rsidP="002B368B">
      <w:pPr>
        <w:pStyle w:val="ListParagraph"/>
        <w:numPr>
          <w:ilvl w:val="0"/>
          <w:numId w:val="44"/>
        </w:numPr>
        <w:spacing w:after="280"/>
        <w:ind w:left="2160" w:right="720" w:hanging="720"/>
        <w:contextualSpacing w:val="0"/>
      </w:pPr>
      <w:r>
        <w:t xml:space="preserve">Properties that PSE should </w:t>
      </w:r>
      <w:r w:rsidR="0014472A">
        <w:t>retain</w:t>
      </w:r>
      <w:r>
        <w:t xml:space="preserve"> for utility operations or facilities use</w:t>
      </w:r>
      <w:r w:rsidR="002B368B">
        <w:t>;</w:t>
      </w:r>
    </w:p>
    <w:p w:rsidR="00E61E21" w:rsidRDefault="00E61E21" w:rsidP="002B368B">
      <w:pPr>
        <w:pStyle w:val="ListParagraph"/>
        <w:numPr>
          <w:ilvl w:val="0"/>
          <w:numId w:val="44"/>
        </w:numPr>
        <w:spacing w:after="280"/>
        <w:ind w:left="2160" w:right="720" w:hanging="720"/>
        <w:contextualSpacing w:val="0"/>
      </w:pPr>
      <w:r>
        <w:t>Properties that would require significant investment to remediate for environmental reasons if sold</w:t>
      </w:r>
      <w:r w:rsidR="002B368B">
        <w:t>; and</w:t>
      </w:r>
    </w:p>
    <w:p w:rsidR="00E61E21" w:rsidRDefault="00E61E21" w:rsidP="002B368B">
      <w:pPr>
        <w:pStyle w:val="ListParagraph"/>
        <w:numPr>
          <w:ilvl w:val="0"/>
          <w:numId w:val="44"/>
        </w:numPr>
        <w:spacing w:after="280"/>
        <w:ind w:left="2160" w:right="720" w:hanging="720"/>
        <w:contextualSpacing w:val="0"/>
      </w:pPr>
      <w:r>
        <w:t>Properties that can be used in the future as habitat mitigation for other PSE projects such as PSE</w:t>
      </w:r>
      <w:r w:rsidR="009F02BA">
        <w:t>’</w:t>
      </w:r>
      <w:r>
        <w:t>s current Eastside 230 project.</w:t>
      </w:r>
    </w:p>
    <w:p w:rsidR="0073033F" w:rsidRDefault="0073033F" w:rsidP="0073033F">
      <w:pPr>
        <w:pStyle w:val="question"/>
      </w:pPr>
      <w:r>
        <w:lastRenderedPageBreak/>
        <w:t>Q.</w:t>
      </w:r>
      <w:r>
        <w:tab/>
      </w:r>
      <w:r w:rsidRPr="000E5F8B">
        <w:t xml:space="preserve">Please </w:t>
      </w:r>
      <w:r>
        <w:t>describe what PSE did with the properties that had a chance of being marketed and sold</w:t>
      </w:r>
      <w:r w:rsidRPr="000E5F8B">
        <w:t>.</w:t>
      </w:r>
    </w:p>
    <w:p w:rsidR="00E61E21" w:rsidRDefault="0073033F" w:rsidP="0025310E">
      <w:pPr>
        <w:pStyle w:val="answer"/>
      </w:pPr>
      <w:r>
        <w:t>A.</w:t>
      </w:r>
      <w:r>
        <w:tab/>
      </w:r>
      <w:r w:rsidR="00E61E21">
        <w:t>PSE determined</w:t>
      </w:r>
      <w:r w:rsidR="0018537E">
        <w:t xml:space="preserve"> that</w:t>
      </w:r>
      <w:r w:rsidR="00E61E21">
        <w:t xml:space="preserve"> the best way to dispose of the</w:t>
      </w:r>
      <w:r w:rsidR="0025310E">
        <w:t xml:space="preserve"> </w:t>
      </w:r>
      <w:r w:rsidR="00E61E21">
        <w:t>m</w:t>
      </w:r>
      <w:r w:rsidR="0025310E">
        <w:t>arketable properties</w:t>
      </w:r>
      <w:r w:rsidR="00E61E21">
        <w:t xml:space="preserve"> was to offer</w:t>
      </w:r>
      <w:r w:rsidR="00E61E21" w:rsidRPr="00337DD6">
        <w:t xml:space="preserve"> the</w:t>
      </w:r>
      <w:r w:rsidR="00E61E21">
        <w:t>m</w:t>
      </w:r>
      <w:r w:rsidR="00E61E21" w:rsidRPr="00337DD6">
        <w:t xml:space="preserve"> in </w:t>
      </w:r>
      <w:r w:rsidR="00E61E21">
        <w:t>an auction</w:t>
      </w:r>
      <w:r w:rsidR="002B368B">
        <w:t xml:space="preserve">. PSE </w:t>
      </w:r>
      <w:r w:rsidR="00E61E21">
        <w:t xml:space="preserve">listed </w:t>
      </w:r>
      <w:r w:rsidR="002B368B">
        <w:t xml:space="preserve">these </w:t>
      </w:r>
      <w:r w:rsidR="00466AB3">
        <w:t>Surplus Properties</w:t>
      </w:r>
      <w:r w:rsidR="002B368B">
        <w:t xml:space="preserve"> </w:t>
      </w:r>
      <w:r w:rsidR="00E61E21">
        <w:t>in the</w:t>
      </w:r>
      <w:r w:rsidR="00E61E21" w:rsidRPr="00337DD6">
        <w:t xml:space="preserve"> </w:t>
      </w:r>
      <w:r w:rsidR="0018537E">
        <w:t>F</w:t>
      </w:r>
      <w:r w:rsidR="00E61E21" w:rsidRPr="00337DD6">
        <w:t xml:space="preserve">all 2014 </w:t>
      </w:r>
      <w:r w:rsidR="0018537E">
        <w:t>A</w:t>
      </w:r>
      <w:r w:rsidR="00E61E21" w:rsidRPr="00337DD6">
        <w:t>uction</w:t>
      </w:r>
      <w:r w:rsidR="00E61E21">
        <w:t xml:space="preserve"> sponsored by </w:t>
      </w:r>
      <w:r w:rsidR="00E61E21" w:rsidRPr="00337DD6">
        <w:t>Realty Marketing/Northwest</w:t>
      </w:r>
      <w:r w:rsidR="002B368B">
        <w:t xml:space="preserve"> (</w:t>
      </w:r>
      <w:r w:rsidR="009F02BA">
        <w:t>“</w:t>
      </w:r>
      <w:r w:rsidR="002B368B">
        <w:t>RM/NW</w:t>
      </w:r>
      <w:r w:rsidR="009F02BA">
        <w:t>”</w:t>
      </w:r>
      <w:r w:rsidR="002B368B">
        <w:t xml:space="preserve">). </w:t>
      </w:r>
      <w:r w:rsidR="00E61E21">
        <w:t>During this auction,</w:t>
      </w:r>
      <w:r w:rsidR="00E61E21" w:rsidRPr="00337DD6">
        <w:t xml:space="preserve"> PSE received multiple bids</w:t>
      </w:r>
      <w:r w:rsidR="00E61E21">
        <w:t xml:space="preserve"> on some of its properties</w:t>
      </w:r>
      <w:r w:rsidR="00E61E21" w:rsidRPr="00337DD6">
        <w:t>, and completed sales to the highest bidders</w:t>
      </w:r>
      <w:r w:rsidR="00E61E21">
        <w:t>.</w:t>
      </w:r>
      <w:r w:rsidR="008F6098">
        <w:t xml:space="preserve"> </w:t>
      </w:r>
      <w:r w:rsidR="00E61E21">
        <w:t xml:space="preserve">PSE again prepared to list some of the remaining marketable properties in the Fall 2015 RM/NW Auction, </w:t>
      </w:r>
      <w:r w:rsidR="0025310E">
        <w:t>and</w:t>
      </w:r>
      <w:r w:rsidR="00E61E21">
        <w:t xml:space="preserve"> in preparation of the listings RM/NW personnel contacted neighboring property owners to gauge interest and notify them of a potential sale</w:t>
      </w:r>
      <w:r>
        <w:t>,</w:t>
      </w:r>
      <w:r w:rsidR="00E61E21">
        <w:t xml:space="preserve"> and </w:t>
      </w:r>
      <w:r w:rsidR="00234595">
        <w:t xml:space="preserve">PSE and RM/NW </w:t>
      </w:r>
      <w:r>
        <w:t>were</w:t>
      </w:r>
      <w:r w:rsidR="00E61E21">
        <w:t xml:space="preserve"> able to negotiate sales with these parties prior to the auction.</w:t>
      </w:r>
    </w:p>
    <w:p w:rsidR="00E61E21" w:rsidRDefault="00E61E21" w:rsidP="00E61E21">
      <w:pPr>
        <w:pStyle w:val="question"/>
      </w:pPr>
      <w:r>
        <w:t>Q.</w:t>
      </w:r>
      <w:r>
        <w:tab/>
      </w:r>
      <w:r w:rsidR="0025310E">
        <w:t>Since the 2009 Application, w</w:t>
      </w:r>
      <w:r w:rsidRPr="00264410">
        <w:t>hat was the total amount of net proceeds received for these properties and how were they recorded?</w:t>
      </w:r>
    </w:p>
    <w:p w:rsidR="002B368B" w:rsidRDefault="00E61E21" w:rsidP="00E61E21">
      <w:pPr>
        <w:pStyle w:val="answer"/>
      </w:pPr>
      <w:r>
        <w:t>A.</w:t>
      </w:r>
      <w:r>
        <w:tab/>
        <w:t xml:space="preserve">PSE received </w:t>
      </w:r>
      <w:r w:rsidR="0025310E">
        <w:t xml:space="preserve">net </w:t>
      </w:r>
      <w:r>
        <w:t>proceeds of $</w:t>
      </w:r>
      <w:r w:rsidR="0025310E">
        <w:t xml:space="preserve">2.8 million </w:t>
      </w:r>
      <w:r>
        <w:t xml:space="preserve">for the </w:t>
      </w:r>
      <w:r w:rsidR="00466AB3">
        <w:t>Surplus Properties</w:t>
      </w:r>
      <w:r w:rsidR="002B368B">
        <w:t xml:space="preserve"> </w:t>
      </w:r>
      <w:r>
        <w:t>sold and incurred $</w:t>
      </w:r>
      <w:r w:rsidR="0025310E">
        <w:t xml:space="preserve">2.4 million </w:t>
      </w:r>
      <w:r>
        <w:t xml:space="preserve">of costs </w:t>
      </w:r>
      <w:r w:rsidR="0025310E">
        <w:t xml:space="preserve">related </w:t>
      </w:r>
      <w:r>
        <w:t>to achiev</w:t>
      </w:r>
      <w:r w:rsidR="0025310E">
        <w:t>ing</w:t>
      </w:r>
      <w:r>
        <w:t xml:space="preserve"> these sales</w:t>
      </w:r>
      <w:r w:rsidR="0025310E">
        <w:t xml:space="preserve">, as well as maintaining and </w:t>
      </w:r>
      <w:r w:rsidR="00A71E1E">
        <w:t>preparing</w:t>
      </w:r>
      <w:r w:rsidR="0025310E">
        <w:t xml:space="preserve"> the properties for sale</w:t>
      </w:r>
      <w:r w:rsidR="0018537E">
        <w:t>.</w:t>
      </w:r>
      <w:r>
        <w:t xml:space="preserve"> </w:t>
      </w:r>
      <w:r w:rsidR="0018537E">
        <w:t>This</w:t>
      </w:r>
      <w:r>
        <w:t xml:space="preserve"> results in total net proceeds of </w:t>
      </w:r>
      <w:r w:rsidR="0025310E">
        <w:t>$0.3 million since the 2009 Application.</w:t>
      </w:r>
      <w:r w:rsidR="008F6098">
        <w:t xml:space="preserve"> </w:t>
      </w:r>
      <w:r>
        <w:t>In accordance with the Commission</w:t>
      </w:r>
      <w:r w:rsidR="009F02BA">
        <w:t>’</w:t>
      </w:r>
      <w:r>
        <w:t xml:space="preserve">s orders in </w:t>
      </w:r>
      <w:r w:rsidR="0025310E">
        <w:t xml:space="preserve">Dockets </w:t>
      </w:r>
      <w:r>
        <w:t>UE-030243 and UE-090399, PSE deferred these net proceeds in the regulatory asset in FERC 182.3 for White River where they will be held pending the Commission</w:t>
      </w:r>
      <w:r w:rsidR="009F02BA">
        <w:t>’</w:t>
      </w:r>
      <w:r>
        <w:t>s decision in this proceeding.</w:t>
      </w:r>
      <w:r w:rsidR="008F6098">
        <w:t xml:space="preserve"> </w:t>
      </w:r>
      <w:r w:rsidRPr="00837D01">
        <w:t>Please see Exhibit No.</w:t>
      </w:r>
      <w:r w:rsidR="002B368B" w:rsidRPr="00837D01">
        <w:t> </w:t>
      </w:r>
      <w:r w:rsidRPr="00837D01">
        <w:t>___(PKW-</w:t>
      </w:r>
      <w:r w:rsidR="0018537E" w:rsidRPr="00837D01">
        <w:t>7</w:t>
      </w:r>
      <w:r w:rsidRPr="00837D01">
        <w:t xml:space="preserve">) for a listing of </w:t>
      </w:r>
      <w:r w:rsidR="00466AB3">
        <w:t>Surplus Properties</w:t>
      </w:r>
      <w:r w:rsidRPr="00837D01">
        <w:t xml:space="preserve"> </w:t>
      </w:r>
      <w:r w:rsidR="002B368B" w:rsidRPr="00837D01">
        <w:t xml:space="preserve">that </w:t>
      </w:r>
      <w:r w:rsidRPr="00837D01">
        <w:t>PSE sold.</w:t>
      </w:r>
    </w:p>
    <w:p w:rsidR="00E61E21" w:rsidRDefault="0073033F" w:rsidP="002B368B">
      <w:pPr>
        <w:pStyle w:val="answer"/>
        <w:ind w:firstLine="0"/>
      </w:pPr>
      <w:r>
        <w:lastRenderedPageBreak/>
        <w:t>The sale prices of a</w:t>
      </w:r>
      <w:r w:rsidR="00E61E21">
        <w:t xml:space="preserve">ll of the </w:t>
      </w:r>
      <w:r w:rsidR="00466AB3">
        <w:t>Surplus Properties</w:t>
      </w:r>
      <w:r w:rsidR="00E61E21">
        <w:t xml:space="preserve"> that have been sold were under the limit that requires specific approval under WAC</w:t>
      </w:r>
      <w:r w:rsidR="002B368B">
        <w:t> </w:t>
      </w:r>
      <w:r w:rsidR="00E61E21">
        <w:t>480-143-180.</w:t>
      </w:r>
      <w:r w:rsidR="008F6098">
        <w:t xml:space="preserve"> </w:t>
      </w:r>
    </w:p>
    <w:p w:rsidR="00B51784" w:rsidRPr="00B51784" w:rsidRDefault="00B51784" w:rsidP="00DA456E">
      <w:pPr>
        <w:pStyle w:val="question"/>
      </w:pPr>
      <w:r w:rsidRPr="00CD23A9">
        <w:t xml:space="preserve">Q. </w:t>
      </w:r>
      <w:r w:rsidRPr="00B51784">
        <w:tab/>
      </w:r>
      <w:r w:rsidRPr="00CD23A9">
        <w:t xml:space="preserve">Please describe the properties that </w:t>
      </w:r>
      <w:r w:rsidR="0025310E">
        <w:t>PSE plans</w:t>
      </w:r>
      <w:r w:rsidRPr="00CD23A9">
        <w:t xml:space="preserve"> to keep for system use.</w:t>
      </w:r>
    </w:p>
    <w:p w:rsidR="00E61E21" w:rsidRDefault="00E61E21" w:rsidP="00DA456E">
      <w:pPr>
        <w:pStyle w:val="answer"/>
        <w:tabs>
          <w:tab w:val="left" w:pos="720"/>
          <w:tab w:val="left" w:pos="1440"/>
          <w:tab w:val="center" w:pos="4320"/>
        </w:tabs>
      </w:pPr>
      <w:r>
        <w:t>A.</w:t>
      </w:r>
      <w:r>
        <w:tab/>
      </w:r>
      <w:r w:rsidR="00B51784">
        <w:t>There are multiple properties that are being utilized by PSE as part of its operating utility system.</w:t>
      </w:r>
      <w:r w:rsidR="008F6098">
        <w:t xml:space="preserve"> </w:t>
      </w:r>
      <w:r w:rsidR="00B51784" w:rsidRPr="00CD23A9">
        <w:t xml:space="preserve">The </w:t>
      </w:r>
      <w:r w:rsidR="00B51784">
        <w:t>properties</w:t>
      </w:r>
      <w:r w:rsidR="00B51784" w:rsidRPr="00CD23A9">
        <w:t xml:space="preserve"> are utilized by PSE for electric transmission lines, substat</w:t>
      </w:r>
      <w:r w:rsidR="00B51784">
        <w:t xml:space="preserve">ions, communication facilities and </w:t>
      </w:r>
      <w:r w:rsidR="00B51784" w:rsidRPr="00CD23A9">
        <w:t>electric distribution lines</w:t>
      </w:r>
      <w:r w:rsidR="00B51784">
        <w:t>.</w:t>
      </w:r>
      <w:r w:rsidR="008F6098">
        <w:t xml:space="preserve"> </w:t>
      </w:r>
      <w:r w:rsidR="00481C16">
        <w:t>S</w:t>
      </w:r>
      <w:r w:rsidR="00B51784" w:rsidRPr="00CD23A9">
        <w:t xml:space="preserve">everal of the PSE owned </w:t>
      </w:r>
      <w:r w:rsidR="00B51784">
        <w:t>properties</w:t>
      </w:r>
      <w:r w:rsidR="00B51784" w:rsidRPr="00CD23A9">
        <w:t xml:space="preserve"> are burdened with easements in favor of others for the transport of natural gas (Williams gas pipeline) and electric transmission (Bonneville Power Administration).</w:t>
      </w:r>
      <w:r w:rsidR="008F6098">
        <w:t xml:space="preserve"> </w:t>
      </w:r>
      <w:r w:rsidR="00131F8B">
        <w:t>T</w:t>
      </w:r>
      <w:r w:rsidR="00131F8B" w:rsidRPr="0073033F">
        <w:t>he</w:t>
      </w:r>
      <w:r w:rsidR="00131F8B">
        <w:t>se properties</w:t>
      </w:r>
      <w:r w:rsidR="00260346">
        <w:t xml:space="preserve"> also</w:t>
      </w:r>
      <w:r w:rsidR="00131F8B">
        <w:t xml:space="preserve"> include the</w:t>
      </w:r>
      <w:r w:rsidR="00131F8B" w:rsidRPr="0073033F">
        <w:t xml:space="preserve"> </w:t>
      </w:r>
      <w:r w:rsidR="00131F8B" w:rsidRPr="00C41737">
        <w:t xml:space="preserve">Lake </w:t>
      </w:r>
      <w:proofErr w:type="spellStart"/>
      <w:r w:rsidR="00131F8B" w:rsidRPr="00C41737">
        <w:t>Tapps</w:t>
      </w:r>
      <w:proofErr w:type="spellEnd"/>
      <w:r w:rsidR="00131F8B" w:rsidRPr="00C41737">
        <w:t xml:space="preserve"> conference facilities</w:t>
      </w:r>
      <w:r w:rsidR="007E54BC">
        <w:t>.</w:t>
      </w:r>
      <w:r w:rsidR="00131F8B" w:rsidRPr="0073033F">
        <w:t xml:space="preserve"> </w:t>
      </w:r>
      <w:r w:rsidR="00B51784" w:rsidRPr="00837D01">
        <w:t>Please see Exhibit No.</w:t>
      </w:r>
      <w:r w:rsidR="002B368B" w:rsidRPr="00837D01">
        <w:t> </w:t>
      </w:r>
      <w:r w:rsidR="00B51784" w:rsidRPr="00837D01">
        <w:t>___(PKW-</w:t>
      </w:r>
      <w:r w:rsidR="0073033F" w:rsidRPr="00837D01">
        <w:t>7</w:t>
      </w:r>
      <w:r w:rsidR="00B51784" w:rsidRPr="00837D01">
        <w:t xml:space="preserve">) for a listing of </w:t>
      </w:r>
      <w:r w:rsidR="00466AB3">
        <w:t>Surplus Properties</w:t>
      </w:r>
      <w:r w:rsidR="00B51784" w:rsidRPr="00837D01">
        <w:t xml:space="preserve"> that </w:t>
      </w:r>
      <w:r w:rsidR="002B368B" w:rsidRPr="00837D01">
        <w:t xml:space="preserve">PSE </w:t>
      </w:r>
      <w:r w:rsidR="00260346">
        <w:t>plans to retain</w:t>
      </w:r>
      <w:r w:rsidR="00B51784" w:rsidRPr="00837D01">
        <w:t xml:space="preserve"> for system use.</w:t>
      </w:r>
    </w:p>
    <w:p w:rsidR="0073033F" w:rsidRDefault="0073033F" w:rsidP="0073033F">
      <w:pPr>
        <w:pStyle w:val="question"/>
      </w:pPr>
      <w:r>
        <w:t>Q.</w:t>
      </w:r>
      <w:r>
        <w:tab/>
      </w:r>
      <w:r w:rsidR="00260346">
        <w:t>Are there any additional costs and proceeds related to the Surplus Properties that will be included in the regulatory asset</w:t>
      </w:r>
      <w:r>
        <w:t>?</w:t>
      </w:r>
    </w:p>
    <w:p w:rsidR="0073033F" w:rsidRDefault="0073033F" w:rsidP="00837D01">
      <w:pPr>
        <w:pStyle w:val="answer"/>
        <w:tabs>
          <w:tab w:val="left" w:pos="720"/>
          <w:tab w:val="left" w:pos="1440"/>
          <w:tab w:val="center" w:pos="4320"/>
        </w:tabs>
      </w:pPr>
      <w:r>
        <w:t>A.</w:t>
      </w:r>
      <w:r>
        <w:tab/>
        <w:t xml:space="preserve">Yes. PSE entered into a contract with North Wind Forest Consultants to advise and assist with the required permitting, </w:t>
      </w:r>
      <w:r w:rsidR="00B42DE1">
        <w:t>timber sale, and re-forestation of a 96 acre property in Pierce County. The property is currently utilized by PSE for electric transmission lines and related infrastructure.</w:t>
      </w:r>
      <w:r>
        <w:t xml:space="preserve"> </w:t>
      </w:r>
    </w:p>
    <w:p w:rsidR="00481C16" w:rsidRDefault="00A609B9" w:rsidP="00A06B5D">
      <w:pPr>
        <w:pStyle w:val="answer"/>
        <w:tabs>
          <w:tab w:val="left" w:pos="720"/>
          <w:tab w:val="left" w:pos="1440"/>
          <w:tab w:val="center" w:pos="4320"/>
        </w:tabs>
        <w:ind w:firstLine="0"/>
      </w:pPr>
      <w:r>
        <w:rPr>
          <w:b/>
          <w:noProof/>
          <w:lang w:eastAsia="en-US"/>
        </w:rPr>
        <mc:AlternateContent>
          <mc:Choice Requires="wpg">
            <w:drawing>
              <wp:anchor distT="0" distB="0" distL="114300" distR="114300" simplePos="0" relativeHeight="251727872" behindDoc="0" locked="0" layoutInCell="1" allowOverlap="1" wp14:anchorId="68CB9B84" wp14:editId="661A16A1">
                <wp:simplePos x="0" y="0"/>
                <wp:positionH relativeFrom="column">
                  <wp:posOffset>1890395</wp:posOffset>
                </wp:positionH>
                <wp:positionV relativeFrom="paragraph">
                  <wp:posOffset>4274185</wp:posOffset>
                </wp:positionV>
                <wp:extent cx="1546860" cy="65024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650240"/>
                          <a:chOff x="4401" y="11656"/>
                          <a:chExt cx="4320" cy="780"/>
                        </a:xfrm>
                      </wpg:grpSpPr>
                      <wps:wsp>
                        <wps:cNvPr id="31"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A609B9"/>
                          </w:txbxContent>
                        </wps:txbx>
                        <wps:bodyPr rot="0" vert="horz" wrap="square" lIns="91440" tIns="91440" rIns="91440" bIns="91440" anchor="t" anchorCtr="0" upright="1">
                          <a:noAutofit/>
                        </wps:bodyPr>
                      </wps:wsp>
                      <wps:wsp>
                        <wps:cNvPr id="32"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Pr="005328DA" w:rsidRDefault="007C3D2B" w:rsidP="00A609B9">
                              <w:pPr>
                                <w:pStyle w:val="plain"/>
                                <w:jc w:val="center"/>
                                <w:rPr>
                                  <w:rFonts w:ascii="Times New Roman Bold" w:hAnsi="Times New Roman Bold"/>
                                  <w:b/>
                                  <w:smallCaps/>
                                  <w:snapToGrid w:val="0"/>
                                  <w:sz w:val="20"/>
                                  <w:lang w:val="x-none" w:eastAsia="en-US"/>
                                </w:rPr>
                              </w:pPr>
                              <w:r w:rsidRPr="005328DA">
                                <w:rPr>
                                  <w:rFonts w:ascii="Times New Roman Bold" w:hAnsi="Times New Roman Bold"/>
                                  <w:b/>
                                  <w:smallCaps/>
                                  <w:snapToGrid w:val="0"/>
                                  <w:sz w:val="20"/>
                                  <w:lang w:val="x-none" w:eastAsia="en-US"/>
                                </w:rPr>
                                <w:t>Confidential per</w:t>
                              </w:r>
                              <w:r w:rsidRPr="005328DA">
                                <w:rPr>
                                  <w:rFonts w:ascii="Times New Roman Bold" w:hAnsi="Times New Roman Bold"/>
                                  <w:b/>
                                  <w:smallCaps/>
                                  <w:snapToGrid w:val="0"/>
                                  <w:sz w:val="20"/>
                                  <w:lang w:val="x-none" w:eastAsia="en-US"/>
                                </w:rPr>
                                <w:br/>
                                <w:t>WAC 480-07-160</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47" style="position:absolute;left:0;text-align:left;margin-left:148.85pt;margin-top:336.55pt;width:121.8pt;height:51.2pt;z-index:251727872"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">
                <v:shape id="Text Box 12" o:spid="_x0000_s1048"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78GsMA&#10;AADbAAAADwAAAGRycy9kb3ducmV2LnhtbESPQWvCQBSE74L/YXmCN92kFpHoKiII9WatqMdH9mUT&#10;zL4N2TXG/vpuodDjMDPfMKtNb2vRUesrxwrSaQKCOHe6YqPg/LWfLED4gKyxdkwKXuRhsx4OVphp&#10;9+RP6k7BiAhhn6GCMoQmk9LnJVn0U9cQR69wrcUQZWukbvEZ4baWb0kylxYrjgslNrQrKb+fHlbB&#10;1cwP9XFx18X77fuSmkfX7Q6FUuNRv12CCNSH//Bf+0MrmKX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78GsMAAADbAAAADwAAAAAAAAAAAAAAAACYAgAAZHJzL2Rv&#10;d25yZXYueG1sUEsFBgAAAAAEAAQA9QAAAIgDAAAAAA==&#10;" fillcolor="gray" stroked="f">
                  <v:textbox inset=",7.2pt,,7.2pt">
                    <w:txbxContent>
                      <w:p w:rsidR="007C3D2B" w:rsidRDefault="007C3D2B" w:rsidP="00A609B9"/>
                    </w:txbxContent>
                  </v:textbox>
                </v:shape>
                <v:shape id="Text Box 13" o:spid="_x0000_s1049"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L8IA&#10;AADbAAAADwAAAGRycy9kb3ducmV2LnhtbERPTWuDQBS8F/IflhfIpdS1kYZg3IQgFIqXEhM8P9xX&#10;lbhvjbuN5t93C4XeZpgvJjvMphd3Gl1nWcFrFIMgrq3uuFFwOb+/bEE4j6yxt0wKHuTgsF88ZZhq&#10;O/GJ7qVvRChhl6KC1vshldLVLRl0kR2Ig/ZlR4M+0LGResQplJteruN4Iw12HBZaHChvqb6W30ZB&#10;XlQBnm6fVZX0b5uinPLnvFFqtZyPOxCeZv9v/kt/aAXJGn6/hB8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6svwgAAANsAAAAPAAAAAAAAAAAAAAAAAJgCAABkcnMvZG93&#10;bnJldi54bWxQSwUGAAAAAAQABAD1AAAAhwMAAAAA&#10;" strokeweight="1.5pt">
                  <v:textbox inset=",7.2pt,,7.2pt">
                    <w:txbxContent>
                      <w:p w:rsidR="007C3D2B" w:rsidRPr="005328DA" w:rsidRDefault="007C3D2B" w:rsidP="00A609B9">
                        <w:pPr>
                          <w:pStyle w:val="plain"/>
                          <w:jc w:val="center"/>
                          <w:rPr>
                            <w:rFonts w:ascii="Times New Roman Bold" w:hAnsi="Times New Roman Bold"/>
                            <w:b/>
                            <w:smallCaps/>
                            <w:snapToGrid w:val="0"/>
                            <w:sz w:val="20"/>
                            <w:lang w:val="x-none" w:eastAsia="en-US"/>
                          </w:rPr>
                        </w:pPr>
                        <w:r w:rsidRPr="005328DA">
                          <w:rPr>
                            <w:rFonts w:ascii="Times New Roman Bold" w:hAnsi="Times New Roman Bold"/>
                            <w:b/>
                            <w:smallCaps/>
                            <w:snapToGrid w:val="0"/>
                            <w:sz w:val="20"/>
                            <w:lang w:val="x-none" w:eastAsia="en-US"/>
                          </w:rPr>
                          <w:t>Confidential per</w:t>
                        </w:r>
                        <w:r w:rsidRPr="005328DA">
                          <w:rPr>
                            <w:rFonts w:ascii="Times New Roman Bold" w:hAnsi="Times New Roman Bold"/>
                            <w:b/>
                            <w:smallCaps/>
                            <w:snapToGrid w:val="0"/>
                            <w:sz w:val="20"/>
                            <w:lang w:val="x-none" w:eastAsia="en-US"/>
                          </w:rPr>
                          <w:br/>
                          <w:t>WAC 480-07-160</w:t>
                        </w:r>
                      </w:p>
                    </w:txbxContent>
                  </v:textbox>
                </v:shape>
              </v:group>
            </w:pict>
          </mc:Fallback>
        </mc:AlternateContent>
      </w:r>
      <w:r w:rsidR="00B42DE1">
        <w:t xml:space="preserve">North Wind Consultants secured the required permits to allow the logging to proceed. Thereafter and upon issuance of the required permits, North Wind solicited bids from its list of logging industry contacts interested in purchasing standing timber such as that presently growing on the PSE property. Upon receipt and review of multiple bids received, PSE in consideration of advice from North </w:t>
      </w:r>
      <w:r w:rsidR="00B42DE1">
        <w:lastRenderedPageBreak/>
        <w:t>Wind, chose the highest bi</w:t>
      </w:r>
      <w:r w:rsidR="00BA0019">
        <w:t>d</w:t>
      </w:r>
      <w:r w:rsidR="00B42DE1">
        <w:t xml:space="preserve">der for the sale of the standing timber. The winning bid of </w:t>
      </w:r>
      <w:r w:rsidR="00D27E51">
        <w:t>$</w:t>
      </w:r>
      <w:r w:rsidR="000D17B8" w:rsidRPr="000D17B8">
        <w:rPr>
          <w:bdr w:val="single" w:sz="4" w:space="0" w:color="auto"/>
        </w:rPr>
        <w:t>████</w:t>
      </w:r>
      <w:r w:rsidR="00B42DE1">
        <w:t xml:space="preserve"> is within</w:t>
      </w:r>
      <w:r w:rsidRPr="00A609B9">
        <w:rPr>
          <w:b/>
          <w:noProof/>
          <w:lang w:eastAsia="en-US"/>
        </w:rPr>
        <w:t xml:space="preserve"> </w:t>
      </w:r>
      <w:r w:rsidR="00B42DE1">
        <w:t xml:space="preserve"> the range of North Wind</w:t>
      </w:r>
      <w:r w:rsidR="009F02BA">
        <w:t>’</w:t>
      </w:r>
      <w:r w:rsidR="00B42DE1">
        <w:t>s anticipated bid values and is consistent with PSE</w:t>
      </w:r>
      <w:r w:rsidR="009F02BA">
        <w:t>’</w:t>
      </w:r>
      <w:r w:rsidR="00B42DE1">
        <w:t xml:space="preserve">s previous timber valuation for the property. PSE accepted </w:t>
      </w:r>
      <w:r w:rsidR="00BA0019">
        <w:t>the</w:t>
      </w:r>
      <w:r w:rsidR="00B42DE1">
        <w:t xml:space="preserve"> bid. PSE expects to be paid in full for the value of the timber contract within 30 days of contract finalization with the successful bidder. In the meantime, PSE holds a </w:t>
      </w:r>
      <w:r w:rsidR="000D17B8">
        <w:t>$</w:t>
      </w:r>
      <w:r w:rsidR="000D17B8" w:rsidRPr="000D17B8">
        <w:rPr>
          <w:bdr w:val="single" w:sz="4" w:space="0" w:color="auto"/>
        </w:rPr>
        <w:t>████</w:t>
      </w:r>
      <w:r w:rsidR="00B42DE1">
        <w:t xml:space="preserve"> potentially non-refundable deposit submitted by the </w:t>
      </w:r>
      <w:r w:rsidR="00481C16">
        <w:t>w</w:t>
      </w:r>
      <w:r w:rsidR="00B42DE1">
        <w:t>inning bidder which will be</w:t>
      </w:r>
      <w:r w:rsidR="00481C16">
        <w:t xml:space="preserve"> </w:t>
      </w:r>
      <w:r w:rsidR="00B42DE1">
        <w:t>relinquished to PSE if that bidder does not finalize the logging contract.</w:t>
      </w:r>
      <w:r w:rsidR="00481C16">
        <w:t xml:space="preserve"> </w:t>
      </w:r>
      <w:r w:rsidR="00B42DE1">
        <w:tab/>
        <w:t>PSE will recoup selling costs from the winning bid</w:t>
      </w:r>
      <w:r w:rsidR="00481C16">
        <w:t>.</w:t>
      </w:r>
    </w:p>
    <w:p w:rsidR="002F10D5" w:rsidRDefault="00E95AEE" w:rsidP="00A06B5D">
      <w:pPr>
        <w:pStyle w:val="answer"/>
        <w:tabs>
          <w:tab w:val="left" w:pos="720"/>
          <w:tab w:val="left" w:pos="1440"/>
          <w:tab w:val="center" w:pos="4320"/>
        </w:tabs>
        <w:ind w:firstLine="0"/>
      </w:pPr>
      <w:r>
        <w:t>The successful bidder will then have twelve months to remove the timber from the property. PSE will re-forest, establish and maintain a new stand of tim</w:t>
      </w:r>
      <w:r w:rsidR="00260346">
        <w:t>b</w:t>
      </w:r>
      <w:r>
        <w:t xml:space="preserve">er following the logging of the site. At this time, it is expected that PSE will finalize the logging contract with a successful bidder by </w:t>
      </w:r>
      <w:r w:rsidR="00A609B9">
        <w:t xml:space="preserve">early </w:t>
      </w:r>
      <w:r>
        <w:t>2017.</w:t>
      </w:r>
      <w:r w:rsidR="00D27E51">
        <w:t xml:space="preserve"> </w:t>
      </w:r>
      <w:r w:rsidR="00260346">
        <w:t>The costs and proceeds related to this lo</w:t>
      </w:r>
      <w:r w:rsidR="009E7399">
        <w:t>g</w:t>
      </w:r>
      <w:r w:rsidR="00260346">
        <w:t xml:space="preserve">ging contract will be included in the regulatory asset and this is discussed in more detail in </w:t>
      </w:r>
      <w:r w:rsidR="00A609B9">
        <w:t xml:space="preserve">the </w:t>
      </w:r>
      <w:proofErr w:type="spellStart"/>
      <w:r w:rsidR="00A609B9">
        <w:t>Prefiled</w:t>
      </w:r>
      <w:proofErr w:type="spellEnd"/>
      <w:r w:rsidR="00A609B9">
        <w:t xml:space="preserve"> Direct Testimony of Katherine J. Barnard, Exhibit No. ___(KJB-1T)</w:t>
      </w:r>
      <w:r w:rsidR="00260346">
        <w:t>.</w:t>
      </w:r>
    </w:p>
    <w:p w:rsidR="00E61E21" w:rsidRDefault="00E61E21" w:rsidP="0073033F">
      <w:pPr>
        <w:pStyle w:val="question"/>
      </w:pPr>
      <w:r>
        <w:t>Q.</w:t>
      </w:r>
      <w:r>
        <w:tab/>
      </w:r>
      <w:r w:rsidR="00B51784" w:rsidRPr="00F91204">
        <w:t>Please describe the properties that would require significant investment to remediate for environmental reasons if sold.</w:t>
      </w:r>
    </w:p>
    <w:p w:rsidR="00B51784" w:rsidRDefault="00174A22" w:rsidP="00B51784">
      <w:pPr>
        <w:pStyle w:val="answer"/>
      </w:pPr>
      <w:r>
        <w:rPr>
          <w:b/>
          <w:noProof/>
          <w:lang w:eastAsia="en-US"/>
        </w:rPr>
        <mc:AlternateContent>
          <mc:Choice Requires="wpg">
            <w:drawing>
              <wp:anchor distT="0" distB="0" distL="114300" distR="114300" simplePos="0" relativeHeight="251736064" behindDoc="0" locked="0" layoutInCell="1" allowOverlap="1" wp14:anchorId="686AF234" wp14:editId="69DAB384">
                <wp:simplePos x="0" y="0"/>
                <wp:positionH relativeFrom="column">
                  <wp:posOffset>1890395</wp:posOffset>
                </wp:positionH>
                <wp:positionV relativeFrom="paragraph">
                  <wp:posOffset>2111375</wp:posOffset>
                </wp:positionV>
                <wp:extent cx="1546860" cy="6502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650240"/>
                          <a:chOff x="4401" y="11656"/>
                          <a:chExt cx="4320" cy="780"/>
                        </a:xfrm>
                      </wpg:grpSpPr>
                      <wps:wsp>
                        <wps:cNvPr id="34" name="Text Box 12"/>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2B" w:rsidRDefault="007C3D2B" w:rsidP="00174A22"/>
                          </w:txbxContent>
                        </wps:txbx>
                        <wps:bodyPr rot="0" vert="horz" wrap="square" lIns="91440" tIns="91440" rIns="91440" bIns="91440" anchor="t" anchorCtr="0" upright="1">
                          <a:noAutofit/>
                        </wps:bodyPr>
                      </wps:wsp>
                      <wps:wsp>
                        <wps:cNvPr id="35" name="Text Box 13"/>
                        <wps:cNvSpPr txBox="1">
                          <a:spLocks noChangeArrowheads="1"/>
                        </wps:cNvSpPr>
                        <wps:spPr bwMode="auto">
                          <a:xfrm>
                            <a:off x="4401" y="11656"/>
                            <a:ext cx="4167" cy="630"/>
                          </a:xfrm>
                          <a:prstGeom prst="rect">
                            <a:avLst/>
                          </a:prstGeom>
                          <a:solidFill>
                            <a:srgbClr val="FFFFFF"/>
                          </a:solidFill>
                          <a:ln w="19050">
                            <a:solidFill>
                              <a:srgbClr val="000000"/>
                            </a:solidFill>
                            <a:miter lim="800000"/>
                            <a:headEnd/>
                            <a:tailEnd/>
                          </a:ln>
                        </wps:spPr>
                        <wps:txbx>
                          <w:txbxContent>
                            <w:p w:rsidR="007C3D2B" w:rsidRDefault="000D17B8"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0D17B8" w:rsidRPr="000D17B8" w:rsidRDefault="000D17B8"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50" style="position:absolute;left:0;text-align:left;margin-left:148.85pt;margin-top:166.25pt;width:121.8pt;height:51.2pt;z-index:251736064" coordorigin="4401,11656" coordsize="432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">
                <v:shape id="Text Box 12" o:spid="_x0000_s1051"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lfgsQA&#10;AADbAAAADwAAAGRycy9kb3ducmV2LnhtbESPW4vCMBSE3xf2P4Sz4NuaekGka5RFEPTNy7L6eGhO&#10;02JzUppYq7/eCIKPw8x8w8wWna1ES40vHSsY9BMQxJnTJRsFf4fV9xSED8gaK8ek4EYeFvPPjxmm&#10;2l15R+0+GBEh7FNUUIRQp1L6rCCLvu9q4ujlrrEYomyM1A1eI9xWcpgkE2mx5LhQYE3LgrLz/mIV&#10;HM1kU22nZ52PT/f/gbm07XKTK9X76n5/QATqwjv8aq+1gtEY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X4LEAAAA2wAAAA8AAAAAAAAAAAAAAAAAmAIAAGRycy9k&#10;b3ducmV2LnhtbFBLBQYAAAAABAAEAPUAAACJAwAAAAA=&#10;" fillcolor="gray" stroked="f">
                  <v:textbox inset=",7.2pt,,7.2pt">
                    <w:txbxContent>
                      <w:p w:rsidR="007C3D2B" w:rsidRDefault="007C3D2B" w:rsidP="00174A22"/>
                    </w:txbxContent>
                  </v:textbox>
                </v:shape>
                <v:shape id="Text Box 13" o:spid="_x0000_s1052" type="#_x0000_t202" style="position:absolute;left:4401;top:1165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YzW8EA&#10;AADbAAAADwAAAGRycy9kb3ducmV2LnhtbERPTYvCMBS8C/sfwlvwImuqYlmqUZaCIF7EuvT8aN62&#10;xeal20Rb/70RBG8zzBez3g6mETfqXG1ZwWwagSAurK65VPB73n19g3AeWWNjmRTcycF28zFaY6Jt&#10;zye6Zb4UoYRdggoq79tESldUZNBNbUsctD/bGfSBdqXUHfah3DRyHkWxNFhzWKiwpbSi4pJdjYL0&#10;kAd4+j/m+aJZxoesTydpqdT4c/hZgfA0+Lf5ld5rBYslPL+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WM1vBAAAA2wAAAA8AAAAAAAAAAAAAAAAAmAIAAGRycy9kb3du&#10;cmV2LnhtbFBLBQYAAAAABAAEAPUAAACGAwAAAAA=&#10;" strokeweight="1.5pt">
                  <v:textbox inset=",7.2pt,,7.2pt">
                    <w:txbxContent>
                      <w:p w:rsidR="007C3D2B" w:rsidRDefault="000D17B8"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Redacted</w:t>
                        </w:r>
                      </w:p>
                      <w:p w:rsidR="000D17B8" w:rsidRPr="000D17B8" w:rsidRDefault="000D17B8" w:rsidP="00174A22">
                        <w:pPr>
                          <w:pStyle w:val="plain"/>
                          <w:jc w:val="center"/>
                          <w:rPr>
                            <w:rFonts w:ascii="Times New Roman Bold" w:hAnsi="Times New Roman Bold"/>
                            <w:b/>
                            <w:smallCaps/>
                            <w:snapToGrid w:val="0"/>
                            <w:sz w:val="20"/>
                            <w:lang w:eastAsia="en-US"/>
                          </w:rPr>
                        </w:pPr>
                        <w:r>
                          <w:rPr>
                            <w:rFonts w:ascii="Times New Roman Bold" w:hAnsi="Times New Roman Bold"/>
                            <w:b/>
                            <w:smallCaps/>
                            <w:snapToGrid w:val="0"/>
                            <w:sz w:val="20"/>
                            <w:lang w:eastAsia="en-US"/>
                          </w:rPr>
                          <w:t>Version</w:t>
                        </w:r>
                      </w:p>
                    </w:txbxContent>
                  </v:textbox>
                </v:shape>
              </v:group>
            </w:pict>
          </mc:Fallback>
        </mc:AlternateContent>
      </w:r>
      <w:r w:rsidR="00E61E21">
        <w:t>A.</w:t>
      </w:r>
      <w:r w:rsidR="00E61E21">
        <w:tab/>
      </w:r>
      <w:r w:rsidR="00B51784">
        <w:t>Certain properties were originally included in the properties that PSE negotiated with CWA to purchase.</w:t>
      </w:r>
      <w:r w:rsidR="008F6098">
        <w:t xml:space="preserve"> </w:t>
      </w:r>
      <w:r w:rsidR="00B51784">
        <w:t xml:space="preserve">However, during negotiations, CWA determined that because of the contamination </w:t>
      </w:r>
      <w:r w:rsidR="00F11302">
        <w:t>of</w:t>
      </w:r>
      <w:r w:rsidR="00B51784">
        <w:t xml:space="preserve"> these properties, </w:t>
      </w:r>
      <w:r w:rsidR="00F11302">
        <w:t>it</w:t>
      </w:r>
      <w:r w:rsidR="00B51784">
        <w:t xml:space="preserve"> w</w:t>
      </w:r>
      <w:r w:rsidR="00F11302">
        <w:t>as</w:t>
      </w:r>
      <w:r w:rsidR="00B51784">
        <w:t xml:space="preserve"> not willing to purchase these properties as part of the CWA transaction.</w:t>
      </w:r>
      <w:r w:rsidR="008F6098">
        <w:t xml:space="preserve"> </w:t>
      </w:r>
      <w:r w:rsidR="00B51784">
        <w:t xml:space="preserve">Accordingly, these contaminated properties </w:t>
      </w:r>
      <w:r w:rsidR="00B51784" w:rsidRPr="00F91204">
        <w:t xml:space="preserve">remain under PSE ownership </w:t>
      </w:r>
      <w:r w:rsidR="00B51784">
        <w:t>and are not marketable to third p</w:t>
      </w:r>
      <w:r w:rsidR="00B51784" w:rsidRPr="00F11302">
        <w:t>art</w:t>
      </w:r>
      <w:r w:rsidR="008F6098" w:rsidRPr="00F11302">
        <w:t>ies</w:t>
      </w:r>
      <w:r w:rsidR="00B51784" w:rsidRPr="00F11302">
        <w:t>.</w:t>
      </w:r>
      <w:r w:rsidR="008F6098" w:rsidRPr="00F11302">
        <w:t xml:space="preserve"> </w:t>
      </w:r>
      <w:r w:rsidR="00F11302">
        <w:lastRenderedPageBreak/>
        <w:t>The remediation costs that would be required to achieve marketability of these properties would exceed the expected property sales values after remediation</w:t>
      </w:r>
      <w:r w:rsidR="00260346">
        <w:t>;</w:t>
      </w:r>
      <w:r w:rsidR="00F11302">
        <w:t xml:space="preserve"> therefore</w:t>
      </w:r>
      <w:r w:rsidR="00260346">
        <w:t>,</w:t>
      </w:r>
      <w:r w:rsidR="00F11302">
        <w:t xml:space="preserve"> it is more economical to </w:t>
      </w:r>
      <w:r w:rsidR="00260346">
        <w:t>retain</w:t>
      </w:r>
      <w:r w:rsidR="00F11302">
        <w:t xml:space="preserve"> these properties. </w:t>
      </w:r>
      <w:r w:rsidR="00B51784" w:rsidRPr="00F11302">
        <w:t xml:space="preserve">Please see </w:t>
      </w:r>
      <w:r w:rsidR="00B51784" w:rsidRPr="00837D01">
        <w:t>Exhibit No.</w:t>
      </w:r>
      <w:r w:rsidR="00F9417D">
        <w:t> </w:t>
      </w:r>
      <w:r w:rsidR="00B51784" w:rsidRPr="00837D01">
        <w:t>___(PKW-</w:t>
      </w:r>
      <w:r w:rsidR="00F11302" w:rsidRPr="00837D01">
        <w:t>7</w:t>
      </w:r>
      <w:r w:rsidR="00B51784" w:rsidRPr="00837D01">
        <w:t>)</w:t>
      </w:r>
      <w:r w:rsidR="00B51784">
        <w:t xml:space="preserve"> for a listing of properties</w:t>
      </w:r>
      <w:r w:rsidR="008F6098">
        <w:t xml:space="preserve"> that are not marketable to third parties.</w:t>
      </w:r>
    </w:p>
    <w:p w:rsidR="00E61E21" w:rsidRDefault="00E61E21" w:rsidP="00DA456E">
      <w:pPr>
        <w:pStyle w:val="question"/>
      </w:pPr>
      <w:r>
        <w:t>Q.</w:t>
      </w:r>
      <w:r>
        <w:tab/>
      </w:r>
      <w:r w:rsidR="00B51784" w:rsidRPr="00F91204">
        <w:t xml:space="preserve">Please describe the </w:t>
      </w:r>
      <w:r w:rsidR="00131F8B">
        <w:t>S</w:t>
      </w:r>
      <w:r w:rsidR="008F6098">
        <w:t xml:space="preserve">urplus </w:t>
      </w:r>
      <w:r w:rsidR="00131F8B">
        <w:t>P</w:t>
      </w:r>
      <w:r w:rsidR="00B51784" w:rsidRPr="00F91204">
        <w:t xml:space="preserve">roperties </w:t>
      </w:r>
      <w:r w:rsidR="00B51784">
        <w:t xml:space="preserve">that </w:t>
      </w:r>
      <w:r w:rsidR="00A45FA3">
        <w:t>may be useful</w:t>
      </w:r>
      <w:r w:rsidR="00B51784">
        <w:t xml:space="preserve"> in the future as habitat mitigation</w:t>
      </w:r>
      <w:r w:rsidR="00B51784" w:rsidRPr="00F91204">
        <w:t>.</w:t>
      </w:r>
    </w:p>
    <w:p w:rsidR="0011341C" w:rsidRDefault="00E61E21" w:rsidP="001C5F42">
      <w:pPr>
        <w:pStyle w:val="answer"/>
      </w:pPr>
      <w:r w:rsidRPr="00DA456E">
        <w:t>A.</w:t>
      </w:r>
      <w:r w:rsidRPr="00DA456E">
        <w:tab/>
      </w:r>
      <w:r w:rsidR="00B51784" w:rsidRPr="00DA456E">
        <w:t>There are properties</w:t>
      </w:r>
      <w:r w:rsidR="00676FC9">
        <w:t xml:space="preserve"> in a riparian corridor</w:t>
      </w:r>
      <w:r w:rsidR="00B51784" w:rsidRPr="00DA456E">
        <w:t xml:space="preserve"> that are not directly related to environmental remediation but </w:t>
      </w:r>
      <w:r w:rsidR="00676FC9">
        <w:t>that may benefit PSE customers</w:t>
      </w:r>
      <w:r w:rsidR="00B51784" w:rsidRPr="00DA456E">
        <w:t xml:space="preserve"> </w:t>
      </w:r>
      <w:r w:rsidR="00676FC9">
        <w:t xml:space="preserve">by reducing mitigation costs of </w:t>
      </w:r>
      <w:r w:rsidR="00131F8B">
        <w:t>certain</w:t>
      </w:r>
      <w:r w:rsidR="00676FC9">
        <w:t xml:space="preserve"> projects. Often a significant requirement of </w:t>
      </w:r>
      <w:r w:rsidR="00344E8B">
        <w:t>construction</w:t>
      </w:r>
      <w:r w:rsidR="00676FC9">
        <w:t xml:space="preserve"> projects is mitigation to offset impacts to flora and fauna in the right</w:t>
      </w:r>
      <w:r w:rsidR="003735A0">
        <w:t xml:space="preserve">s </w:t>
      </w:r>
      <w:r w:rsidR="00676FC9">
        <w:t xml:space="preserve">of way. Through the continued ownership of this </w:t>
      </w:r>
      <w:r w:rsidR="00131F8B">
        <w:t xml:space="preserve">riparian </w:t>
      </w:r>
      <w:r w:rsidR="00676FC9">
        <w:t xml:space="preserve">corridor, PSE is afforded a cost effective means of offsetting those mitigation requirements. </w:t>
      </w:r>
      <w:r w:rsidR="0011341C">
        <w:t xml:space="preserve">Please see the </w:t>
      </w:r>
      <w:proofErr w:type="spellStart"/>
      <w:r w:rsidR="00A06B5D">
        <w:t>Prefiled</w:t>
      </w:r>
      <w:proofErr w:type="spellEnd"/>
      <w:r w:rsidR="00A06B5D">
        <w:t xml:space="preserve"> Direct Testimony </w:t>
      </w:r>
      <w:r w:rsidR="0011341C">
        <w:t>of Katherine J, Barnard, Exhibit No.</w:t>
      </w:r>
      <w:r w:rsidR="00A06B5D">
        <w:t> </w:t>
      </w:r>
      <w:r w:rsidR="0011341C">
        <w:t>___(KJB-1T)</w:t>
      </w:r>
      <w:r w:rsidR="001C5F42">
        <w:t>,</w:t>
      </w:r>
      <w:r w:rsidR="0011341C">
        <w:t xml:space="preserve"> for a summary of PSE</w:t>
      </w:r>
      <w:r w:rsidR="009F02BA">
        <w:t>’</w:t>
      </w:r>
      <w:r w:rsidR="0011341C">
        <w:t>s request related to the White River properties in this proceeding.</w:t>
      </w:r>
    </w:p>
    <w:p w:rsidR="00866BF4" w:rsidRDefault="00866BF4" w:rsidP="009573C0">
      <w:pPr>
        <w:pStyle w:val="Heading1"/>
      </w:pPr>
      <w:bookmarkStart w:id="49" w:name="_Toc471319049"/>
      <w:r>
        <w:t>X</w:t>
      </w:r>
      <w:r w:rsidR="006F312B">
        <w:t>II</w:t>
      </w:r>
      <w:r>
        <w:t>.</w:t>
      </w:r>
      <w:r>
        <w:tab/>
        <w:t>CONCLUSION</w:t>
      </w:r>
      <w:bookmarkEnd w:id="49"/>
    </w:p>
    <w:p w:rsidR="00866BF4" w:rsidRDefault="00866BF4" w:rsidP="00866BF4">
      <w:pPr>
        <w:pStyle w:val="question"/>
      </w:pPr>
      <w:r>
        <w:t>Q.</w:t>
      </w:r>
      <w:r>
        <w:tab/>
        <w:t>Please summarize your testimony.</w:t>
      </w:r>
    </w:p>
    <w:p w:rsidR="00866BF4" w:rsidRDefault="00866BF4" w:rsidP="00866BF4">
      <w:pPr>
        <w:pStyle w:val="answer"/>
      </w:pPr>
      <w:r>
        <w:t>A.</w:t>
      </w:r>
      <w:r>
        <w:tab/>
        <w:t>PSE actively manages the power and gas cost risks faced by its customers in order to keep power costs as low as reasonably possible.</w:t>
      </w:r>
      <w:r w:rsidR="00CC65A7">
        <w:t xml:space="preserve"> </w:t>
      </w:r>
      <w:r>
        <w:t>PSE</w:t>
      </w:r>
      <w:r w:rsidR="009F02BA">
        <w:t>’</w:t>
      </w:r>
      <w:r>
        <w:t xml:space="preserve">s </w:t>
      </w:r>
      <w:r w:rsidRPr="00DA456E">
        <w:t>$</w:t>
      </w:r>
      <w:r w:rsidR="006D787E" w:rsidRPr="00DA456E">
        <w:t>7</w:t>
      </w:r>
      <w:r w:rsidR="006D787E">
        <w:t>45</w:t>
      </w:r>
      <w:r w:rsidR="00EC5F0C" w:rsidRPr="00DA456E">
        <w:t>.3</w:t>
      </w:r>
      <w:r w:rsidR="009573C0">
        <w:t> </w:t>
      </w:r>
      <w:r>
        <w:t>million projected rate year power costs for this proceeding are consistent with, and based on, sound assumptions using methodologies approved by the Commission in PSE</w:t>
      </w:r>
      <w:r w:rsidR="009F02BA">
        <w:t>’</w:t>
      </w:r>
      <w:r>
        <w:t>s prior general and power cost only rate cases.</w:t>
      </w:r>
    </w:p>
    <w:p w:rsidR="00866BF4" w:rsidRDefault="00866BF4" w:rsidP="00866BF4">
      <w:pPr>
        <w:pStyle w:val="question"/>
      </w:pPr>
      <w:r>
        <w:lastRenderedPageBreak/>
        <w:t>Q.</w:t>
      </w:r>
      <w:r>
        <w:tab/>
        <w:t xml:space="preserve">Does that conclude your </w:t>
      </w:r>
      <w:proofErr w:type="spellStart"/>
      <w:r>
        <w:t>prefiled</w:t>
      </w:r>
      <w:proofErr w:type="spellEnd"/>
      <w:r>
        <w:t xml:space="preserve"> direct testimony?</w:t>
      </w:r>
    </w:p>
    <w:p w:rsidR="00C175EB" w:rsidRDefault="00866BF4" w:rsidP="00866BF4">
      <w:pPr>
        <w:pStyle w:val="answer"/>
      </w:pPr>
      <w:r>
        <w:t>A.</w:t>
      </w:r>
      <w:r>
        <w:tab/>
        <w:t>Yes, it does.</w:t>
      </w:r>
      <w:bookmarkEnd w:id="15"/>
      <w:bookmarkEnd w:id="16"/>
    </w:p>
    <w:sectPr w:rsidR="00C175EB" w:rsidSect="00FB09A7">
      <w:footerReference w:type="default" r:id="rId21"/>
      <w:footerReference w:type="first" r:id="rId22"/>
      <w:pgSz w:w="12240" w:h="15840" w:code="1"/>
      <w:pgMar w:top="1440" w:right="1440" w:bottom="1530" w:left="2160" w:header="864" w:footer="411"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65B" w:rsidRDefault="0003665B">
      <w:r>
        <w:separator/>
      </w:r>
    </w:p>
  </w:endnote>
  <w:endnote w:type="continuationSeparator" w:id="0">
    <w:p w:rsidR="0003665B" w:rsidRDefault="0003665B">
      <w:r>
        <w:continuationSeparator/>
      </w:r>
    </w:p>
  </w:endnote>
  <w:endnote w:type="continuationNotice" w:id="1">
    <w:p w:rsidR="0003665B" w:rsidRDefault="00036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Arial (W1)">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MT">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2B" w:rsidRPr="009C14C3" w:rsidRDefault="007C3D2B">
    <w:pPr>
      <w:pStyle w:val="Footer"/>
      <w:rPr>
        <w:sz w:val="16"/>
      </w:rPr>
    </w:pPr>
    <w:proofErr w:type="spellStart"/>
    <w:r>
      <w:rPr>
        <w:sz w:val="16"/>
      </w:rPr>
      <w:t>WS</w:t>
    </w:r>
    <w:proofErr w:type="spellEnd"/>
    <w:r>
      <w:rPr>
        <w:sz w:val="16"/>
      </w:rPr>
      <w:t>: 796788_2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2B" w:rsidRPr="006A4EC4" w:rsidRDefault="007C3D2B"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7C3D2B" w:rsidRPr="006A4EC4" w:rsidRDefault="007C3D2B" w:rsidP="00E05C6E">
    <w:pPr>
      <w:pStyle w:val="Footer"/>
      <w:tabs>
        <w:tab w:val="clear" w:pos="4507"/>
        <w:tab w:val="clear" w:pos="9000"/>
        <w:tab w:val="right" w:pos="8640"/>
      </w:tabs>
      <w:spacing w:line="240" w:lineRule="auto"/>
      <w:ind w:right="0" w:hanging="4"/>
      <w:rPr>
        <w:sz w:val="10"/>
        <w:szCs w:val="10"/>
      </w:rPr>
    </w:pPr>
  </w:p>
  <w:p w:rsidR="007C3D2B" w:rsidRDefault="007C3D2B" w:rsidP="00E05C6E">
    <w:pPr>
      <w:pStyle w:val="Footer"/>
      <w:tabs>
        <w:tab w:val="clear" w:pos="4507"/>
        <w:tab w:val="clear" w:pos="9000"/>
        <w:tab w:val="right" w:pos="8640"/>
      </w:tabs>
      <w:ind w:hanging="4"/>
    </w:pPr>
    <w:proofErr w:type="spellStart"/>
    <w:r>
      <w:t>Prefiled</w:t>
    </w:r>
    <w:proofErr w:type="spellEnd"/>
    <w:r>
      <w:t xml:space="preserve"> Direct Testimony</w:t>
    </w:r>
    <w:r>
      <w:tab/>
      <w:t>Exhibit No. ___(PKW-1CT)</w:t>
    </w:r>
  </w:p>
  <w:p w:rsidR="007C3D2B" w:rsidRDefault="007C3D2B" w:rsidP="00F342FC">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EB0B4D">
      <w:rPr>
        <w:rStyle w:val="PageNumber"/>
        <w:noProof/>
      </w:rPr>
      <w:t>ii</w:t>
    </w:r>
    <w:r>
      <w:rPr>
        <w:rStyle w:val="PageNumber"/>
      </w:rPr>
      <w:fldChar w:fldCharType="end"/>
    </w:r>
    <w:r>
      <w:rPr>
        <w:rStyle w:val="PageNumber"/>
      </w:rPr>
      <w:t xml:space="preserve"> of </w:t>
    </w:r>
    <w:r>
      <w:rPr>
        <w:rStyle w:val="PageNumber"/>
      </w:rPr>
      <w:fldChar w:fldCharType="begin"/>
    </w:r>
    <w:r>
      <w:rPr>
        <w:rStyle w:val="PageNumber"/>
      </w:rPr>
      <w:instrText xml:space="preserve"> SECTIONPAGES  \* roman  \* MERGEFORMAT </w:instrText>
    </w:r>
    <w:r>
      <w:rPr>
        <w:rStyle w:val="PageNumber"/>
      </w:rPr>
      <w:fldChar w:fldCharType="separate"/>
    </w:r>
    <w:r w:rsidR="00EB0B4D">
      <w:rPr>
        <w:rStyle w:val="PageNumber"/>
        <w:noProof/>
      </w:rPr>
      <w:t>ii</w:t>
    </w:r>
    <w:r>
      <w:rPr>
        <w:rStyle w:val="PageNumber"/>
      </w:rPr>
      <w:fldChar w:fldCharType="end"/>
    </w:r>
  </w:p>
  <w:p w:rsidR="007C3D2B" w:rsidRDefault="007C3D2B" w:rsidP="009F02BA">
    <w:pPr>
      <w:pStyle w:val="Footer"/>
      <w:tabs>
        <w:tab w:val="clear" w:pos="4507"/>
        <w:tab w:val="clear" w:pos="9000"/>
        <w:tab w:val="right" w:pos="8640"/>
      </w:tabs>
      <w:ind w:hanging="4"/>
    </w:pPr>
    <w:r>
      <w:t>Paul K</w:t>
    </w:r>
    <w:r w:rsidRPr="00C175EB">
      <w:t xml:space="preserve">. </w:t>
    </w:r>
    <w:r>
      <w:t>Wetherbee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2B" w:rsidRDefault="007C3D2B" w:rsidP="00E05C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2B" w:rsidRPr="006A4EC4" w:rsidRDefault="007C3D2B" w:rsidP="00E05C6E">
    <w:pPr>
      <w:pStyle w:val="Footer"/>
      <w:tabs>
        <w:tab w:val="clear" w:pos="4507"/>
        <w:tab w:val="clear" w:pos="9000"/>
        <w:tab w:val="right" w:pos="8730"/>
      </w:tabs>
      <w:spacing w:line="240" w:lineRule="auto"/>
      <w:ind w:right="-90"/>
      <w:rPr>
        <w:b/>
        <w:sz w:val="20"/>
        <w:u w:val="single"/>
      </w:rPr>
    </w:pPr>
    <w:r w:rsidRPr="006A4EC4">
      <w:rPr>
        <w:b/>
        <w:sz w:val="20"/>
        <w:u w:val="single"/>
      </w:rPr>
      <w:t>______________________________________________________________________________________</w:t>
    </w:r>
  </w:p>
  <w:p w:rsidR="007C3D2B" w:rsidRPr="006A4EC4" w:rsidRDefault="007C3D2B" w:rsidP="00E05C6E">
    <w:pPr>
      <w:pStyle w:val="Footer"/>
      <w:tabs>
        <w:tab w:val="clear" w:pos="4507"/>
        <w:tab w:val="clear" w:pos="9000"/>
        <w:tab w:val="right" w:pos="8640"/>
      </w:tabs>
      <w:spacing w:line="240" w:lineRule="auto"/>
      <w:ind w:right="0"/>
      <w:rPr>
        <w:sz w:val="10"/>
        <w:szCs w:val="10"/>
      </w:rPr>
    </w:pPr>
  </w:p>
  <w:p w:rsidR="007C3D2B" w:rsidRDefault="007C3D2B" w:rsidP="004611C3">
    <w:pPr>
      <w:pStyle w:val="Footer"/>
      <w:tabs>
        <w:tab w:val="clear" w:pos="4507"/>
        <w:tab w:val="clear" w:pos="9000"/>
        <w:tab w:val="right" w:pos="8640"/>
      </w:tabs>
      <w:ind w:hanging="4"/>
    </w:pPr>
    <w:proofErr w:type="spellStart"/>
    <w:r>
      <w:t>Prefiled</w:t>
    </w:r>
    <w:proofErr w:type="spellEnd"/>
    <w:r>
      <w:t xml:space="preserve"> Direct Testimony</w:t>
    </w:r>
    <w:r>
      <w:tab/>
      <w:t>Exhibit No. ___(PKW-1CT)</w:t>
    </w:r>
  </w:p>
  <w:p w:rsidR="007C3D2B" w:rsidRDefault="007C3D2B" w:rsidP="004611C3">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EB0B4D">
      <w:rPr>
        <w:rStyle w:val="PageNumber"/>
        <w:noProof/>
      </w:rPr>
      <w:t>83</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EB0B4D">
      <w:rPr>
        <w:rStyle w:val="PageNumber"/>
        <w:noProof/>
      </w:rPr>
      <w:t>83</w:t>
    </w:r>
    <w:r>
      <w:rPr>
        <w:rStyle w:val="PageNumber"/>
      </w:rPr>
      <w:fldChar w:fldCharType="end"/>
    </w:r>
  </w:p>
  <w:p w:rsidR="007C3D2B" w:rsidRDefault="007C3D2B" w:rsidP="00A609B9">
    <w:pPr>
      <w:pStyle w:val="Footer"/>
      <w:tabs>
        <w:tab w:val="clear" w:pos="4507"/>
        <w:tab w:val="clear" w:pos="9000"/>
        <w:tab w:val="right" w:pos="8640"/>
      </w:tabs>
      <w:ind w:hanging="4"/>
    </w:pPr>
    <w:r>
      <w:t>Paul K. Wetherbee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2B" w:rsidRDefault="007C3D2B" w:rsidP="00E05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65B" w:rsidRDefault="0003665B">
      <w:r>
        <w:separator/>
      </w:r>
    </w:p>
  </w:footnote>
  <w:footnote w:type="continuationSeparator" w:id="0">
    <w:p w:rsidR="0003665B" w:rsidRDefault="0003665B">
      <w:r>
        <w:continuationSeparator/>
      </w:r>
    </w:p>
  </w:footnote>
  <w:footnote w:type="continuationNotice" w:id="1">
    <w:p w:rsidR="0003665B" w:rsidRDefault="0003665B"/>
  </w:footnote>
  <w:footnote w:id="2">
    <w:p w:rsidR="007C3D2B" w:rsidRDefault="007C3D2B" w:rsidP="00564992">
      <w:pPr>
        <w:pStyle w:val="FootnoteText"/>
        <w:tabs>
          <w:tab w:val="left" w:pos="720"/>
        </w:tabs>
        <w:spacing w:before="60" w:after="60" w:line="240" w:lineRule="auto"/>
        <w:ind w:firstLine="360"/>
      </w:pPr>
      <w:r>
        <w:rPr>
          <w:rStyle w:val="FootnoteReference"/>
        </w:rPr>
        <w:footnoteRef/>
      </w:r>
      <w:r w:rsidRPr="009573C0">
        <w:rPr>
          <w:sz w:val="20"/>
          <w:szCs w:val="20"/>
        </w:rPr>
        <w:tab/>
      </w:r>
      <w:r w:rsidRPr="00564992">
        <w:rPr>
          <w:sz w:val="24"/>
        </w:rPr>
        <w:t>The electric “portfolio” consists of resources available to PSE to serve its customers. The electric portfolio includes generation facilities, purchased power, gas transportation, gas storage and transmission capacity.</w:t>
      </w:r>
    </w:p>
  </w:footnote>
  <w:footnote w:id="3">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rsidRPr="00C82937">
        <w:rPr>
          <w:sz w:val="20"/>
          <w:szCs w:val="20"/>
        </w:rPr>
        <w:tab/>
      </w:r>
      <w:r w:rsidRPr="00564992">
        <w:rPr>
          <w:sz w:val="24"/>
        </w:rPr>
        <w:t>De-rating refers to a decrease in the rated electric capability of an electric transmission line.</w:t>
      </w:r>
    </w:p>
  </w:footnote>
  <w:footnote w:id="4">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rsidRPr="00C82937">
        <w:rPr>
          <w:sz w:val="20"/>
          <w:szCs w:val="20"/>
        </w:rPr>
        <w:tab/>
      </w:r>
      <w:r w:rsidRPr="00564992">
        <w:rPr>
          <w:sz w:val="24"/>
        </w:rPr>
        <w:t>Wheeling refers to the use of the transmission facilities of one power system to transmit power of and for another system. This term is often used colloquially to mean transmission.</w:t>
      </w:r>
    </w:p>
  </w:footnote>
  <w:footnote w:id="5">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rsidRPr="001C0BFB">
        <w:rPr>
          <w:sz w:val="20"/>
          <w:szCs w:val="20"/>
        </w:rPr>
        <w:tab/>
      </w:r>
      <w:r w:rsidRPr="00564992">
        <w:rPr>
          <w:sz w:val="24"/>
        </w:rPr>
        <w:t xml:space="preserve">The AURORA model is discussed in Section IX. A of this </w:t>
      </w:r>
      <w:proofErr w:type="spellStart"/>
      <w:r w:rsidRPr="00564992">
        <w:rPr>
          <w:sz w:val="24"/>
        </w:rPr>
        <w:t>prefiled</w:t>
      </w:r>
      <w:proofErr w:type="spellEnd"/>
      <w:r w:rsidRPr="00564992">
        <w:rPr>
          <w:sz w:val="24"/>
        </w:rPr>
        <w:t xml:space="preserve"> direct testimony.</w:t>
      </w:r>
    </w:p>
  </w:footnote>
  <w:footnote w:id="6">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rsidRPr="001C0BFB">
        <w:rPr>
          <w:sz w:val="20"/>
          <w:szCs w:val="20"/>
        </w:rPr>
        <w:tab/>
      </w:r>
      <w:r w:rsidRPr="00564992">
        <w:rPr>
          <w:sz w:val="24"/>
        </w:rPr>
        <w:t>Fixed-for-float swaps fix the price of a commodity relative to the market “index” price of a commodity and settlement is done financially. For example, PSE may enter into a fixed-for-float Mid-C power contract for a future month at a fixed price of $32.00 per MWh for all hours of the day (“flat”). When the future month occurs, the contract is settled by comparing the fixed $32.00 per MWh to the market price of, say $35.00 per MWh. In this example, the counterparty would pay PSE the difference between the fixed price and the market price, or $3.00 per MWh. For a 31-day month with 744 hours, this would be a payment of $2,232 for a 1 MWh contract.</w:t>
      </w:r>
    </w:p>
  </w:footnote>
  <w:footnote w:id="7">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tab/>
      </w:r>
      <w:r w:rsidRPr="00564992">
        <w:rPr>
          <w:i/>
          <w:sz w:val="24"/>
        </w:rPr>
        <w:t>See</w:t>
      </w:r>
      <w:r w:rsidRPr="00564992">
        <w:rPr>
          <w:sz w:val="24"/>
        </w:rPr>
        <w:t xml:space="preserve"> Puget Sound Energy, Inc., 2015 Integrated Resource Plan, Chapter 6 (Electric Analysis) (November 30, 2015), available at </w:t>
      </w:r>
      <w:hyperlink r:id="rId1" w:history="1">
        <w:r w:rsidRPr="00564992">
          <w:rPr>
            <w:rStyle w:val="Hyperlink"/>
            <w:sz w:val="24"/>
          </w:rPr>
          <w:t>http://pse.com/aboutpse/EnergySupply/Pages/Resource-Planning.aspx</w:t>
        </w:r>
      </w:hyperlink>
      <w:r w:rsidRPr="00564992">
        <w:rPr>
          <w:sz w:val="24"/>
        </w:rPr>
        <w:t>.</w:t>
      </w:r>
    </w:p>
  </w:footnote>
  <w:footnote w:id="8">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tab/>
      </w:r>
      <w:r w:rsidRPr="00564992">
        <w:rPr>
          <w:sz w:val="24"/>
        </w:rPr>
        <w:t>PSE has received the 15 MW of transmission for Mint Farm on a conditional firm basis and has requested that it be made firm.</w:t>
      </w:r>
    </w:p>
  </w:footnote>
  <w:footnote w:id="9">
    <w:p w:rsidR="007C3D2B" w:rsidRPr="00564992" w:rsidRDefault="007C3D2B" w:rsidP="00C427DE">
      <w:pPr>
        <w:pStyle w:val="FootnoteText"/>
        <w:tabs>
          <w:tab w:val="left" w:pos="720"/>
        </w:tabs>
        <w:spacing w:before="60" w:after="60" w:line="240" w:lineRule="auto"/>
        <w:ind w:firstLine="360"/>
        <w:rPr>
          <w:sz w:val="24"/>
        </w:rPr>
      </w:pPr>
      <w:r>
        <w:rPr>
          <w:rStyle w:val="FootnoteReference"/>
        </w:rPr>
        <w:footnoteRef/>
      </w:r>
      <w:r>
        <w:tab/>
      </w:r>
      <w:r w:rsidRPr="00564992">
        <w:rPr>
          <w:sz w:val="24"/>
        </w:rPr>
        <w:t>According to the ATC Less Pending Queued Request Inventory that is publically posted on the BPA website.</w:t>
      </w:r>
    </w:p>
  </w:footnote>
  <w:footnote w:id="10">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tab/>
      </w:r>
      <w:r w:rsidRPr="00564992">
        <w:rPr>
          <w:sz w:val="24"/>
        </w:rPr>
        <w:t>The assumed short-term replacement contract was a 75 MW winter only (November through February) power purchase contract that would begin in November 2015.</w:t>
      </w:r>
    </w:p>
  </w:footnote>
  <w:footnote w:id="11">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tab/>
      </w:r>
      <w:r w:rsidRPr="00564992">
        <w:rPr>
          <w:sz w:val="24"/>
        </w:rPr>
        <w:t xml:space="preserve">AURORA software version 11.3.1021 was used in the 2014 </w:t>
      </w:r>
      <w:proofErr w:type="spellStart"/>
      <w:r w:rsidRPr="00564992">
        <w:rPr>
          <w:sz w:val="24"/>
        </w:rPr>
        <w:t>PCORC</w:t>
      </w:r>
      <w:proofErr w:type="spellEnd"/>
      <w:r>
        <w:rPr>
          <w:sz w:val="24"/>
        </w:rPr>
        <w:t xml:space="preserve"> and 2016 Power Cost Update</w:t>
      </w:r>
      <w:r w:rsidRPr="00564992">
        <w:rPr>
          <w:sz w:val="24"/>
        </w:rPr>
        <w:t>, along with the North American Database 2014.01.</w:t>
      </w:r>
    </w:p>
  </w:footnote>
  <w:footnote w:id="12">
    <w:p w:rsidR="007C3D2B" w:rsidRPr="00564992" w:rsidRDefault="007C3D2B" w:rsidP="00564992">
      <w:pPr>
        <w:pStyle w:val="FootnoteText"/>
        <w:tabs>
          <w:tab w:val="left" w:pos="720"/>
        </w:tabs>
        <w:spacing w:before="60" w:after="60" w:line="240" w:lineRule="auto"/>
        <w:ind w:firstLine="360"/>
        <w:rPr>
          <w:sz w:val="24"/>
        </w:rPr>
      </w:pPr>
      <w:r>
        <w:rPr>
          <w:rStyle w:val="FootnoteReference"/>
        </w:rPr>
        <w:footnoteRef/>
      </w:r>
      <w:r>
        <w:tab/>
      </w:r>
      <w:r w:rsidRPr="00564992">
        <w:rPr>
          <w:i/>
          <w:sz w:val="24"/>
        </w:rPr>
        <w:t>See WUTC v. Puget Sound Energy, Inc.</w:t>
      </w:r>
      <w:r w:rsidRPr="00564992">
        <w:rPr>
          <w:sz w:val="24"/>
        </w:rPr>
        <w:t xml:space="preserve">, Dockets UE-090704 and UG-090705, Order 11 at ¶ 124 (Apr. 2, 2010) (the “2009 </w:t>
      </w:r>
      <w:proofErr w:type="spellStart"/>
      <w:r w:rsidRPr="00564992">
        <w:rPr>
          <w:sz w:val="24"/>
        </w:rPr>
        <w:t>GRC</w:t>
      </w:r>
      <w:proofErr w:type="spellEnd"/>
      <w:r w:rsidRPr="00564992">
        <w:rPr>
          <w:sz w:val="24"/>
        </w:rPr>
        <w:t xml:space="preserve"> Final Order”).</w:t>
      </w:r>
    </w:p>
  </w:footnote>
  <w:footnote w:id="13">
    <w:p w:rsidR="007C3D2B" w:rsidRDefault="007C3D2B" w:rsidP="00564992">
      <w:pPr>
        <w:pStyle w:val="FootnoteText"/>
        <w:tabs>
          <w:tab w:val="left" w:pos="720"/>
        </w:tabs>
        <w:spacing w:before="60" w:after="60" w:line="240" w:lineRule="auto"/>
        <w:ind w:firstLine="360"/>
      </w:pPr>
      <w:r w:rsidRPr="00DA132C">
        <w:rPr>
          <w:rStyle w:val="FootnoteReference"/>
          <w:szCs w:val="16"/>
        </w:rPr>
        <w:footnoteRef/>
      </w:r>
      <w:r w:rsidRPr="00612BE7">
        <w:rPr>
          <w:sz w:val="20"/>
        </w:rPr>
        <w:tab/>
      </w:r>
      <w:r w:rsidRPr="00564992">
        <w:rPr>
          <w:i/>
          <w:sz w:val="24"/>
        </w:rPr>
        <w:t>WUTC v. Puget Sound Energy, Inc.</w:t>
      </w:r>
      <w:r w:rsidRPr="00564992">
        <w:rPr>
          <w:sz w:val="24"/>
        </w:rPr>
        <w:t>, Dockets UE-060266 and UG-060267, Order No. 08 at ¶104 (Jan. 5, 2007).</w:t>
      </w:r>
    </w:p>
  </w:footnote>
  <w:footnote w:id="14">
    <w:p w:rsidR="007C3D2B" w:rsidRPr="00564992" w:rsidRDefault="007C3D2B" w:rsidP="00174A22">
      <w:pPr>
        <w:pStyle w:val="FootnoteText"/>
        <w:tabs>
          <w:tab w:val="left" w:pos="720"/>
        </w:tabs>
        <w:spacing w:before="60" w:after="60" w:line="240" w:lineRule="auto"/>
        <w:ind w:firstLine="360"/>
        <w:rPr>
          <w:sz w:val="24"/>
        </w:rPr>
      </w:pPr>
      <w:r>
        <w:rPr>
          <w:rStyle w:val="FootnoteReference"/>
        </w:rPr>
        <w:footnoteRef/>
      </w:r>
      <w:r w:rsidRPr="00C82937">
        <w:rPr>
          <w:sz w:val="20"/>
          <w:szCs w:val="20"/>
        </w:rPr>
        <w:tab/>
      </w:r>
      <w:r>
        <w:rPr>
          <w:sz w:val="24"/>
        </w:rPr>
        <w:t>Data for 2016 are not yet available.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2B" w:rsidRDefault="007C3D2B">
    <w:pPr>
      <w:pStyle w:val="Header"/>
    </w:pPr>
    <w:bookmarkStart w:id="0" w:name="_Toc100550744"/>
    <w:bookmarkStart w:id="1" w:name="_Toc100550978"/>
    <w:bookmarkEnd w:id="0"/>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2B" w:rsidRDefault="007C3D2B">
    <w:pPr>
      <w:pStyle w:val="Header"/>
    </w:pPr>
    <w:r>
      <w:rPr>
        <w:noProof/>
        <w:lang w:eastAsia="en-US"/>
      </w:rPr>
      <mc:AlternateContent>
        <mc:Choice Requires="wps">
          <w:drawing>
            <wp:anchor distT="0" distB="0" distL="114300" distR="114300" simplePos="0" relativeHeight="251657216" behindDoc="0" locked="0" layoutInCell="1" allowOverlap="1" wp14:anchorId="39276E46" wp14:editId="38BE54FD">
              <wp:simplePos x="0" y="0"/>
              <wp:positionH relativeFrom="column">
                <wp:posOffset>-177165</wp:posOffset>
              </wp:positionH>
              <wp:positionV relativeFrom="paragraph">
                <wp:posOffset>2540</wp:posOffset>
              </wp:positionV>
              <wp:extent cx="0" cy="925830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bookmarkStart w:id="4" w:name="OLE_LINK2"/>
  <w:bookmarkStart w:id="5" w:name="_Hlk125911586"/>
  <w:p w:rsidR="007C3D2B" w:rsidRDefault="007C3D2B">
    <w:pPr>
      <w:pStyle w:val="Header"/>
      <w:jc w:val="right"/>
    </w:pPr>
    <w:r>
      <w:rPr>
        <w:noProof/>
        <w:lang w:eastAsia="en-US"/>
      </w:rPr>
      <mc:AlternateContent>
        <mc:Choice Requires="wps">
          <w:drawing>
            <wp:anchor distT="0" distB="0" distL="114300" distR="114300" simplePos="0" relativeHeight="251658240" behindDoc="0" locked="0" layoutInCell="1" allowOverlap="1" wp14:anchorId="60E0A39E" wp14:editId="24F1D6AB">
              <wp:simplePos x="0" y="0"/>
              <wp:positionH relativeFrom="column">
                <wp:posOffset>-177165</wp:posOffset>
              </wp:positionH>
              <wp:positionV relativeFrom="paragraph">
                <wp:posOffset>-88900</wp:posOffset>
              </wp:positionV>
              <wp:extent cx="0" cy="92583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ED2B1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AC0AB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0C1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A0C4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2E4B7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DEECE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E6EA2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
      <w:lvlText w:val="%1."/>
      <w:lvlJc w:val="left"/>
      <w:pPr>
        <w:tabs>
          <w:tab w:val="num" w:pos="360"/>
        </w:tabs>
        <w:ind w:left="360" w:hanging="360"/>
      </w:pPr>
    </w:lvl>
  </w:abstractNum>
  <w:abstractNum w:abstractNumId="9">
    <w:nsid w:val="FFFFFF89"/>
    <w:multiLevelType w:val="singleLevel"/>
    <w:tmpl w:val="884C4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70F84CAE"/>
    <w:lvl w:ilvl="0">
      <w:start w:val="1"/>
      <w:numFmt w:val="upperLetter"/>
      <w:pStyle w:val="QuickA"/>
      <w:lvlText w:val="%1."/>
      <w:lvlJc w:val="left"/>
      <w:pPr>
        <w:tabs>
          <w:tab w:val="num" w:pos="720"/>
        </w:tabs>
      </w:pPr>
      <w:rPr>
        <w:rFonts w:ascii="Times New Roman" w:hAnsi="Times New Roman"/>
        <w:b/>
        <w:sz w:val="24"/>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nsid w:val="088327C3"/>
    <w:multiLevelType w:val="hybridMultilevel"/>
    <w:tmpl w:val="610224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2AD185B"/>
    <w:multiLevelType w:val="hybridMultilevel"/>
    <w:tmpl w:val="8F1CC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5">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6">
    <w:nsid w:val="19C41D31"/>
    <w:multiLevelType w:val="hybridMultilevel"/>
    <w:tmpl w:val="153E59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E9459A5"/>
    <w:multiLevelType w:val="hybridMultilevel"/>
    <w:tmpl w:val="22544D14"/>
    <w:lvl w:ilvl="0" w:tplc="FFFFFFFF">
      <w:start w:val="1"/>
      <w:numFmt w:val="bullet"/>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8">
    <w:nsid w:val="20C855D9"/>
    <w:multiLevelType w:val="hybridMultilevel"/>
    <w:tmpl w:val="795A1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D1025D"/>
    <w:multiLevelType w:val="hybridMultilevel"/>
    <w:tmpl w:val="07EE97E2"/>
    <w:lvl w:ilvl="0" w:tplc="73BECC1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430"/>
        </w:tabs>
        <w:ind w:left="2430" w:hanging="360"/>
      </w:pPr>
      <w:rPr>
        <w:rFonts w:cs="Times New Roman" w:hint="default"/>
      </w:rPr>
    </w:lvl>
    <w:lvl w:ilvl="2" w:tplc="B2341CD8">
      <w:start w:val="500"/>
      <w:numFmt w:val="lowerRoman"/>
      <w:lvlText w:val="%3."/>
      <w:lvlJc w:val="right"/>
      <w:pPr>
        <w:tabs>
          <w:tab w:val="num" w:pos="2520"/>
        </w:tabs>
        <w:ind w:left="2520" w:hanging="18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315B2988"/>
    <w:multiLevelType w:val="hybridMultilevel"/>
    <w:tmpl w:val="4AD64D5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nsid w:val="32DA1153"/>
    <w:multiLevelType w:val="hybridMultilevel"/>
    <w:tmpl w:val="B6FEE4E6"/>
    <w:lvl w:ilvl="0" w:tplc="04090001">
      <w:start w:val="1"/>
      <w:numFmt w:val="bullet"/>
      <w:pStyle w:val="09ProcessBullets"/>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sz w:val="20"/>
        <w:vertAlign w:val="base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6B151DC"/>
    <w:multiLevelType w:val="multilevel"/>
    <w:tmpl w:val="45DC591C"/>
    <w:lvl w:ilvl="0">
      <w:start w:val="1"/>
      <w:numFmt w:val="upperRoman"/>
      <w:pStyle w:val="BlockText"/>
      <w:suff w:val="space"/>
      <w:lvlText w:val="%1)"/>
      <w:lvlJc w:val="left"/>
      <w:pPr>
        <w:ind w:left="288" w:hanging="288"/>
      </w:p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C0D0FA6"/>
    <w:multiLevelType w:val="hybridMultilevel"/>
    <w:tmpl w:val="B1DA70F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1BA49BD"/>
    <w:multiLevelType w:val="multilevel"/>
    <w:tmpl w:val="4516A8CE"/>
    <w:lvl w:ilvl="0">
      <w:start w:val="1"/>
      <w:numFmt w:val="decimal"/>
      <w:pStyle w:val="Numbr10DS"/>
      <w:lvlText w:val="%1."/>
      <w:lvlJc w:val="right"/>
      <w:pPr>
        <w:tabs>
          <w:tab w:val="num" w:pos="360"/>
        </w:tabs>
        <w:ind w:left="360" w:hanging="72"/>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1%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nsid w:val="420B50CC"/>
    <w:multiLevelType w:val="hybridMultilevel"/>
    <w:tmpl w:val="F726F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B1489E"/>
    <w:multiLevelType w:val="hybridMultilevel"/>
    <w:tmpl w:val="71FE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8">
    <w:nsid w:val="491A3EDE"/>
    <w:multiLevelType w:val="hybridMultilevel"/>
    <w:tmpl w:val="8514E8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1B0307"/>
    <w:multiLevelType w:val="hybridMultilevel"/>
    <w:tmpl w:val="59826084"/>
    <w:lvl w:ilvl="0" w:tplc="5B4257B0">
      <w:start w:val="1"/>
      <w:numFmt w:val="bullet"/>
      <w:pStyle w:val="11RFPBodyBullet"/>
      <w:lvlText w:val=""/>
      <w:lvlJc w:val="left"/>
      <w:pPr>
        <w:tabs>
          <w:tab w:val="num" w:pos="360"/>
        </w:tabs>
        <w:ind w:left="360" w:hanging="360"/>
      </w:pPr>
      <w:rPr>
        <w:rFonts w:ascii="Symbol" w:hAnsi="Symbol" w:hint="default"/>
        <w:color w:val="auto"/>
        <w:sz w:val="20"/>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30">
    <w:nsid w:val="4C9A63E2"/>
    <w:multiLevelType w:val="hybridMultilevel"/>
    <w:tmpl w:val="FEB29476"/>
    <w:name w:val="Quick A."/>
    <w:lvl w:ilvl="0" w:tplc="04090015">
      <w:start w:val="1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D737658"/>
    <w:multiLevelType w:val="hybridMultilevel"/>
    <w:tmpl w:val="B7409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4">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5">
    <w:nsid w:val="66342749"/>
    <w:multiLevelType w:val="hybridMultilevel"/>
    <w:tmpl w:val="85C8E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6D832C3"/>
    <w:multiLevelType w:val="hybridMultilevel"/>
    <w:tmpl w:val="2A7650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8">
    <w:nsid w:val="67C42705"/>
    <w:multiLevelType w:val="multilevel"/>
    <w:tmpl w:val="AF422406"/>
    <w:lvl w:ilvl="0">
      <w:start w:val="1"/>
      <w:numFmt w:val="decimal"/>
      <w:pStyle w:val="Numbr1-9S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nsid w:val="67FD0F6D"/>
    <w:multiLevelType w:val="multilevel"/>
    <w:tmpl w:val="30FEEC8E"/>
    <w:lvl w:ilvl="0">
      <w:start w:val="1"/>
      <w:numFmt w:val="decimal"/>
      <w:pStyle w:val="Numbr1-9DS"/>
      <w:lvlText w:val="%1."/>
      <w:lvlJc w:val="left"/>
      <w:pPr>
        <w:tabs>
          <w:tab w:val="num" w:pos="360"/>
        </w:tabs>
        <w:ind w:left="360" w:hanging="360"/>
      </w:pPr>
      <w:rPr>
        <w:rFonts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0">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1">
    <w:nsid w:val="71C14952"/>
    <w:multiLevelType w:val="hybridMultilevel"/>
    <w:tmpl w:val="4AD64D5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2">
    <w:nsid w:val="7B373A0B"/>
    <w:multiLevelType w:val="multilevel"/>
    <w:tmpl w:val="9188B0FE"/>
    <w:lvl w:ilvl="0">
      <w:start w:val="1"/>
      <w:numFmt w:val="none"/>
      <w:pStyle w:val="Level00"/>
      <w:suff w:val="nothing"/>
      <w:lvlText w:val="%1"/>
      <w:lvlJc w:val="left"/>
      <w:pPr>
        <w:ind w:left="1152" w:hanging="576"/>
      </w:pPr>
      <w:rPr>
        <w:rFonts w:hint="default"/>
        <w:b w:val="0"/>
      </w:rPr>
    </w:lvl>
    <w:lvl w:ilvl="1">
      <w:start w:val="1"/>
      <w:numFmt w:val="decimal"/>
      <w:pStyle w:val="Level01"/>
      <w:lvlText w:val="%2)"/>
      <w:lvlJc w:val="left"/>
      <w:pPr>
        <w:tabs>
          <w:tab w:val="num" w:pos="1512"/>
        </w:tabs>
        <w:ind w:left="1512" w:hanging="360"/>
      </w:pPr>
      <w:rPr>
        <w:rFonts w:hint="default"/>
      </w:rPr>
    </w:lvl>
    <w:lvl w:ilvl="2">
      <w:start w:val="1"/>
      <w:numFmt w:val="lowerLetter"/>
      <w:pStyle w:val="Level02"/>
      <w:lvlText w:val="%3)"/>
      <w:lvlJc w:val="left"/>
      <w:pPr>
        <w:tabs>
          <w:tab w:val="num" w:pos="1872"/>
        </w:tabs>
        <w:ind w:left="1872" w:hanging="360"/>
      </w:pPr>
      <w:rPr>
        <w:rFonts w:hint="default"/>
      </w:rPr>
    </w:lvl>
    <w:lvl w:ilvl="3">
      <w:start w:val="1"/>
      <w:numFmt w:val="lowerRoman"/>
      <w:pStyle w:val="Level03"/>
      <w:lvlText w:val="%4)"/>
      <w:lvlJc w:val="left"/>
      <w:pPr>
        <w:tabs>
          <w:tab w:val="num" w:pos="2592"/>
        </w:tabs>
        <w:ind w:left="2232" w:hanging="360"/>
      </w:pPr>
      <w:rPr>
        <w:rFonts w:hint="default"/>
      </w:rPr>
    </w:lvl>
    <w:lvl w:ilvl="4">
      <w:start w:val="1"/>
      <w:numFmt w:val="decimal"/>
      <w:pStyle w:val="Level04"/>
      <w:lvlText w:val="(%5)"/>
      <w:lvlJc w:val="left"/>
      <w:pPr>
        <w:tabs>
          <w:tab w:val="num" w:pos="2952"/>
        </w:tabs>
        <w:ind w:left="2592" w:hanging="360"/>
      </w:pPr>
      <w:rPr>
        <w:rFonts w:hint="default"/>
      </w:rPr>
    </w:lvl>
    <w:lvl w:ilvl="5">
      <w:start w:val="1"/>
      <w:numFmt w:val="lowerLetter"/>
      <w:pStyle w:val="Level05"/>
      <w:lvlText w:val="(%6)"/>
      <w:lvlJc w:val="left"/>
      <w:pPr>
        <w:tabs>
          <w:tab w:val="num" w:pos="3312"/>
        </w:tabs>
        <w:ind w:left="2952" w:hanging="360"/>
      </w:pPr>
      <w:rPr>
        <w:rFonts w:hint="default"/>
      </w:rPr>
    </w:lvl>
    <w:lvl w:ilvl="6">
      <w:start w:val="1"/>
      <w:numFmt w:val="lowerRoman"/>
      <w:pStyle w:val="Level06"/>
      <w:lvlText w:val="(%7)"/>
      <w:lvlJc w:val="left"/>
      <w:pPr>
        <w:tabs>
          <w:tab w:val="num" w:pos="4032"/>
        </w:tabs>
        <w:ind w:left="3312" w:hanging="360"/>
      </w:pPr>
      <w:rPr>
        <w:rFonts w:hint="default"/>
      </w:rPr>
    </w:lvl>
    <w:lvl w:ilvl="7">
      <w:start w:val="1"/>
      <w:numFmt w:val="decimal"/>
      <w:lvlText w:val="%8."/>
      <w:lvlJc w:val="left"/>
      <w:pPr>
        <w:tabs>
          <w:tab w:val="num" w:pos="3672"/>
        </w:tabs>
        <w:ind w:left="3672" w:hanging="360"/>
      </w:pPr>
      <w:rPr>
        <w:rFonts w:hint="default"/>
      </w:rPr>
    </w:lvl>
    <w:lvl w:ilvl="8">
      <w:start w:val="1"/>
      <w:numFmt w:val="lowerLetter"/>
      <w:lvlText w:val="%9."/>
      <w:lvlJc w:val="left"/>
      <w:pPr>
        <w:tabs>
          <w:tab w:val="num" w:pos="4032"/>
        </w:tabs>
        <w:ind w:left="4032" w:hanging="360"/>
      </w:pPr>
      <w:rPr>
        <w:rFonts w:hint="default"/>
      </w:rPr>
    </w:lvl>
  </w:abstractNum>
  <w:abstractNum w:abstractNumId="4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nsid w:val="7FB63CC9"/>
    <w:multiLevelType w:val="hybridMultilevel"/>
    <w:tmpl w:val="7990E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11"/>
  </w:num>
  <w:num w:numId="3">
    <w:abstractNumId w:val="39"/>
  </w:num>
  <w:num w:numId="4">
    <w:abstractNumId w:val="24"/>
  </w:num>
  <w:num w:numId="5">
    <w:abstractNumId w:val="34"/>
  </w:num>
  <w:num w:numId="6">
    <w:abstractNumId w:val="37"/>
  </w:num>
  <w:num w:numId="7">
    <w:abstractNumId w:val="40"/>
  </w:num>
  <w:num w:numId="8">
    <w:abstractNumId w:val="27"/>
  </w:num>
  <w:num w:numId="9">
    <w:abstractNumId w:val="43"/>
  </w:num>
  <w:num w:numId="10">
    <w:abstractNumId w:val="32"/>
  </w:num>
  <w:num w:numId="11">
    <w:abstractNumId w:val="33"/>
  </w:num>
  <w:num w:numId="12">
    <w:abstractNumId w:val="15"/>
  </w:num>
  <w:num w:numId="13">
    <w:abstractNumId w:val="14"/>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42"/>
  </w:num>
  <w:num w:numId="27">
    <w:abstractNumId w:val="30"/>
  </w:num>
  <w:num w:numId="28">
    <w:abstractNumId w:val="36"/>
  </w:num>
  <w:num w:numId="29">
    <w:abstractNumId w:val="16"/>
  </w:num>
  <w:num w:numId="30">
    <w:abstractNumId w:val="21"/>
  </w:num>
  <w:num w:numId="31">
    <w:abstractNumId w:val="17"/>
  </w:num>
  <w:num w:numId="32">
    <w:abstractNumId w:val="29"/>
  </w:num>
  <w:num w:numId="33">
    <w:abstractNumId w:val="41"/>
  </w:num>
  <w:num w:numId="34">
    <w:abstractNumId w:val="20"/>
  </w:num>
  <w:num w:numId="35">
    <w:abstractNumId w:val="12"/>
  </w:num>
  <w:num w:numId="36">
    <w:abstractNumId w:val="23"/>
  </w:num>
  <w:num w:numId="37">
    <w:abstractNumId w:val="26"/>
  </w:num>
  <w:num w:numId="38">
    <w:abstractNumId w:val="13"/>
  </w:num>
  <w:num w:numId="39">
    <w:abstractNumId w:val="31"/>
  </w:num>
  <w:num w:numId="40">
    <w:abstractNumId w:val="19"/>
  </w:num>
  <w:num w:numId="41">
    <w:abstractNumId w:val="35"/>
  </w:num>
  <w:num w:numId="42">
    <w:abstractNumId w:val="18"/>
  </w:num>
  <w:num w:numId="43">
    <w:abstractNumId w:val="44"/>
  </w:num>
  <w:num w:numId="44">
    <w:abstractNumId w:val="25"/>
  </w:num>
  <w:num w:numId="45">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TrueTypeFonts/>
  <w:saveSubsetFonts/>
  <w:activeWritingStyle w:appName="MSWord" w:lang="en-US" w:vendorID="64" w:dllVersion="131078" w:nlCheck="1" w:checkStyle="0"/>
  <w:activeWritingStyle w:appName="MSWord" w:lang="en-GB" w:vendorID="64" w:dllVersion="131078" w:nlCheck="1" w:checkStyle="1"/>
  <w:activeWritingStyle w:appName="MSWord" w:lang="en-AU"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DocStamp_1_OptionalControlValues" w:val="ClientMatter|&amp;Client/Matter Number|1|%cm"/>
    <w:docVar w:name="MPDocID" w:val="07771-0045/134027606.4"/>
    <w:docVar w:name="MPDocIDTemplate" w:val="%c-|%m/|%n|.%v"/>
    <w:docVar w:name="MPDocIDTemplateDefault" w:val="%c-|%m/|%n|.%v"/>
    <w:docVar w:name="NewDocStampType" w:val="1"/>
  </w:docVars>
  <w:rsids>
    <w:rsidRoot w:val="0078036F"/>
    <w:rsid w:val="00000251"/>
    <w:rsid w:val="0000074B"/>
    <w:rsid w:val="00000CE5"/>
    <w:rsid w:val="00000E10"/>
    <w:rsid w:val="0000176B"/>
    <w:rsid w:val="00001A4E"/>
    <w:rsid w:val="00001A95"/>
    <w:rsid w:val="0000267D"/>
    <w:rsid w:val="000038D1"/>
    <w:rsid w:val="00003993"/>
    <w:rsid w:val="000039FD"/>
    <w:rsid w:val="00003FC5"/>
    <w:rsid w:val="00004BAF"/>
    <w:rsid w:val="00004E7F"/>
    <w:rsid w:val="00004F3D"/>
    <w:rsid w:val="000055A7"/>
    <w:rsid w:val="000057A7"/>
    <w:rsid w:val="00005947"/>
    <w:rsid w:val="00006590"/>
    <w:rsid w:val="000068BE"/>
    <w:rsid w:val="00006999"/>
    <w:rsid w:val="00006CDE"/>
    <w:rsid w:val="000075CC"/>
    <w:rsid w:val="00007B11"/>
    <w:rsid w:val="000105BC"/>
    <w:rsid w:val="000109B4"/>
    <w:rsid w:val="00010B53"/>
    <w:rsid w:val="00011A48"/>
    <w:rsid w:val="00011F3E"/>
    <w:rsid w:val="00012276"/>
    <w:rsid w:val="0001236B"/>
    <w:rsid w:val="000139F4"/>
    <w:rsid w:val="00014348"/>
    <w:rsid w:val="00015C4A"/>
    <w:rsid w:val="000168EC"/>
    <w:rsid w:val="00016B50"/>
    <w:rsid w:val="00016CF1"/>
    <w:rsid w:val="00016DD6"/>
    <w:rsid w:val="00016EB5"/>
    <w:rsid w:val="000171A2"/>
    <w:rsid w:val="00020102"/>
    <w:rsid w:val="00020A5D"/>
    <w:rsid w:val="00021598"/>
    <w:rsid w:val="00022279"/>
    <w:rsid w:val="00022347"/>
    <w:rsid w:val="000223E5"/>
    <w:rsid w:val="00022631"/>
    <w:rsid w:val="00023B96"/>
    <w:rsid w:val="00023F79"/>
    <w:rsid w:val="00025457"/>
    <w:rsid w:val="00025DF3"/>
    <w:rsid w:val="00026568"/>
    <w:rsid w:val="000266C2"/>
    <w:rsid w:val="00026A20"/>
    <w:rsid w:val="00027FC1"/>
    <w:rsid w:val="0003065A"/>
    <w:rsid w:val="000306CA"/>
    <w:rsid w:val="000309E8"/>
    <w:rsid w:val="000310FF"/>
    <w:rsid w:val="0003181B"/>
    <w:rsid w:val="000321EF"/>
    <w:rsid w:val="00032732"/>
    <w:rsid w:val="00032E29"/>
    <w:rsid w:val="00033037"/>
    <w:rsid w:val="000337FC"/>
    <w:rsid w:val="00034263"/>
    <w:rsid w:val="00034B24"/>
    <w:rsid w:val="00034D4C"/>
    <w:rsid w:val="0003518E"/>
    <w:rsid w:val="00036164"/>
    <w:rsid w:val="000361EE"/>
    <w:rsid w:val="0003665B"/>
    <w:rsid w:val="00036D22"/>
    <w:rsid w:val="00036E7F"/>
    <w:rsid w:val="0003718A"/>
    <w:rsid w:val="0004049B"/>
    <w:rsid w:val="00040A77"/>
    <w:rsid w:val="00041E64"/>
    <w:rsid w:val="0004274C"/>
    <w:rsid w:val="00042EA0"/>
    <w:rsid w:val="0004395D"/>
    <w:rsid w:val="000447CA"/>
    <w:rsid w:val="000457F3"/>
    <w:rsid w:val="00045DCD"/>
    <w:rsid w:val="00046125"/>
    <w:rsid w:val="0004725D"/>
    <w:rsid w:val="00047B7C"/>
    <w:rsid w:val="00047BC0"/>
    <w:rsid w:val="000501D4"/>
    <w:rsid w:val="00050CE9"/>
    <w:rsid w:val="00050D0A"/>
    <w:rsid w:val="00051B5A"/>
    <w:rsid w:val="00051BF3"/>
    <w:rsid w:val="000526E1"/>
    <w:rsid w:val="00052A92"/>
    <w:rsid w:val="000545ED"/>
    <w:rsid w:val="00055585"/>
    <w:rsid w:val="000561B0"/>
    <w:rsid w:val="00056671"/>
    <w:rsid w:val="0005731E"/>
    <w:rsid w:val="000573B4"/>
    <w:rsid w:val="00060DE1"/>
    <w:rsid w:val="00061223"/>
    <w:rsid w:val="000626A8"/>
    <w:rsid w:val="000626F6"/>
    <w:rsid w:val="00062A35"/>
    <w:rsid w:val="000630DF"/>
    <w:rsid w:val="000636A8"/>
    <w:rsid w:val="00063E83"/>
    <w:rsid w:val="00064D13"/>
    <w:rsid w:val="00065CA1"/>
    <w:rsid w:val="00065CD3"/>
    <w:rsid w:val="00065E97"/>
    <w:rsid w:val="00066742"/>
    <w:rsid w:val="00066842"/>
    <w:rsid w:val="0006775A"/>
    <w:rsid w:val="00067AC2"/>
    <w:rsid w:val="0007012D"/>
    <w:rsid w:val="00070978"/>
    <w:rsid w:val="00071233"/>
    <w:rsid w:val="00073931"/>
    <w:rsid w:val="000742CA"/>
    <w:rsid w:val="0007430F"/>
    <w:rsid w:val="00074504"/>
    <w:rsid w:val="00074E1C"/>
    <w:rsid w:val="00074F3A"/>
    <w:rsid w:val="0007524A"/>
    <w:rsid w:val="00076AC0"/>
    <w:rsid w:val="0007701B"/>
    <w:rsid w:val="00077BE6"/>
    <w:rsid w:val="00077F2F"/>
    <w:rsid w:val="00080B87"/>
    <w:rsid w:val="00080DD9"/>
    <w:rsid w:val="00080ECE"/>
    <w:rsid w:val="000810A0"/>
    <w:rsid w:val="00081400"/>
    <w:rsid w:val="00081C91"/>
    <w:rsid w:val="00081EB3"/>
    <w:rsid w:val="00081FE4"/>
    <w:rsid w:val="000822A0"/>
    <w:rsid w:val="000829F9"/>
    <w:rsid w:val="00082A97"/>
    <w:rsid w:val="00082DF4"/>
    <w:rsid w:val="00083FB6"/>
    <w:rsid w:val="0008472E"/>
    <w:rsid w:val="000851D6"/>
    <w:rsid w:val="0008729E"/>
    <w:rsid w:val="00087A30"/>
    <w:rsid w:val="00087E7B"/>
    <w:rsid w:val="000919AB"/>
    <w:rsid w:val="00092433"/>
    <w:rsid w:val="00092A7F"/>
    <w:rsid w:val="000935A6"/>
    <w:rsid w:val="000947BF"/>
    <w:rsid w:val="0009554D"/>
    <w:rsid w:val="00095BA3"/>
    <w:rsid w:val="00096020"/>
    <w:rsid w:val="000968F9"/>
    <w:rsid w:val="00096964"/>
    <w:rsid w:val="00096974"/>
    <w:rsid w:val="0009700A"/>
    <w:rsid w:val="000A0295"/>
    <w:rsid w:val="000A0729"/>
    <w:rsid w:val="000A0EC5"/>
    <w:rsid w:val="000A0F54"/>
    <w:rsid w:val="000A1BEF"/>
    <w:rsid w:val="000A236A"/>
    <w:rsid w:val="000A24A9"/>
    <w:rsid w:val="000A40CA"/>
    <w:rsid w:val="000A41ED"/>
    <w:rsid w:val="000A4245"/>
    <w:rsid w:val="000A449F"/>
    <w:rsid w:val="000A4B83"/>
    <w:rsid w:val="000A54D1"/>
    <w:rsid w:val="000A54E6"/>
    <w:rsid w:val="000A576B"/>
    <w:rsid w:val="000A5959"/>
    <w:rsid w:val="000A6297"/>
    <w:rsid w:val="000A638A"/>
    <w:rsid w:val="000A7079"/>
    <w:rsid w:val="000A76B1"/>
    <w:rsid w:val="000A7765"/>
    <w:rsid w:val="000A7CAA"/>
    <w:rsid w:val="000B0351"/>
    <w:rsid w:val="000B0A4C"/>
    <w:rsid w:val="000B0E7D"/>
    <w:rsid w:val="000B10F1"/>
    <w:rsid w:val="000B20C4"/>
    <w:rsid w:val="000B213E"/>
    <w:rsid w:val="000B2D6B"/>
    <w:rsid w:val="000B3C98"/>
    <w:rsid w:val="000B458E"/>
    <w:rsid w:val="000B4D8C"/>
    <w:rsid w:val="000B4F31"/>
    <w:rsid w:val="000B529D"/>
    <w:rsid w:val="000B6DF0"/>
    <w:rsid w:val="000B78B7"/>
    <w:rsid w:val="000B7CA0"/>
    <w:rsid w:val="000B7E28"/>
    <w:rsid w:val="000C11B0"/>
    <w:rsid w:val="000C23C5"/>
    <w:rsid w:val="000C3A74"/>
    <w:rsid w:val="000C403D"/>
    <w:rsid w:val="000C6241"/>
    <w:rsid w:val="000C6645"/>
    <w:rsid w:val="000C6F4A"/>
    <w:rsid w:val="000D0887"/>
    <w:rsid w:val="000D17B8"/>
    <w:rsid w:val="000D2598"/>
    <w:rsid w:val="000D27F1"/>
    <w:rsid w:val="000D2A05"/>
    <w:rsid w:val="000D2BDA"/>
    <w:rsid w:val="000D3058"/>
    <w:rsid w:val="000D39DD"/>
    <w:rsid w:val="000D3FD5"/>
    <w:rsid w:val="000D40B0"/>
    <w:rsid w:val="000D4239"/>
    <w:rsid w:val="000D498B"/>
    <w:rsid w:val="000D524A"/>
    <w:rsid w:val="000D5C5E"/>
    <w:rsid w:val="000D5D82"/>
    <w:rsid w:val="000D6B1B"/>
    <w:rsid w:val="000D70CB"/>
    <w:rsid w:val="000D79AE"/>
    <w:rsid w:val="000D7BFD"/>
    <w:rsid w:val="000E0276"/>
    <w:rsid w:val="000E0879"/>
    <w:rsid w:val="000E101B"/>
    <w:rsid w:val="000E1602"/>
    <w:rsid w:val="000E2C75"/>
    <w:rsid w:val="000E3114"/>
    <w:rsid w:val="000E39D3"/>
    <w:rsid w:val="000E3D14"/>
    <w:rsid w:val="000E4D53"/>
    <w:rsid w:val="000E58B7"/>
    <w:rsid w:val="000E6401"/>
    <w:rsid w:val="000E690D"/>
    <w:rsid w:val="000E6FF1"/>
    <w:rsid w:val="000E7B1B"/>
    <w:rsid w:val="000F0202"/>
    <w:rsid w:val="000F0271"/>
    <w:rsid w:val="000F0DDE"/>
    <w:rsid w:val="000F0F85"/>
    <w:rsid w:val="000F13ED"/>
    <w:rsid w:val="000F19BC"/>
    <w:rsid w:val="000F206E"/>
    <w:rsid w:val="000F207C"/>
    <w:rsid w:val="000F2C3E"/>
    <w:rsid w:val="000F416F"/>
    <w:rsid w:val="000F4366"/>
    <w:rsid w:val="000F47DA"/>
    <w:rsid w:val="000F49E1"/>
    <w:rsid w:val="000F594A"/>
    <w:rsid w:val="000F60B7"/>
    <w:rsid w:val="000F61F8"/>
    <w:rsid w:val="000F633F"/>
    <w:rsid w:val="000F67CD"/>
    <w:rsid w:val="000F6928"/>
    <w:rsid w:val="000F75A6"/>
    <w:rsid w:val="000F77AD"/>
    <w:rsid w:val="00100704"/>
    <w:rsid w:val="00101105"/>
    <w:rsid w:val="00101188"/>
    <w:rsid w:val="00101646"/>
    <w:rsid w:val="001019FC"/>
    <w:rsid w:val="00102133"/>
    <w:rsid w:val="0010223B"/>
    <w:rsid w:val="00103510"/>
    <w:rsid w:val="00103580"/>
    <w:rsid w:val="00103D80"/>
    <w:rsid w:val="0010496F"/>
    <w:rsid w:val="00106525"/>
    <w:rsid w:val="001069D7"/>
    <w:rsid w:val="00106A57"/>
    <w:rsid w:val="00106FA3"/>
    <w:rsid w:val="00107774"/>
    <w:rsid w:val="00107E7F"/>
    <w:rsid w:val="001100D3"/>
    <w:rsid w:val="001109C4"/>
    <w:rsid w:val="00110F1D"/>
    <w:rsid w:val="00111758"/>
    <w:rsid w:val="00112095"/>
    <w:rsid w:val="0011298A"/>
    <w:rsid w:val="0011341C"/>
    <w:rsid w:val="00113842"/>
    <w:rsid w:val="00113899"/>
    <w:rsid w:val="0011474D"/>
    <w:rsid w:val="00114CF5"/>
    <w:rsid w:val="0011516D"/>
    <w:rsid w:val="001167E6"/>
    <w:rsid w:val="00116C39"/>
    <w:rsid w:val="001203D1"/>
    <w:rsid w:val="00120E3E"/>
    <w:rsid w:val="00123215"/>
    <w:rsid w:val="00123FB2"/>
    <w:rsid w:val="0012524E"/>
    <w:rsid w:val="0012613C"/>
    <w:rsid w:val="0012738A"/>
    <w:rsid w:val="0012749B"/>
    <w:rsid w:val="001301D2"/>
    <w:rsid w:val="001302BD"/>
    <w:rsid w:val="00130994"/>
    <w:rsid w:val="0013189C"/>
    <w:rsid w:val="001318DF"/>
    <w:rsid w:val="00131B5D"/>
    <w:rsid w:val="00131F8B"/>
    <w:rsid w:val="00132074"/>
    <w:rsid w:val="001324BE"/>
    <w:rsid w:val="001327BA"/>
    <w:rsid w:val="00133381"/>
    <w:rsid w:val="0013360C"/>
    <w:rsid w:val="00133986"/>
    <w:rsid w:val="00134A5D"/>
    <w:rsid w:val="0013586A"/>
    <w:rsid w:val="00135B45"/>
    <w:rsid w:val="001363F4"/>
    <w:rsid w:val="0013659F"/>
    <w:rsid w:val="001366DF"/>
    <w:rsid w:val="001372FA"/>
    <w:rsid w:val="0013799B"/>
    <w:rsid w:val="0014050D"/>
    <w:rsid w:val="00140A4D"/>
    <w:rsid w:val="00140FA8"/>
    <w:rsid w:val="00141B9D"/>
    <w:rsid w:val="00142512"/>
    <w:rsid w:val="00142C57"/>
    <w:rsid w:val="0014302C"/>
    <w:rsid w:val="001435B5"/>
    <w:rsid w:val="001442A0"/>
    <w:rsid w:val="0014432A"/>
    <w:rsid w:val="0014472A"/>
    <w:rsid w:val="00144AFC"/>
    <w:rsid w:val="00145325"/>
    <w:rsid w:val="001454FA"/>
    <w:rsid w:val="001457DD"/>
    <w:rsid w:val="0014678E"/>
    <w:rsid w:val="00146E40"/>
    <w:rsid w:val="00147354"/>
    <w:rsid w:val="0014755E"/>
    <w:rsid w:val="001476C6"/>
    <w:rsid w:val="00147FFB"/>
    <w:rsid w:val="001501FF"/>
    <w:rsid w:val="00150EAC"/>
    <w:rsid w:val="001517B8"/>
    <w:rsid w:val="00151924"/>
    <w:rsid w:val="00151E0A"/>
    <w:rsid w:val="0015265F"/>
    <w:rsid w:val="00152C9E"/>
    <w:rsid w:val="00152EFB"/>
    <w:rsid w:val="0015301D"/>
    <w:rsid w:val="00153592"/>
    <w:rsid w:val="00153DB6"/>
    <w:rsid w:val="001542AC"/>
    <w:rsid w:val="00154A96"/>
    <w:rsid w:val="00155A2C"/>
    <w:rsid w:val="00155F50"/>
    <w:rsid w:val="001560E5"/>
    <w:rsid w:val="00157D22"/>
    <w:rsid w:val="00157FE4"/>
    <w:rsid w:val="001617E1"/>
    <w:rsid w:val="00161B04"/>
    <w:rsid w:val="0016296B"/>
    <w:rsid w:val="0016319C"/>
    <w:rsid w:val="001639D5"/>
    <w:rsid w:val="00163CFE"/>
    <w:rsid w:val="00164714"/>
    <w:rsid w:val="00164E5F"/>
    <w:rsid w:val="00165ABB"/>
    <w:rsid w:val="00165FC6"/>
    <w:rsid w:val="0016657B"/>
    <w:rsid w:val="00166C21"/>
    <w:rsid w:val="00167586"/>
    <w:rsid w:val="0017017D"/>
    <w:rsid w:val="00170495"/>
    <w:rsid w:val="00170C7F"/>
    <w:rsid w:val="00170D47"/>
    <w:rsid w:val="00171EB2"/>
    <w:rsid w:val="001722C5"/>
    <w:rsid w:val="00172EF7"/>
    <w:rsid w:val="00173384"/>
    <w:rsid w:val="0017460A"/>
    <w:rsid w:val="00174A22"/>
    <w:rsid w:val="001753F2"/>
    <w:rsid w:val="001754B6"/>
    <w:rsid w:val="00175CC1"/>
    <w:rsid w:val="00176AFD"/>
    <w:rsid w:val="00176F60"/>
    <w:rsid w:val="00177782"/>
    <w:rsid w:val="00177C36"/>
    <w:rsid w:val="00177F2E"/>
    <w:rsid w:val="0018002E"/>
    <w:rsid w:val="0018030D"/>
    <w:rsid w:val="00181DBB"/>
    <w:rsid w:val="00182AF5"/>
    <w:rsid w:val="00182B04"/>
    <w:rsid w:val="001833D6"/>
    <w:rsid w:val="001834DD"/>
    <w:rsid w:val="00183670"/>
    <w:rsid w:val="00184331"/>
    <w:rsid w:val="00184FDC"/>
    <w:rsid w:val="001851DC"/>
    <w:rsid w:val="00185207"/>
    <w:rsid w:val="0018537E"/>
    <w:rsid w:val="00185613"/>
    <w:rsid w:val="00185955"/>
    <w:rsid w:val="00186746"/>
    <w:rsid w:val="00186965"/>
    <w:rsid w:val="00187670"/>
    <w:rsid w:val="001877D2"/>
    <w:rsid w:val="00190BD8"/>
    <w:rsid w:val="00190BDC"/>
    <w:rsid w:val="00190EA1"/>
    <w:rsid w:val="00191110"/>
    <w:rsid w:val="00192830"/>
    <w:rsid w:val="00192AD8"/>
    <w:rsid w:val="00193A40"/>
    <w:rsid w:val="00195350"/>
    <w:rsid w:val="00195AEB"/>
    <w:rsid w:val="00196013"/>
    <w:rsid w:val="00196065"/>
    <w:rsid w:val="0019731E"/>
    <w:rsid w:val="001A0B89"/>
    <w:rsid w:val="001A0D96"/>
    <w:rsid w:val="001A1E87"/>
    <w:rsid w:val="001A22C2"/>
    <w:rsid w:val="001A387F"/>
    <w:rsid w:val="001A393E"/>
    <w:rsid w:val="001A4BF0"/>
    <w:rsid w:val="001A506F"/>
    <w:rsid w:val="001A5EE8"/>
    <w:rsid w:val="001A6D21"/>
    <w:rsid w:val="001A7A1F"/>
    <w:rsid w:val="001B0FCD"/>
    <w:rsid w:val="001B1548"/>
    <w:rsid w:val="001B1A57"/>
    <w:rsid w:val="001B1F31"/>
    <w:rsid w:val="001B21F1"/>
    <w:rsid w:val="001B258B"/>
    <w:rsid w:val="001B26D6"/>
    <w:rsid w:val="001B2FC7"/>
    <w:rsid w:val="001B315D"/>
    <w:rsid w:val="001B3195"/>
    <w:rsid w:val="001B3FD1"/>
    <w:rsid w:val="001B4260"/>
    <w:rsid w:val="001B4D74"/>
    <w:rsid w:val="001B5729"/>
    <w:rsid w:val="001B577C"/>
    <w:rsid w:val="001B5AE3"/>
    <w:rsid w:val="001B682D"/>
    <w:rsid w:val="001B694F"/>
    <w:rsid w:val="001B70E3"/>
    <w:rsid w:val="001B7EE3"/>
    <w:rsid w:val="001C098D"/>
    <w:rsid w:val="001C0A3F"/>
    <w:rsid w:val="001C0BFB"/>
    <w:rsid w:val="001C13E3"/>
    <w:rsid w:val="001C2FA3"/>
    <w:rsid w:val="001C345F"/>
    <w:rsid w:val="001C3520"/>
    <w:rsid w:val="001C4D9F"/>
    <w:rsid w:val="001C4EBE"/>
    <w:rsid w:val="001C5BD4"/>
    <w:rsid w:val="001C5F42"/>
    <w:rsid w:val="001C7999"/>
    <w:rsid w:val="001D00D0"/>
    <w:rsid w:val="001D03F2"/>
    <w:rsid w:val="001D076A"/>
    <w:rsid w:val="001D100F"/>
    <w:rsid w:val="001D13F7"/>
    <w:rsid w:val="001D1E62"/>
    <w:rsid w:val="001D1E89"/>
    <w:rsid w:val="001D24FC"/>
    <w:rsid w:val="001D268D"/>
    <w:rsid w:val="001D3AC7"/>
    <w:rsid w:val="001D4240"/>
    <w:rsid w:val="001D4F79"/>
    <w:rsid w:val="001D51EF"/>
    <w:rsid w:val="001D52B3"/>
    <w:rsid w:val="001D5B1A"/>
    <w:rsid w:val="001D5D57"/>
    <w:rsid w:val="001D5F9B"/>
    <w:rsid w:val="001D67FE"/>
    <w:rsid w:val="001D6D5E"/>
    <w:rsid w:val="001D7DB8"/>
    <w:rsid w:val="001E00C7"/>
    <w:rsid w:val="001E0495"/>
    <w:rsid w:val="001E080D"/>
    <w:rsid w:val="001E0D14"/>
    <w:rsid w:val="001E1F56"/>
    <w:rsid w:val="001E295C"/>
    <w:rsid w:val="001E35AB"/>
    <w:rsid w:val="001E3CDE"/>
    <w:rsid w:val="001E3E58"/>
    <w:rsid w:val="001E438E"/>
    <w:rsid w:val="001E445F"/>
    <w:rsid w:val="001E5156"/>
    <w:rsid w:val="001E51D2"/>
    <w:rsid w:val="001E552F"/>
    <w:rsid w:val="001E55AD"/>
    <w:rsid w:val="001E6331"/>
    <w:rsid w:val="001E6E1A"/>
    <w:rsid w:val="001E774A"/>
    <w:rsid w:val="001F0BAF"/>
    <w:rsid w:val="001F122D"/>
    <w:rsid w:val="001F128A"/>
    <w:rsid w:val="001F15B2"/>
    <w:rsid w:val="001F202E"/>
    <w:rsid w:val="001F21FC"/>
    <w:rsid w:val="001F2435"/>
    <w:rsid w:val="001F3055"/>
    <w:rsid w:val="001F30F5"/>
    <w:rsid w:val="001F38E6"/>
    <w:rsid w:val="001F3968"/>
    <w:rsid w:val="001F55D4"/>
    <w:rsid w:val="001F6B6E"/>
    <w:rsid w:val="001F7EF1"/>
    <w:rsid w:val="00200F07"/>
    <w:rsid w:val="002018F6"/>
    <w:rsid w:val="00202553"/>
    <w:rsid w:val="00202F83"/>
    <w:rsid w:val="00203F6B"/>
    <w:rsid w:val="002049C6"/>
    <w:rsid w:val="00205492"/>
    <w:rsid w:val="00205848"/>
    <w:rsid w:val="00205DE3"/>
    <w:rsid w:val="0020686F"/>
    <w:rsid w:val="00206CD3"/>
    <w:rsid w:val="00206D43"/>
    <w:rsid w:val="0020789D"/>
    <w:rsid w:val="0021006B"/>
    <w:rsid w:val="002110A4"/>
    <w:rsid w:val="00211F43"/>
    <w:rsid w:val="002136D4"/>
    <w:rsid w:val="0021384A"/>
    <w:rsid w:val="00214A34"/>
    <w:rsid w:val="00214F2D"/>
    <w:rsid w:val="00215867"/>
    <w:rsid w:val="0021617F"/>
    <w:rsid w:val="0021620C"/>
    <w:rsid w:val="00217121"/>
    <w:rsid w:val="002174DC"/>
    <w:rsid w:val="002205A0"/>
    <w:rsid w:val="0022088D"/>
    <w:rsid w:val="00220CE1"/>
    <w:rsid w:val="002210F2"/>
    <w:rsid w:val="00221FB5"/>
    <w:rsid w:val="00222277"/>
    <w:rsid w:val="00222500"/>
    <w:rsid w:val="00222A07"/>
    <w:rsid w:val="002233A3"/>
    <w:rsid w:val="00223F84"/>
    <w:rsid w:val="002249DB"/>
    <w:rsid w:val="00225143"/>
    <w:rsid w:val="002260D0"/>
    <w:rsid w:val="002261CE"/>
    <w:rsid w:val="00226820"/>
    <w:rsid w:val="0022698C"/>
    <w:rsid w:val="00226C19"/>
    <w:rsid w:val="0023072C"/>
    <w:rsid w:val="00230F8C"/>
    <w:rsid w:val="00231E33"/>
    <w:rsid w:val="00232E91"/>
    <w:rsid w:val="002334E9"/>
    <w:rsid w:val="00234595"/>
    <w:rsid w:val="00235A63"/>
    <w:rsid w:val="00236E52"/>
    <w:rsid w:val="00240442"/>
    <w:rsid w:val="002409B6"/>
    <w:rsid w:val="00241AC8"/>
    <w:rsid w:val="00241B0F"/>
    <w:rsid w:val="00242141"/>
    <w:rsid w:val="00242A09"/>
    <w:rsid w:val="002431F5"/>
    <w:rsid w:val="002436D5"/>
    <w:rsid w:val="00243DD1"/>
    <w:rsid w:val="00245186"/>
    <w:rsid w:val="00247302"/>
    <w:rsid w:val="00250061"/>
    <w:rsid w:val="002512A1"/>
    <w:rsid w:val="0025146D"/>
    <w:rsid w:val="0025310E"/>
    <w:rsid w:val="00253225"/>
    <w:rsid w:val="00254B17"/>
    <w:rsid w:val="00254B8A"/>
    <w:rsid w:val="002556AE"/>
    <w:rsid w:val="00255778"/>
    <w:rsid w:val="002558BD"/>
    <w:rsid w:val="00255921"/>
    <w:rsid w:val="002561F8"/>
    <w:rsid w:val="002562A7"/>
    <w:rsid w:val="0025663B"/>
    <w:rsid w:val="0025676F"/>
    <w:rsid w:val="00257F1F"/>
    <w:rsid w:val="00257FB9"/>
    <w:rsid w:val="00260346"/>
    <w:rsid w:val="0026052D"/>
    <w:rsid w:val="00261459"/>
    <w:rsid w:val="002616AE"/>
    <w:rsid w:val="00261B7B"/>
    <w:rsid w:val="00263017"/>
    <w:rsid w:val="002633A0"/>
    <w:rsid w:val="0026464D"/>
    <w:rsid w:val="00264AF2"/>
    <w:rsid w:val="00264C09"/>
    <w:rsid w:val="00265163"/>
    <w:rsid w:val="00265B2E"/>
    <w:rsid w:val="00265CB2"/>
    <w:rsid w:val="00265F1E"/>
    <w:rsid w:val="00266501"/>
    <w:rsid w:val="00266ABB"/>
    <w:rsid w:val="00266AF8"/>
    <w:rsid w:val="00271480"/>
    <w:rsid w:val="002717B4"/>
    <w:rsid w:val="00273345"/>
    <w:rsid w:val="00273599"/>
    <w:rsid w:val="00273684"/>
    <w:rsid w:val="0027397F"/>
    <w:rsid w:val="00273D05"/>
    <w:rsid w:val="002741EC"/>
    <w:rsid w:val="002744E5"/>
    <w:rsid w:val="0027553A"/>
    <w:rsid w:val="00275B9E"/>
    <w:rsid w:val="00276004"/>
    <w:rsid w:val="00276990"/>
    <w:rsid w:val="00276C69"/>
    <w:rsid w:val="00277123"/>
    <w:rsid w:val="002774F1"/>
    <w:rsid w:val="00277F59"/>
    <w:rsid w:val="00277FC3"/>
    <w:rsid w:val="00280C49"/>
    <w:rsid w:val="002813F1"/>
    <w:rsid w:val="00281C17"/>
    <w:rsid w:val="00281C78"/>
    <w:rsid w:val="0028218B"/>
    <w:rsid w:val="0028229C"/>
    <w:rsid w:val="0028232E"/>
    <w:rsid w:val="00284220"/>
    <w:rsid w:val="0028507E"/>
    <w:rsid w:val="00285762"/>
    <w:rsid w:val="0028590E"/>
    <w:rsid w:val="00285997"/>
    <w:rsid w:val="00287E84"/>
    <w:rsid w:val="00290C67"/>
    <w:rsid w:val="00290E0F"/>
    <w:rsid w:val="00291C8F"/>
    <w:rsid w:val="002930AB"/>
    <w:rsid w:val="00293674"/>
    <w:rsid w:val="00293929"/>
    <w:rsid w:val="00293934"/>
    <w:rsid w:val="00293A68"/>
    <w:rsid w:val="00293BA8"/>
    <w:rsid w:val="00293C18"/>
    <w:rsid w:val="0029484B"/>
    <w:rsid w:val="002949DE"/>
    <w:rsid w:val="00296BDF"/>
    <w:rsid w:val="00297202"/>
    <w:rsid w:val="00297708"/>
    <w:rsid w:val="00297E88"/>
    <w:rsid w:val="002A1C82"/>
    <w:rsid w:val="002A2BAC"/>
    <w:rsid w:val="002A3090"/>
    <w:rsid w:val="002A3EE8"/>
    <w:rsid w:val="002A4485"/>
    <w:rsid w:val="002A5398"/>
    <w:rsid w:val="002A68F4"/>
    <w:rsid w:val="002A6E1C"/>
    <w:rsid w:val="002A7161"/>
    <w:rsid w:val="002A7C94"/>
    <w:rsid w:val="002B0EBF"/>
    <w:rsid w:val="002B0F15"/>
    <w:rsid w:val="002B15F3"/>
    <w:rsid w:val="002B165F"/>
    <w:rsid w:val="002B17C0"/>
    <w:rsid w:val="002B1928"/>
    <w:rsid w:val="002B2878"/>
    <w:rsid w:val="002B368B"/>
    <w:rsid w:val="002B4D27"/>
    <w:rsid w:val="002B502C"/>
    <w:rsid w:val="002B5301"/>
    <w:rsid w:val="002B55E9"/>
    <w:rsid w:val="002B5686"/>
    <w:rsid w:val="002B5AF4"/>
    <w:rsid w:val="002C037F"/>
    <w:rsid w:val="002C0490"/>
    <w:rsid w:val="002C07C5"/>
    <w:rsid w:val="002C0BD0"/>
    <w:rsid w:val="002C1893"/>
    <w:rsid w:val="002C1A0F"/>
    <w:rsid w:val="002C295F"/>
    <w:rsid w:val="002C2E5D"/>
    <w:rsid w:val="002C4855"/>
    <w:rsid w:val="002C4CC8"/>
    <w:rsid w:val="002C53AB"/>
    <w:rsid w:val="002C578A"/>
    <w:rsid w:val="002C5F21"/>
    <w:rsid w:val="002C65BE"/>
    <w:rsid w:val="002C7636"/>
    <w:rsid w:val="002D05EF"/>
    <w:rsid w:val="002D116A"/>
    <w:rsid w:val="002D2450"/>
    <w:rsid w:val="002D2D1F"/>
    <w:rsid w:val="002D3053"/>
    <w:rsid w:val="002D3AA8"/>
    <w:rsid w:val="002D3DC9"/>
    <w:rsid w:val="002D495F"/>
    <w:rsid w:val="002D4966"/>
    <w:rsid w:val="002D4A0F"/>
    <w:rsid w:val="002D4EC6"/>
    <w:rsid w:val="002D519A"/>
    <w:rsid w:val="002D56FC"/>
    <w:rsid w:val="002D57D8"/>
    <w:rsid w:val="002D6F91"/>
    <w:rsid w:val="002D73D7"/>
    <w:rsid w:val="002D78F2"/>
    <w:rsid w:val="002D7C04"/>
    <w:rsid w:val="002E0307"/>
    <w:rsid w:val="002E14D9"/>
    <w:rsid w:val="002E170B"/>
    <w:rsid w:val="002E2A63"/>
    <w:rsid w:val="002E2BE2"/>
    <w:rsid w:val="002E357D"/>
    <w:rsid w:val="002E365A"/>
    <w:rsid w:val="002E4090"/>
    <w:rsid w:val="002E4864"/>
    <w:rsid w:val="002E4C46"/>
    <w:rsid w:val="002E5751"/>
    <w:rsid w:val="002E5CDD"/>
    <w:rsid w:val="002E5E34"/>
    <w:rsid w:val="002E5E3B"/>
    <w:rsid w:val="002E604D"/>
    <w:rsid w:val="002E7201"/>
    <w:rsid w:val="002E7915"/>
    <w:rsid w:val="002E7C13"/>
    <w:rsid w:val="002F0C46"/>
    <w:rsid w:val="002F0DCB"/>
    <w:rsid w:val="002F0F54"/>
    <w:rsid w:val="002F10D5"/>
    <w:rsid w:val="002F1B87"/>
    <w:rsid w:val="002F1D57"/>
    <w:rsid w:val="002F298F"/>
    <w:rsid w:val="002F2D5C"/>
    <w:rsid w:val="002F3507"/>
    <w:rsid w:val="002F3F61"/>
    <w:rsid w:val="002F4022"/>
    <w:rsid w:val="002F4038"/>
    <w:rsid w:val="002F5641"/>
    <w:rsid w:val="002F6570"/>
    <w:rsid w:val="002F69A9"/>
    <w:rsid w:val="002F6F40"/>
    <w:rsid w:val="002F72F4"/>
    <w:rsid w:val="002F75BA"/>
    <w:rsid w:val="002F7F99"/>
    <w:rsid w:val="003006DF"/>
    <w:rsid w:val="003008BC"/>
    <w:rsid w:val="0030108A"/>
    <w:rsid w:val="0030150D"/>
    <w:rsid w:val="00301A58"/>
    <w:rsid w:val="00301ADA"/>
    <w:rsid w:val="00301B63"/>
    <w:rsid w:val="00302335"/>
    <w:rsid w:val="0030273D"/>
    <w:rsid w:val="00303948"/>
    <w:rsid w:val="0030402A"/>
    <w:rsid w:val="00304199"/>
    <w:rsid w:val="00304284"/>
    <w:rsid w:val="003043D4"/>
    <w:rsid w:val="003047EF"/>
    <w:rsid w:val="00304E0B"/>
    <w:rsid w:val="00305931"/>
    <w:rsid w:val="0030599D"/>
    <w:rsid w:val="00305B0F"/>
    <w:rsid w:val="00305FE3"/>
    <w:rsid w:val="00307EB9"/>
    <w:rsid w:val="00310290"/>
    <w:rsid w:val="003113E0"/>
    <w:rsid w:val="00312C08"/>
    <w:rsid w:val="0031315B"/>
    <w:rsid w:val="0031357E"/>
    <w:rsid w:val="0031385F"/>
    <w:rsid w:val="00314725"/>
    <w:rsid w:val="003160AD"/>
    <w:rsid w:val="003173F8"/>
    <w:rsid w:val="003202DE"/>
    <w:rsid w:val="003205EC"/>
    <w:rsid w:val="0032084F"/>
    <w:rsid w:val="0032174D"/>
    <w:rsid w:val="00321DD8"/>
    <w:rsid w:val="003233EE"/>
    <w:rsid w:val="003241C9"/>
    <w:rsid w:val="003245C7"/>
    <w:rsid w:val="00324D8D"/>
    <w:rsid w:val="00324E94"/>
    <w:rsid w:val="003253CA"/>
    <w:rsid w:val="00325404"/>
    <w:rsid w:val="00326807"/>
    <w:rsid w:val="003271D9"/>
    <w:rsid w:val="00330241"/>
    <w:rsid w:val="00330537"/>
    <w:rsid w:val="00330F68"/>
    <w:rsid w:val="00331044"/>
    <w:rsid w:val="003314CE"/>
    <w:rsid w:val="00331D8A"/>
    <w:rsid w:val="00331FB7"/>
    <w:rsid w:val="00332A24"/>
    <w:rsid w:val="00332ECE"/>
    <w:rsid w:val="00333A4B"/>
    <w:rsid w:val="003342EB"/>
    <w:rsid w:val="0033531F"/>
    <w:rsid w:val="00335E31"/>
    <w:rsid w:val="00335E4D"/>
    <w:rsid w:val="003362AF"/>
    <w:rsid w:val="00336CCD"/>
    <w:rsid w:val="003378C4"/>
    <w:rsid w:val="00337C9B"/>
    <w:rsid w:val="00340995"/>
    <w:rsid w:val="00340C08"/>
    <w:rsid w:val="00341244"/>
    <w:rsid w:val="003420DA"/>
    <w:rsid w:val="00342C42"/>
    <w:rsid w:val="00342CB1"/>
    <w:rsid w:val="003437A3"/>
    <w:rsid w:val="0034381B"/>
    <w:rsid w:val="00343981"/>
    <w:rsid w:val="00344E8B"/>
    <w:rsid w:val="00346179"/>
    <w:rsid w:val="00347731"/>
    <w:rsid w:val="003477D1"/>
    <w:rsid w:val="00350C50"/>
    <w:rsid w:val="00350CB5"/>
    <w:rsid w:val="00350D37"/>
    <w:rsid w:val="00350D8E"/>
    <w:rsid w:val="00351317"/>
    <w:rsid w:val="00351918"/>
    <w:rsid w:val="00351A38"/>
    <w:rsid w:val="00352255"/>
    <w:rsid w:val="00352F82"/>
    <w:rsid w:val="003534A1"/>
    <w:rsid w:val="003536F7"/>
    <w:rsid w:val="00353913"/>
    <w:rsid w:val="00355305"/>
    <w:rsid w:val="0035658E"/>
    <w:rsid w:val="00356746"/>
    <w:rsid w:val="0035761B"/>
    <w:rsid w:val="00360559"/>
    <w:rsid w:val="00360B0A"/>
    <w:rsid w:val="00360F19"/>
    <w:rsid w:val="00361918"/>
    <w:rsid w:val="00361AA7"/>
    <w:rsid w:val="003626B1"/>
    <w:rsid w:val="003638BD"/>
    <w:rsid w:val="0036390F"/>
    <w:rsid w:val="00363AD7"/>
    <w:rsid w:val="00363CD6"/>
    <w:rsid w:val="00364039"/>
    <w:rsid w:val="003650C4"/>
    <w:rsid w:val="00365DAC"/>
    <w:rsid w:val="00365DFB"/>
    <w:rsid w:val="00366E20"/>
    <w:rsid w:val="00367593"/>
    <w:rsid w:val="0036787F"/>
    <w:rsid w:val="00370D07"/>
    <w:rsid w:val="00371BAD"/>
    <w:rsid w:val="0037302C"/>
    <w:rsid w:val="003735A0"/>
    <w:rsid w:val="00373D8A"/>
    <w:rsid w:val="00375958"/>
    <w:rsid w:val="0037609D"/>
    <w:rsid w:val="0037668D"/>
    <w:rsid w:val="00376776"/>
    <w:rsid w:val="003779E1"/>
    <w:rsid w:val="00381A66"/>
    <w:rsid w:val="00381C45"/>
    <w:rsid w:val="003821DB"/>
    <w:rsid w:val="00382B0E"/>
    <w:rsid w:val="00382CEE"/>
    <w:rsid w:val="00382F6D"/>
    <w:rsid w:val="003830F2"/>
    <w:rsid w:val="003848C1"/>
    <w:rsid w:val="003851C1"/>
    <w:rsid w:val="00385723"/>
    <w:rsid w:val="0038586F"/>
    <w:rsid w:val="00385B75"/>
    <w:rsid w:val="0038680F"/>
    <w:rsid w:val="00386AAB"/>
    <w:rsid w:val="003870C5"/>
    <w:rsid w:val="0038716D"/>
    <w:rsid w:val="003876BC"/>
    <w:rsid w:val="00391252"/>
    <w:rsid w:val="00391C4D"/>
    <w:rsid w:val="0039225E"/>
    <w:rsid w:val="0039389D"/>
    <w:rsid w:val="003943B8"/>
    <w:rsid w:val="00394402"/>
    <w:rsid w:val="003945E2"/>
    <w:rsid w:val="00394CDA"/>
    <w:rsid w:val="00394E91"/>
    <w:rsid w:val="0039540D"/>
    <w:rsid w:val="0039576C"/>
    <w:rsid w:val="00395779"/>
    <w:rsid w:val="00396816"/>
    <w:rsid w:val="00396982"/>
    <w:rsid w:val="00397629"/>
    <w:rsid w:val="00397BDA"/>
    <w:rsid w:val="00397FD3"/>
    <w:rsid w:val="003A104E"/>
    <w:rsid w:val="003A23F1"/>
    <w:rsid w:val="003A355D"/>
    <w:rsid w:val="003A418F"/>
    <w:rsid w:val="003A4381"/>
    <w:rsid w:val="003A4EA7"/>
    <w:rsid w:val="003A53EC"/>
    <w:rsid w:val="003A56B0"/>
    <w:rsid w:val="003A57A6"/>
    <w:rsid w:val="003A67FD"/>
    <w:rsid w:val="003A6E01"/>
    <w:rsid w:val="003A765B"/>
    <w:rsid w:val="003B113C"/>
    <w:rsid w:val="003B1157"/>
    <w:rsid w:val="003B159E"/>
    <w:rsid w:val="003B18F0"/>
    <w:rsid w:val="003B1D72"/>
    <w:rsid w:val="003B2BDB"/>
    <w:rsid w:val="003B351A"/>
    <w:rsid w:val="003B37B9"/>
    <w:rsid w:val="003B3A57"/>
    <w:rsid w:val="003B423E"/>
    <w:rsid w:val="003B5653"/>
    <w:rsid w:val="003B7957"/>
    <w:rsid w:val="003B798F"/>
    <w:rsid w:val="003C2226"/>
    <w:rsid w:val="003C25CD"/>
    <w:rsid w:val="003C2CF0"/>
    <w:rsid w:val="003C2D21"/>
    <w:rsid w:val="003C3D6D"/>
    <w:rsid w:val="003C433F"/>
    <w:rsid w:val="003C64C6"/>
    <w:rsid w:val="003C67B3"/>
    <w:rsid w:val="003C6847"/>
    <w:rsid w:val="003C7611"/>
    <w:rsid w:val="003C7AAB"/>
    <w:rsid w:val="003C7AEB"/>
    <w:rsid w:val="003C7BC7"/>
    <w:rsid w:val="003D0187"/>
    <w:rsid w:val="003D0684"/>
    <w:rsid w:val="003D0DB4"/>
    <w:rsid w:val="003D2958"/>
    <w:rsid w:val="003D390F"/>
    <w:rsid w:val="003D3FCF"/>
    <w:rsid w:val="003D456D"/>
    <w:rsid w:val="003D4BB8"/>
    <w:rsid w:val="003D6AC9"/>
    <w:rsid w:val="003D77EB"/>
    <w:rsid w:val="003E0676"/>
    <w:rsid w:val="003E0F92"/>
    <w:rsid w:val="003E15A5"/>
    <w:rsid w:val="003E187D"/>
    <w:rsid w:val="003E1A11"/>
    <w:rsid w:val="003E1AD0"/>
    <w:rsid w:val="003E1FFA"/>
    <w:rsid w:val="003E2797"/>
    <w:rsid w:val="003E27B1"/>
    <w:rsid w:val="003E300D"/>
    <w:rsid w:val="003E367A"/>
    <w:rsid w:val="003E4BB9"/>
    <w:rsid w:val="003E4FC4"/>
    <w:rsid w:val="003E5B37"/>
    <w:rsid w:val="003E6B9E"/>
    <w:rsid w:val="003E6C70"/>
    <w:rsid w:val="003E6DCA"/>
    <w:rsid w:val="003F10B7"/>
    <w:rsid w:val="003F1A82"/>
    <w:rsid w:val="003F1CF4"/>
    <w:rsid w:val="003F2638"/>
    <w:rsid w:val="003F27D9"/>
    <w:rsid w:val="003F2C59"/>
    <w:rsid w:val="003F2CDB"/>
    <w:rsid w:val="003F3075"/>
    <w:rsid w:val="003F3171"/>
    <w:rsid w:val="003F572A"/>
    <w:rsid w:val="003F60CE"/>
    <w:rsid w:val="003F62A1"/>
    <w:rsid w:val="003F6487"/>
    <w:rsid w:val="003F6CA7"/>
    <w:rsid w:val="003F71BA"/>
    <w:rsid w:val="003F7A47"/>
    <w:rsid w:val="00400619"/>
    <w:rsid w:val="004011A8"/>
    <w:rsid w:val="00401ACB"/>
    <w:rsid w:val="00402120"/>
    <w:rsid w:val="00402AC6"/>
    <w:rsid w:val="0040369B"/>
    <w:rsid w:val="004037DB"/>
    <w:rsid w:val="00404C1A"/>
    <w:rsid w:val="00404C71"/>
    <w:rsid w:val="00405C52"/>
    <w:rsid w:val="004064F3"/>
    <w:rsid w:val="00406F2C"/>
    <w:rsid w:val="00407298"/>
    <w:rsid w:val="00410109"/>
    <w:rsid w:val="00410132"/>
    <w:rsid w:val="00411426"/>
    <w:rsid w:val="004122E8"/>
    <w:rsid w:val="0041378F"/>
    <w:rsid w:val="00414C2C"/>
    <w:rsid w:val="0041561A"/>
    <w:rsid w:val="004157EA"/>
    <w:rsid w:val="004162E2"/>
    <w:rsid w:val="00416D32"/>
    <w:rsid w:val="00416F78"/>
    <w:rsid w:val="00417970"/>
    <w:rsid w:val="004203AC"/>
    <w:rsid w:val="004206D2"/>
    <w:rsid w:val="004210FB"/>
    <w:rsid w:val="00421FE2"/>
    <w:rsid w:val="00422B46"/>
    <w:rsid w:val="00422FCB"/>
    <w:rsid w:val="0042384E"/>
    <w:rsid w:val="00423A60"/>
    <w:rsid w:val="00424826"/>
    <w:rsid w:val="0042496A"/>
    <w:rsid w:val="00424F21"/>
    <w:rsid w:val="004251A1"/>
    <w:rsid w:val="004254AF"/>
    <w:rsid w:val="00425FED"/>
    <w:rsid w:val="004270AA"/>
    <w:rsid w:val="00427665"/>
    <w:rsid w:val="00427CE2"/>
    <w:rsid w:val="00427D23"/>
    <w:rsid w:val="00430B8E"/>
    <w:rsid w:val="00431663"/>
    <w:rsid w:val="004322C5"/>
    <w:rsid w:val="00432588"/>
    <w:rsid w:val="00433878"/>
    <w:rsid w:val="00433B21"/>
    <w:rsid w:val="00434178"/>
    <w:rsid w:val="00434FEF"/>
    <w:rsid w:val="00435715"/>
    <w:rsid w:val="00435896"/>
    <w:rsid w:val="0043715C"/>
    <w:rsid w:val="00437537"/>
    <w:rsid w:val="0044020B"/>
    <w:rsid w:val="00440679"/>
    <w:rsid w:val="0044164E"/>
    <w:rsid w:val="004418B5"/>
    <w:rsid w:val="00441A6F"/>
    <w:rsid w:val="0044214A"/>
    <w:rsid w:val="00444224"/>
    <w:rsid w:val="0044478C"/>
    <w:rsid w:val="004447AE"/>
    <w:rsid w:val="004455C0"/>
    <w:rsid w:val="004458DE"/>
    <w:rsid w:val="00445C2C"/>
    <w:rsid w:val="00445EEB"/>
    <w:rsid w:val="00446C00"/>
    <w:rsid w:val="00446C51"/>
    <w:rsid w:val="00446ED3"/>
    <w:rsid w:val="00447225"/>
    <w:rsid w:val="0044791B"/>
    <w:rsid w:val="00447E4C"/>
    <w:rsid w:val="0045014F"/>
    <w:rsid w:val="004503CA"/>
    <w:rsid w:val="00450F96"/>
    <w:rsid w:val="00451133"/>
    <w:rsid w:val="00451A16"/>
    <w:rsid w:val="0045387C"/>
    <w:rsid w:val="00454F91"/>
    <w:rsid w:val="0045524D"/>
    <w:rsid w:val="004552BF"/>
    <w:rsid w:val="004552FB"/>
    <w:rsid w:val="004561AF"/>
    <w:rsid w:val="00457024"/>
    <w:rsid w:val="0045721C"/>
    <w:rsid w:val="00460AD4"/>
    <w:rsid w:val="004611C3"/>
    <w:rsid w:val="00461BA6"/>
    <w:rsid w:val="00462494"/>
    <w:rsid w:val="004625FA"/>
    <w:rsid w:val="00462A39"/>
    <w:rsid w:val="0046338A"/>
    <w:rsid w:val="004643C3"/>
    <w:rsid w:val="00464597"/>
    <w:rsid w:val="00464D95"/>
    <w:rsid w:val="00465913"/>
    <w:rsid w:val="00465BEA"/>
    <w:rsid w:val="00465D09"/>
    <w:rsid w:val="004660CF"/>
    <w:rsid w:val="00466AB3"/>
    <w:rsid w:val="004674C2"/>
    <w:rsid w:val="00467759"/>
    <w:rsid w:val="0047040F"/>
    <w:rsid w:val="004706CC"/>
    <w:rsid w:val="004709CB"/>
    <w:rsid w:val="004718B4"/>
    <w:rsid w:val="00471F54"/>
    <w:rsid w:val="004722E2"/>
    <w:rsid w:val="00473AF7"/>
    <w:rsid w:val="00476709"/>
    <w:rsid w:val="0047745F"/>
    <w:rsid w:val="004800F2"/>
    <w:rsid w:val="0048099B"/>
    <w:rsid w:val="00481211"/>
    <w:rsid w:val="0048197D"/>
    <w:rsid w:val="00481C16"/>
    <w:rsid w:val="004823C5"/>
    <w:rsid w:val="0048263E"/>
    <w:rsid w:val="00483B4B"/>
    <w:rsid w:val="004843BF"/>
    <w:rsid w:val="0048477F"/>
    <w:rsid w:val="00484CFB"/>
    <w:rsid w:val="0048529D"/>
    <w:rsid w:val="004854E8"/>
    <w:rsid w:val="004863BD"/>
    <w:rsid w:val="00486470"/>
    <w:rsid w:val="00486F20"/>
    <w:rsid w:val="004908B1"/>
    <w:rsid w:val="00491987"/>
    <w:rsid w:val="00491B4F"/>
    <w:rsid w:val="0049291C"/>
    <w:rsid w:val="00492E3A"/>
    <w:rsid w:val="00493F2E"/>
    <w:rsid w:val="00495029"/>
    <w:rsid w:val="004956E5"/>
    <w:rsid w:val="00495A75"/>
    <w:rsid w:val="00495BD5"/>
    <w:rsid w:val="00495D3F"/>
    <w:rsid w:val="004965A4"/>
    <w:rsid w:val="00496A67"/>
    <w:rsid w:val="00496D67"/>
    <w:rsid w:val="00497341"/>
    <w:rsid w:val="00497520"/>
    <w:rsid w:val="004A14EE"/>
    <w:rsid w:val="004A16B8"/>
    <w:rsid w:val="004A18FC"/>
    <w:rsid w:val="004A1D75"/>
    <w:rsid w:val="004A323F"/>
    <w:rsid w:val="004A36FA"/>
    <w:rsid w:val="004A381A"/>
    <w:rsid w:val="004A3B2A"/>
    <w:rsid w:val="004A4887"/>
    <w:rsid w:val="004A4A53"/>
    <w:rsid w:val="004A5E78"/>
    <w:rsid w:val="004A659E"/>
    <w:rsid w:val="004A6A74"/>
    <w:rsid w:val="004A7097"/>
    <w:rsid w:val="004A7123"/>
    <w:rsid w:val="004B0EBF"/>
    <w:rsid w:val="004B1160"/>
    <w:rsid w:val="004B27A4"/>
    <w:rsid w:val="004B2BD7"/>
    <w:rsid w:val="004B2F58"/>
    <w:rsid w:val="004B4E43"/>
    <w:rsid w:val="004B5F3C"/>
    <w:rsid w:val="004B6536"/>
    <w:rsid w:val="004B655E"/>
    <w:rsid w:val="004B65DB"/>
    <w:rsid w:val="004B6969"/>
    <w:rsid w:val="004B6B8B"/>
    <w:rsid w:val="004B6C41"/>
    <w:rsid w:val="004B7680"/>
    <w:rsid w:val="004C1175"/>
    <w:rsid w:val="004C133C"/>
    <w:rsid w:val="004C1BDD"/>
    <w:rsid w:val="004C2D6F"/>
    <w:rsid w:val="004C2FB3"/>
    <w:rsid w:val="004C3752"/>
    <w:rsid w:val="004C4E67"/>
    <w:rsid w:val="004C5011"/>
    <w:rsid w:val="004C59FA"/>
    <w:rsid w:val="004C5EB9"/>
    <w:rsid w:val="004C6945"/>
    <w:rsid w:val="004C6DBB"/>
    <w:rsid w:val="004C7318"/>
    <w:rsid w:val="004C763A"/>
    <w:rsid w:val="004C7D91"/>
    <w:rsid w:val="004D03B6"/>
    <w:rsid w:val="004D04AE"/>
    <w:rsid w:val="004D0C75"/>
    <w:rsid w:val="004D16CC"/>
    <w:rsid w:val="004D1976"/>
    <w:rsid w:val="004D3387"/>
    <w:rsid w:val="004D381F"/>
    <w:rsid w:val="004D390B"/>
    <w:rsid w:val="004D45BC"/>
    <w:rsid w:val="004D4C36"/>
    <w:rsid w:val="004D540A"/>
    <w:rsid w:val="004D5B3A"/>
    <w:rsid w:val="004D6B1A"/>
    <w:rsid w:val="004D70EC"/>
    <w:rsid w:val="004D7940"/>
    <w:rsid w:val="004E011F"/>
    <w:rsid w:val="004E0730"/>
    <w:rsid w:val="004E0E6E"/>
    <w:rsid w:val="004E1FBC"/>
    <w:rsid w:val="004E2295"/>
    <w:rsid w:val="004E2D98"/>
    <w:rsid w:val="004E2ED8"/>
    <w:rsid w:val="004E2FFF"/>
    <w:rsid w:val="004E3010"/>
    <w:rsid w:val="004E39B3"/>
    <w:rsid w:val="004E3A70"/>
    <w:rsid w:val="004E3B38"/>
    <w:rsid w:val="004E3F0C"/>
    <w:rsid w:val="004E40B6"/>
    <w:rsid w:val="004E4787"/>
    <w:rsid w:val="004E5AA5"/>
    <w:rsid w:val="004E61F6"/>
    <w:rsid w:val="004E695E"/>
    <w:rsid w:val="004E69EB"/>
    <w:rsid w:val="004E6AA7"/>
    <w:rsid w:val="004E7CB6"/>
    <w:rsid w:val="004F00AD"/>
    <w:rsid w:val="004F05D1"/>
    <w:rsid w:val="004F05D5"/>
    <w:rsid w:val="004F107C"/>
    <w:rsid w:val="004F23B7"/>
    <w:rsid w:val="004F260D"/>
    <w:rsid w:val="004F2CD5"/>
    <w:rsid w:val="004F345D"/>
    <w:rsid w:val="004F38E2"/>
    <w:rsid w:val="004F3B7C"/>
    <w:rsid w:val="004F4D77"/>
    <w:rsid w:val="004F4F7B"/>
    <w:rsid w:val="004F6011"/>
    <w:rsid w:val="004F6A7C"/>
    <w:rsid w:val="004F7432"/>
    <w:rsid w:val="00500381"/>
    <w:rsid w:val="00500529"/>
    <w:rsid w:val="0050105E"/>
    <w:rsid w:val="00501602"/>
    <w:rsid w:val="00502714"/>
    <w:rsid w:val="00503313"/>
    <w:rsid w:val="00503F67"/>
    <w:rsid w:val="005041C9"/>
    <w:rsid w:val="0050455D"/>
    <w:rsid w:val="0050494C"/>
    <w:rsid w:val="00505238"/>
    <w:rsid w:val="00506319"/>
    <w:rsid w:val="00506796"/>
    <w:rsid w:val="00506FE6"/>
    <w:rsid w:val="00507616"/>
    <w:rsid w:val="00507861"/>
    <w:rsid w:val="00511424"/>
    <w:rsid w:val="00512496"/>
    <w:rsid w:val="00512CF1"/>
    <w:rsid w:val="00513DEC"/>
    <w:rsid w:val="0051464B"/>
    <w:rsid w:val="005149B5"/>
    <w:rsid w:val="00514D08"/>
    <w:rsid w:val="00514EB4"/>
    <w:rsid w:val="00515371"/>
    <w:rsid w:val="00515B5F"/>
    <w:rsid w:val="00516255"/>
    <w:rsid w:val="0051660A"/>
    <w:rsid w:val="00516634"/>
    <w:rsid w:val="005167F9"/>
    <w:rsid w:val="0051703C"/>
    <w:rsid w:val="00517897"/>
    <w:rsid w:val="00520483"/>
    <w:rsid w:val="00520988"/>
    <w:rsid w:val="00520A5F"/>
    <w:rsid w:val="00521736"/>
    <w:rsid w:val="00522175"/>
    <w:rsid w:val="005231EB"/>
    <w:rsid w:val="00524AEC"/>
    <w:rsid w:val="00525197"/>
    <w:rsid w:val="00525390"/>
    <w:rsid w:val="00525708"/>
    <w:rsid w:val="00525985"/>
    <w:rsid w:val="00526651"/>
    <w:rsid w:val="005266DE"/>
    <w:rsid w:val="00526A48"/>
    <w:rsid w:val="005275EE"/>
    <w:rsid w:val="00530106"/>
    <w:rsid w:val="005310A1"/>
    <w:rsid w:val="00531547"/>
    <w:rsid w:val="00531584"/>
    <w:rsid w:val="005327A0"/>
    <w:rsid w:val="005328BE"/>
    <w:rsid w:val="00532EE6"/>
    <w:rsid w:val="00533327"/>
    <w:rsid w:val="00533963"/>
    <w:rsid w:val="005350DC"/>
    <w:rsid w:val="005354F2"/>
    <w:rsid w:val="00535EE6"/>
    <w:rsid w:val="00536414"/>
    <w:rsid w:val="0053694B"/>
    <w:rsid w:val="00536E0D"/>
    <w:rsid w:val="00537044"/>
    <w:rsid w:val="00537291"/>
    <w:rsid w:val="00537488"/>
    <w:rsid w:val="00537631"/>
    <w:rsid w:val="00537741"/>
    <w:rsid w:val="00537774"/>
    <w:rsid w:val="005377A3"/>
    <w:rsid w:val="00537866"/>
    <w:rsid w:val="00537891"/>
    <w:rsid w:val="005378CA"/>
    <w:rsid w:val="00540390"/>
    <w:rsid w:val="005409CF"/>
    <w:rsid w:val="00541CE7"/>
    <w:rsid w:val="00542AB9"/>
    <w:rsid w:val="00542FC0"/>
    <w:rsid w:val="005457D1"/>
    <w:rsid w:val="00545F60"/>
    <w:rsid w:val="005460F2"/>
    <w:rsid w:val="00546E5E"/>
    <w:rsid w:val="00547765"/>
    <w:rsid w:val="005508D6"/>
    <w:rsid w:val="00552C0A"/>
    <w:rsid w:val="005539FF"/>
    <w:rsid w:val="00554284"/>
    <w:rsid w:val="005542A1"/>
    <w:rsid w:val="0055501F"/>
    <w:rsid w:val="00555784"/>
    <w:rsid w:val="0055632F"/>
    <w:rsid w:val="005569F0"/>
    <w:rsid w:val="00557073"/>
    <w:rsid w:val="00557C8E"/>
    <w:rsid w:val="005600E8"/>
    <w:rsid w:val="005601CF"/>
    <w:rsid w:val="00561387"/>
    <w:rsid w:val="0056140E"/>
    <w:rsid w:val="00561564"/>
    <w:rsid w:val="00561AD6"/>
    <w:rsid w:val="0056240A"/>
    <w:rsid w:val="00562436"/>
    <w:rsid w:val="0056254C"/>
    <w:rsid w:val="0056268F"/>
    <w:rsid w:val="005627AA"/>
    <w:rsid w:val="00562C0C"/>
    <w:rsid w:val="0056310E"/>
    <w:rsid w:val="00564992"/>
    <w:rsid w:val="00565713"/>
    <w:rsid w:val="005669B7"/>
    <w:rsid w:val="00566D46"/>
    <w:rsid w:val="0056714A"/>
    <w:rsid w:val="00567509"/>
    <w:rsid w:val="00570062"/>
    <w:rsid w:val="00570FBA"/>
    <w:rsid w:val="00571AC1"/>
    <w:rsid w:val="005722DB"/>
    <w:rsid w:val="0057280A"/>
    <w:rsid w:val="00573155"/>
    <w:rsid w:val="00573E4C"/>
    <w:rsid w:val="00574472"/>
    <w:rsid w:val="0057460E"/>
    <w:rsid w:val="00574791"/>
    <w:rsid w:val="0057498F"/>
    <w:rsid w:val="00574ED0"/>
    <w:rsid w:val="00575AB6"/>
    <w:rsid w:val="00576D42"/>
    <w:rsid w:val="00576E16"/>
    <w:rsid w:val="00577014"/>
    <w:rsid w:val="005774CB"/>
    <w:rsid w:val="005802C0"/>
    <w:rsid w:val="00581405"/>
    <w:rsid w:val="005819D4"/>
    <w:rsid w:val="00581AEF"/>
    <w:rsid w:val="00581CB4"/>
    <w:rsid w:val="00582496"/>
    <w:rsid w:val="0058333C"/>
    <w:rsid w:val="005833D6"/>
    <w:rsid w:val="005834FE"/>
    <w:rsid w:val="00583DEA"/>
    <w:rsid w:val="00584A5A"/>
    <w:rsid w:val="00585A28"/>
    <w:rsid w:val="00585D52"/>
    <w:rsid w:val="00586DEE"/>
    <w:rsid w:val="00586EE1"/>
    <w:rsid w:val="00587380"/>
    <w:rsid w:val="005877CB"/>
    <w:rsid w:val="005878A4"/>
    <w:rsid w:val="00587EAC"/>
    <w:rsid w:val="00590110"/>
    <w:rsid w:val="00590396"/>
    <w:rsid w:val="00590950"/>
    <w:rsid w:val="00591618"/>
    <w:rsid w:val="005929DF"/>
    <w:rsid w:val="00592A15"/>
    <w:rsid w:val="00593AF0"/>
    <w:rsid w:val="00596115"/>
    <w:rsid w:val="00596646"/>
    <w:rsid w:val="00596906"/>
    <w:rsid w:val="0059697B"/>
    <w:rsid w:val="00596A3E"/>
    <w:rsid w:val="00596A99"/>
    <w:rsid w:val="005A08DD"/>
    <w:rsid w:val="005A118A"/>
    <w:rsid w:val="005A1FC6"/>
    <w:rsid w:val="005A31F8"/>
    <w:rsid w:val="005A39C3"/>
    <w:rsid w:val="005A4C6B"/>
    <w:rsid w:val="005A52D2"/>
    <w:rsid w:val="005A60B4"/>
    <w:rsid w:val="005A6EA2"/>
    <w:rsid w:val="005A6F9F"/>
    <w:rsid w:val="005A7ABE"/>
    <w:rsid w:val="005B05DF"/>
    <w:rsid w:val="005B1412"/>
    <w:rsid w:val="005B144F"/>
    <w:rsid w:val="005B1C82"/>
    <w:rsid w:val="005B1D85"/>
    <w:rsid w:val="005B1DB7"/>
    <w:rsid w:val="005B20C8"/>
    <w:rsid w:val="005B21C9"/>
    <w:rsid w:val="005B24DE"/>
    <w:rsid w:val="005B35D6"/>
    <w:rsid w:val="005B53FD"/>
    <w:rsid w:val="005B5474"/>
    <w:rsid w:val="005B6D30"/>
    <w:rsid w:val="005B6ED7"/>
    <w:rsid w:val="005B75FD"/>
    <w:rsid w:val="005C009D"/>
    <w:rsid w:val="005C1484"/>
    <w:rsid w:val="005C320B"/>
    <w:rsid w:val="005C354E"/>
    <w:rsid w:val="005C36A0"/>
    <w:rsid w:val="005C4157"/>
    <w:rsid w:val="005C4415"/>
    <w:rsid w:val="005C4787"/>
    <w:rsid w:val="005C4DAB"/>
    <w:rsid w:val="005C5025"/>
    <w:rsid w:val="005C5787"/>
    <w:rsid w:val="005C5B5F"/>
    <w:rsid w:val="005C703E"/>
    <w:rsid w:val="005C72FE"/>
    <w:rsid w:val="005C7D47"/>
    <w:rsid w:val="005C7E22"/>
    <w:rsid w:val="005C7E76"/>
    <w:rsid w:val="005D0A01"/>
    <w:rsid w:val="005D0C5F"/>
    <w:rsid w:val="005D0EAE"/>
    <w:rsid w:val="005D0FAF"/>
    <w:rsid w:val="005D14A3"/>
    <w:rsid w:val="005D332E"/>
    <w:rsid w:val="005D3875"/>
    <w:rsid w:val="005D3D47"/>
    <w:rsid w:val="005D42D7"/>
    <w:rsid w:val="005D4AA5"/>
    <w:rsid w:val="005D4BBD"/>
    <w:rsid w:val="005D4E0C"/>
    <w:rsid w:val="005D51F2"/>
    <w:rsid w:val="005D5503"/>
    <w:rsid w:val="005D5BDF"/>
    <w:rsid w:val="005D6173"/>
    <w:rsid w:val="005D723C"/>
    <w:rsid w:val="005E04DF"/>
    <w:rsid w:val="005E0771"/>
    <w:rsid w:val="005E0B7E"/>
    <w:rsid w:val="005E11C3"/>
    <w:rsid w:val="005E14EA"/>
    <w:rsid w:val="005E1D26"/>
    <w:rsid w:val="005E2F32"/>
    <w:rsid w:val="005E469F"/>
    <w:rsid w:val="005E485D"/>
    <w:rsid w:val="005E4F1A"/>
    <w:rsid w:val="005E5570"/>
    <w:rsid w:val="005E57CE"/>
    <w:rsid w:val="005E6D59"/>
    <w:rsid w:val="005E77A7"/>
    <w:rsid w:val="005F00F7"/>
    <w:rsid w:val="005F014F"/>
    <w:rsid w:val="005F12D9"/>
    <w:rsid w:val="005F2010"/>
    <w:rsid w:val="005F2948"/>
    <w:rsid w:val="005F36D9"/>
    <w:rsid w:val="005F3954"/>
    <w:rsid w:val="005F3CCB"/>
    <w:rsid w:val="005F49E6"/>
    <w:rsid w:val="005F523B"/>
    <w:rsid w:val="005F705E"/>
    <w:rsid w:val="005F7482"/>
    <w:rsid w:val="005F7616"/>
    <w:rsid w:val="005F7689"/>
    <w:rsid w:val="005F7988"/>
    <w:rsid w:val="005F7BA7"/>
    <w:rsid w:val="005F7E46"/>
    <w:rsid w:val="00601BA9"/>
    <w:rsid w:val="006026FB"/>
    <w:rsid w:val="00602A08"/>
    <w:rsid w:val="00603D56"/>
    <w:rsid w:val="00604938"/>
    <w:rsid w:val="00604D90"/>
    <w:rsid w:val="00604EB8"/>
    <w:rsid w:val="00604F4E"/>
    <w:rsid w:val="006051A9"/>
    <w:rsid w:val="00605288"/>
    <w:rsid w:val="006053F4"/>
    <w:rsid w:val="0060688A"/>
    <w:rsid w:val="00606D33"/>
    <w:rsid w:val="00607C56"/>
    <w:rsid w:val="00610526"/>
    <w:rsid w:val="00610606"/>
    <w:rsid w:val="006108E2"/>
    <w:rsid w:val="00610DDA"/>
    <w:rsid w:val="00611E66"/>
    <w:rsid w:val="006129C4"/>
    <w:rsid w:val="0061328E"/>
    <w:rsid w:val="00613F42"/>
    <w:rsid w:val="006140D5"/>
    <w:rsid w:val="006143BA"/>
    <w:rsid w:val="0061448F"/>
    <w:rsid w:val="00614579"/>
    <w:rsid w:val="00614939"/>
    <w:rsid w:val="0061594A"/>
    <w:rsid w:val="006163F6"/>
    <w:rsid w:val="006169D1"/>
    <w:rsid w:val="00616B03"/>
    <w:rsid w:val="0061725F"/>
    <w:rsid w:val="00617458"/>
    <w:rsid w:val="00620061"/>
    <w:rsid w:val="0062060D"/>
    <w:rsid w:val="00620654"/>
    <w:rsid w:val="006223CA"/>
    <w:rsid w:val="006233D0"/>
    <w:rsid w:val="006236FF"/>
    <w:rsid w:val="006242BA"/>
    <w:rsid w:val="0062448C"/>
    <w:rsid w:val="00625192"/>
    <w:rsid w:val="00625B47"/>
    <w:rsid w:val="00625C51"/>
    <w:rsid w:val="006271CF"/>
    <w:rsid w:val="006275F3"/>
    <w:rsid w:val="00627755"/>
    <w:rsid w:val="00627B8F"/>
    <w:rsid w:val="00630ADE"/>
    <w:rsid w:val="00630D55"/>
    <w:rsid w:val="0063171E"/>
    <w:rsid w:val="00631A23"/>
    <w:rsid w:val="0063276A"/>
    <w:rsid w:val="00632A2E"/>
    <w:rsid w:val="00632F7E"/>
    <w:rsid w:val="006338C6"/>
    <w:rsid w:val="00634A4F"/>
    <w:rsid w:val="0063567D"/>
    <w:rsid w:val="0063582B"/>
    <w:rsid w:val="00635D2A"/>
    <w:rsid w:val="00635D72"/>
    <w:rsid w:val="00635ECC"/>
    <w:rsid w:val="0063671D"/>
    <w:rsid w:val="006369AF"/>
    <w:rsid w:val="006376CB"/>
    <w:rsid w:val="0063795E"/>
    <w:rsid w:val="0064110E"/>
    <w:rsid w:val="00641F5A"/>
    <w:rsid w:val="00641F5B"/>
    <w:rsid w:val="00643260"/>
    <w:rsid w:val="006436D0"/>
    <w:rsid w:val="00643AC4"/>
    <w:rsid w:val="00643E7B"/>
    <w:rsid w:val="006444E9"/>
    <w:rsid w:val="00645340"/>
    <w:rsid w:val="006453A0"/>
    <w:rsid w:val="00645BF2"/>
    <w:rsid w:val="0064621E"/>
    <w:rsid w:val="0064725B"/>
    <w:rsid w:val="006472CB"/>
    <w:rsid w:val="0064739F"/>
    <w:rsid w:val="0064762B"/>
    <w:rsid w:val="00647CFD"/>
    <w:rsid w:val="00650C4F"/>
    <w:rsid w:val="0065195E"/>
    <w:rsid w:val="006519F4"/>
    <w:rsid w:val="00651E78"/>
    <w:rsid w:val="00652629"/>
    <w:rsid w:val="00653108"/>
    <w:rsid w:val="0065376C"/>
    <w:rsid w:val="00653AB5"/>
    <w:rsid w:val="006543F9"/>
    <w:rsid w:val="006545B0"/>
    <w:rsid w:val="00654D1C"/>
    <w:rsid w:val="00654D70"/>
    <w:rsid w:val="00654FCA"/>
    <w:rsid w:val="00654FD3"/>
    <w:rsid w:val="006553F8"/>
    <w:rsid w:val="0065594B"/>
    <w:rsid w:val="00655A25"/>
    <w:rsid w:val="00656584"/>
    <w:rsid w:val="006565EC"/>
    <w:rsid w:val="00657FCA"/>
    <w:rsid w:val="006604F6"/>
    <w:rsid w:val="00660643"/>
    <w:rsid w:val="00660791"/>
    <w:rsid w:val="006609F5"/>
    <w:rsid w:val="00661463"/>
    <w:rsid w:val="0066147B"/>
    <w:rsid w:val="00661660"/>
    <w:rsid w:val="006621C9"/>
    <w:rsid w:val="006638B4"/>
    <w:rsid w:val="00663D65"/>
    <w:rsid w:val="00664255"/>
    <w:rsid w:val="006645B5"/>
    <w:rsid w:val="0066520D"/>
    <w:rsid w:val="006655A6"/>
    <w:rsid w:val="0066565D"/>
    <w:rsid w:val="0066673C"/>
    <w:rsid w:val="00667822"/>
    <w:rsid w:val="00667E9A"/>
    <w:rsid w:val="00670C3C"/>
    <w:rsid w:val="00670EE1"/>
    <w:rsid w:val="006719BE"/>
    <w:rsid w:val="00672288"/>
    <w:rsid w:val="006737A7"/>
    <w:rsid w:val="006737B3"/>
    <w:rsid w:val="0067390E"/>
    <w:rsid w:val="006758C7"/>
    <w:rsid w:val="00675A62"/>
    <w:rsid w:val="00675C9C"/>
    <w:rsid w:val="006761FC"/>
    <w:rsid w:val="006768F1"/>
    <w:rsid w:val="00676AE7"/>
    <w:rsid w:val="00676ED7"/>
    <w:rsid w:val="00676FC9"/>
    <w:rsid w:val="006774FD"/>
    <w:rsid w:val="0067794B"/>
    <w:rsid w:val="00677B6E"/>
    <w:rsid w:val="00677FD1"/>
    <w:rsid w:val="00680D60"/>
    <w:rsid w:val="00681C1D"/>
    <w:rsid w:val="00681EEE"/>
    <w:rsid w:val="006820DF"/>
    <w:rsid w:val="0068264F"/>
    <w:rsid w:val="00682AF2"/>
    <w:rsid w:val="00682D1A"/>
    <w:rsid w:val="0068303E"/>
    <w:rsid w:val="00683E6E"/>
    <w:rsid w:val="00683FDC"/>
    <w:rsid w:val="0068425D"/>
    <w:rsid w:val="006842C9"/>
    <w:rsid w:val="006844D2"/>
    <w:rsid w:val="0068486A"/>
    <w:rsid w:val="006848BA"/>
    <w:rsid w:val="0068529D"/>
    <w:rsid w:val="00685329"/>
    <w:rsid w:val="006854BA"/>
    <w:rsid w:val="006854DE"/>
    <w:rsid w:val="00686128"/>
    <w:rsid w:val="006868CC"/>
    <w:rsid w:val="00687114"/>
    <w:rsid w:val="0068715D"/>
    <w:rsid w:val="00687B93"/>
    <w:rsid w:val="0069039B"/>
    <w:rsid w:val="006905F0"/>
    <w:rsid w:val="00691189"/>
    <w:rsid w:val="0069161D"/>
    <w:rsid w:val="00691767"/>
    <w:rsid w:val="00691B74"/>
    <w:rsid w:val="0069216B"/>
    <w:rsid w:val="006922B1"/>
    <w:rsid w:val="006926B8"/>
    <w:rsid w:val="00692D67"/>
    <w:rsid w:val="006935EA"/>
    <w:rsid w:val="0069492E"/>
    <w:rsid w:val="00694931"/>
    <w:rsid w:val="00694FE8"/>
    <w:rsid w:val="0069513C"/>
    <w:rsid w:val="00695C07"/>
    <w:rsid w:val="00695C44"/>
    <w:rsid w:val="00696F85"/>
    <w:rsid w:val="00697E39"/>
    <w:rsid w:val="006A03D8"/>
    <w:rsid w:val="006A0EA1"/>
    <w:rsid w:val="006A0FC2"/>
    <w:rsid w:val="006A171F"/>
    <w:rsid w:val="006A1C0B"/>
    <w:rsid w:val="006A2687"/>
    <w:rsid w:val="006A271D"/>
    <w:rsid w:val="006A2945"/>
    <w:rsid w:val="006A298F"/>
    <w:rsid w:val="006A35C0"/>
    <w:rsid w:val="006A49A2"/>
    <w:rsid w:val="006A50D1"/>
    <w:rsid w:val="006A54DB"/>
    <w:rsid w:val="006A55D1"/>
    <w:rsid w:val="006A55E9"/>
    <w:rsid w:val="006A56F7"/>
    <w:rsid w:val="006A5BE3"/>
    <w:rsid w:val="006A5F8E"/>
    <w:rsid w:val="006A615F"/>
    <w:rsid w:val="006A632B"/>
    <w:rsid w:val="006A64A4"/>
    <w:rsid w:val="006A7EE1"/>
    <w:rsid w:val="006B0B67"/>
    <w:rsid w:val="006B1D56"/>
    <w:rsid w:val="006B3AEA"/>
    <w:rsid w:val="006B505A"/>
    <w:rsid w:val="006B56CD"/>
    <w:rsid w:val="006B5B4D"/>
    <w:rsid w:val="006B5E84"/>
    <w:rsid w:val="006B63C3"/>
    <w:rsid w:val="006B7D9E"/>
    <w:rsid w:val="006C18F4"/>
    <w:rsid w:val="006C201B"/>
    <w:rsid w:val="006C2106"/>
    <w:rsid w:val="006C274D"/>
    <w:rsid w:val="006C309A"/>
    <w:rsid w:val="006C30E6"/>
    <w:rsid w:val="006C328A"/>
    <w:rsid w:val="006C40EE"/>
    <w:rsid w:val="006C4D56"/>
    <w:rsid w:val="006C52C2"/>
    <w:rsid w:val="006C78AE"/>
    <w:rsid w:val="006C7F42"/>
    <w:rsid w:val="006D079F"/>
    <w:rsid w:val="006D15EC"/>
    <w:rsid w:val="006D1DEF"/>
    <w:rsid w:val="006D1FD8"/>
    <w:rsid w:val="006D2D70"/>
    <w:rsid w:val="006D31A5"/>
    <w:rsid w:val="006D4144"/>
    <w:rsid w:val="006D41E9"/>
    <w:rsid w:val="006D4234"/>
    <w:rsid w:val="006D437A"/>
    <w:rsid w:val="006D4897"/>
    <w:rsid w:val="006D5E09"/>
    <w:rsid w:val="006D605D"/>
    <w:rsid w:val="006D6427"/>
    <w:rsid w:val="006D6B2C"/>
    <w:rsid w:val="006D6F61"/>
    <w:rsid w:val="006D787E"/>
    <w:rsid w:val="006D7C71"/>
    <w:rsid w:val="006E0720"/>
    <w:rsid w:val="006E1405"/>
    <w:rsid w:val="006E2973"/>
    <w:rsid w:val="006E2A4C"/>
    <w:rsid w:val="006E2AE4"/>
    <w:rsid w:val="006E3121"/>
    <w:rsid w:val="006E43EA"/>
    <w:rsid w:val="006E5420"/>
    <w:rsid w:val="006E55D7"/>
    <w:rsid w:val="006E63CB"/>
    <w:rsid w:val="006E7898"/>
    <w:rsid w:val="006F04BC"/>
    <w:rsid w:val="006F05BF"/>
    <w:rsid w:val="006F076F"/>
    <w:rsid w:val="006F0E6A"/>
    <w:rsid w:val="006F11A9"/>
    <w:rsid w:val="006F156B"/>
    <w:rsid w:val="006F17F1"/>
    <w:rsid w:val="006F19D9"/>
    <w:rsid w:val="006F2BAB"/>
    <w:rsid w:val="006F2E67"/>
    <w:rsid w:val="006F312B"/>
    <w:rsid w:val="006F3AD8"/>
    <w:rsid w:val="006F651C"/>
    <w:rsid w:val="006F791E"/>
    <w:rsid w:val="0070026E"/>
    <w:rsid w:val="00700761"/>
    <w:rsid w:val="00700987"/>
    <w:rsid w:val="0070140B"/>
    <w:rsid w:val="00701E2A"/>
    <w:rsid w:val="007021C5"/>
    <w:rsid w:val="007051E2"/>
    <w:rsid w:val="007056DC"/>
    <w:rsid w:val="00705F75"/>
    <w:rsid w:val="007066E6"/>
    <w:rsid w:val="00706C80"/>
    <w:rsid w:val="00707737"/>
    <w:rsid w:val="0070787B"/>
    <w:rsid w:val="0070792E"/>
    <w:rsid w:val="00707973"/>
    <w:rsid w:val="00707C10"/>
    <w:rsid w:val="00707CAA"/>
    <w:rsid w:val="00710D3A"/>
    <w:rsid w:val="0071117F"/>
    <w:rsid w:val="00711C0F"/>
    <w:rsid w:val="007129BE"/>
    <w:rsid w:val="007129FE"/>
    <w:rsid w:val="00712C6F"/>
    <w:rsid w:val="00712DA5"/>
    <w:rsid w:val="00713CD0"/>
    <w:rsid w:val="00714320"/>
    <w:rsid w:val="007148BD"/>
    <w:rsid w:val="00714B57"/>
    <w:rsid w:val="0071502D"/>
    <w:rsid w:val="0071737D"/>
    <w:rsid w:val="00717D23"/>
    <w:rsid w:val="00717DB1"/>
    <w:rsid w:val="00717DD2"/>
    <w:rsid w:val="0072237A"/>
    <w:rsid w:val="0072257A"/>
    <w:rsid w:val="00722910"/>
    <w:rsid w:val="0072299C"/>
    <w:rsid w:val="007235A3"/>
    <w:rsid w:val="00723F30"/>
    <w:rsid w:val="0072453D"/>
    <w:rsid w:val="00725723"/>
    <w:rsid w:val="00727157"/>
    <w:rsid w:val="00727A17"/>
    <w:rsid w:val="00727A29"/>
    <w:rsid w:val="0073033F"/>
    <w:rsid w:val="00730460"/>
    <w:rsid w:val="007304D6"/>
    <w:rsid w:val="00731446"/>
    <w:rsid w:val="00731EA8"/>
    <w:rsid w:val="00732CE8"/>
    <w:rsid w:val="00732F6C"/>
    <w:rsid w:val="0073356A"/>
    <w:rsid w:val="007336FC"/>
    <w:rsid w:val="00733AA8"/>
    <w:rsid w:val="00733D18"/>
    <w:rsid w:val="007344B7"/>
    <w:rsid w:val="00734839"/>
    <w:rsid w:val="00734969"/>
    <w:rsid w:val="00735949"/>
    <w:rsid w:val="00740063"/>
    <w:rsid w:val="007405BE"/>
    <w:rsid w:val="00740798"/>
    <w:rsid w:val="00740954"/>
    <w:rsid w:val="00741660"/>
    <w:rsid w:val="007419D3"/>
    <w:rsid w:val="00742973"/>
    <w:rsid w:val="007432CF"/>
    <w:rsid w:val="00743F35"/>
    <w:rsid w:val="007449DD"/>
    <w:rsid w:val="00744A26"/>
    <w:rsid w:val="00744A32"/>
    <w:rsid w:val="00744E4E"/>
    <w:rsid w:val="00744EDE"/>
    <w:rsid w:val="00745CD1"/>
    <w:rsid w:val="0074659F"/>
    <w:rsid w:val="00746B93"/>
    <w:rsid w:val="00747EBC"/>
    <w:rsid w:val="0075043D"/>
    <w:rsid w:val="007504FB"/>
    <w:rsid w:val="00750712"/>
    <w:rsid w:val="007514C6"/>
    <w:rsid w:val="007515D2"/>
    <w:rsid w:val="00751D03"/>
    <w:rsid w:val="00752028"/>
    <w:rsid w:val="00752F21"/>
    <w:rsid w:val="0075312C"/>
    <w:rsid w:val="007538C3"/>
    <w:rsid w:val="0075391D"/>
    <w:rsid w:val="00753F32"/>
    <w:rsid w:val="0075436D"/>
    <w:rsid w:val="00754A12"/>
    <w:rsid w:val="00756507"/>
    <w:rsid w:val="00756EB3"/>
    <w:rsid w:val="007570DC"/>
    <w:rsid w:val="00757719"/>
    <w:rsid w:val="00757A89"/>
    <w:rsid w:val="0076131A"/>
    <w:rsid w:val="00761A5B"/>
    <w:rsid w:val="00762FE3"/>
    <w:rsid w:val="00763F8B"/>
    <w:rsid w:val="0076529C"/>
    <w:rsid w:val="007669E1"/>
    <w:rsid w:val="007705E9"/>
    <w:rsid w:val="00771EDD"/>
    <w:rsid w:val="007724FA"/>
    <w:rsid w:val="0077251F"/>
    <w:rsid w:val="007739A1"/>
    <w:rsid w:val="00774403"/>
    <w:rsid w:val="0077455A"/>
    <w:rsid w:val="00775A40"/>
    <w:rsid w:val="00775E54"/>
    <w:rsid w:val="00776218"/>
    <w:rsid w:val="007762FD"/>
    <w:rsid w:val="0077672D"/>
    <w:rsid w:val="00777B5F"/>
    <w:rsid w:val="0078036F"/>
    <w:rsid w:val="00780815"/>
    <w:rsid w:val="00780AD1"/>
    <w:rsid w:val="00782EE1"/>
    <w:rsid w:val="007836B4"/>
    <w:rsid w:val="00784407"/>
    <w:rsid w:val="00786616"/>
    <w:rsid w:val="0078664D"/>
    <w:rsid w:val="007870E7"/>
    <w:rsid w:val="00787D45"/>
    <w:rsid w:val="00787F4F"/>
    <w:rsid w:val="007904AC"/>
    <w:rsid w:val="00791D12"/>
    <w:rsid w:val="007923CE"/>
    <w:rsid w:val="00793F48"/>
    <w:rsid w:val="00794662"/>
    <w:rsid w:val="00795074"/>
    <w:rsid w:val="007955B9"/>
    <w:rsid w:val="007957E4"/>
    <w:rsid w:val="00795E89"/>
    <w:rsid w:val="00796B16"/>
    <w:rsid w:val="00797DC2"/>
    <w:rsid w:val="007A0432"/>
    <w:rsid w:val="007A0B38"/>
    <w:rsid w:val="007A0ED1"/>
    <w:rsid w:val="007A1180"/>
    <w:rsid w:val="007A1D5E"/>
    <w:rsid w:val="007A2C3A"/>
    <w:rsid w:val="007A3276"/>
    <w:rsid w:val="007A3DE8"/>
    <w:rsid w:val="007A5F8E"/>
    <w:rsid w:val="007A60AB"/>
    <w:rsid w:val="007A7045"/>
    <w:rsid w:val="007A783B"/>
    <w:rsid w:val="007B0C06"/>
    <w:rsid w:val="007B0F31"/>
    <w:rsid w:val="007B1530"/>
    <w:rsid w:val="007B28A2"/>
    <w:rsid w:val="007B4219"/>
    <w:rsid w:val="007B4542"/>
    <w:rsid w:val="007B5155"/>
    <w:rsid w:val="007B5E43"/>
    <w:rsid w:val="007B6288"/>
    <w:rsid w:val="007B64E7"/>
    <w:rsid w:val="007B6A44"/>
    <w:rsid w:val="007C07C5"/>
    <w:rsid w:val="007C0A2C"/>
    <w:rsid w:val="007C0A55"/>
    <w:rsid w:val="007C154C"/>
    <w:rsid w:val="007C26C3"/>
    <w:rsid w:val="007C2D87"/>
    <w:rsid w:val="007C3392"/>
    <w:rsid w:val="007C3B81"/>
    <w:rsid w:val="007C3D2B"/>
    <w:rsid w:val="007C48E0"/>
    <w:rsid w:val="007C63CA"/>
    <w:rsid w:val="007C6C3D"/>
    <w:rsid w:val="007D12C1"/>
    <w:rsid w:val="007D196C"/>
    <w:rsid w:val="007D2050"/>
    <w:rsid w:val="007D2485"/>
    <w:rsid w:val="007D254F"/>
    <w:rsid w:val="007D3605"/>
    <w:rsid w:val="007D3E65"/>
    <w:rsid w:val="007D455E"/>
    <w:rsid w:val="007D4A95"/>
    <w:rsid w:val="007D5150"/>
    <w:rsid w:val="007D55E6"/>
    <w:rsid w:val="007D5C62"/>
    <w:rsid w:val="007D5F31"/>
    <w:rsid w:val="007D7AFC"/>
    <w:rsid w:val="007E0540"/>
    <w:rsid w:val="007E072D"/>
    <w:rsid w:val="007E088D"/>
    <w:rsid w:val="007E0C34"/>
    <w:rsid w:val="007E12F8"/>
    <w:rsid w:val="007E2061"/>
    <w:rsid w:val="007E2C55"/>
    <w:rsid w:val="007E3190"/>
    <w:rsid w:val="007E32F2"/>
    <w:rsid w:val="007E3A33"/>
    <w:rsid w:val="007E3CC0"/>
    <w:rsid w:val="007E4086"/>
    <w:rsid w:val="007E4F38"/>
    <w:rsid w:val="007E54BC"/>
    <w:rsid w:val="007E5EC6"/>
    <w:rsid w:val="007E6650"/>
    <w:rsid w:val="007E7A2D"/>
    <w:rsid w:val="007F0569"/>
    <w:rsid w:val="007F2615"/>
    <w:rsid w:val="007F2F93"/>
    <w:rsid w:val="007F37E6"/>
    <w:rsid w:val="007F38F7"/>
    <w:rsid w:val="007F46E9"/>
    <w:rsid w:val="007F4B5E"/>
    <w:rsid w:val="007F6494"/>
    <w:rsid w:val="007F67BD"/>
    <w:rsid w:val="007F67BE"/>
    <w:rsid w:val="007F6A99"/>
    <w:rsid w:val="007F702A"/>
    <w:rsid w:val="007F74E0"/>
    <w:rsid w:val="00801EC0"/>
    <w:rsid w:val="00802D16"/>
    <w:rsid w:val="00804694"/>
    <w:rsid w:val="00804790"/>
    <w:rsid w:val="00805CD4"/>
    <w:rsid w:val="008076A1"/>
    <w:rsid w:val="0081012B"/>
    <w:rsid w:val="008106A8"/>
    <w:rsid w:val="008106B0"/>
    <w:rsid w:val="00810CF4"/>
    <w:rsid w:val="00810DDF"/>
    <w:rsid w:val="00811732"/>
    <w:rsid w:val="008118E3"/>
    <w:rsid w:val="00812036"/>
    <w:rsid w:val="00812440"/>
    <w:rsid w:val="008124A8"/>
    <w:rsid w:val="00812EE5"/>
    <w:rsid w:val="008146FC"/>
    <w:rsid w:val="00814F0D"/>
    <w:rsid w:val="008153AF"/>
    <w:rsid w:val="0081561C"/>
    <w:rsid w:val="00815BA8"/>
    <w:rsid w:val="00815DC3"/>
    <w:rsid w:val="00816037"/>
    <w:rsid w:val="00816B70"/>
    <w:rsid w:val="0081778C"/>
    <w:rsid w:val="00820BCF"/>
    <w:rsid w:val="00821847"/>
    <w:rsid w:val="00821FAA"/>
    <w:rsid w:val="00822483"/>
    <w:rsid w:val="00822BE8"/>
    <w:rsid w:val="00822E40"/>
    <w:rsid w:val="00822F90"/>
    <w:rsid w:val="0082423E"/>
    <w:rsid w:val="008251B6"/>
    <w:rsid w:val="00825BE0"/>
    <w:rsid w:val="0082619D"/>
    <w:rsid w:val="0082650F"/>
    <w:rsid w:val="008269B1"/>
    <w:rsid w:val="00827831"/>
    <w:rsid w:val="00827FB3"/>
    <w:rsid w:val="00827FE3"/>
    <w:rsid w:val="0083008F"/>
    <w:rsid w:val="0083022D"/>
    <w:rsid w:val="008302EB"/>
    <w:rsid w:val="00830C5F"/>
    <w:rsid w:val="00830CFB"/>
    <w:rsid w:val="00831FFA"/>
    <w:rsid w:val="008326D5"/>
    <w:rsid w:val="00833069"/>
    <w:rsid w:val="0083398F"/>
    <w:rsid w:val="00834380"/>
    <w:rsid w:val="00836249"/>
    <w:rsid w:val="00836688"/>
    <w:rsid w:val="00836CA5"/>
    <w:rsid w:val="00837D01"/>
    <w:rsid w:val="00837D26"/>
    <w:rsid w:val="00837FA5"/>
    <w:rsid w:val="0084010C"/>
    <w:rsid w:val="0084163F"/>
    <w:rsid w:val="008417C6"/>
    <w:rsid w:val="00841DA4"/>
    <w:rsid w:val="00843A09"/>
    <w:rsid w:val="00843DFC"/>
    <w:rsid w:val="008446BD"/>
    <w:rsid w:val="00844746"/>
    <w:rsid w:val="008455A1"/>
    <w:rsid w:val="00845925"/>
    <w:rsid w:val="00845A35"/>
    <w:rsid w:val="00846442"/>
    <w:rsid w:val="00846D4E"/>
    <w:rsid w:val="00846FAC"/>
    <w:rsid w:val="00850818"/>
    <w:rsid w:val="00851148"/>
    <w:rsid w:val="00851608"/>
    <w:rsid w:val="008525CA"/>
    <w:rsid w:val="00852DA8"/>
    <w:rsid w:val="00852EC8"/>
    <w:rsid w:val="00852F69"/>
    <w:rsid w:val="00853342"/>
    <w:rsid w:val="008544C9"/>
    <w:rsid w:val="00854BEC"/>
    <w:rsid w:val="00855E7B"/>
    <w:rsid w:val="00856AD9"/>
    <w:rsid w:val="00856B14"/>
    <w:rsid w:val="00857196"/>
    <w:rsid w:val="00860D7B"/>
    <w:rsid w:val="0086111A"/>
    <w:rsid w:val="008621FB"/>
    <w:rsid w:val="00862AA6"/>
    <w:rsid w:val="00862CA5"/>
    <w:rsid w:val="00863F56"/>
    <w:rsid w:val="00864AA2"/>
    <w:rsid w:val="00864BA6"/>
    <w:rsid w:val="00865918"/>
    <w:rsid w:val="00866032"/>
    <w:rsid w:val="00866BF4"/>
    <w:rsid w:val="00866F7C"/>
    <w:rsid w:val="008675A5"/>
    <w:rsid w:val="008700A9"/>
    <w:rsid w:val="00870B20"/>
    <w:rsid w:val="00870C43"/>
    <w:rsid w:val="00870F8B"/>
    <w:rsid w:val="00872890"/>
    <w:rsid w:val="00872928"/>
    <w:rsid w:val="0087436C"/>
    <w:rsid w:val="00874B0D"/>
    <w:rsid w:val="0087573D"/>
    <w:rsid w:val="008761B7"/>
    <w:rsid w:val="00876531"/>
    <w:rsid w:val="0087734D"/>
    <w:rsid w:val="00877387"/>
    <w:rsid w:val="00877A7E"/>
    <w:rsid w:val="00880060"/>
    <w:rsid w:val="008805AD"/>
    <w:rsid w:val="008805B1"/>
    <w:rsid w:val="0088080C"/>
    <w:rsid w:val="00881239"/>
    <w:rsid w:val="008815C4"/>
    <w:rsid w:val="008815C6"/>
    <w:rsid w:val="0088191C"/>
    <w:rsid w:val="00881D59"/>
    <w:rsid w:val="00881DEB"/>
    <w:rsid w:val="008823B3"/>
    <w:rsid w:val="00883413"/>
    <w:rsid w:val="00883FFA"/>
    <w:rsid w:val="00884539"/>
    <w:rsid w:val="008847E9"/>
    <w:rsid w:val="00885770"/>
    <w:rsid w:val="008858C6"/>
    <w:rsid w:val="008864A2"/>
    <w:rsid w:val="008878CC"/>
    <w:rsid w:val="00887F89"/>
    <w:rsid w:val="00890483"/>
    <w:rsid w:val="008914D3"/>
    <w:rsid w:val="00891AFB"/>
    <w:rsid w:val="00892BB6"/>
    <w:rsid w:val="00893BAB"/>
    <w:rsid w:val="00895F20"/>
    <w:rsid w:val="00896096"/>
    <w:rsid w:val="00896467"/>
    <w:rsid w:val="0089655A"/>
    <w:rsid w:val="00896D34"/>
    <w:rsid w:val="00896EB7"/>
    <w:rsid w:val="0089721C"/>
    <w:rsid w:val="0089753C"/>
    <w:rsid w:val="008978DA"/>
    <w:rsid w:val="008A0478"/>
    <w:rsid w:val="008A13C7"/>
    <w:rsid w:val="008A1DB9"/>
    <w:rsid w:val="008A3C93"/>
    <w:rsid w:val="008A4102"/>
    <w:rsid w:val="008A4E6D"/>
    <w:rsid w:val="008A4EC5"/>
    <w:rsid w:val="008A5505"/>
    <w:rsid w:val="008A60B8"/>
    <w:rsid w:val="008A6602"/>
    <w:rsid w:val="008A69D5"/>
    <w:rsid w:val="008A75E9"/>
    <w:rsid w:val="008A7F92"/>
    <w:rsid w:val="008B10BC"/>
    <w:rsid w:val="008B3968"/>
    <w:rsid w:val="008B3D97"/>
    <w:rsid w:val="008B3E90"/>
    <w:rsid w:val="008B450C"/>
    <w:rsid w:val="008B54F1"/>
    <w:rsid w:val="008B79CD"/>
    <w:rsid w:val="008C0B68"/>
    <w:rsid w:val="008C0D2C"/>
    <w:rsid w:val="008C2AFF"/>
    <w:rsid w:val="008C3EDD"/>
    <w:rsid w:val="008C4A78"/>
    <w:rsid w:val="008C5021"/>
    <w:rsid w:val="008C5722"/>
    <w:rsid w:val="008C614F"/>
    <w:rsid w:val="008C63C3"/>
    <w:rsid w:val="008C6B3B"/>
    <w:rsid w:val="008D1A27"/>
    <w:rsid w:val="008D3E6B"/>
    <w:rsid w:val="008D4172"/>
    <w:rsid w:val="008D4239"/>
    <w:rsid w:val="008D70D5"/>
    <w:rsid w:val="008E011C"/>
    <w:rsid w:val="008E0B0B"/>
    <w:rsid w:val="008E0EE3"/>
    <w:rsid w:val="008E22C9"/>
    <w:rsid w:val="008E2939"/>
    <w:rsid w:val="008E2C84"/>
    <w:rsid w:val="008E2CE3"/>
    <w:rsid w:val="008E39DA"/>
    <w:rsid w:val="008E3B23"/>
    <w:rsid w:val="008E4188"/>
    <w:rsid w:val="008E421D"/>
    <w:rsid w:val="008E4528"/>
    <w:rsid w:val="008E49ED"/>
    <w:rsid w:val="008E50AB"/>
    <w:rsid w:val="008E5FC6"/>
    <w:rsid w:val="008E630E"/>
    <w:rsid w:val="008E641B"/>
    <w:rsid w:val="008E7472"/>
    <w:rsid w:val="008E796F"/>
    <w:rsid w:val="008E7A67"/>
    <w:rsid w:val="008E7B86"/>
    <w:rsid w:val="008F013C"/>
    <w:rsid w:val="008F0833"/>
    <w:rsid w:val="008F0B0A"/>
    <w:rsid w:val="008F16ED"/>
    <w:rsid w:val="008F43AC"/>
    <w:rsid w:val="008F465E"/>
    <w:rsid w:val="008F46FF"/>
    <w:rsid w:val="008F4FD6"/>
    <w:rsid w:val="008F5422"/>
    <w:rsid w:val="008F5DC3"/>
    <w:rsid w:val="008F6098"/>
    <w:rsid w:val="008F6511"/>
    <w:rsid w:val="008F713C"/>
    <w:rsid w:val="008F762F"/>
    <w:rsid w:val="008F7866"/>
    <w:rsid w:val="0090011F"/>
    <w:rsid w:val="00902E4A"/>
    <w:rsid w:val="00902E94"/>
    <w:rsid w:val="00903721"/>
    <w:rsid w:val="00904A0F"/>
    <w:rsid w:val="00905623"/>
    <w:rsid w:val="00905A57"/>
    <w:rsid w:val="00905D1C"/>
    <w:rsid w:val="0090651D"/>
    <w:rsid w:val="009070FF"/>
    <w:rsid w:val="00907161"/>
    <w:rsid w:val="00907A00"/>
    <w:rsid w:val="00910E78"/>
    <w:rsid w:val="00911668"/>
    <w:rsid w:val="00911897"/>
    <w:rsid w:val="00911D20"/>
    <w:rsid w:val="00913135"/>
    <w:rsid w:val="009131CD"/>
    <w:rsid w:val="00913A26"/>
    <w:rsid w:val="00913B3B"/>
    <w:rsid w:val="00913D18"/>
    <w:rsid w:val="009154E0"/>
    <w:rsid w:val="00915A29"/>
    <w:rsid w:val="00915F37"/>
    <w:rsid w:val="00916554"/>
    <w:rsid w:val="009165D6"/>
    <w:rsid w:val="009169CD"/>
    <w:rsid w:val="00916B2B"/>
    <w:rsid w:val="00917B05"/>
    <w:rsid w:val="00917D0B"/>
    <w:rsid w:val="00917DFD"/>
    <w:rsid w:val="00920523"/>
    <w:rsid w:val="00920934"/>
    <w:rsid w:val="009209D2"/>
    <w:rsid w:val="00920EB6"/>
    <w:rsid w:val="0092176F"/>
    <w:rsid w:val="009217E0"/>
    <w:rsid w:val="00922505"/>
    <w:rsid w:val="00922740"/>
    <w:rsid w:val="00922A1A"/>
    <w:rsid w:val="00923841"/>
    <w:rsid w:val="00924A4E"/>
    <w:rsid w:val="00925913"/>
    <w:rsid w:val="009259BB"/>
    <w:rsid w:val="00925D98"/>
    <w:rsid w:val="00926990"/>
    <w:rsid w:val="00926D65"/>
    <w:rsid w:val="0092797E"/>
    <w:rsid w:val="00927C3A"/>
    <w:rsid w:val="00927F24"/>
    <w:rsid w:val="00930648"/>
    <w:rsid w:val="00931976"/>
    <w:rsid w:val="00932ABC"/>
    <w:rsid w:val="00933243"/>
    <w:rsid w:val="00933494"/>
    <w:rsid w:val="00933BFD"/>
    <w:rsid w:val="009340C4"/>
    <w:rsid w:val="009347A4"/>
    <w:rsid w:val="00934883"/>
    <w:rsid w:val="00936262"/>
    <w:rsid w:val="00936647"/>
    <w:rsid w:val="00937022"/>
    <w:rsid w:val="00937A03"/>
    <w:rsid w:val="00937AE1"/>
    <w:rsid w:val="00937B6E"/>
    <w:rsid w:val="00937C36"/>
    <w:rsid w:val="009402DF"/>
    <w:rsid w:val="00940653"/>
    <w:rsid w:val="0094065F"/>
    <w:rsid w:val="00940A01"/>
    <w:rsid w:val="00941F95"/>
    <w:rsid w:val="00942431"/>
    <w:rsid w:val="00942688"/>
    <w:rsid w:val="009432DA"/>
    <w:rsid w:val="0094366E"/>
    <w:rsid w:val="00943E5E"/>
    <w:rsid w:val="00944001"/>
    <w:rsid w:val="00944E83"/>
    <w:rsid w:val="0094502F"/>
    <w:rsid w:val="0094570D"/>
    <w:rsid w:val="00947069"/>
    <w:rsid w:val="00950038"/>
    <w:rsid w:val="00950A3D"/>
    <w:rsid w:val="00951BD4"/>
    <w:rsid w:val="009520A7"/>
    <w:rsid w:val="0095213C"/>
    <w:rsid w:val="00953914"/>
    <w:rsid w:val="00953B2D"/>
    <w:rsid w:val="00954349"/>
    <w:rsid w:val="009547F1"/>
    <w:rsid w:val="00954E25"/>
    <w:rsid w:val="0095511B"/>
    <w:rsid w:val="009555E1"/>
    <w:rsid w:val="009559F1"/>
    <w:rsid w:val="00955F6F"/>
    <w:rsid w:val="009562CD"/>
    <w:rsid w:val="00956C46"/>
    <w:rsid w:val="009573C0"/>
    <w:rsid w:val="00960075"/>
    <w:rsid w:val="00960D88"/>
    <w:rsid w:val="00961674"/>
    <w:rsid w:val="00961CEA"/>
    <w:rsid w:val="00962541"/>
    <w:rsid w:val="0096285A"/>
    <w:rsid w:val="0096376F"/>
    <w:rsid w:val="00964021"/>
    <w:rsid w:val="00964A78"/>
    <w:rsid w:val="00964EFA"/>
    <w:rsid w:val="00965756"/>
    <w:rsid w:val="00965D70"/>
    <w:rsid w:val="00967861"/>
    <w:rsid w:val="009708E7"/>
    <w:rsid w:val="00972BD9"/>
    <w:rsid w:val="00972EAE"/>
    <w:rsid w:val="00973793"/>
    <w:rsid w:val="00973881"/>
    <w:rsid w:val="00974343"/>
    <w:rsid w:val="00974356"/>
    <w:rsid w:val="00974618"/>
    <w:rsid w:val="0097485D"/>
    <w:rsid w:val="009749A9"/>
    <w:rsid w:val="00974C91"/>
    <w:rsid w:val="00974CB0"/>
    <w:rsid w:val="00974E08"/>
    <w:rsid w:val="009750B2"/>
    <w:rsid w:val="009753AB"/>
    <w:rsid w:val="009757EF"/>
    <w:rsid w:val="009771B0"/>
    <w:rsid w:val="00977264"/>
    <w:rsid w:val="009775C9"/>
    <w:rsid w:val="00977F9E"/>
    <w:rsid w:val="0098032C"/>
    <w:rsid w:val="009805D8"/>
    <w:rsid w:val="0098095C"/>
    <w:rsid w:val="009814C2"/>
    <w:rsid w:val="00982036"/>
    <w:rsid w:val="0098280B"/>
    <w:rsid w:val="00983536"/>
    <w:rsid w:val="00983804"/>
    <w:rsid w:val="009842E4"/>
    <w:rsid w:val="009845BE"/>
    <w:rsid w:val="00984AE2"/>
    <w:rsid w:val="00984E6A"/>
    <w:rsid w:val="0098608F"/>
    <w:rsid w:val="00986E0D"/>
    <w:rsid w:val="00990F00"/>
    <w:rsid w:val="00991594"/>
    <w:rsid w:val="009920B5"/>
    <w:rsid w:val="009921BA"/>
    <w:rsid w:val="009922DA"/>
    <w:rsid w:val="0099255D"/>
    <w:rsid w:val="00992AAA"/>
    <w:rsid w:val="00993077"/>
    <w:rsid w:val="0099490A"/>
    <w:rsid w:val="009952F3"/>
    <w:rsid w:val="00995D3F"/>
    <w:rsid w:val="00996D13"/>
    <w:rsid w:val="009A107F"/>
    <w:rsid w:val="009A1C46"/>
    <w:rsid w:val="009A1CB1"/>
    <w:rsid w:val="009A2775"/>
    <w:rsid w:val="009A33E6"/>
    <w:rsid w:val="009A3E25"/>
    <w:rsid w:val="009A3F4F"/>
    <w:rsid w:val="009A4226"/>
    <w:rsid w:val="009A4FCB"/>
    <w:rsid w:val="009A5128"/>
    <w:rsid w:val="009A5E93"/>
    <w:rsid w:val="009A6A6C"/>
    <w:rsid w:val="009B0467"/>
    <w:rsid w:val="009B08BB"/>
    <w:rsid w:val="009B106B"/>
    <w:rsid w:val="009B1227"/>
    <w:rsid w:val="009B25E6"/>
    <w:rsid w:val="009B2954"/>
    <w:rsid w:val="009B33FE"/>
    <w:rsid w:val="009B4CE8"/>
    <w:rsid w:val="009B4E2A"/>
    <w:rsid w:val="009B524F"/>
    <w:rsid w:val="009B559D"/>
    <w:rsid w:val="009B5BCC"/>
    <w:rsid w:val="009B63C3"/>
    <w:rsid w:val="009B6ACA"/>
    <w:rsid w:val="009B6B51"/>
    <w:rsid w:val="009B745B"/>
    <w:rsid w:val="009B7823"/>
    <w:rsid w:val="009B7D00"/>
    <w:rsid w:val="009B7D72"/>
    <w:rsid w:val="009C0488"/>
    <w:rsid w:val="009C0726"/>
    <w:rsid w:val="009C14C3"/>
    <w:rsid w:val="009C1BB8"/>
    <w:rsid w:val="009C20BE"/>
    <w:rsid w:val="009C221A"/>
    <w:rsid w:val="009C2504"/>
    <w:rsid w:val="009C253C"/>
    <w:rsid w:val="009C26CE"/>
    <w:rsid w:val="009C38C0"/>
    <w:rsid w:val="009C4064"/>
    <w:rsid w:val="009C4BF4"/>
    <w:rsid w:val="009C5BB3"/>
    <w:rsid w:val="009C5C69"/>
    <w:rsid w:val="009C5CA7"/>
    <w:rsid w:val="009C60B2"/>
    <w:rsid w:val="009C6132"/>
    <w:rsid w:val="009C7840"/>
    <w:rsid w:val="009D02A4"/>
    <w:rsid w:val="009D03C6"/>
    <w:rsid w:val="009D0AE9"/>
    <w:rsid w:val="009D0DE0"/>
    <w:rsid w:val="009D3AD9"/>
    <w:rsid w:val="009D3BDA"/>
    <w:rsid w:val="009D461A"/>
    <w:rsid w:val="009D502B"/>
    <w:rsid w:val="009D52CD"/>
    <w:rsid w:val="009D6749"/>
    <w:rsid w:val="009D6C45"/>
    <w:rsid w:val="009D763C"/>
    <w:rsid w:val="009E058B"/>
    <w:rsid w:val="009E0C99"/>
    <w:rsid w:val="009E1994"/>
    <w:rsid w:val="009E19D8"/>
    <w:rsid w:val="009E1D54"/>
    <w:rsid w:val="009E23A6"/>
    <w:rsid w:val="009E4667"/>
    <w:rsid w:val="009E55D3"/>
    <w:rsid w:val="009E6071"/>
    <w:rsid w:val="009E70FD"/>
    <w:rsid w:val="009E7399"/>
    <w:rsid w:val="009E7690"/>
    <w:rsid w:val="009F02BA"/>
    <w:rsid w:val="009F12DC"/>
    <w:rsid w:val="009F1347"/>
    <w:rsid w:val="009F1A3C"/>
    <w:rsid w:val="009F2319"/>
    <w:rsid w:val="009F3553"/>
    <w:rsid w:val="009F3900"/>
    <w:rsid w:val="009F3E44"/>
    <w:rsid w:val="009F4557"/>
    <w:rsid w:val="009F4784"/>
    <w:rsid w:val="009F4929"/>
    <w:rsid w:val="009F55B0"/>
    <w:rsid w:val="009F566B"/>
    <w:rsid w:val="009F5883"/>
    <w:rsid w:val="009F59A8"/>
    <w:rsid w:val="009F5AC5"/>
    <w:rsid w:val="009F5B49"/>
    <w:rsid w:val="00A00C33"/>
    <w:rsid w:val="00A011D6"/>
    <w:rsid w:val="00A01872"/>
    <w:rsid w:val="00A01EF7"/>
    <w:rsid w:val="00A02EFA"/>
    <w:rsid w:val="00A03113"/>
    <w:rsid w:val="00A03305"/>
    <w:rsid w:val="00A036A0"/>
    <w:rsid w:val="00A03A73"/>
    <w:rsid w:val="00A03D31"/>
    <w:rsid w:val="00A043C2"/>
    <w:rsid w:val="00A04D0A"/>
    <w:rsid w:val="00A0550B"/>
    <w:rsid w:val="00A05B96"/>
    <w:rsid w:val="00A06B5D"/>
    <w:rsid w:val="00A06EE8"/>
    <w:rsid w:val="00A07A8F"/>
    <w:rsid w:val="00A10CC9"/>
    <w:rsid w:val="00A11238"/>
    <w:rsid w:val="00A11A21"/>
    <w:rsid w:val="00A11AE5"/>
    <w:rsid w:val="00A11FC1"/>
    <w:rsid w:val="00A12137"/>
    <w:rsid w:val="00A1265C"/>
    <w:rsid w:val="00A132E3"/>
    <w:rsid w:val="00A13DAB"/>
    <w:rsid w:val="00A142A0"/>
    <w:rsid w:val="00A14353"/>
    <w:rsid w:val="00A14C93"/>
    <w:rsid w:val="00A14DE6"/>
    <w:rsid w:val="00A15187"/>
    <w:rsid w:val="00A15FD1"/>
    <w:rsid w:val="00A16229"/>
    <w:rsid w:val="00A1672F"/>
    <w:rsid w:val="00A16BF9"/>
    <w:rsid w:val="00A173F1"/>
    <w:rsid w:val="00A17540"/>
    <w:rsid w:val="00A177C9"/>
    <w:rsid w:val="00A17AF9"/>
    <w:rsid w:val="00A17CA9"/>
    <w:rsid w:val="00A20816"/>
    <w:rsid w:val="00A21D12"/>
    <w:rsid w:val="00A22BE8"/>
    <w:rsid w:val="00A24EB4"/>
    <w:rsid w:val="00A25037"/>
    <w:rsid w:val="00A25889"/>
    <w:rsid w:val="00A25B52"/>
    <w:rsid w:val="00A25C77"/>
    <w:rsid w:val="00A32343"/>
    <w:rsid w:val="00A32D04"/>
    <w:rsid w:val="00A32F15"/>
    <w:rsid w:val="00A333CC"/>
    <w:rsid w:val="00A342E7"/>
    <w:rsid w:val="00A36858"/>
    <w:rsid w:val="00A3787D"/>
    <w:rsid w:val="00A37BBA"/>
    <w:rsid w:val="00A42030"/>
    <w:rsid w:val="00A425D6"/>
    <w:rsid w:val="00A42EE0"/>
    <w:rsid w:val="00A439CB"/>
    <w:rsid w:val="00A4436B"/>
    <w:rsid w:val="00A451A9"/>
    <w:rsid w:val="00A451DF"/>
    <w:rsid w:val="00A45CA8"/>
    <w:rsid w:val="00A45FA3"/>
    <w:rsid w:val="00A464DD"/>
    <w:rsid w:val="00A468B0"/>
    <w:rsid w:val="00A46EAE"/>
    <w:rsid w:val="00A47816"/>
    <w:rsid w:val="00A47A17"/>
    <w:rsid w:val="00A5127D"/>
    <w:rsid w:val="00A51332"/>
    <w:rsid w:val="00A515A0"/>
    <w:rsid w:val="00A51B9F"/>
    <w:rsid w:val="00A52F42"/>
    <w:rsid w:val="00A5326A"/>
    <w:rsid w:val="00A53969"/>
    <w:rsid w:val="00A53AFE"/>
    <w:rsid w:val="00A54487"/>
    <w:rsid w:val="00A551B7"/>
    <w:rsid w:val="00A557A4"/>
    <w:rsid w:val="00A5606D"/>
    <w:rsid w:val="00A561C3"/>
    <w:rsid w:val="00A5658C"/>
    <w:rsid w:val="00A56703"/>
    <w:rsid w:val="00A56C7A"/>
    <w:rsid w:val="00A56CDD"/>
    <w:rsid w:val="00A5716C"/>
    <w:rsid w:val="00A60202"/>
    <w:rsid w:val="00A60434"/>
    <w:rsid w:val="00A6047B"/>
    <w:rsid w:val="00A609B9"/>
    <w:rsid w:val="00A611A2"/>
    <w:rsid w:val="00A6126A"/>
    <w:rsid w:val="00A612FA"/>
    <w:rsid w:val="00A6141B"/>
    <w:rsid w:val="00A619CF"/>
    <w:rsid w:val="00A61A25"/>
    <w:rsid w:val="00A61A5F"/>
    <w:rsid w:val="00A623A1"/>
    <w:rsid w:val="00A6245C"/>
    <w:rsid w:val="00A63E51"/>
    <w:rsid w:val="00A644E9"/>
    <w:rsid w:val="00A647B6"/>
    <w:rsid w:val="00A64AF4"/>
    <w:rsid w:val="00A65356"/>
    <w:rsid w:val="00A65C02"/>
    <w:rsid w:val="00A65D7D"/>
    <w:rsid w:val="00A666F1"/>
    <w:rsid w:val="00A669DE"/>
    <w:rsid w:val="00A670EF"/>
    <w:rsid w:val="00A67F14"/>
    <w:rsid w:val="00A703C7"/>
    <w:rsid w:val="00A70F9A"/>
    <w:rsid w:val="00A71CF8"/>
    <w:rsid w:val="00A71E1E"/>
    <w:rsid w:val="00A727EE"/>
    <w:rsid w:val="00A72F1A"/>
    <w:rsid w:val="00A73792"/>
    <w:rsid w:val="00A7382B"/>
    <w:rsid w:val="00A73E82"/>
    <w:rsid w:val="00A7489B"/>
    <w:rsid w:val="00A74D27"/>
    <w:rsid w:val="00A74E2A"/>
    <w:rsid w:val="00A75100"/>
    <w:rsid w:val="00A760C7"/>
    <w:rsid w:val="00A767F3"/>
    <w:rsid w:val="00A76B90"/>
    <w:rsid w:val="00A807F8"/>
    <w:rsid w:val="00A8121A"/>
    <w:rsid w:val="00A818EB"/>
    <w:rsid w:val="00A82042"/>
    <w:rsid w:val="00A8212F"/>
    <w:rsid w:val="00A82EE7"/>
    <w:rsid w:val="00A84031"/>
    <w:rsid w:val="00A84133"/>
    <w:rsid w:val="00A85998"/>
    <w:rsid w:val="00A85E7A"/>
    <w:rsid w:val="00A86313"/>
    <w:rsid w:val="00A865A1"/>
    <w:rsid w:val="00A86F21"/>
    <w:rsid w:val="00A879EB"/>
    <w:rsid w:val="00A90020"/>
    <w:rsid w:val="00A91527"/>
    <w:rsid w:val="00A91A28"/>
    <w:rsid w:val="00A91A38"/>
    <w:rsid w:val="00A91BE0"/>
    <w:rsid w:val="00A93E18"/>
    <w:rsid w:val="00A93F1E"/>
    <w:rsid w:val="00A93FCF"/>
    <w:rsid w:val="00A940AE"/>
    <w:rsid w:val="00A94D5E"/>
    <w:rsid w:val="00A9533A"/>
    <w:rsid w:val="00A9549D"/>
    <w:rsid w:val="00A960E8"/>
    <w:rsid w:val="00A963B5"/>
    <w:rsid w:val="00A96722"/>
    <w:rsid w:val="00AA0075"/>
    <w:rsid w:val="00AA07CF"/>
    <w:rsid w:val="00AA0F49"/>
    <w:rsid w:val="00AA1F18"/>
    <w:rsid w:val="00AA4E4A"/>
    <w:rsid w:val="00AA5CAF"/>
    <w:rsid w:val="00AA600A"/>
    <w:rsid w:val="00AA66A6"/>
    <w:rsid w:val="00AA6B90"/>
    <w:rsid w:val="00AA701A"/>
    <w:rsid w:val="00AA735C"/>
    <w:rsid w:val="00AA7A65"/>
    <w:rsid w:val="00AA7FA6"/>
    <w:rsid w:val="00AB0162"/>
    <w:rsid w:val="00AB08F5"/>
    <w:rsid w:val="00AB0C68"/>
    <w:rsid w:val="00AB102B"/>
    <w:rsid w:val="00AB1484"/>
    <w:rsid w:val="00AB1AA5"/>
    <w:rsid w:val="00AB1C39"/>
    <w:rsid w:val="00AB309E"/>
    <w:rsid w:val="00AB3D48"/>
    <w:rsid w:val="00AB496E"/>
    <w:rsid w:val="00AB5FBC"/>
    <w:rsid w:val="00AB7694"/>
    <w:rsid w:val="00AB7A64"/>
    <w:rsid w:val="00AB7AA5"/>
    <w:rsid w:val="00AB7ABF"/>
    <w:rsid w:val="00AC07A9"/>
    <w:rsid w:val="00AC37B9"/>
    <w:rsid w:val="00AC3987"/>
    <w:rsid w:val="00AC3AB5"/>
    <w:rsid w:val="00AC441E"/>
    <w:rsid w:val="00AC44B8"/>
    <w:rsid w:val="00AC4A91"/>
    <w:rsid w:val="00AC578D"/>
    <w:rsid w:val="00AC6857"/>
    <w:rsid w:val="00AC69D8"/>
    <w:rsid w:val="00AC6A17"/>
    <w:rsid w:val="00AC70B9"/>
    <w:rsid w:val="00AC7D81"/>
    <w:rsid w:val="00AD0434"/>
    <w:rsid w:val="00AD059C"/>
    <w:rsid w:val="00AD07D5"/>
    <w:rsid w:val="00AD138C"/>
    <w:rsid w:val="00AD14C8"/>
    <w:rsid w:val="00AD1C44"/>
    <w:rsid w:val="00AD1E26"/>
    <w:rsid w:val="00AD2052"/>
    <w:rsid w:val="00AD2863"/>
    <w:rsid w:val="00AD2B76"/>
    <w:rsid w:val="00AD2E8D"/>
    <w:rsid w:val="00AD2F53"/>
    <w:rsid w:val="00AD37AD"/>
    <w:rsid w:val="00AD3F7C"/>
    <w:rsid w:val="00AD3FB0"/>
    <w:rsid w:val="00AD4313"/>
    <w:rsid w:val="00AD4556"/>
    <w:rsid w:val="00AD4C2A"/>
    <w:rsid w:val="00AD5E3B"/>
    <w:rsid w:val="00AD62AE"/>
    <w:rsid w:val="00AD66EC"/>
    <w:rsid w:val="00AD7541"/>
    <w:rsid w:val="00AE0D41"/>
    <w:rsid w:val="00AE16F1"/>
    <w:rsid w:val="00AE24DB"/>
    <w:rsid w:val="00AE49B9"/>
    <w:rsid w:val="00AE4C13"/>
    <w:rsid w:val="00AE58B2"/>
    <w:rsid w:val="00AE6C19"/>
    <w:rsid w:val="00AE6CD8"/>
    <w:rsid w:val="00AE7890"/>
    <w:rsid w:val="00AF075B"/>
    <w:rsid w:val="00AF095C"/>
    <w:rsid w:val="00AF0A6E"/>
    <w:rsid w:val="00AF12B3"/>
    <w:rsid w:val="00AF3516"/>
    <w:rsid w:val="00AF3E16"/>
    <w:rsid w:val="00AF5055"/>
    <w:rsid w:val="00AF5F5E"/>
    <w:rsid w:val="00AF5FB8"/>
    <w:rsid w:val="00AF62A2"/>
    <w:rsid w:val="00AF64A7"/>
    <w:rsid w:val="00AF6BB4"/>
    <w:rsid w:val="00AF7FA6"/>
    <w:rsid w:val="00B00254"/>
    <w:rsid w:val="00B03046"/>
    <w:rsid w:val="00B03409"/>
    <w:rsid w:val="00B035D9"/>
    <w:rsid w:val="00B04D87"/>
    <w:rsid w:val="00B04E0D"/>
    <w:rsid w:val="00B050B0"/>
    <w:rsid w:val="00B06389"/>
    <w:rsid w:val="00B066CC"/>
    <w:rsid w:val="00B06D40"/>
    <w:rsid w:val="00B06F33"/>
    <w:rsid w:val="00B077D0"/>
    <w:rsid w:val="00B10200"/>
    <w:rsid w:val="00B10690"/>
    <w:rsid w:val="00B10D0D"/>
    <w:rsid w:val="00B11780"/>
    <w:rsid w:val="00B128A7"/>
    <w:rsid w:val="00B1354B"/>
    <w:rsid w:val="00B13AA0"/>
    <w:rsid w:val="00B14DEE"/>
    <w:rsid w:val="00B155A8"/>
    <w:rsid w:val="00B155DD"/>
    <w:rsid w:val="00B158ED"/>
    <w:rsid w:val="00B15D90"/>
    <w:rsid w:val="00B16247"/>
    <w:rsid w:val="00B16305"/>
    <w:rsid w:val="00B16C54"/>
    <w:rsid w:val="00B16ED2"/>
    <w:rsid w:val="00B173BF"/>
    <w:rsid w:val="00B17B7D"/>
    <w:rsid w:val="00B205A3"/>
    <w:rsid w:val="00B21598"/>
    <w:rsid w:val="00B22C68"/>
    <w:rsid w:val="00B22E77"/>
    <w:rsid w:val="00B23D41"/>
    <w:rsid w:val="00B25317"/>
    <w:rsid w:val="00B258E0"/>
    <w:rsid w:val="00B25A82"/>
    <w:rsid w:val="00B26174"/>
    <w:rsid w:val="00B26E94"/>
    <w:rsid w:val="00B2726C"/>
    <w:rsid w:val="00B276E1"/>
    <w:rsid w:val="00B27F7F"/>
    <w:rsid w:val="00B30356"/>
    <w:rsid w:val="00B309D0"/>
    <w:rsid w:val="00B30DE1"/>
    <w:rsid w:val="00B31590"/>
    <w:rsid w:val="00B3170E"/>
    <w:rsid w:val="00B330A4"/>
    <w:rsid w:val="00B3488A"/>
    <w:rsid w:val="00B35481"/>
    <w:rsid w:val="00B3584F"/>
    <w:rsid w:val="00B35935"/>
    <w:rsid w:val="00B366A2"/>
    <w:rsid w:val="00B36802"/>
    <w:rsid w:val="00B3694F"/>
    <w:rsid w:val="00B37109"/>
    <w:rsid w:val="00B373D0"/>
    <w:rsid w:val="00B37ED8"/>
    <w:rsid w:val="00B37F22"/>
    <w:rsid w:val="00B40425"/>
    <w:rsid w:val="00B4049B"/>
    <w:rsid w:val="00B40976"/>
    <w:rsid w:val="00B40FFF"/>
    <w:rsid w:val="00B41B6D"/>
    <w:rsid w:val="00B41C03"/>
    <w:rsid w:val="00B42B05"/>
    <w:rsid w:val="00B42DE1"/>
    <w:rsid w:val="00B4357B"/>
    <w:rsid w:val="00B43E38"/>
    <w:rsid w:val="00B44F5C"/>
    <w:rsid w:val="00B45A4F"/>
    <w:rsid w:val="00B4652C"/>
    <w:rsid w:val="00B46673"/>
    <w:rsid w:val="00B47350"/>
    <w:rsid w:val="00B4782C"/>
    <w:rsid w:val="00B50523"/>
    <w:rsid w:val="00B50A75"/>
    <w:rsid w:val="00B5166C"/>
    <w:rsid w:val="00B51784"/>
    <w:rsid w:val="00B52175"/>
    <w:rsid w:val="00B52B7A"/>
    <w:rsid w:val="00B52FCC"/>
    <w:rsid w:val="00B53022"/>
    <w:rsid w:val="00B532C7"/>
    <w:rsid w:val="00B532FB"/>
    <w:rsid w:val="00B53814"/>
    <w:rsid w:val="00B54294"/>
    <w:rsid w:val="00B55936"/>
    <w:rsid w:val="00B56108"/>
    <w:rsid w:val="00B567F6"/>
    <w:rsid w:val="00B56BBE"/>
    <w:rsid w:val="00B57D60"/>
    <w:rsid w:val="00B600DE"/>
    <w:rsid w:val="00B60690"/>
    <w:rsid w:val="00B6077F"/>
    <w:rsid w:val="00B6106F"/>
    <w:rsid w:val="00B61859"/>
    <w:rsid w:val="00B62348"/>
    <w:rsid w:val="00B63B0D"/>
    <w:rsid w:val="00B63E23"/>
    <w:rsid w:val="00B64B29"/>
    <w:rsid w:val="00B65699"/>
    <w:rsid w:val="00B66656"/>
    <w:rsid w:val="00B66EF9"/>
    <w:rsid w:val="00B67206"/>
    <w:rsid w:val="00B67C12"/>
    <w:rsid w:val="00B701C3"/>
    <w:rsid w:val="00B709E7"/>
    <w:rsid w:val="00B711E8"/>
    <w:rsid w:val="00B71C2F"/>
    <w:rsid w:val="00B72CA2"/>
    <w:rsid w:val="00B72F20"/>
    <w:rsid w:val="00B73764"/>
    <w:rsid w:val="00B7403F"/>
    <w:rsid w:val="00B74131"/>
    <w:rsid w:val="00B74344"/>
    <w:rsid w:val="00B745E1"/>
    <w:rsid w:val="00B74CF8"/>
    <w:rsid w:val="00B74DC6"/>
    <w:rsid w:val="00B76024"/>
    <w:rsid w:val="00B76F67"/>
    <w:rsid w:val="00B76FC2"/>
    <w:rsid w:val="00B77E20"/>
    <w:rsid w:val="00B77F44"/>
    <w:rsid w:val="00B802A8"/>
    <w:rsid w:val="00B81E5D"/>
    <w:rsid w:val="00B82FF2"/>
    <w:rsid w:val="00B8411C"/>
    <w:rsid w:val="00B84CC8"/>
    <w:rsid w:val="00B85556"/>
    <w:rsid w:val="00B86D53"/>
    <w:rsid w:val="00B902E5"/>
    <w:rsid w:val="00B907AB"/>
    <w:rsid w:val="00B915B6"/>
    <w:rsid w:val="00B91E54"/>
    <w:rsid w:val="00B927F7"/>
    <w:rsid w:val="00B92973"/>
    <w:rsid w:val="00B93039"/>
    <w:rsid w:val="00B94333"/>
    <w:rsid w:val="00B945F8"/>
    <w:rsid w:val="00B94618"/>
    <w:rsid w:val="00B95776"/>
    <w:rsid w:val="00B959AD"/>
    <w:rsid w:val="00B95BF1"/>
    <w:rsid w:val="00B95CBD"/>
    <w:rsid w:val="00B97642"/>
    <w:rsid w:val="00B97713"/>
    <w:rsid w:val="00B97D77"/>
    <w:rsid w:val="00BA0019"/>
    <w:rsid w:val="00BA06F3"/>
    <w:rsid w:val="00BA1401"/>
    <w:rsid w:val="00BA198A"/>
    <w:rsid w:val="00BA2654"/>
    <w:rsid w:val="00BA4131"/>
    <w:rsid w:val="00BA4748"/>
    <w:rsid w:val="00BA4B20"/>
    <w:rsid w:val="00BA5320"/>
    <w:rsid w:val="00BA6364"/>
    <w:rsid w:val="00BA654E"/>
    <w:rsid w:val="00BA6A03"/>
    <w:rsid w:val="00BA7A55"/>
    <w:rsid w:val="00BB03A4"/>
    <w:rsid w:val="00BB17DB"/>
    <w:rsid w:val="00BB277B"/>
    <w:rsid w:val="00BB2CA4"/>
    <w:rsid w:val="00BB2F6D"/>
    <w:rsid w:val="00BB3485"/>
    <w:rsid w:val="00BB3674"/>
    <w:rsid w:val="00BB3737"/>
    <w:rsid w:val="00BB38B7"/>
    <w:rsid w:val="00BB3ABF"/>
    <w:rsid w:val="00BB4FEA"/>
    <w:rsid w:val="00BB5AF2"/>
    <w:rsid w:val="00BB5DDE"/>
    <w:rsid w:val="00BB6427"/>
    <w:rsid w:val="00BB706D"/>
    <w:rsid w:val="00BB73F9"/>
    <w:rsid w:val="00BB7700"/>
    <w:rsid w:val="00BB7FE8"/>
    <w:rsid w:val="00BC1458"/>
    <w:rsid w:val="00BC1E0C"/>
    <w:rsid w:val="00BC1E56"/>
    <w:rsid w:val="00BC2A21"/>
    <w:rsid w:val="00BC2D70"/>
    <w:rsid w:val="00BC360C"/>
    <w:rsid w:val="00BC40B2"/>
    <w:rsid w:val="00BC53F8"/>
    <w:rsid w:val="00BC57A0"/>
    <w:rsid w:val="00BC6039"/>
    <w:rsid w:val="00BC6AFD"/>
    <w:rsid w:val="00BC7730"/>
    <w:rsid w:val="00BD00FC"/>
    <w:rsid w:val="00BD0950"/>
    <w:rsid w:val="00BD0A90"/>
    <w:rsid w:val="00BD0DC1"/>
    <w:rsid w:val="00BD10CB"/>
    <w:rsid w:val="00BD2C4E"/>
    <w:rsid w:val="00BD32F8"/>
    <w:rsid w:val="00BD38B2"/>
    <w:rsid w:val="00BD41FE"/>
    <w:rsid w:val="00BD42C3"/>
    <w:rsid w:val="00BD4791"/>
    <w:rsid w:val="00BD4833"/>
    <w:rsid w:val="00BD4DDB"/>
    <w:rsid w:val="00BD5450"/>
    <w:rsid w:val="00BD560E"/>
    <w:rsid w:val="00BD5629"/>
    <w:rsid w:val="00BD650C"/>
    <w:rsid w:val="00BD6952"/>
    <w:rsid w:val="00BD6B27"/>
    <w:rsid w:val="00BD6DC1"/>
    <w:rsid w:val="00BD7C8E"/>
    <w:rsid w:val="00BE05D8"/>
    <w:rsid w:val="00BE0BA5"/>
    <w:rsid w:val="00BE1A73"/>
    <w:rsid w:val="00BE1DCC"/>
    <w:rsid w:val="00BE29E8"/>
    <w:rsid w:val="00BE2E62"/>
    <w:rsid w:val="00BE327D"/>
    <w:rsid w:val="00BE40FB"/>
    <w:rsid w:val="00BE47FF"/>
    <w:rsid w:val="00BE53D3"/>
    <w:rsid w:val="00BE5D9C"/>
    <w:rsid w:val="00BE60D6"/>
    <w:rsid w:val="00BE6999"/>
    <w:rsid w:val="00BE72B3"/>
    <w:rsid w:val="00BF05CC"/>
    <w:rsid w:val="00BF09DE"/>
    <w:rsid w:val="00BF0E8E"/>
    <w:rsid w:val="00BF1F96"/>
    <w:rsid w:val="00BF222B"/>
    <w:rsid w:val="00BF2731"/>
    <w:rsid w:val="00BF2C06"/>
    <w:rsid w:val="00BF33A5"/>
    <w:rsid w:val="00BF348A"/>
    <w:rsid w:val="00BF369C"/>
    <w:rsid w:val="00BF3FD5"/>
    <w:rsid w:val="00BF4280"/>
    <w:rsid w:val="00BF50EF"/>
    <w:rsid w:val="00BF5520"/>
    <w:rsid w:val="00BF57A5"/>
    <w:rsid w:val="00BF5A97"/>
    <w:rsid w:val="00BF5FC0"/>
    <w:rsid w:val="00BF7106"/>
    <w:rsid w:val="00BF7250"/>
    <w:rsid w:val="00C0010A"/>
    <w:rsid w:val="00C00867"/>
    <w:rsid w:val="00C0125D"/>
    <w:rsid w:val="00C02E65"/>
    <w:rsid w:val="00C036E1"/>
    <w:rsid w:val="00C039EF"/>
    <w:rsid w:val="00C03C38"/>
    <w:rsid w:val="00C042E5"/>
    <w:rsid w:val="00C05348"/>
    <w:rsid w:val="00C05668"/>
    <w:rsid w:val="00C06DEC"/>
    <w:rsid w:val="00C07472"/>
    <w:rsid w:val="00C07917"/>
    <w:rsid w:val="00C07E17"/>
    <w:rsid w:val="00C102F3"/>
    <w:rsid w:val="00C111CC"/>
    <w:rsid w:val="00C112A2"/>
    <w:rsid w:val="00C11CBF"/>
    <w:rsid w:val="00C1321D"/>
    <w:rsid w:val="00C13FAE"/>
    <w:rsid w:val="00C143F7"/>
    <w:rsid w:val="00C14597"/>
    <w:rsid w:val="00C14C52"/>
    <w:rsid w:val="00C15079"/>
    <w:rsid w:val="00C15AFA"/>
    <w:rsid w:val="00C16D69"/>
    <w:rsid w:val="00C175EB"/>
    <w:rsid w:val="00C178EE"/>
    <w:rsid w:val="00C17AF2"/>
    <w:rsid w:val="00C2040E"/>
    <w:rsid w:val="00C20F04"/>
    <w:rsid w:val="00C212BE"/>
    <w:rsid w:val="00C213D0"/>
    <w:rsid w:val="00C215C4"/>
    <w:rsid w:val="00C21C0A"/>
    <w:rsid w:val="00C221C8"/>
    <w:rsid w:val="00C221F5"/>
    <w:rsid w:val="00C223BC"/>
    <w:rsid w:val="00C24157"/>
    <w:rsid w:val="00C248AC"/>
    <w:rsid w:val="00C24A88"/>
    <w:rsid w:val="00C24B2A"/>
    <w:rsid w:val="00C24E47"/>
    <w:rsid w:val="00C24F7B"/>
    <w:rsid w:val="00C2520A"/>
    <w:rsid w:val="00C26346"/>
    <w:rsid w:val="00C26417"/>
    <w:rsid w:val="00C2692A"/>
    <w:rsid w:val="00C274AD"/>
    <w:rsid w:val="00C275C2"/>
    <w:rsid w:val="00C2788A"/>
    <w:rsid w:val="00C27DD0"/>
    <w:rsid w:val="00C30FC3"/>
    <w:rsid w:val="00C3104E"/>
    <w:rsid w:val="00C311AB"/>
    <w:rsid w:val="00C31D1A"/>
    <w:rsid w:val="00C321DA"/>
    <w:rsid w:val="00C3225A"/>
    <w:rsid w:val="00C32949"/>
    <w:rsid w:val="00C3487E"/>
    <w:rsid w:val="00C34CCE"/>
    <w:rsid w:val="00C355C2"/>
    <w:rsid w:val="00C364A1"/>
    <w:rsid w:val="00C369EE"/>
    <w:rsid w:val="00C36A7A"/>
    <w:rsid w:val="00C3794E"/>
    <w:rsid w:val="00C37C3E"/>
    <w:rsid w:val="00C402B9"/>
    <w:rsid w:val="00C403FA"/>
    <w:rsid w:val="00C4187C"/>
    <w:rsid w:val="00C42507"/>
    <w:rsid w:val="00C427DE"/>
    <w:rsid w:val="00C42E00"/>
    <w:rsid w:val="00C4346C"/>
    <w:rsid w:val="00C440CD"/>
    <w:rsid w:val="00C45436"/>
    <w:rsid w:val="00C45E37"/>
    <w:rsid w:val="00C4679A"/>
    <w:rsid w:val="00C46F0B"/>
    <w:rsid w:val="00C479A7"/>
    <w:rsid w:val="00C47E24"/>
    <w:rsid w:val="00C50FD5"/>
    <w:rsid w:val="00C5296E"/>
    <w:rsid w:val="00C53967"/>
    <w:rsid w:val="00C53A01"/>
    <w:rsid w:val="00C5511C"/>
    <w:rsid w:val="00C55298"/>
    <w:rsid w:val="00C558AA"/>
    <w:rsid w:val="00C55CAE"/>
    <w:rsid w:val="00C5680A"/>
    <w:rsid w:val="00C575F1"/>
    <w:rsid w:val="00C578D7"/>
    <w:rsid w:val="00C57D74"/>
    <w:rsid w:val="00C57F71"/>
    <w:rsid w:val="00C60355"/>
    <w:rsid w:val="00C625F6"/>
    <w:rsid w:val="00C6419C"/>
    <w:rsid w:val="00C64CFF"/>
    <w:rsid w:val="00C6518D"/>
    <w:rsid w:val="00C65425"/>
    <w:rsid w:val="00C66D38"/>
    <w:rsid w:val="00C66E45"/>
    <w:rsid w:val="00C670F7"/>
    <w:rsid w:val="00C674C7"/>
    <w:rsid w:val="00C71457"/>
    <w:rsid w:val="00C7230D"/>
    <w:rsid w:val="00C72608"/>
    <w:rsid w:val="00C72709"/>
    <w:rsid w:val="00C73136"/>
    <w:rsid w:val="00C744F5"/>
    <w:rsid w:val="00C7464B"/>
    <w:rsid w:val="00C7523F"/>
    <w:rsid w:val="00C75F99"/>
    <w:rsid w:val="00C764A9"/>
    <w:rsid w:val="00C7727B"/>
    <w:rsid w:val="00C804B4"/>
    <w:rsid w:val="00C806BF"/>
    <w:rsid w:val="00C806C6"/>
    <w:rsid w:val="00C80A69"/>
    <w:rsid w:val="00C80C60"/>
    <w:rsid w:val="00C81226"/>
    <w:rsid w:val="00C815D3"/>
    <w:rsid w:val="00C81F24"/>
    <w:rsid w:val="00C81F4B"/>
    <w:rsid w:val="00C82937"/>
    <w:rsid w:val="00C83CE2"/>
    <w:rsid w:val="00C849FF"/>
    <w:rsid w:val="00C851AC"/>
    <w:rsid w:val="00C858F2"/>
    <w:rsid w:val="00C85D59"/>
    <w:rsid w:val="00C865E8"/>
    <w:rsid w:val="00C86746"/>
    <w:rsid w:val="00C86B9C"/>
    <w:rsid w:val="00C874DE"/>
    <w:rsid w:val="00C87F9F"/>
    <w:rsid w:val="00C9052B"/>
    <w:rsid w:val="00C906EB"/>
    <w:rsid w:val="00C90942"/>
    <w:rsid w:val="00C91E01"/>
    <w:rsid w:val="00C92290"/>
    <w:rsid w:val="00C92A77"/>
    <w:rsid w:val="00C933E2"/>
    <w:rsid w:val="00C93482"/>
    <w:rsid w:val="00C94C08"/>
    <w:rsid w:val="00C95C9D"/>
    <w:rsid w:val="00C967BA"/>
    <w:rsid w:val="00CA0011"/>
    <w:rsid w:val="00CA0114"/>
    <w:rsid w:val="00CA030A"/>
    <w:rsid w:val="00CA03BD"/>
    <w:rsid w:val="00CA089D"/>
    <w:rsid w:val="00CA0FF6"/>
    <w:rsid w:val="00CA125D"/>
    <w:rsid w:val="00CA1791"/>
    <w:rsid w:val="00CA1C0D"/>
    <w:rsid w:val="00CA1C2A"/>
    <w:rsid w:val="00CA1D98"/>
    <w:rsid w:val="00CA2388"/>
    <w:rsid w:val="00CA2931"/>
    <w:rsid w:val="00CA2A9A"/>
    <w:rsid w:val="00CA3781"/>
    <w:rsid w:val="00CA4013"/>
    <w:rsid w:val="00CA52A3"/>
    <w:rsid w:val="00CA5532"/>
    <w:rsid w:val="00CA58BF"/>
    <w:rsid w:val="00CA5ED2"/>
    <w:rsid w:val="00CA64E4"/>
    <w:rsid w:val="00CA6878"/>
    <w:rsid w:val="00CA797D"/>
    <w:rsid w:val="00CB1960"/>
    <w:rsid w:val="00CB19C1"/>
    <w:rsid w:val="00CB1C8D"/>
    <w:rsid w:val="00CB1C91"/>
    <w:rsid w:val="00CB1C95"/>
    <w:rsid w:val="00CB216E"/>
    <w:rsid w:val="00CB22D1"/>
    <w:rsid w:val="00CB2C56"/>
    <w:rsid w:val="00CB2EF3"/>
    <w:rsid w:val="00CB32A7"/>
    <w:rsid w:val="00CB37A7"/>
    <w:rsid w:val="00CB51A8"/>
    <w:rsid w:val="00CB5505"/>
    <w:rsid w:val="00CB5890"/>
    <w:rsid w:val="00CB6143"/>
    <w:rsid w:val="00CB6864"/>
    <w:rsid w:val="00CB6C92"/>
    <w:rsid w:val="00CB7DB9"/>
    <w:rsid w:val="00CC0240"/>
    <w:rsid w:val="00CC0DFF"/>
    <w:rsid w:val="00CC1B3B"/>
    <w:rsid w:val="00CC2802"/>
    <w:rsid w:val="00CC4466"/>
    <w:rsid w:val="00CC4909"/>
    <w:rsid w:val="00CC5119"/>
    <w:rsid w:val="00CC5122"/>
    <w:rsid w:val="00CC65A7"/>
    <w:rsid w:val="00CC6F71"/>
    <w:rsid w:val="00CC6FD9"/>
    <w:rsid w:val="00CD2346"/>
    <w:rsid w:val="00CD27D9"/>
    <w:rsid w:val="00CD3237"/>
    <w:rsid w:val="00CD3446"/>
    <w:rsid w:val="00CD5B0F"/>
    <w:rsid w:val="00CD7BE9"/>
    <w:rsid w:val="00CE07DD"/>
    <w:rsid w:val="00CE0BA0"/>
    <w:rsid w:val="00CE1945"/>
    <w:rsid w:val="00CE5032"/>
    <w:rsid w:val="00CE758F"/>
    <w:rsid w:val="00CE7E18"/>
    <w:rsid w:val="00CF1144"/>
    <w:rsid w:val="00CF2359"/>
    <w:rsid w:val="00CF3258"/>
    <w:rsid w:val="00CF3690"/>
    <w:rsid w:val="00CF3F7A"/>
    <w:rsid w:val="00CF491D"/>
    <w:rsid w:val="00CF49A6"/>
    <w:rsid w:val="00CF4B2E"/>
    <w:rsid w:val="00CF4BFE"/>
    <w:rsid w:val="00CF4EC3"/>
    <w:rsid w:val="00CF6D44"/>
    <w:rsid w:val="00CF7180"/>
    <w:rsid w:val="00CF740F"/>
    <w:rsid w:val="00CF7ECC"/>
    <w:rsid w:val="00D008F9"/>
    <w:rsid w:val="00D00C0E"/>
    <w:rsid w:val="00D0155A"/>
    <w:rsid w:val="00D01623"/>
    <w:rsid w:val="00D01BB0"/>
    <w:rsid w:val="00D01D16"/>
    <w:rsid w:val="00D0233D"/>
    <w:rsid w:val="00D02674"/>
    <w:rsid w:val="00D02ACA"/>
    <w:rsid w:val="00D02CE9"/>
    <w:rsid w:val="00D03EF6"/>
    <w:rsid w:val="00D048E0"/>
    <w:rsid w:val="00D0496E"/>
    <w:rsid w:val="00D04EEB"/>
    <w:rsid w:val="00D06148"/>
    <w:rsid w:val="00D06E57"/>
    <w:rsid w:val="00D07C49"/>
    <w:rsid w:val="00D07D37"/>
    <w:rsid w:val="00D119B6"/>
    <w:rsid w:val="00D11CC8"/>
    <w:rsid w:val="00D11E34"/>
    <w:rsid w:val="00D125F8"/>
    <w:rsid w:val="00D12785"/>
    <w:rsid w:val="00D12A48"/>
    <w:rsid w:val="00D13A95"/>
    <w:rsid w:val="00D13BFF"/>
    <w:rsid w:val="00D14470"/>
    <w:rsid w:val="00D1519F"/>
    <w:rsid w:val="00D15B5D"/>
    <w:rsid w:val="00D16184"/>
    <w:rsid w:val="00D16615"/>
    <w:rsid w:val="00D16B47"/>
    <w:rsid w:val="00D1713C"/>
    <w:rsid w:val="00D17147"/>
    <w:rsid w:val="00D176BC"/>
    <w:rsid w:val="00D200B3"/>
    <w:rsid w:val="00D20109"/>
    <w:rsid w:val="00D20245"/>
    <w:rsid w:val="00D21512"/>
    <w:rsid w:val="00D215E6"/>
    <w:rsid w:val="00D21DC6"/>
    <w:rsid w:val="00D2343A"/>
    <w:rsid w:val="00D23832"/>
    <w:rsid w:val="00D24E0A"/>
    <w:rsid w:val="00D24E13"/>
    <w:rsid w:val="00D25260"/>
    <w:rsid w:val="00D253C6"/>
    <w:rsid w:val="00D25DCD"/>
    <w:rsid w:val="00D262C8"/>
    <w:rsid w:val="00D26C5B"/>
    <w:rsid w:val="00D2731A"/>
    <w:rsid w:val="00D27DEA"/>
    <w:rsid w:val="00D27E51"/>
    <w:rsid w:val="00D30629"/>
    <w:rsid w:val="00D30CD9"/>
    <w:rsid w:val="00D30D90"/>
    <w:rsid w:val="00D3112A"/>
    <w:rsid w:val="00D313CE"/>
    <w:rsid w:val="00D3163E"/>
    <w:rsid w:val="00D31641"/>
    <w:rsid w:val="00D32BCC"/>
    <w:rsid w:val="00D33333"/>
    <w:rsid w:val="00D33B21"/>
    <w:rsid w:val="00D33BA7"/>
    <w:rsid w:val="00D33C63"/>
    <w:rsid w:val="00D34865"/>
    <w:rsid w:val="00D34A12"/>
    <w:rsid w:val="00D34D65"/>
    <w:rsid w:val="00D3651F"/>
    <w:rsid w:val="00D37337"/>
    <w:rsid w:val="00D37533"/>
    <w:rsid w:val="00D37836"/>
    <w:rsid w:val="00D40088"/>
    <w:rsid w:val="00D41353"/>
    <w:rsid w:val="00D443FE"/>
    <w:rsid w:val="00D44A9C"/>
    <w:rsid w:val="00D457F6"/>
    <w:rsid w:val="00D45908"/>
    <w:rsid w:val="00D46754"/>
    <w:rsid w:val="00D467E8"/>
    <w:rsid w:val="00D4684D"/>
    <w:rsid w:val="00D469AD"/>
    <w:rsid w:val="00D46BEB"/>
    <w:rsid w:val="00D46CB8"/>
    <w:rsid w:val="00D47028"/>
    <w:rsid w:val="00D47336"/>
    <w:rsid w:val="00D50719"/>
    <w:rsid w:val="00D50A9D"/>
    <w:rsid w:val="00D50FF5"/>
    <w:rsid w:val="00D51825"/>
    <w:rsid w:val="00D51995"/>
    <w:rsid w:val="00D51CF8"/>
    <w:rsid w:val="00D51EFF"/>
    <w:rsid w:val="00D52294"/>
    <w:rsid w:val="00D52DDF"/>
    <w:rsid w:val="00D532F8"/>
    <w:rsid w:val="00D53BA7"/>
    <w:rsid w:val="00D53D7C"/>
    <w:rsid w:val="00D54655"/>
    <w:rsid w:val="00D573E1"/>
    <w:rsid w:val="00D57CED"/>
    <w:rsid w:val="00D60D1C"/>
    <w:rsid w:val="00D60E5A"/>
    <w:rsid w:val="00D61431"/>
    <w:rsid w:val="00D62BA5"/>
    <w:rsid w:val="00D63D7E"/>
    <w:rsid w:val="00D6453A"/>
    <w:rsid w:val="00D64F07"/>
    <w:rsid w:val="00D64FAB"/>
    <w:rsid w:val="00D65045"/>
    <w:rsid w:val="00D66910"/>
    <w:rsid w:val="00D66C14"/>
    <w:rsid w:val="00D66C8E"/>
    <w:rsid w:val="00D67241"/>
    <w:rsid w:val="00D708F3"/>
    <w:rsid w:val="00D70933"/>
    <w:rsid w:val="00D70EF5"/>
    <w:rsid w:val="00D71387"/>
    <w:rsid w:val="00D7155E"/>
    <w:rsid w:val="00D71744"/>
    <w:rsid w:val="00D7183B"/>
    <w:rsid w:val="00D71B73"/>
    <w:rsid w:val="00D722CF"/>
    <w:rsid w:val="00D7293D"/>
    <w:rsid w:val="00D7363F"/>
    <w:rsid w:val="00D73F43"/>
    <w:rsid w:val="00D753E2"/>
    <w:rsid w:val="00D75AA8"/>
    <w:rsid w:val="00D75AE3"/>
    <w:rsid w:val="00D76C81"/>
    <w:rsid w:val="00D76F13"/>
    <w:rsid w:val="00D80CBB"/>
    <w:rsid w:val="00D815C2"/>
    <w:rsid w:val="00D815D3"/>
    <w:rsid w:val="00D818AB"/>
    <w:rsid w:val="00D81ADC"/>
    <w:rsid w:val="00D81ADE"/>
    <w:rsid w:val="00D820A6"/>
    <w:rsid w:val="00D84385"/>
    <w:rsid w:val="00D855BA"/>
    <w:rsid w:val="00D859E3"/>
    <w:rsid w:val="00D86BE3"/>
    <w:rsid w:val="00D87168"/>
    <w:rsid w:val="00D875EF"/>
    <w:rsid w:val="00D87CA3"/>
    <w:rsid w:val="00D90CF6"/>
    <w:rsid w:val="00D91596"/>
    <w:rsid w:val="00D91A89"/>
    <w:rsid w:val="00D91DF4"/>
    <w:rsid w:val="00D92541"/>
    <w:rsid w:val="00D926F3"/>
    <w:rsid w:val="00D93DC9"/>
    <w:rsid w:val="00D952BE"/>
    <w:rsid w:val="00D95D67"/>
    <w:rsid w:val="00D96F01"/>
    <w:rsid w:val="00DA0054"/>
    <w:rsid w:val="00DA0A86"/>
    <w:rsid w:val="00DA0AFE"/>
    <w:rsid w:val="00DA18B2"/>
    <w:rsid w:val="00DA1EAB"/>
    <w:rsid w:val="00DA2AC1"/>
    <w:rsid w:val="00DA2F85"/>
    <w:rsid w:val="00DA3459"/>
    <w:rsid w:val="00DA3661"/>
    <w:rsid w:val="00DA456E"/>
    <w:rsid w:val="00DA4A5D"/>
    <w:rsid w:val="00DA5BE5"/>
    <w:rsid w:val="00DA6180"/>
    <w:rsid w:val="00DA698B"/>
    <w:rsid w:val="00DB0635"/>
    <w:rsid w:val="00DB0C6A"/>
    <w:rsid w:val="00DB2611"/>
    <w:rsid w:val="00DB3AFE"/>
    <w:rsid w:val="00DB425A"/>
    <w:rsid w:val="00DB5AD4"/>
    <w:rsid w:val="00DB6234"/>
    <w:rsid w:val="00DB6372"/>
    <w:rsid w:val="00DB6373"/>
    <w:rsid w:val="00DB6742"/>
    <w:rsid w:val="00DB69AC"/>
    <w:rsid w:val="00DB6BD1"/>
    <w:rsid w:val="00DB7EF1"/>
    <w:rsid w:val="00DB7EFB"/>
    <w:rsid w:val="00DC066F"/>
    <w:rsid w:val="00DC0933"/>
    <w:rsid w:val="00DC119D"/>
    <w:rsid w:val="00DC2BCB"/>
    <w:rsid w:val="00DC3325"/>
    <w:rsid w:val="00DC4521"/>
    <w:rsid w:val="00DC5F10"/>
    <w:rsid w:val="00DC6565"/>
    <w:rsid w:val="00DC6B10"/>
    <w:rsid w:val="00DC6E9D"/>
    <w:rsid w:val="00DC724A"/>
    <w:rsid w:val="00DD170F"/>
    <w:rsid w:val="00DD29F9"/>
    <w:rsid w:val="00DD2C69"/>
    <w:rsid w:val="00DD2D8E"/>
    <w:rsid w:val="00DD2DBB"/>
    <w:rsid w:val="00DD3602"/>
    <w:rsid w:val="00DD3D19"/>
    <w:rsid w:val="00DD3F6C"/>
    <w:rsid w:val="00DD4807"/>
    <w:rsid w:val="00DD4ACE"/>
    <w:rsid w:val="00DD4FDE"/>
    <w:rsid w:val="00DD5353"/>
    <w:rsid w:val="00DD5F36"/>
    <w:rsid w:val="00DD632E"/>
    <w:rsid w:val="00DD6B5D"/>
    <w:rsid w:val="00DD72CB"/>
    <w:rsid w:val="00DD7D0C"/>
    <w:rsid w:val="00DE0A9B"/>
    <w:rsid w:val="00DE1FC2"/>
    <w:rsid w:val="00DE22E7"/>
    <w:rsid w:val="00DE2E92"/>
    <w:rsid w:val="00DE3522"/>
    <w:rsid w:val="00DE3E13"/>
    <w:rsid w:val="00DE4553"/>
    <w:rsid w:val="00DE45EE"/>
    <w:rsid w:val="00DE4DC2"/>
    <w:rsid w:val="00DE5633"/>
    <w:rsid w:val="00DE5BB2"/>
    <w:rsid w:val="00DE5FDB"/>
    <w:rsid w:val="00DE67AE"/>
    <w:rsid w:val="00DE737F"/>
    <w:rsid w:val="00DE7943"/>
    <w:rsid w:val="00DE7A7D"/>
    <w:rsid w:val="00DE7CE0"/>
    <w:rsid w:val="00DF084E"/>
    <w:rsid w:val="00DF0AA9"/>
    <w:rsid w:val="00DF0DA6"/>
    <w:rsid w:val="00DF116E"/>
    <w:rsid w:val="00DF128A"/>
    <w:rsid w:val="00DF1953"/>
    <w:rsid w:val="00DF288E"/>
    <w:rsid w:val="00DF3F3E"/>
    <w:rsid w:val="00DF4020"/>
    <w:rsid w:val="00DF40C0"/>
    <w:rsid w:val="00DF4B4B"/>
    <w:rsid w:val="00DF65ED"/>
    <w:rsid w:val="00DF6AFB"/>
    <w:rsid w:val="00DF6BA3"/>
    <w:rsid w:val="00DF7987"/>
    <w:rsid w:val="00DF79DB"/>
    <w:rsid w:val="00E004D9"/>
    <w:rsid w:val="00E006AC"/>
    <w:rsid w:val="00E00D7C"/>
    <w:rsid w:val="00E01672"/>
    <w:rsid w:val="00E025F7"/>
    <w:rsid w:val="00E02B34"/>
    <w:rsid w:val="00E03095"/>
    <w:rsid w:val="00E03098"/>
    <w:rsid w:val="00E036A6"/>
    <w:rsid w:val="00E0374D"/>
    <w:rsid w:val="00E041EF"/>
    <w:rsid w:val="00E044E3"/>
    <w:rsid w:val="00E04BA1"/>
    <w:rsid w:val="00E05434"/>
    <w:rsid w:val="00E05BE2"/>
    <w:rsid w:val="00E05C6E"/>
    <w:rsid w:val="00E0710E"/>
    <w:rsid w:val="00E07937"/>
    <w:rsid w:val="00E100AD"/>
    <w:rsid w:val="00E10944"/>
    <w:rsid w:val="00E10A3F"/>
    <w:rsid w:val="00E11333"/>
    <w:rsid w:val="00E117E4"/>
    <w:rsid w:val="00E119B4"/>
    <w:rsid w:val="00E11B41"/>
    <w:rsid w:val="00E139E7"/>
    <w:rsid w:val="00E15375"/>
    <w:rsid w:val="00E171A3"/>
    <w:rsid w:val="00E178D4"/>
    <w:rsid w:val="00E179FE"/>
    <w:rsid w:val="00E17AA5"/>
    <w:rsid w:val="00E208BB"/>
    <w:rsid w:val="00E22080"/>
    <w:rsid w:val="00E222E7"/>
    <w:rsid w:val="00E22830"/>
    <w:rsid w:val="00E22D5F"/>
    <w:rsid w:val="00E24735"/>
    <w:rsid w:val="00E24EF9"/>
    <w:rsid w:val="00E25FD1"/>
    <w:rsid w:val="00E262B1"/>
    <w:rsid w:val="00E26D0E"/>
    <w:rsid w:val="00E31A25"/>
    <w:rsid w:val="00E31B0C"/>
    <w:rsid w:val="00E31C60"/>
    <w:rsid w:val="00E32949"/>
    <w:rsid w:val="00E342F5"/>
    <w:rsid w:val="00E3495E"/>
    <w:rsid w:val="00E34B78"/>
    <w:rsid w:val="00E34DD0"/>
    <w:rsid w:val="00E34EA7"/>
    <w:rsid w:val="00E355F7"/>
    <w:rsid w:val="00E35E91"/>
    <w:rsid w:val="00E367FD"/>
    <w:rsid w:val="00E36D6B"/>
    <w:rsid w:val="00E37A56"/>
    <w:rsid w:val="00E4039C"/>
    <w:rsid w:val="00E40DC9"/>
    <w:rsid w:val="00E413F0"/>
    <w:rsid w:val="00E41D7A"/>
    <w:rsid w:val="00E42AE8"/>
    <w:rsid w:val="00E433DF"/>
    <w:rsid w:val="00E43BEF"/>
    <w:rsid w:val="00E43C5F"/>
    <w:rsid w:val="00E44BDE"/>
    <w:rsid w:val="00E46589"/>
    <w:rsid w:val="00E47323"/>
    <w:rsid w:val="00E500CC"/>
    <w:rsid w:val="00E504BA"/>
    <w:rsid w:val="00E50E8B"/>
    <w:rsid w:val="00E50F76"/>
    <w:rsid w:val="00E51A1F"/>
    <w:rsid w:val="00E51D03"/>
    <w:rsid w:val="00E51F7B"/>
    <w:rsid w:val="00E52627"/>
    <w:rsid w:val="00E52868"/>
    <w:rsid w:val="00E52925"/>
    <w:rsid w:val="00E53EF0"/>
    <w:rsid w:val="00E54164"/>
    <w:rsid w:val="00E54931"/>
    <w:rsid w:val="00E54A5C"/>
    <w:rsid w:val="00E54A8F"/>
    <w:rsid w:val="00E55DB7"/>
    <w:rsid w:val="00E562B3"/>
    <w:rsid w:val="00E5673A"/>
    <w:rsid w:val="00E56EE7"/>
    <w:rsid w:val="00E57C7F"/>
    <w:rsid w:val="00E600A2"/>
    <w:rsid w:val="00E604BA"/>
    <w:rsid w:val="00E609CA"/>
    <w:rsid w:val="00E613B7"/>
    <w:rsid w:val="00E61CB1"/>
    <w:rsid w:val="00E61E21"/>
    <w:rsid w:val="00E6300A"/>
    <w:rsid w:val="00E6361C"/>
    <w:rsid w:val="00E63A66"/>
    <w:rsid w:val="00E64745"/>
    <w:rsid w:val="00E65108"/>
    <w:rsid w:val="00E6746A"/>
    <w:rsid w:val="00E70689"/>
    <w:rsid w:val="00E718B1"/>
    <w:rsid w:val="00E71AC6"/>
    <w:rsid w:val="00E71BCD"/>
    <w:rsid w:val="00E7201F"/>
    <w:rsid w:val="00E7319E"/>
    <w:rsid w:val="00E745C9"/>
    <w:rsid w:val="00E74C18"/>
    <w:rsid w:val="00E750D9"/>
    <w:rsid w:val="00E75229"/>
    <w:rsid w:val="00E75634"/>
    <w:rsid w:val="00E768DE"/>
    <w:rsid w:val="00E779EF"/>
    <w:rsid w:val="00E77BCC"/>
    <w:rsid w:val="00E81C75"/>
    <w:rsid w:val="00E81E18"/>
    <w:rsid w:val="00E823C4"/>
    <w:rsid w:val="00E8322D"/>
    <w:rsid w:val="00E836F6"/>
    <w:rsid w:val="00E83A37"/>
    <w:rsid w:val="00E84762"/>
    <w:rsid w:val="00E84930"/>
    <w:rsid w:val="00E84C2A"/>
    <w:rsid w:val="00E85033"/>
    <w:rsid w:val="00E857C5"/>
    <w:rsid w:val="00E85904"/>
    <w:rsid w:val="00E8590D"/>
    <w:rsid w:val="00E85BBA"/>
    <w:rsid w:val="00E874D5"/>
    <w:rsid w:val="00E87A7E"/>
    <w:rsid w:val="00E87AC9"/>
    <w:rsid w:val="00E902C9"/>
    <w:rsid w:val="00E90969"/>
    <w:rsid w:val="00E90DB4"/>
    <w:rsid w:val="00E91D8C"/>
    <w:rsid w:val="00E92083"/>
    <w:rsid w:val="00E93024"/>
    <w:rsid w:val="00E934CA"/>
    <w:rsid w:val="00E9445B"/>
    <w:rsid w:val="00E95AEE"/>
    <w:rsid w:val="00E96040"/>
    <w:rsid w:val="00E974BA"/>
    <w:rsid w:val="00E97FB2"/>
    <w:rsid w:val="00EA0108"/>
    <w:rsid w:val="00EA02BF"/>
    <w:rsid w:val="00EA07B4"/>
    <w:rsid w:val="00EA0EB6"/>
    <w:rsid w:val="00EA0FE4"/>
    <w:rsid w:val="00EA1543"/>
    <w:rsid w:val="00EA1616"/>
    <w:rsid w:val="00EA173A"/>
    <w:rsid w:val="00EA1B4E"/>
    <w:rsid w:val="00EA32AB"/>
    <w:rsid w:val="00EA4403"/>
    <w:rsid w:val="00EA467E"/>
    <w:rsid w:val="00EA671A"/>
    <w:rsid w:val="00EA6B87"/>
    <w:rsid w:val="00EA6C93"/>
    <w:rsid w:val="00EA6D0E"/>
    <w:rsid w:val="00EB0520"/>
    <w:rsid w:val="00EB0629"/>
    <w:rsid w:val="00EB0781"/>
    <w:rsid w:val="00EB0B4D"/>
    <w:rsid w:val="00EB0E52"/>
    <w:rsid w:val="00EB1969"/>
    <w:rsid w:val="00EB1E4D"/>
    <w:rsid w:val="00EB2619"/>
    <w:rsid w:val="00EB37C5"/>
    <w:rsid w:val="00EB3B70"/>
    <w:rsid w:val="00EB4F02"/>
    <w:rsid w:val="00EB5144"/>
    <w:rsid w:val="00EB5AB4"/>
    <w:rsid w:val="00EB5D26"/>
    <w:rsid w:val="00EB6619"/>
    <w:rsid w:val="00EB69A4"/>
    <w:rsid w:val="00EB755B"/>
    <w:rsid w:val="00EC0038"/>
    <w:rsid w:val="00EC0E67"/>
    <w:rsid w:val="00EC1198"/>
    <w:rsid w:val="00EC122A"/>
    <w:rsid w:val="00EC1324"/>
    <w:rsid w:val="00EC16C9"/>
    <w:rsid w:val="00EC1B45"/>
    <w:rsid w:val="00EC1CC5"/>
    <w:rsid w:val="00EC1D4B"/>
    <w:rsid w:val="00EC1DA4"/>
    <w:rsid w:val="00EC23FD"/>
    <w:rsid w:val="00EC27D7"/>
    <w:rsid w:val="00EC2981"/>
    <w:rsid w:val="00EC3CDD"/>
    <w:rsid w:val="00EC4107"/>
    <w:rsid w:val="00EC474F"/>
    <w:rsid w:val="00EC5706"/>
    <w:rsid w:val="00EC5F0C"/>
    <w:rsid w:val="00EC68DD"/>
    <w:rsid w:val="00EC695D"/>
    <w:rsid w:val="00EC6D91"/>
    <w:rsid w:val="00EC6DBB"/>
    <w:rsid w:val="00EC6E2D"/>
    <w:rsid w:val="00EC7294"/>
    <w:rsid w:val="00EC7562"/>
    <w:rsid w:val="00ED050A"/>
    <w:rsid w:val="00ED09D3"/>
    <w:rsid w:val="00ED0D9E"/>
    <w:rsid w:val="00ED0E73"/>
    <w:rsid w:val="00ED1FA1"/>
    <w:rsid w:val="00ED23C1"/>
    <w:rsid w:val="00ED2E76"/>
    <w:rsid w:val="00ED3014"/>
    <w:rsid w:val="00ED31EA"/>
    <w:rsid w:val="00ED3AB6"/>
    <w:rsid w:val="00ED3B1B"/>
    <w:rsid w:val="00ED3C33"/>
    <w:rsid w:val="00ED6490"/>
    <w:rsid w:val="00ED64B2"/>
    <w:rsid w:val="00ED74DA"/>
    <w:rsid w:val="00ED7579"/>
    <w:rsid w:val="00ED7F57"/>
    <w:rsid w:val="00EE0722"/>
    <w:rsid w:val="00EE26C4"/>
    <w:rsid w:val="00EE30D3"/>
    <w:rsid w:val="00EE34A0"/>
    <w:rsid w:val="00EE35BB"/>
    <w:rsid w:val="00EE3854"/>
    <w:rsid w:val="00EE39CE"/>
    <w:rsid w:val="00EE3DD6"/>
    <w:rsid w:val="00EE44D9"/>
    <w:rsid w:val="00EE4554"/>
    <w:rsid w:val="00EE48EE"/>
    <w:rsid w:val="00EE4A33"/>
    <w:rsid w:val="00EE4E96"/>
    <w:rsid w:val="00EE4EC6"/>
    <w:rsid w:val="00EE54FF"/>
    <w:rsid w:val="00EE5A04"/>
    <w:rsid w:val="00EE6A20"/>
    <w:rsid w:val="00EE7A11"/>
    <w:rsid w:val="00EF0994"/>
    <w:rsid w:val="00EF0AC0"/>
    <w:rsid w:val="00EF100D"/>
    <w:rsid w:val="00EF13B1"/>
    <w:rsid w:val="00EF16DB"/>
    <w:rsid w:val="00EF1DF4"/>
    <w:rsid w:val="00EF1F6C"/>
    <w:rsid w:val="00EF3C92"/>
    <w:rsid w:val="00EF4436"/>
    <w:rsid w:val="00EF4AB6"/>
    <w:rsid w:val="00EF5366"/>
    <w:rsid w:val="00EF653A"/>
    <w:rsid w:val="00EF6666"/>
    <w:rsid w:val="00EF6A3A"/>
    <w:rsid w:val="00EF6AC5"/>
    <w:rsid w:val="00EF6C54"/>
    <w:rsid w:val="00EF7805"/>
    <w:rsid w:val="00F005B4"/>
    <w:rsid w:val="00F00C1A"/>
    <w:rsid w:val="00F01550"/>
    <w:rsid w:val="00F0175A"/>
    <w:rsid w:val="00F01912"/>
    <w:rsid w:val="00F025BA"/>
    <w:rsid w:val="00F030EA"/>
    <w:rsid w:val="00F03298"/>
    <w:rsid w:val="00F04EF4"/>
    <w:rsid w:val="00F0557C"/>
    <w:rsid w:val="00F05AF7"/>
    <w:rsid w:val="00F06080"/>
    <w:rsid w:val="00F06A09"/>
    <w:rsid w:val="00F07711"/>
    <w:rsid w:val="00F07B5D"/>
    <w:rsid w:val="00F07BC2"/>
    <w:rsid w:val="00F10584"/>
    <w:rsid w:val="00F11094"/>
    <w:rsid w:val="00F11302"/>
    <w:rsid w:val="00F11E3E"/>
    <w:rsid w:val="00F12DC2"/>
    <w:rsid w:val="00F12F18"/>
    <w:rsid w:val="00F137B5"/>
    <w:rsid w:val="00F14E3F"/>
    <w:rsid w:val="00F1503A"/>
    <w:rsid w:val="00F1557F"/>
    <w:rsid w:val="00F15C3B"/>
    <w:rsid w:val="00F16317"/>
    <w:rsid w:val="00F17BD1"/>
    <w:rsid w:val="00F17C5F"/>
    <w:rsid w:val="00F17CFF"/>
    <w:rsid w:val="00F20332"/>
    <w:rsid w:val="00F2057A"/>
    <w:rsid w:val="00F20D1E"/>
    <w:rsid w:val="00F20D77"/>
    <w:rsid w:val="00F213FB"/>
    <w:rsid w:val="00F21C7C"/>
    <w:rsid w:val="00F22395"/>
    <w:rsid w:val="00F23129"/>
    <w:rsid w:val="00F2498E"/>
    <w:rsid w:val="00F24FA5"/>
    <w:rsid w:val="00F25621"/>
    <w:rsid w:val="00F26F3E"/>
    <w:rsid w:val="00F313A4"/>
    <w:rsid w:val="00F31437"/>
    <w:rsid w:val="00F31F94"/>
    <w:rsid w:val="00F328B3"/>
    <w:rsid w:val="00F33A7D"/>
    <w:rsid w:val="00F33FA5"/>
    <w:rsid w:val="00F342FC"/>
    <w:rsid w:val="00F35418"/>
    <w:rsid w:val="00F35B0D"/>
    <w:rsid w:val="00F35BC1"/>
    <w:rsid w:val="00F35E85"/>
    <w:rsid w:val="00F402FF"/>
    <w:rsid w:val="00F405CA"/>
    <w:rsid w:val="00F40B1F"/>
    <w:rsid w:val="00F40CB5"/>
    <w:rsid w:val="00F411AD"/>
    <w:rsid w:val="00F415AC"/>
    <w:rsid w:val="00F41C32"/>
    <w:rsid w:val="00F42094"/>
    <w:rsid w:val="00F427E5"/>
    <w:rsid w:val="00F43449"/>
    <w:rsid w:val="00F43C61"/>
    <w:rsid w:val="00F43DC9"/>
    <w:rsid w:val="00F44CDB"/>
    <w:rsid w:val="00F45D8C"/>
    <w:rsid w:val="00F47FB5"/>
    <w:rsid w:val="00F5080B"/>
    <w:rsid w:val="00F50C67"/>
    <w:rsid w:val="00F50F97"/>
    <w:rsid w:val="00F517D7"/>
    <w:rsid w:val="00F521E0"/>
    <w:rsid w:val="00F523D7"/>
    <w:rsid w:val="00F54227"/>
    <w:rsid w:val="00F54729"/>
    <w:rsid w:val="00F57379"/>
    <w:rsid w:val="00F60CAB"/>
    <w:rsid w:val="00F6162F"/>
    <w:rsid w:val="00F63E20"/>
    <w:rsid w:val="00F63EF7"/>
    <w:rsid w:val="00F63F6D"/>
    <w:rsid w:val="00F640E8"/>
    <w:rsid w:val="00F64D88"/>
    <w:rsid w:val="00F651FD"/>
    <w:rsid w:val="00F65587"/>
    <w:rsid w:val="00F65C1D"/>
    <w:rsid w:val="00F66772"/>
    <w:rsid w:val="00F676BD"/>
    <w:rsid w:val="00F70C61"/>
    <w:rsid w:val="00F70D6C"/>
    <w:rsid w:val="00F70F9B"/>
    <w:rsid w:val="00F710F5"/>
    <w:rsid w:val="00F71768"/>
    <w:rsid w:val="00F71D7D"/>
    <w:rsid w:val="00F72CA7"/>
    <w:rsid w:val="00F73342"/>
    <w:rsid w:val="00F7421E"/>
    <w:rsid w:val="00F74663"/>
    <w:rsid w:val="00F746A0"/>
    <w:rsid w:val="00F74DF3"/>
    <w:rsid w:val="00F75225"/>
    <w:rsid w:val="00F769D6"/>
    <w:rsid w:val="00F7702D"/>
    <w:rsid w:val="00F77D7B"/>
    <w:rsid w:val="00F77F36"/>
    <w:rsid w:val="00F800A1"/>
    <w:rsid w:val="00F800E6"/>
    <w:rsid w:val="00F823A7"/>
    <w:rsid w:val="00F839DF"/>
    <w:rsid w:val="00F842F5"/>
    <w:rsid w:val="00F8440A"/>
    <w:rsid w:val="00F8648F"/>
    <w:rsid w:val="00F86AD6"/>
    <w:rsid w:val="00F86F04"/>
    <w:rsid w:val="00F92FD8"/>
    <w:rsid w:val="00F933BB"/>
    <w:rsid w:val="00F93438"/>
    <w:rsid w:val="00F9417D"/>
    <w:rsid w:val="00F942CC"/>
    <w:rsid w:val="00F944C0"/>
    <w:rsid w:val="00F94530"/>
    <w:rsid w:val="00F9670B"/>
    <w:rsid w:val="00F96C4D"/>
    <w:rsid w:val="00F96C84"/>
    <w:rsid w:val="00F9761F"/>
    <w:rsid w:val="00F978BD"/>
    <w:rsid w:val="00FA046B"/>
    <w:rsid w:val="00FA0635"/>
    <w:rsid w:val="00FA1E54"/>
    <w:rsid w:val="00FA20E8"/>
    <w:rsid w:val="00FA22D8"/>
    <w:rsid w:val="00FA2FF5"/>
    <w:rsid w:val="00FA3849"/>
    <w:rsid w:val="00FA3FDD"/>
    <w:rsid w:val="00FA49A9"/>
    <w:rsid w:val="00FA5F9C"/>
    <w:rsid w:val="00FA60D6"/>
    <w:rsid w:val="00FA6A0A"/>
    <w:rsid w:val="00FA7EE8"/>
    <w:rsid w:val="00FB0274"/>
    <w:rsid w:val="00FB09A7"/>
    <w:rsid w:val="00FB0C14"/>
    <w:rsid w:val="00FB1469"/>
    <w:rsid w:val="00FB1C38"/>
    <w:rsid w:val="00FB22C7"/>
    <w:rsid w:val="00FB2501"/>
    <w:rsid w:val="00FB3C93"/>
    <w:rsid w:val="00FB4E70"/>
    <w:rsid w:val="00FB672B"/>
    <w:rsid w:val="00FB68D0"/>
    <w:rsid w:val="00FB7685"/>
    <w:rsid w:val="00FB77B7"/>
    <w:rsid w:val="00FB7A5F"/>
    <w:rsid w:val="00FB7AC0"/>
    <w:rsid w:val="00FB7CB3"/>
    <w:rsid w:val="00FC0E62"/>
    <w:rsid w:val="00FC16B1"/>
    <w:rsid w:val="00FC216C"/>
    <w:rsid w:val="00FC256A"/>
    <w:rsid w:val="00FC268C"/>
    <w:rsid w:val="00FC26CA"/>
    <w:rsid w:val="00FC2F9E"/>
    <w:rsid w:val="00FC321D"/>
    <w:rsid w:val="00FC4AEF"/>
    <w:rsid w:val="00FC4B2C"/>
    <w:rsid w:val="00FC50A5"/>
    <w:rsid w:val="00FC5A3F"/>
    <w:rsid w:val="00FC63D3"/>
    <w:rsid w:val="00FC6557"/>
    <w:rsid w:val="00FC6852"/>
    <w:rsid w:val="00FC6BAC"/>
    <w:rsid w:val="00FC6F8D"/>
    <w:rsid w:val="00FC7234"/>
    <w:rsid w:val="00FC7599"/>
    <w:rsid w:val="00FC7A2F"/>
    <w:rsid w:val="00FC7F62"/>
    <w:rsid w:val="00FC7FB4"/>
    <w:rsid w:val="00FD018A"/>
    <w:rsid w:val="00FD0263"/>
    <w:rsid w:val="00FD033B"/>
    <w:rsid w:val="00FD0663"/>
    <w:rsid w:val="00FD0D65"/>
    <w:rsid w:val="00FD1FC6"/>
    <w:rsid w:val="00FD22FD"/>
    <w:rsid w:val="00FD3666"/>
    <w:rsid w:val="00FD3FB2"/>
    <w:rsid w:val="00FD4008"/>
    <w:rsid w:val="00FD4624"/>
    <w:rsid w:val="00FD49C2"/>
    <w:rsid w:val="00FD4CAD"/>
    <w:rsid w:val="00FD589C"/>
    <w:rsid w:val="00FD5A00"/>
    <w:rsid w:val="00FD79B9"/>
    <w:rsid w:val="00FD7F1B"/>
    <w:rsid w:val="00FE0497"/>
    <w:rsid w:val="00FE0DF6"/>
    <w:rsid w:val="00FE1282"/>
    <w:rsid w:val="00FE1914"/>
    <w:rsid w:val="00FE1C8D"/>
    <w:rsid w:val="00FE3399"/>
    <w:rsid w:val="00FE35E1"/>
    <w:rsid w:val="00FE3925"/>
    <w:rsid w:val="00FE3A0E"/>
    <w:rsid w:val="00FE5213"/>
    <w:rsid w:val="00FE59D8"/>
    <w:rsid w:val="00FE6160"/>
    <w:rsid w:val="00FE6599"/>
    <w:rsid w:val="00FE68D2"/>
    <w:rsid w:val="00FE7BE8"/>
    <w:rsid w:val="00FF01D1"/>
    <w:rsid w:val="00FF021B"/>
    <w:rsid w:val="00FF0471"/>
    <w:rsid w:val="00FF0B18"/>
    <w:rsid w:val="00FF0F3E"/>
    <w:rsid w:val="00FF1063"/>
    <w:rsid w:val="00FF175B"/>
    <w:rsid w:val="00FF1D0E"/>
    <w:rsid w:val="00FF2345"/>
    <w:rsid w:val="00FF2D56"/>
    <w:rsid w:val="00FF2E31"/>
    <w:rsid w:val="00FF2E92"/>
    <w:rsid w:val="00FF333B"/>
    <w:rsid w:val="00FF37E0"/>
    <w:rsid w:val="00FF38B9"/>
    <w:rsid w:val="00FF3931"/>
    <w:rsid w:val="00FF3FA5"/>
    <w:rsid w:val="00FF6147"/>
    <w:rsid w:val="00FF63F9"/>
    <w:rsid w:val="00FF6CE1"/>
    <w:rsid w:val="00FF6CEA"/>
    <w:rsid w:val="00FF6EAE"/>
    <w:rsid w:val="00FF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Top of Form" w:uiPriority="0"/>
    <w:lsdException w:name="HTML Bottom of Form" w:uiPriority="0"/>
    <w:lsdException w:name="HTML Acronym" w:uiPriority="0"/>
    <w:lsdException w:name="HTML Cit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uiPriority w:val="9"/>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uiPriority w:val="9"/>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uiPriority w:val="9"/>
    <w:qFormat/>
    <w:rsid w:val="00FC16B1"/>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rPr>
      <w:rFonts w:ascii="Univers (WN)" w:hAnsi="Univers (WN)"/>
      <w:position w:val="4"/>
      <w:sz w:val="16"/>
      <w:u w:val="double"/>
    </w:rPr>
  </w:style>
  <w:style w:type="paragraph" w:styleId="CommentText">
    <w:name w:val="annotation text"/>
    <w:basedOn w:val="FootnoteText"/>
    <w:link w:val="CommentTextChar"/>
    <w:uiPriority w:val="99"/>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Pr>
      <w:sz w:val="22"/>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Pr>
      <w:position w:val="6"/>
      <w:sz w:val="16"/>
    </w:rPr>
  </w:style>
  <w:style w:type="paragraph" w:styleId="NormalIndent">
    <w:name w:val="Normal Indent"/>
    <w:basedOn w:val="singleblock"/>
    <w:uiPriority w:val="99"/>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 w:val="22"/>
    </w:rPr>
  </w:style>
  <w:style w:type="paragraph" w:styleId="BodyText">
    <w:name w:val="Body Text"/>
    <w:aliases w:val="bt"/>
    <w:basedOn w:val="Normal"/>
    <w:link w:val="BodyTextChar"/>
    <w:uiPriority w:val="99"/>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D41353"/>
    <w:pPr>
      <w:keepNext/>
      <w:keepLines/>
      <w:spacing w:before="120" w:after="120" w:line="480" w:lineRule="auto"/>
    </w:pPr>
    <w:rPr>
      <w:rFonts w:eastAsia="PMingLiU"/>
      <w:b/>
      <w:bCs/>
      <w:szCs w:val="20"/>
    </w:rPr>
  </w:style>
  <w:style w:type="paragraph" w:customStyle="1" w:styleId="answer">
    <w:name w:val="answer"/>
    <w:basedOn w:val="Normal"/>
    <w:link w:val="answerChar"/>
    <w:rsid w:val="00521736"/>
    <w:pPr>
      <w:spacing w:before="120" w:after="120" w:line="480" w:lineRule="auto"/>
      <w:ind w:left="720" w:hanging="720"/>
    </w:pPr>
    <w:rPr>
      <w:rFonts w:eastAsia="PMingLiU"/>
      <w:szCs w:val="20"/>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uiPriority w:val="99"/>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uiPriority w:val="99"/>
  </w:style>
  <w:style w:type="paragraph" w:styleId="BodyText3">
    <w:name w:val="Body Text 3"/>
    <w:basedOn w:val="Normal"/>
    <w:link w:val="BodyText3Char"/>
    <w:uiPriority w:val="99"/>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4"/>
      </w:numPr>
      <w:spacing w:after="120"/>
      <w:ind w:right="1440"/>
    </w:pPr>
  </w:style>
  <w:style w:type="character" w:styleId="Strong">
    <w:name w:val="Strong"/>
    <w:basedOn w:val="DefaultParagraphFont"/>
    <w:uiPriority w:val="22"/>
    <w:qFormat/>
    <w:rPr>
      <w:b/>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paragraph" w:styleId="Closing">
    <w:name w:val="Closing"/>
    <w:basedOn w:val="Normal"/>
    <w:link w:val="ClosingChar"/>
    <w:uiPriority w:val="99"/>
    <w:rsid w:val="00CF3F7A"/>
    <w:pPr>
      <w:ind w:left="4320"/>
    </w:pPr>
  </w:style>
  <w:style w:type="paragraph" w:styleId="CommentSubject">
    <w:name w:val="annotation subject"/>
    <w:basedOn w:val="CommentText"/>
    <w:next w:val="CommentText"/>
    <w:link w:val="CommentSubjectChar"/>
    <w:uiPriority w:val="99"/>
    <w:rsid w:val="00CF3F7A"/>
    <w:pPr>
      <w:spacing w:before="0" w:line="480" w:lineRule="atLeast"/>
    </w:pPr>
    <w:rPr>
      <w:b/>
      <w:bCs/>
      <w:sz w:val="20"/>
    </w:rPr>
  </w:style>
  <w:style w:type="paragraph" w:styleId="Date">
    <w:name w:val="Date"/>
    <w:basedOn w:val="Normal"/>
    <w:next w:val="Normal"/>
    <w:link w:val="DateChar"/>
    <w:uiPriority w:val="99"/>
    <w:rsid w:val="00CF3F7A"/>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paragraph" w:styleId="E-mailSignature">
    <w:name w:val="E-mail Signature"/>
    <w:basedOn w:val="Normal"/>
    <w:link w:val="E-mailSignatureChar"/>
    <w:uiPriority w:val="99"/>
    <w:rsid w:val="00CF3F7A"/>
  </w:style>
  <w:style w:type="paragraph" w:styleId="EndnoteText">
    <w:name w:val="endnote text"/>
    <w:basedOn w:val="Normal"/>
    <w:link w:val="EndnoteTextChar"/>
    <w:uiPriority w:val="99"/>
    <w:semiHidden/>
    <w:rsid w:val="00CF3F7A"/>
    <w:rPr>
      <w:sz w:val="20"/>
    </w:rPr>
  </w:style>
  <w:style w:type="paragraph" w:styleId="HTMLAddress">
    <w:name w:val="HTML Address"/>
    <w:basedOn w:val="Normal"/>
    <w:link w:val="HTMLAddressChar"/>
    <w:uiPriority w:val="99"/>
    <w:rsid w:val="00CF3F7A"/>
    <w:rPr>
      <w:i/>
      <w:iCs/>
    </w:rPr>
  </w:style>
  <w:style w:type="paragraph" w:styleId="HTMLPreformatted">
    <w:name w:val="HTML Preformatted"/>
    <w:basedOn w:val="Normal"/>
    <w:link w:val="HTMLPreformattedChar"/>
    <w:uiPriority w:val="99"/>
    <w:rsid w:val="00CF3F7A"/>
    <w:rPr>
      <w:rFonts w:ascii="Courier New" w:hAnsi="Courier New" w:cs="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BF05CC"/>
    <w:pPr>
      <w:spacing w:after="280"/>
      <w:ind w:left="2160" w:right="720" w:hanging="72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5"/>
      </w:numPr>
    </w:pPr>
  </w:style>
  <w:style w:type="paragraph" w:styleId="ListBullet2">
    <w:name w:val="List Bullet 2"/>
    <w:basedOn w:val="Normal"/>
    <w:autoRedefine/>
    <w:uiPriority w:val="99"/>
    <w:rsid w:val="00CF3F7A"/>
    <w:pPr>
      <w:numPr>
        <w:numId w:val="16"/>
      </w:numPr>
    </w:pPr>
  </w:style>
  <w:style w:type="paragraph" w:styleId="ListBullet3">
    <w:name w:val="List Bullet 3"/>
    <w:basedOn w:val="Normal"/>
    <w:autoRedefine/>
    <w:uiPriority w:val="99"/>
    <w:rsid w:val="00CF3F7A"/>
    <w:pPr>
      <w:numPr>
        <w:numId w:val="17"/>
      </w:numPr>
    </w:pPr>
  </w:style>
  <w:style w:type="paragraph" w:styleId="ListBullet4">
    <w:name w:val="List Bullet 4"/>
    <w:basedOn w:val="Normal"/>
    <w:autoRedefine/>
    <w:uiPriority w:val="99"/>
    <w:rsid w:val="00CF3F7A"/>
    <w:pPr>
      <w:numPr>
        <w:numId w:val="18"/>
      </w:numPr>
    </w:pPr>
  </w:style>
  <w:style w:type="paragraph" w:styleId="ListBullet5">
    <w:name w:val="List Bullet 5"/>
    <w:basedOn w:val="Normal"/>
    <w:autoRedefine/>
    <w:uiPriority w:val="99"/>
    <w:rsid w:val="00CF3F7A"/>
    <w:pPr>
      <w:numPr>
        <w:numId w:val="19"/>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20"/>
      </w:numPr>
    </w:pPr>
  </w:style>
  <w:style w:type="paragraph" w:styleId="ListNumber2">
    <w:name w:val="List Number 2"/>
    <w:basedOn w:val="Normal"/>
    <w:uiPriority w:val="99"/>
    <w:rsid w:val="00CF3F7A"/>
    <w:pPr>
      <w:numPr>
        <w:numId w:val="21"/>
      </w:numPr>
    </w:pPr>
  </w:style>
  <w:style w:type="paragraph" w:styleId="ListNumber3">
    <w:name w:val="List Number 3"/>
    <w:basedOn w:val="Normal"/>
    <w:uiPriority w:val="99"/>
    <w:rsid w:val="00CF3F7A"/>
    <w:pPr>
      <w:numPr>
        <w:numId w:val="22"/>
      </w:numPr>
    </w:pPr>
  </w:style>
  <w:style w:type="paragraph" w:styleId="ListNumber4">
    <w:name w:val="List Number 4"/>
    <w:basedOn w:val="Normal"/>
    <w:uiPriority w:val="99"/>
    <w:rsid w:val="00CF3F7A"/>
    <w:pPr>
      <w:numPr>
        <w:numId w:val="23"/>
      </w:numPr>
    </w:pPr>
  </w:style>
  <w:style w:type="paragraph" w:styleId="ListNumber5">
    <w:name w:val="List Number 5"/>
    <w:basedOn w:val="Normal"/>
    <w:uiPriority w:val="99"/>
    <w:rsid w:val="00CF3F7A"/>
    <w:pPr>
      <w:numPr>
        <w:numId w:val="24"/>
      </w:numPr>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paragraph" w:styleId="PlainText">
    <w:name w:val="Plain Text"/>
    <w:basedOn w:val="Normal"/>
    <w:link w:val="PlainTextChar"/>
    <w:uiPriority w:val="99"/>
    <w:rsid w:val="00CF3F7A"/>
    <w:rPr>
      <w:rFonts w:ascii="Courier New" w:hAnsi="Courier New" w:cs="Courier New"/>
      <w:sz w:val="20"/>
    </w:rPr>
  </w:style>
  <w:style w:type="paragraph" w:styleId="Salutation">
    <w:name w:val="Salutation"/>
    <w:basedOn w:val="Normal"/>
    <w:next w:val="Normal"/>
    <w:link w:val="SalutationChar"/>
    <w:uiPriority w:val="99"/>
    <w:rsid w:val="00CF3F7A"/>
  </w:style>
  <w:style w:type="paragraph" w:styleId="Signature">
    <w:name w:val="Signature"/>
    <w:basedOn w:val="Normal"/>
    <w:link w:val="SignatureChar"/>
    <w:uiPriority w:val="99"/>
    <w:rsid w:val="00CF3F7A"/>
    <w:pPr>
      <w:ind w:left="4320"/>
    </w:p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character" w:customStyle="1" w:styleId="Heading1Char">
    <w:name w:val="Heading 1 Char"/>
    <w:aliases w:val="h1 Char"/>
    <w:basedOn w:val="singleChar"/>
    <w:link w:val="Heading1"/>
    <w:uiPriority w:val="9"/>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uiPriority w:val="9"/>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521736"/>
    <w:rPr>
      <w:rFonts w:ascii="Times New Roman" w:eastAsia="PMingLiU" w:hAnsi="Times New Roman"/>
      <w:sz w:val="24"/>
      <w:lang w:eastAsia="zh-CN"/>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955F6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D41353"/>
    <w:rPr>
      <w:rFonts w:ascii="Times New Roman" w:eastAsia="PMingLiU"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uiPriority w:val="9"/>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uiPriority w:val="9"/>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uiPriority w:val="9"/>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uiPriority w:val="9"/>
    <w:rsid w:val="00FC16B1"/>
    <w:rPr>
      <w:rFonts w:ascii="Times New Roman" w:eastAsia="SimSun" w:hAnsi="Times New Roman"/>
      <w:b/>
      <w:snapToGrid w:val="0"/>
      <w:sz w:val="24"/>
      <w:u w:val="single"/>
    </w:rPr>
  </w:style>
  <w:style w:type="character" w:customStyle="1" w:styleId="Heading4Char">
    <w:name w:val="Heading 4 Char"/>
    <w:aliases w:val="h4 Char,h4 + No underline Char"/>
    <w:basedOn w:val="DefaultParagraphFont"/>
    <w:link w:val="Heading4"/>
    <w:uiPriority w:val="9"/>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uiPriority w:val="9"/>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uiPriority w:val="99"/>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uiPriority w:val="99"/>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uiPriority w:val="99"/>
    <w:rsid w:val="00DA0A86"/>
    <w:rPr>
      <w:rFonts w:ascii="CG Times" w:hAnsi="CG Times"/>
      <w:color w:val="0000FF"/>
      <w:sz w:val="24"/>
      <w:szCs w:val="24"/>
    </w:rPr>
  </w:style>
  <w:style w:type="character" w:customStyle="1" w:styleId="BodyText3Char">
    <w:name w:val="Body Text 3 Char"/>
    <w:basedOn w:val="DefaultParagraphFont"/>
    <w:link w:val="BodyText3"/>
    <w:uiPriority w:val="99"/>
    <w:rsid w:val="00DA0A86"/>
    <w:rPr>
      <w:rFonts w:ascii="Times New Roman" w:hAnsi="Times New Roman"/>
      <w:snapToGrid w:val="0"/>
      <w:sz w:val="24"/>
      <w:szCs w:val="24"/>
    </w:rPr>
  </w:style>
  <w:style w:type="character" w:customStyle="1" w:styleId="PlainTextChar">
    <w:name w:val="Plain Text Char"/>
    <w:basedOn w:val="DefaultParagraphFont"/>
    <w:link w:val="PlainText"/>
    <w:uiPriority w:val="99"/>
    <w:rsid w:val="00DA0A86"/>
    <w:rPr>
      <w:rFonts w:ascii="Courier New" w:hAnsi="Courier New" w:cs="Courier New"/>
      <w:szCs w:val="24"/>
    </w:rPr>
  </w:style>
  <w:style w:type="character" w:customStyle="1" w:styleId="BodyTextIndentChar">
    <w:name w:val="Body Text Indent Char"/>
    <w:basedOn w:val="DefaultParagraphFont"/>
    <w:link w:val="BodyTextIndent"/>
    <w:uiPriority w:val="99"/>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uiPriority w:val="99"/>
    <w:rsid w:val="00DA0A86"/>
    <w:rPr>
      <w:rFonts w:ascii="Times New Roman" w:hAnsi="Times New Roman"/>
      <w:sz w:val="24"/>
      <w:szCs w:val="24"/>
    </w:rPr>
  </w:style>
  <w:style w:type="character" w:customStyle="1" w:styleId="FooterChar">
    <w:name w:val="Footer Char"/>
    <w:basedOn w:val="DefaultParagraphFont"/>
    <w:link w:val="Footer"/>
    <w:uiPriority w:val="99"/>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uiPriority w:val="10"/>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uiPriority w:val="99"/>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uiPriority w:val="99"/>
    <w:rsid w:val="00DA0A86"/>
    <w:rPr>
      <w:rFonts w:ascii="Tahoma" w:hAnsi="Tahoma" w:cs="TheSerif 3-Light"/>
      <w:sz w:val="16"/>
      <w:szCs w:val="16"/>
    </w:rPr>
  </w:style>
  <w:style w:type="character" w:customStyle="1" w:styleId="CommentTextChar">
    <w:name w:val="Comment Text Char"/>
    <w:basedOn w:val="DefaultParagraphFont"/>
    <w:link w:val="CommentText"/>
    <w:uiPriority w:val="99"/>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uiPriority w:val="99"/>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 w:type="numbering" w:customStyle="1" w:styleId="NoList1">
    <w:name w:val="No List1"/>
    <w:next w:val="NoList"/>
    <w:uiPriority w:val="99"/>
    <w:semiHidden/>
    <w:unhideWhenUsed/>
    <w:rsid w:val="00537488"/>
  </w:style>
  <w:style w:type="character" w:customStyle="1" w:styleId="Heading9Char">
    <w:name w:val="Heading 9 Char"/>
    <w:aliases w:val="h9 Char"/>
    <w:basedOn w:val="DefaultParagraphFont"/>
    <w:link w:val="Heading9"/>
    <w:uiPriority w:val="9"/>
    <w:rsid w:val="00537488"/>
    <w:rPr>
      <w:rFonts w:ascii="Times New Roman" w:eastAsia="SimSun" w:hAnsi="Times New Roman"/>
      <w:b/>
      <w:snapToGrid w:val="0"/>
      <w:sz w:val="24"/>
      <w:u w:val="single"/>
    </w:rPr>
  </w:style>
  <w:style w:type="paragraph" w:customStyle="1" w:styleId="answerFirstline0">
    <w:name w:val="answer + First line:  0&quot;"/>
    <w:basedOn w:val="answer"/>
    <w:rsid w:val="00537488"/>
    <w:pPr>
      <w:ind w:firstLine="0"/>
    </w:pPr>
    <w:rPr>
      <w:rFonts w:ascii="CG Times (WN)" w:hAnsi="CG Times (WN)"/>
    </w:rPr>
  </w:style>
  <w:style w:type="character" w:customStyle="1" w:styleId="Heading1Char1">
    <w:name w:val="Heading 1 Char1"/>
    <w:aliases w:val="h1 Char1"/>
    <w:uiPriority w:val="9"/>
    <w:locked/>
    <w:rsid w:val="00537488"/>
    <w:rPr>
      <w:b/>
      <w:sz w:val="24"/>
      <w:lang w:eastAsia="zh-CN"/>
    </w:rPr>
  </w:style>
  <w:style w:type="character" w:customStyle="1" w:styleId="BodyTextFirstIndentChar">
    <w:name w:val="Body Text First Indent Char"/>
    <w:basedOn w:val="BodyTextChar"/>
    <w:link w:val="BodyTextFirstIndent"/>
    <w:uiPriority w:val="99"/>
    <w:rsid w:val="00537488"/>
    <w:rPr>
      <w:rFonts w:ascii="Times New Roman" w:hAnsi="Times New Roman"/>
      <w:sz w:val="24"/>
      <w:szCs w:val="24"/>
      <w:lang w:val="en-GB"/>
    </w:rPr>
  </w:style>
  <w:style w:type="character" w:customStyle="1" w:styleId="BodyTextFirstIndent2Char">
    <w:name w:val="Body Text First Indent 2 Char"/>
    <w:basedOn w:val="BodyTextIndentChar"/>
    <w:link w:val="BodyTextFirstIndent2"/>
    <w:uiPriority w:val="99"/>
    <w:rsid w:val="00537488"/>
    <w:rPr>
      <w:rFonts w:ascii="Times New Roman" w:hAnsi="Times New Roman"/>
      <w:sz w:val="24"/>
      <w:szCs w:val="24"/>
    </w:rPr>
  </w:style>
  <w:style w:type="character" w:customStyle="1" w:styleId="ClosingChar">
    <w:name w:val="Closing Char"/>
    <w:basedOn w:val="DefaultParagraphFont"/>
    <w:link w:val="Closing"/>
    <w:uiPriority w:val="99"/>
    <w:rsid w:val="00537488"/>
    <w:rPr>
      <w:rFonts w:ascii="Times New Roman" w:hAnsi="Times New Roman"/>
      <w:sz w:val="24"/>
      <w:szCs w:val="24"/>
    </w:rPr>
  </w:style>
  <w:style w:type="character" w:customStyle="1" w:styleId="DateChar">
    <w:name w:val="Date Char"/>
    <w:basedOn w:val="DefaultParagraphFont"/>
    <w:link w:val="Date"/>
    <w:uiPriority w:val="99"/>
    <w:rsid w:val="0053748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37488"/>
    <w:rPr>
      <w:rFonts w:ascii="Tahoma" w:hAnsi="Tahoma" w:cs="Tahoma"/>
      <w:sz w:val="24"/>
      <w:szCs w:val="24"/>
      <w:shd w:val="clear" w:color="auto" w:fill="000080"/>
    </w:rPr>
  </w:style>
  <w:style w:type="character" w:customStyle="1" w:styleId="E-mailSignatureChar">
    <w:name w:val="E-mail Signature Char"/>
    <w:basedOn w:val="DefaultParagraphFont"/>
    <w:link w:val="E-mailSignature"/>
    <w:uiPriority w:val="99"/>
    <w:rsid w:val="00537488"/>
    <w:rPr>
      <w:rFonts w:ascii="Times New Roman" w:hAnsi="Times New Roman"/>
      <w:sz w:val="24"/>
      <w:szCs w:val="24"/>
    </w:rPr>
  </w:style>
  <w:style w:type="character" w:customStyle="1" w:styleId="EndnoteTextChar">
    <w:name w:val="Endnote Text Char"/>
    <w:basedOn w:val="DefaultParagraphFont"/>
    <w:link w:val="EndnoteText"/>
    <w:uiPriority w:val="99"/>
    <w:semiHidden/>
    <w:rsid w:val="00537488"/>
    <w:rPr>
      <w:rFonts w:ascii="Times New Roman" w:hAnsi="Times New Roman"/>
      <w:szCs w:val="24"/>
    </w:rPr>
  </w:style>
  <w:style w:type="character" w:customStyle="1" w:styleId="HTMLAddressChar">
    <w:name w:val="HTML Address Char"/>
    <w:basedOn w:val="DefaultParagraphFont"/>
    <w:link w:val="HTMLAddress"/>
    <w:uiPriority w:val="99"/>
    <w:rsid w:val="00537488"/>
    <w:rPr>
      <w:rFonts w:ascii="Times New Roman" w:hAnsi="Times New Roman"/>
      <w:i/>
      <w:iCs/>
      <w:sz w:val="24"/>
      <w:szCs w:val="24"/>
    </w:rPr>
  </w:style>
  <w:style w:type="character" w:customStyle="1" w:styleId="HTMLPreformattedChar">
    <w:name w:val="HTML Preformatted Char"/>
    <w:basedOn w:val="DefaultParagraphFont"/>
    <w:link w:val="HTMLPreformatted"/>
    <w:uiPriority w:val="99"/>
    <w:rsid w:val="00537488"/>
    <w:rPr>
      <w:rFonts w:ascii="Courier New" w:hAnsi="Courier New" w:cs="Courier New"/>
      <w:szCs w:val="24"/>
    </w:rPr>
  </w:style>
  <w:style w:type="character" w:customStyle="1" w:styleId="MacroTextChar">
    <w:name w:val="Macro Text Char"/>
    <w:basedOn w:val="DefaultParagraphFont"/>
    <w:link w:val="MacroText"/>
    <w:uiPriority w:val="99"/>
    <w:semiHidden/>
    <w:rsid w:val="00537488"/>
    <w:rPr>
      <w:rFonts w:ascii="Courier New" w:hAnsi="Courier New" w:cs="Courier New"/>
      <w:lang w:eastAsia="zh-CN"/>
    </w:rPr>
  </w:style>
  <w:style w:type="character" w:customStyle="1" w:styleId="MessageHeaderChar">
    <w:name w:val="Message Header Char"/>
    <w:basedOn w:val="DefaultParagraphFont"/>
    <w:link w:val="MessageHeader"/>
    <w:uiPriority w:val="99"/>
    <w:rsid w:val="00537488"/>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537488"/>
    <w:rPr>
      <w:rFonts w:ascii="Times New Roman" w:hAnsi="Times New Roman"/>
      <w:sz w:val="24"/>
      <w:szCs w:val="24"/>
    </w:rPr>
  </w:style>
  <w:style w:type="character" w:customStyle="1" w:styleId="SalutationChar">
    <w:name w:val="Salutation Char"/>
    <w:basedOn w:val="DefaultParagraphFont"/>
    <w:link w:val="Salutation"/>
    <w:uiPriority w:val="99"/>
    <w:rsid w:val="00537488"/>
    <w:rPr>
      <w:rFonts w:ascii="Times New Roman" w:hAnsi="Times New Roman"/>
      <w:sz w:val="24"/>
      <w:szCs w:val="24"/>
    </w:rPr>
  </w:style>
  <w:style w:type="character" w:customStyle="1" w:styleId="SignatureChar">
    <w:name w:val="Signature Char"/>
    <w:basedOn w:val="DefaultParagraphFont"/>
    <w:link w:val="Signature"/>
    <w:uiPriority w:val="99"/>
    <w:rsid w:val="00537488"/>
    <w:rPr>
      <w:rFonts w:ascii="Times New Roman" w:hAnsi="Times New Roman"/>
      <w:sz w:val="24"/>
      <w:szCs w:val="24"/>
    </w:rPr>
  </w:style>
  <w:style w:type="character" w:customStyle="1" w:styleId="SubtitleChar">
    <w:name w:val="Subtitle Char"/>
    <w:basedOn w:val="DefaultParagraphFont"/>
    <w:link w:val="Subtitle"/>
    <w:uiPriority w:val="11"/>
    <w:rsid w:val="00537488"/>
    <w:rPr>
      <w:rFonts w:ascii="Arial" w:hAnsi="Arial" w:cs="Arial"/>
      <w:sz w:val="24"/>
      <w:szCs w:val="24"/>
    </w:rPr>
  </w:style>
  <w:style w:type="table" w:customStyle="1" w:styleId="TableGrid1">
    <w:name w:val="Table Grid1"/>
    <w:basedOn w:val="TableNormal"/>
    <w:next w:val="TableGrid"/>
    <w:uiPriority w:val="59"/>
    <w:rsid w:val="00537488"/>
    <w:pPr>
      <w:spacing w:line="480" w:lineRule="atLeast"/>
      <w:ind w:firstLine="72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537488"/>
    <w:rPr>
      <w:rFonts w:ascii="Times New Roman Bold" w:hAnsi="Times New Roman Bold"/>
      <w:b/>
      <w:sz w:val="24"/>
      <w:u w:val="single"/>
    </w:rPr>
  </w:style>
  <w:style w:type="character" w:customStyle="1" w:styleId="questionChar1">
    <w:name w:val="question Char1"/>
    <w:rsid w:val="00537488"/>
    <w:rPr>
      <w:rFonts w:eastAsia="SimSun"/>
      <w:b/>
      <w:sz w:val="24"/>
      <w:lang w:val="en-US" w:eastAsia="zh-CN"/>
    </w:rPr>
  </w:style>
  <w:style w:type="paragraph" w:customStyle="1" w:styleId="WUTCParagraph">
    <w:name w:val="WUTC Paragraph"/>
    <w:basedOn w:val="Normal"/>
    <w:rsid w:val="00537488"/>
    <w:pPr>
      <w:tabs>
        <w:tab w:val="num" w:pos="0"/>
        <w:tab w:val="left" w:pos="1440"/>
      </w:tabs>
      <w:spacing w:line="480" w:lineRule="auto"/>
      <w:ind w:hanging="720"/>
    </w:pPr>
    <w:rPr>
      <w:rFonts w:eastAsia="SimSun"/>
    </w:rPr>
  </w:style>
  <w:style w:type="paragraph" w:customStyle="1" w:styleId="StyleArialLinespacingDouble">
    <w:name w:val="Style Arial Line spacing:  Double"/>
    <w:basedOn w:val="Normal"/>
    <w:rsid w:val="00537488"/>
    <w:pPr>
      <w:spacing w:line="480" w:lineRule="auto"/>
    </w:pPr>
    <w:rPr>
      <w:rFonts w:ascii="Arial" w:eastAsia="SimSun" w:hAnsi="Arial"/>
      <w:sz w:val="22"/>
      <w:szCs w:val="20"/>
    </w:rPr>
  </w:style>
  <w:style w:type="paragraph" w:customStyle="1" w:styleId="08WHEBody">
    <w:name w:val="08WHE Body"/>
    <w:basedOn w:val="Normal"/>
    <w:link w:val="08WHEBodyChar"/>
    <w:rsid w:val="00537488"/>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37488"/>
    <w:rPr>
      <w:rFonts w:ascii="Arial" w:eastAsia="SimSun" w:hAnsi="Arial"/>
    </w:rPr>
  </w:style>
  <w:style w:type="character" w:customStyle="1" w:styleId="StyleArial115pt">
    <w:name w:val="Style Arial 11.5 pt"/>
    <w:rsid w:val="00537488"/>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37488"/>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37488"/>
    <w:rPr>
      <w:rFonts w:ascii="Arial" w:eastAsia="SimSun" w:hAnsi="Arial"/>
    </w:rPr>
  </w:style>
  <w:style w:type="paragraph" w:customStyle="1" w:styleId="Style08WHEbulletsimple12ptAfter6ptLinespacing15">
    <w:name w:val="Style 08WHE bullet simple + 12 pt After:  6 pt Line spacing:  1.5..."/>
    <w:basedOn w:val="Normal"/>
    <w:rsid w:val="00537488"/>
    <w:pPr>
      <w:tabs>
        <w:tab w:val="num" w:pos="720"/>
      </w:tabs>
      <w:spacing w:after="120" w:line="360" w:lineRule="auto"/>
      <w:ind w:left="720" w:hanging="360"/>
      <w:jc w:val="both"/>
    </w:pPr>
    <w:rPr>
      <w:rFonts w:ascii="Arial" w:eastAsia="SimSun" w:hAnsi="Arial"/>
      <w:sz w:val="22"/>
      <w:szCs w:val="20"/>
    </w:rPr>
  </w:style>
  <w:style w:type="paragraph" w:customStyle="1" w:styleId="Head1">
    <w:name w:val="Head1"/>
    <w:basedOn w:val="Normal"/>
    <w:rsid w:val="00537488"/>
    <w:pPr>
      <w:tabs>
        <w:tab w:val="num" w:pos="360"/>
        <w:tab w:val="num" w:pos="720"/>
      </w:tabs>
      <w:ind w:left="720" w:hanging="360"/>
    </w:pPr>
    <w:rPr>
      <w:rFonts w:eastAsia="SimSun"/>
      <w:b/>
      <w:u w:val="single"/>
    </w:rPr>
  </w:style>
  <w:style w:type="character" w:customStyle="1" w:styleId="h2CharChar1">
    <w:name w:val="h2 Char Char1"/>
    <w:rsid w:val="00537488"/>
    <w:rPr>
      <w:rFonts w:ascii="Times New Roman Bold" w:hAnsi="Times New Roman Bold"/>
      <w:sz w:val="24"/>
      <w:u w:val="single"/>
      <w:lang w:val="en-US" w:eastAsia="zh-CN"/>
    </w:rPr>
  </w:style>
  <w:style w:type="paragraph" w:customStyle="1" w:styleId="StyleanswerFirstline0">
    <w:name w:val="Style answer + First line:  0&quot;"/>
    <w:basedOn w:val="answer"/>
    <w:rsid w:val="00537488"/>
    <w:pPr>
      <w:ind w:firstLine="0"/>
    </w:pPr>
    <w:rPr>
      <w:rFonts w:ascii="CG Times (WN)" w:hAnsi="CG Times (WN)"/>
    </w:rPr>
  </w:style>
  <w:style w:type="character" w:customStyle="1" w:styleId="pleading-leftbarChar">
    <w:name w:val="pleading-left bar Char"/>
    <w:link w:val="pleading-leftbar"/>
    <w:locked/>
    <w:rsid w:val="00537488"/>
    <w:rPr>
      <w:rFonts w:ascii="Courier" w:hAnsi="Courier"/>
      <w:sz w:val="24"/>
      <w:lang w:eastAsia="zh-CN"/>
    </w:rPr>
  </w:style>
  <w:style w:type="character" w:customStyle="1" w:styleId="answerChar1">
    <w:name w:val="answer Char1"/>
    <w:uiPriority w:val="99"/>
    <w:rsid w:val="00537488"/>
    <w:rPr>
      <w:rFonts w:eastAsia="SimSun"/>
      <w:sz w:val="24"/>
      <w:lang w:val="en-US" w:eastAsia="zh-CN"/>
    </w:rPr>
  </w:style>
  <w:style w:type="paragraph" w:customStyle="1" w:styleId="TOCHeader">
    <w:name w:val="TOC Header"/>
    <w:basedOn w:val="Normal"/>
    <w:rsid w:val="00537488"/>
    <w:pPr>
      <w:ind w:left="115" w:right="115"/>
      <w:jc w:val="center"/>
    </w:pPr>
    <w:rPr>
      <w:rFonts w:eastAsia="PMingLiU"/>
      <w:szCs w:val="20"/>
    </w:rPr>
  </w:style>
  <w:style w:type="paragraph" w:customStyle="1" w:styleId="08RFPBody">
    <w:name w:val="08RFP Body"/>
    <w:basedOn w:val="Normal"/>
    <w:link w:val="08RFPBodyChar"/>
    <w:rsid w:val="00537488"/>
    <w:pPr>
      <w:spacing w:after="240"/>
    </w:pPr>
    <w:rPr>
      <w:rFonts w:ascii="Arial" w:eastAsia="PMingLiU" w:hAnsi="Arial"/>
      <w:sz w:val="20"/>
      <w:szCs w:val="20"/>
    </w:rPr>
  </w:style>
  <w:style w:type="character" w:customStyle="1" w:styleId="08RFPBodyChar">
    <w:name w:val="08RFP Body Char"/>
    <w:link w:val="08RFPBody"/>
    <w:locked/>
    <w:rsid w:val="00537488"/>
    <w:rPr>
      <w:rFonts w:ascii="Arial" w:eastAsia="PMingLiU" w:hAnsi="Arial"/>
    </w:rPr>
  </w:style>
  <w:style w:type="paragraph" w:customStyle="1" w:styleId="08RFPTableTitle">
    <w:name w:val="08RFP Table Title"/>
    <w:basedOn w:val="Normal"/>
    <w:rsid w:val="00537488"/>
    <w:pPr>
      <w:spacing w:after="120"/>
    </w:pPr>
    <w:rPr>
      <w:rFonts w:ascii="Palatino Linotype" w:eastAsia="PMingLiU" w:hAnsi="Palatino Linotype"/>
      <w:b/>
      <w:sz w:val="28"/>
      <w:szCs w:val="20"/>
    </w:rPr>
  </w:style>
  <w:style w:type="character" w:customStyle="1" w:styleId="08RFPFootnotesChar">
    <w:name w:val="08RFP Footnotes Char"/>
    <w:rsid w:val="00537488"/>
    <w:rPr>
      <w:rFonts w:ascii="Arial" w:hAnsi="Arial"/>
      <w:sz w:val="16"/>
      <w:lang w:val="en-US" w:eastAsia="en-US"/>
    </w:rPr>
  </w:style>
  <w:style w:type="paragraph" w:customStyle="1" w:styleId="IRPpicture">
    <w:name w:val="IRPpicture"/>
    <w:basedOn w:val="Normal"/>
    <w:rsid w:val="00537488"/>
    <w:rPr>
      <w:rFonts w:ascii="Arial MT" w:eastAsia="MS Mincho" w:hAnsi="Arial MT"/>
      <w:sz w:val="16"/>
      <w:szCs w:val="20"/>
      <w:lang w:eastAsia="ja-JP"/>
    </w:rPr>
  </w:style>
  <w:style w:type="paragraph" w:customStyle="1" w:styleId="IRPfiguresub">
    <w:name w:val="IRPfiguresub"/>
    <w:basedOn w:val="BodyText"/>
    <w:rsid w:val="00537488"/>
    <w:pPr>
      <w:spacing w:beforeAutospacing="1" w:afterAutospacing="1"/>
      <w:jc w:val="left"/>
    </w:pPr>
    <w:rPr>
      <w:rFonts w:ascii="Arial" w:eastAsia="PMingLiU" w:hAnsi="Arial"/>
      <w:b/>
      <w:sz w:val="20"/>
      <w:lang w:val="en-US"/>
    </w:rPr>
  </w:style>
  <w:style w:type="paragraph" w:customStyle="1" w:styleId="09ProcessBullets">
    <w:name w:val="09Process_Bullets"/>
    <w:basedOn w:val="Normal"/>
    <w:rsid w:val="00537488"/>
    <w:pPr>
      <w:numPr>
        <w:numId w:val="30"/>
      </w:numPr>
    </w:pPr>
    <w:rPr>
      <w:rFonts w:eastAsia="PMingLiU"/>
      <w:sz w:val="20"/>
      <w:szCs w:val="20"/>
    </w:rPr>
  </w:style>
  <w:style w:type="paragraph" w:customStyle="1" w:styleId="ans">
    <w:name w:val="ans"/>
    <w:basedOn w:val="IRPfiguresub"/>
    <w:rsid w:val="00537488"/>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537488"/>
    <w:rPr>
      <w:rFonts w:eastAsia="SimSun"/>
      <w:b/>
      <w:sz w:val="24"/>
      <w:lang w:val="en-US" w:eastAsia="zh-CN"/>
    </w:rPr>
  </w:style>
  <w:style w:type="paragraph" w:customStyle="1" w:styleId="default0">
    <w:name w:val="default"/>
    <w:basedOn w:val="Normal"/>
    <w:rsid w:val="00537488"/>
    <w:pPr>
      <w:spacing w:before="100" w:beforeAutospacing="1" w:after="100" w:afterAutospacing="1"/>
    </w:pPr>
    <w:rPr>
      <w:rFonts w:eastAsia="PMingLiU"/>
    </w:rPr>
  </w:style>
  <w:style w:type="character" w:styleId="Emphasis">
    <w:name w:val="Emphasis"/>
    <w:uiPriority w:val="20"/>
    <w:qFormat/>
    <w:rsid w:val="00537488"/>
    <w:rPr>
      <w:i/>
    </w:rPr>
  </w:style>
  <w:style w:type="character" w:customStyle="1" w:styleId="questionchar0">
    <w:name w:val="questionchar"/>
    <w:rsid w:val="00537488"/>
  </w:style>
  <w:style w:type="character" w:customStyle="1" w:styleId="searchhighlight2">
    <w:name w:val="searchhighlight2"/>
    <w:rsid w:val="00537488"/>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537488"/>
    <w:rPr>
      <w:sz w:val="22"/>
    </w:rPr>
  </w:style>
  <w:style w:type="character" w:styleId="EndnoteReference">
    <w:name w:val="endnote reference"/>
    <w:uiPriority w:val="99"/>
    <w:rsid w:val="00537488"/>
    <w:rPr>
      <w:vertAlign w:val="superscript"/>
    </w:rPr>
  </w:style>
  <w:style w:type="character" w:customStyle="1" w:styleId="st">
    <w:name w:val="st"/>
    <w:rsid w:val="00537488"/>
  </w:style>
  <w:style w:type="paragraph" w:customStyle="1" w:styleId="08RFPFigureTitle">
    <w:name w:val="08RFP Figure Title"/>
    <w:basedOn w:val="Normal"/>
    <w:link w:val="08RFPFigureTitleChar"/>
    <w:rsid w:val="00537488"/>
    <w:pPr>
      <w:spacing w:after="120"/>
    </w:pPr>
    <w:rPr>
      <w:rFonts w:ascii="Palatino Linotype" w:eastAsia="PMingLiU" w:hAnsi="Palatino Linotype"/>
      <w:b/>
      <w:szCs w:val="20"/>
    </w:rPr>
  </w:style>
  <w:style w:type="character" w:customStyle="1" w:styleId="08RFPFigureTitleChar">
    <w:name w:val="08RFP Figure Title Char"/>
    <w:link w:val="08RFPFigureTitle"/>
    <w:locked/>
    <w:rsid w:val="00537488"/>
    <w:rPr>
      <w:rFonts w:ascii="Palatino Linotype" w:eastAsia="PMingLiU" w:hAnsi="Palatino Linotype"/>
      <w:b/>
      <w:sz w:val="24"/>
    </w:rPr>
  </w:style>
  <w:style w:type="paragraph" w:customStyle="1" w:styleId="08RFPBullet2">
    <w:name w:val="08RFP Bullet 2"/>
    <w:basedOn w:val="Normal"/>
    <w:rsid w:val="00537488"/>
    <w:pPr>
      <w:spacing w:after="60"/>
    </w:pPr>
    <w:rPr>
      <w:rFonts w:ascii="Arial" w:eastAsia="PMingLiU" w:hAnsi="Arial"/>
      <w:sz w:val="20"/>
      <w:szCs w:val="20"/>
    </w:rPr>
  </w:style>
  <w:style w:type="paragraph" w:customStyle="1" w:styleId="11RFPDocBody">
    <w:name w:val="11RFP Doc Body"/>
    <w:basedOn w:val="Normal"/>
    <w:link w:val="11RFPDocBodyCharChar"/>
    <w:rsid w:val="00537488"/>
    <w:pPr>
      <w:spacing w:after="240"/>
      <w:jc w:val="both"/>
    </w:pPr>
    <w:rPr>
      <w:rFonts w:ascii="Arial" w:eastAsia="PMingLiU" w:hAnsi="Arial"/>
      <w:sz w:val="20"/>
      <w:szCs w:val="20"/>
    </w:rPr>
  </w:style>
  <w:style w:type="character" w:customStyle="1" w:styleId="11RFPDocBodyCharChar">
    <w:name w:val="11RFP Doc Body Char Char"/>
    <w:link w:val="11RFPDocBody"/>
    <w:locked/>
    <w:rsid w:val="00537488"/>
    <w:rPr>
      <w:rFonts w:ascii="Arial" w:eastAsia="PMingLiU" w:hAnsi="Arial"/>
    </w:rPr>
  </w:style>
  <w:style w:type="character" w:customStyle="1" w:styleId="CharChar25">
    <w:name w:val="Char Char25"/>
    <w:locked/>
    <w:rsid w:val="00537488"/>
    <w:rPr>
      <w:rFonts w:eastAsia="PMingLiU"/>
      <w:color w:val="000000"/>
      <w:sz w:val="24"/>
      <w:lang w:val="en-US" w:eastAsia="zh-CN"/>
    </w:rPr>
  </w:style>
  <w:style w:type="character" w:customStyle="1" w:styleId="CharChar24">
    <w:name w:val="Char Char24"/>
    <w:locked/>
    <w:rsid w:val="00537488"/>
    <w:rPr>
      <w:rFonts w:eastAsia="PMingLiU"/>
      <w:sz w:val="24"/>
      <w:lang w:val="en-US" w:eastAsia="zh-CN"/>
    </w:rPr>
  </w:style>
  <w:style w:type="character" w:customStyle="1" w:styleId="CharChar23">
    <w:name w:val="Char Char23"/>
    <w:locked/>
    <w:rsid w:val="00537488"/>
    <w:rPr>
      <w:rFonts w:ascii="Arial" w:eastAsia="PMingLiU" w:hAnsi="Arial"/>
      <w:sz w:val="22"/>
      <w:lang w:val="en-US" w:eastAsia="zh-CN"/>
    </w:rPr>
  </w:style>
  <w:style w:type="character" w:customStyle="1" w:styleId="CharChar22">
    <w:name w:val="Char Char22"/>
    <w:locked/>
    <w:rsid w:val="00537488"/>
    <w:rPr>
      <w:rFonts w:ascii="CG Times" w:eastAsia="PMingLiU" w:hAnsi="CG Times"/>
      <w:color w:val="0000FF"/>
      <w:sz w:val="24"/>
      <w:lang w:val="en-US" w:eastAsia="zh-CN"/>
    </w:rPr>
  </w:style>
  <w:style w:type="character" w:customStyle="1" w:styleId="CharChar21">
    <w:name w:val="Char Char21"/>
    <w:locked/>
    <w:rsid w:val="00537488"/>
    <w:rPr>
      <w:rFonts w:ascii="Times" w:eastAsia="PMingLiU" w:hAnsi="Times"/>
      <w:sz w:val="24"/>
      <w:lang w:val="en-US" w:eastAsia="zh-CN"/>
    </w:rPr>
  </w:style>
  <w:style w:type="character" w:customStyle="1" w:styleId="CharChar20">
    <w:name w:val="Char Char20"/>
    <w:locked/>
    <w:rsid w:val="00537488"/>
    <w:rPr>
      <w:rFonts w:eastAsia="PMingLiU"/>
      <w:sz w:val="24"/>
      <w:lang w:val="en-US" w:eastAsia="zh-CN"/>
    </w:rPr>
  </w:style>
  <w:style w:type="character" w:customStyle="1" w:styleId="CharChar19">
    <w:name w:val="Char Char19"/>
    <w:locked/>
    <w:rsid w:val="00537488"/>
    <w:rPr>
      <w:rFonts w:eastAsia="PMingLiU"/>
      <w:snapToGrid w:val="0"/>
      <w:sz w:val="24"/>
      <w:lang w:val="en-US" w:eastAsia="en-US"/>
    </w:rPr>
  </w:style>
  <w:style w:type="character" w:customStyle="1" w:styleId="CharChar17">
    <w:name w:val="Char Char17"/>
    <w:locked/>
    <w:rsid w:val="00537488"/>
    <w:rPr>
      <w:rFonts w:ascii="Arial" w:eastAsia="PMingLiU" w:hAnsi="Arial"/>
      <w:b/>
      <w:kern w:val="28"/>
      <w:sz w:val="32"/>
      <w:lang w:val="en-US" w:eastAsia="zh-CN"/>
    </w:rPr>
  </w:style>
  <w:style w:type="character" w:customStyle="1" w:styleId="CharChar13">
    <w:name w:val="Char Char13"/>
    <w:semiHidden/>
    <w:locked/>
    <w:rsid w:val="00537488"/>
    <w:rPr>
      <w:rFonts w:eastAsia="PMingLiU"/>
      <w:b/>
      <w:lang w:val="en-US" w:eastAsia="zh-CN"/>
    </w:rPr>
  </w:style>
  <w:style w:type="paragraph" w:customStyle="1" w:styleId="Title11">
    <w:name w:val="Title11"/>
    <w:basedOn w:val="center"/>
    <w:rsid w:val="00537488"/>
    <w:pPr>
      <w:keepNext/>
      <w:ind w:left="720" w:right="720"/>
    </w:pPr>
    <w:rPr>
      <w:b/>
      <w:bCs/>
      <w:szCs w:val="20"/>
      <w:lang w:eastAsia="en-US"/>
    </w:rPr>
  </w:style>
  <w:style w:type="character" w:customStyle="1" w:styleId="h2CharChar2">
    <w:name w:val="h2 Char Char2"/>
    <w:rsid w:val="00537488"/>
    <w:rPr>
      <w:rFonts w:eastAsia="PMingLiU"/>
      <w:b/>
      <w:sz w:val="24"/>
      <w:u w:val="single"/>
      <w:lang w:val="en-US" w:eastAsia="zh-CN"/>
    </w:rPr>
  </w:style>
  <w:style w:type="paragraph" w:customStyle="1" w:styleId="11RFPDocFootnotes">
    <w:name w:val="11RFP Doc Footnotes"/>
    <w:basedOn w:val="FootnoteText"/>
    <w:rsid w:val="00537488"/>
    <w:pPr>
      <w:spacing w:before="0" w:line="240" w:lineRule="auto"/>
      <w:ind w:firstLine="0"/>
    </w:pPr>
    <w:rPr>
      <w:rFonts w:ascii="Arial" w:eastAsia="PMingLiU" w:hAnsi="Arial"/>
      <w:sz w:val="16"/>
      <w:szCs w:val="20"/>
      <w:lang w:eastAsia="en-US"/>
    </w:rPr>
  </w:style>
  <w:style w:type="paragraph" w:customStyle="1" w:styleId="11RFPBodyBullet">
    <w:name w:val="11RFP Body Bullet"/>
    <w:basedOn w:val="11RFPDocBody"/>
    <w:rsid w:val="00537488"/>
    <w:pPr>
      <w:numPr>
        <w:numId w:val="32"/>
      </w:numPr>
      <w:ind w:left="0" w:firstLine="0"/>
    </w:pPr>
  </w:style>
  <w:style w:type="paragraph" w:customStyle="1" w:styleId="11RFPFigureHead">
    <w:name w:val="11RFP Figure Head"/>
    <w:basedOn w:val="11RFPDocBody"/>
    <w:rsid w:val="00537488"/>
    <w:pPr>
      <w:jc w:val="center"/>
    </w:pPr>
    <w:rPr>
      <w:b/>
      <w:bCs/>
    </w:rPr>
  </w:style>
  <w:style w:type="paragraph" w:customStyle="1" w:styleId="11RFPDocBodyEmphasis">
    <w:name w:val="11RFP Doc Body Emphasis"/>
    <w:basedOn w:val="11RFPDocBody"/>
    <w:link w:val="11RFPDocBodyEmphasisChar"/>
    <w:rsid w:val="00537488"/>
    <w:rPr>
      <w:b/>
    </w:rPr>
  </w:style>
  <w:style w:type="character" w:customStyle="1" w:styleId="11RFPDocBodyEmphasisChar">
    <w:name w:val="11RFP Doc Body Emphasis Char"/>
    <w:link w:val="11RFPDocBodyEmphasis"/>
    <w:locked/>
    <w:rsid w:val="00537488"/>
    <w:rPr>
      <w:rFonts w:ascii="Arial" w:eastAsia="PMingLiU" w:hAnsi="Arial"/>
      <w:b/>
    </w:rPr>
  </w:style>
  <w:style w:type="paragraph" w:customStyle="1" w:styleId="11RFPDocHead1">
    <w:name w:val="11RFP Doc Head 1"/>
    <w:basedOn w:val="Normal"/>
    <w:next w:val="Normal"/>
    <w:link w:val="11RFPDocHead1CharChar"/>
    <w:rsid w:val="00537488"/>
    <w:pPr>
      <w:spacing w:before="360" w:after="240"/>
    </w:pPr>
    <w:rPr>
      <w:rFonts w:ascii="Palatino Linotype" w:eastAsia="PMingLiU" w:hAnsi="Palatino Linotype"/>
      <w:b/>
      <w:kern w:val="28"/>
      <w:sz w:val="28"/>
      <w:szCs w:val="20"/>
    </w:rPr>
  </w:style>
  <w:style w:type="character" w:customStyle="1" w:styleId="11RFPDocHead1CharChar">
    <w:name w:val="11RFP Doc Head 1 Char Char"/>
    <w:link w:val="11RFPDocHead1"/>
    <w:locked/>
    <w:rsid w:val="00537488"/>
    <w:rPr>
      <w:rFonts w:ascii="Palatino Linotype" w:eastAsia="PMingLiU" w:hAnsi="Palatino Linotype"/>
      <w:b/>
      <w:kern w:val="28"/>
      <w:sz w:val="28"/>
    </w:rPr>
  </w:style>
  <w:style w:type="paragraph" w:customStyle="1" w:styleId="11RFPDocHead2">
    <w:name w:val="11RFP Doc Head 2"/>
    <w:basedOn w:val="11RFPDocBody"/>
    <w:link w:val="11RFPDocHead2Char"/>
    <w:rsid w:val="00537488"/>
    <w:pPr>
      <w:spacing w:before="240"/>
    </w:pPr>
    <w:rPr>
      <w:rFonts w:ascii="Palatino Linotype" w:hAnsi="Palatino Linotype"/>
      <w:b/>
      <w:sz w:val="24"/>
    </w:rPr>
  </w:style>
  <w:style w:type="character" w:customStyle="1" w:styleId="11RFPDocHead2Char">
    <w:name w:val="11RFP Doc Head 2 Char"/>
    <w:link w:val="11RFPDocHead2"/>
    <w:locked/>
    <w:rsid w:val="00537488"/>
    <w:rPr>
      <w:rFonts w:ascii="Palatino Linotype" w:eastAsia="PMingLiU" w:hAnsi="Palatino Linotype"/>
      <w:b/>
      <w:sz w:val="24"/>
    </w:rPr>
  </w:style>
  <w:style w:type="paragraph" w:customStyle="1" w:styleId="08RFPHead1">
    <w:name w:val="08RFP Head 1"/>
    <w:basedOn w:val="Normal"/>
    <w:rsid w:val="00537488"/>
    <w:pPr>
      <w:keepNext/>
      <w:spacing w:before="240" w:after="120"/>
      <w:outlineLvl w:val="0"/>
    </w:pPr>
    <w:rPr>
      <w:rFonts w:ascii="Palatino Linotype" w:eastAsia="PMingLiU" w:hAnsi="Palatino Linotype"/>
      <w:b/>
      <w:bCs/>
      <w:iCs/>
      <w:kern w:val="28"/>
      <w:sz w:val="40"/>
      <w:szCs w:val="20"/>
    </w:rPr>
  </w:style>
  <w:style w:type="character" w:customStyle="1" w:styleId="CharChar10">
    <w:name w:val="Char Char10"/>
    <w:semiHidden/>
    <w:locked/>
    <w:rsid w:val="00537488"/>
    <w:rPr>
      <w:rFonts w:ascii="Times New Roman" w:eastAsia="SimSun" w:hAnsi="Times New Roman"/>
      <w:sz w:val="24"/>
      <w:lang w:val="x-none" w:eastAsia="zh-CN"/>
    </w:rPr>
  </w:style>
  <w:style w:type="character" w:customStyle="1" w:styleId="mctextpopupbodypopup0">
    <w:name w:val="mctextpopupbody_popup_0"/>
    <w:rsid w:val="00537488"/>
    <w:rPr>
      <w:rFonts w:ascii="Verdana" w:hAnsi="Verdana"/>
      <w:color w:val="000000"/>
      <w:sz w:val="19"/>
      <w:bdr w:val="single" w:sz="6" w:space="4" w:color="000000" w:frame="1"/>
      <w:shd w:val="clear" w:color="auto" w:fill="E4E4E4"/>
    </w:rPr>
  </w:style>
  <w:style w:type="character" w:customStyle="1" w:styleId="mctextpopup">
    <w:name w:val="mctextpopup"/>
    <w:rsid w:val="00537488"/>
  </w:style>
  <w:style w:type="paragraph" w:customStyle="1" w:styleId="NestedAnswer">
    <w:name w:val="Nested Answer"/>
    <w:basedOn w:val="answer"/>
    <w:link w:val="NestedAnswerChar"/>
    <w:qFormat/>
    <w:rsid w:val="00240442"/>
    <w:pPr>
      <w:ind w:firstLine="0"/>
    </w:pPr>
  </w:style>
  <w:style w:type="paragraph" w:customStyle="1" w:styleId="answerft0">
    <w:name w:val="answerft:  0&quot;"/>
    <w:aliases w:val="Hanging:  0.5&quot;,Before:  6 pt,After:  6 pt,Line spacing..."/>
    <w:basedOn w:val="Normal"/>
    <w:rsid w:val="0019731E"/>
    <w:pPr>
      <w:spacing w:before="120" w:after="120" w:line="480" w:lineRule="auto"/>
      <w:ind w:left="720" w:hanging="720"/>
    </w:pPr>
    <w:rPr>
      <w:rFonts w:eastAsia="PMingLiU"/>
      <w:szCs w:val="20"/>
      <w:lang w:eastAsia="zh-CN"/>
    </w:rPr>
  </w:style>
  <w:style w:type="character" w:customStyle="1" w:styleId="NestedAnswerChar">
    <w:name w:val="Nested Answer Char"/>
    <w:basedOn w:val="answerChar"/>
    <w:link w:val="NestedAnswer"/>
    <w:rsid w:val="00240442"/>
    <w:rPr>
      <w:rFonts w:ascii="Times New Roman" w:eastAsia="PMingLiU" w:hAnsi="Times New Roman"/>
      <w:sz w:val="24"/>
      <w:lang w:eastAsia="zh-CN"/>
    </w:rPr>
  </w:style>
  <w:style w:type="paragraph" w:customStyle="1" w:styleId="NestedAnswerBefore18pt">
    <w:name w:val="Nested Answer + Before:  18 pt"/>
    <w:basedOn w:val="NestedAnswer"/>
    <w:rsid w:val="00B22E77"/>
    <w:pPr>
      <w:spacing w:before="360"/>
    </w:pPr>
  </w:style>
  <w:style w:type="paragraph" w:customStyle="1" w:styleId="NestedList">
    <w:name w:val="Nested List"/>
    <w:basedOn w:val="answer"/>
    <w:rsid w:val="00866BF4"/>
  </w:style>
  <w:style w:type="paragraph" w:customStyle="1" w:styleId="TableHeader">
    <w:name w:val="Table Header"/>
    <w:basedOn w:val="Normal"/>
    <w:link w:val="TableHeaderChar"/>
    <w:qFormat/>
    <w:rsid w:val="00D51825"/>
    <w:pPr>
      <w:keepNext/>
      <w:keepLines/>
      <w:widowControl w:val="0"/>
      <w:spacing w:after="60"/>
      <w:jc w:val="center"/>
    </w:pPr>
    <w:rPr>
      <w:b/>
    </w:rPr>
  </w:style>
  <w:style w:type="character" w:customStyle="1" w:styleId="TableHeaderChar">
    <w:name w:val="Table Header Char"/>
    <w:basedOn w:val="DefaultParagraphFont"/>
    <w:link w:val="TableHeader"/>
    <w:rsid w:val="00D51825"/>
    <w:rPr>
      <w:rFonts w:ascii="Times New Roman" w:hAnsi="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Top of Form" w:uiPriority="0"/>
    <w:lsdException w:name="HTML Bottom of Form" w:uiPriority="0"/>
    <w:lsdException w:name="HTML Acronym" w:uiPriority="0"/>
    <w:lsdException w:name="HTML Cite" w:uiPriority="0"/>
    <w:lsdException w:name="HTML Definition" w:uiPriority="0"/>
    <w:lsdException w:name="HTML Keyboard" w:uiPriority="0"/>
    <w:lsdException w:name="HTML Sample" w:uiPriority="0"/>
    <w:lsdException w:name="HTML Typewriter" w:uiPriority="0"/>
    <w:lsdException w:name="HTML Variable"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05C6E"/>
    <w:rPr>
      <w:rFonts w:ascii="Times New Roman" w:hAnsi="Times New Roman"/>
      <w:sz w:val="24"/>
      <w:szCs w:val="24"/>
    </w:rPr>
  </w:style>
  <w:style w:type="paragraph" w:styleId="Heading1">
    <w:name w:val="heading 1"/>
    <w:aliases w:val="h1"/>
    <w:basedOn w:val="Normal"/>
    <w:next w:val="Normal"/>
    <w:link w:val="Heading1Char"/>
    <w:uiPriority w:val="9"/>
    <w:qFormat/>
    <w:rsid w:val="00FC16B1"/>
    <w:pPr>
      <w:keepNext/>
      <w:keepLines/>
      <w:spacing w:before="240" w:after="360"/>
      <w:ind w:left="720" w:right="720"/>
      <w:jc w:val="center"/>
      <w:outlineLvl w:val="0"/>
    </w:pPr>
    <w:rPr>
      <w:b/>
      <w:szCs w:val="20"/>
      <w:lang w:eastAsia="zh-CN"/>
    </w:rPr>
  </w:style>
  <w:style w:type="paragraph" w:styleId="Heading2">
    <w:name w:val="heading 2"/>
    <w:aliases w:val="h2"/>
    <w:basedOn w:val="Normal"/>
    <w:next w:val="Normal"/>
    <w:link w:val="Heading2Char"/>
    <w:uiPriority w:val="9"/>
    <w:qFormat/>
    <w:rsid w:val="00FC16B1"/>
    <w:pPr>
      <w:keepNext/>
      <w:keepLines/>
      <w:spacing w:before="240" w:after="360"/>
      <w:ind w:left="720" w:right="720" w:hanging="720"/>
      <w:outlineLvl w:val="1"/>
    </w:pPr>
    <w:rPr>
      <w:rFonts w:eastAsia="SimSun"/>
      <w:b/>
      <w:snapToGrid w:val="0"/>
      <w:szCs w:val="20"/>
      <w:u w:val="single"/>
    </w:rPr>
  </w:style>
  <w:style w:type="paragraph" w:styleId="Heading3">
    <w:name w:val="heading 3"/>
    <w:aliases w:val="h3"/>
    <w:basedOn w:val="Heading2"/>
    <w:next w:val="Normal"/>
    <w:link w:val="Heading3Char"/>
    <w:uiPriority w:val="9"/>
    <w:qFormat/>
    <w:rsid w:val="00FC16B1"/>
    <w:pPr>
      <w:spacing w:before="120"/>
      <w:ind w:left="1440"/>
      <w:outlineLvl w:val="2"/>
    </w:pPr>
  </w:style>
  <w:style w:type="paragraph" w:styleId="Heading4">
    <w:name w:val="heading 4"/>
    <w:aliases w:val="h4,h4 + No underline"/>
    <w:basedOn w:val="Heading3"/>
    <w:next w:val="Normal"/>
    <w:link w:val="Heading4Char"/>
    <w:uiPriority w:val="9"/>
    <w:qFormat/>
    <w:pPr>
      <w:ind w:left="2160"/>
      <w:outlineLvl w:val="3"/>
    </w:pPr>
  </w:style>
  <w:style w:type="paragraph" w:styleId="Heading5">
    <w:name w:val="heading 5"/>
    <w:aliases w:val="h5"/>
    <w:basedOn w:val="Heading4"/>
    <w:next w:val="Normal"/>
    <w:link w:val="Heading5Char"/>
    <w:uiPriority w:val="9"/>
    <w:qFormat/>
    <w:pPr>
      <w:ind w:left="2880"/>
      <w:outlineLvl w:val="4"/>
    </w:pPr>
  </w:style>
  <w:style w:type="paragraph" w:styleId="Heading6">
    <w:name w:val="heading 6"/>
    <w:aliases w:val="h6"/>
    <w:basedOn w:val="Heading5"/>
    <w:next w:val="Normal"/>
    <w:link w:val="Heading6Char"/>
    <w:uiPriority w:val="9"/>
    <w:qFormat/>
    <w:pPr>
      <w:ind w:left="3600"/>
      <w:outlineLvl w:val="5"/>
    </w:pPr>
  </w:style>
  <w:style w:type="paragraph" w:styleId="Heading7">
    <w:name w:val="heading 7"/>
    <w:aliases w:val="h7"/>
    <w:basedOn w:val="Heading6"/>
    <w:next w:val="Normal"/>
    <w:link w:val="Heading7Char"/>
    <w:uiPriority w:val="9"/>
    <w:qFormat/>
    <w:pPr>
      <w:ind w:left="4320"/>
      <w:outlineLvl w:val="6"/>
    </w:pPr>
  </w:style>
  <w:style w:type="paragraph" w:styleId="Heading8">
    <w:name w:val="heading 8"/>
    <w:aliases w:val="h8"/>
    <w:basedOn w:val="Heading6"/>
    <w:next w:val="Normal"/>
    <w:link w:val="Heading8Char"/>
    <w:uiPriority w:val="9"/>
    <w:qFormat/>
    <w:pPr>
      <w:ind w:left="5040"/>
      <w:outlineLvl w:val="7"/>
    </w:pPr>
  </w:style>
  <w:style w:type="paragraph" w:styleId="Heading9">
    <w:name w:val="heading 9"/>
    <w:aliases w:val="h9"/>
    <w:basedOn w:val="Heading6"/>
    <w:next w:val="Normal"/>
    <w:link w:val="Heading9Char"/>
    <w:uiPriority w:val="9"/>
    <w:qFormat/>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basedOn w:val="Normal"/>
    <w:link w:val="singleChar1"/>
    <w:rsid w:val="00E05C6E"/>
    <w:pPr>
      <w:spacing w:before="240" w:line="240" w:lineRule="atLeast"/>
      <w:ind w:firstLine="720"/>
    </w:pPr>
    <w:rPr>
      <w:rFonts w:eastAsia="SimSun"/>
      <w:lang w:eastAsia="zh-CN"/>
    </w:rPr>
  </w:style>
  <w:style w:type="character" w:styleId="CommentReference">
    <w:name w:val="annotation reference"/>
    <w:basedOn w:val="DefaultParagraphFont"/>
    <w:uiPriority w:val="99"/>
    <w:rPr>
      <w:rFonts w:ascii="Univers (WN)" w:hAnsi="Univers (WN)"/>
      <w:position w:val="4"/>
      <w:sz w:val="16"/>
      <w:u w:val="double"/>
    </w:rPr>
  </w:style>
  <w:style w:type="paragraph" w:styleId="CommentText">
    <w:name w:val="annotation text"/>
    <w:basedOn w:val="FootnoteText"/>
    <w:link w:val="CommentTextChar"/>
    <w:uiPriority w:val="99"/>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Pr>
      <w:sz w:val="22"/>
    </w:rPr>
  </w:style>
  <w:style w:type="paragraph" w:styleId="TOC7">
    <w:name w:val="toc 7"/>
    <w:basedOn w:val="TOC4"/>
    <w:uiPriority w:val="39"/>
    <w:semiHidden/>
    <w:pPr>
      <w:ind w:left="5040"/>
    </w:pPr>
  </w:style>
  <w:style w:type="paragraph" w:styleId="TOC4">
    <w:name w:val="toc 4"/>
    <w:basedOn w:val="TOC3"/>
    <w:uiPriority w:val="39"/>
    <w:semiHidden/>
    <w:pPr>
      <w:ind w:left="2880"/>
    </w:pPr>
  </w:style>
  <w:style w:type="paragraph" w:styleId="TOC3">
    <w:name w:val="toc 3"/>
    <w:basedOn w:val="TOC2"/>
    <w:uiPriority w:val="39"/>
    <w:pPr>
      <w:ind w:left="2160"/>
    </w:pPr>
  </w:style>
  <w:style w:type="paragraph" w:styleId="TOC2">
    <w:name w:val="toc 2"/>
    <w:basedOn w:val="TOC1"/>
    <w:uiPriority w:val="39"/>
    <w:pPr>
      <w:ind w:left="1440"/>
    </w:pPr>
  </w:style>
  <w:style w:type="paragraph" w:styleId="TOC1">
    <w:name w:val="toc 1"/>
    <w:basedOn w:val="unjustifiedblock"/>
    <w:uiPriority w:val="39"/>
    <w:rsid w:val="00F978BD"/>
    <w:pPr>
      <w:keepLines/>
      <w:tabs>
        <w:tab w:val="left" w:leader="dot" w:pos="8640"/>
        <w:tab w:val="right" w:pos="9000"/>
      </w:tabs>
      <w:ind w:left="720" w:right="720" w:hanging="720"/>
    </w:pPr>
    <w:rPr>
      <w:noProof/>
      <w:color w:val="0000FF"/>
    </w:rPr>
  </w:style>
  <w:style w:type="paragraph" w:customStyle="1" w:styleId="unjustifiedblock">
    <w:name w:val="unjustified block"/>
    <w:basedOn w:val="singleblock"/>
  </w:style>
  <w:style w:type="paragraph" w:customStyle="1" w:styleId="singleblock">
    <w:name w:val="single block"/>
    <w:basedOn w:val="single"/>
    <w:link w:val="singleblockChar"/>
    <w:pPr>
      <w:ind w:firstLine="0"/>
    </w:pPr>
  </w:style>
  <w:style w:type="paragraph" w:styleId="TOC6">
    <w:name w:val="toc 6"/>
    <w:basedOn w:val="TOC4"/>
    <w:uiPriority w:val="39"/>
    <w:semiHidden/>
    <w:pPr>
      <w:ind w:left="4320"/>
    </w:pPr>
  </w:style>
  <w:style w:type="paragraph" w:styleId="TOC5">
    <w:name w:val="toc 5"/>
    <w:basedOn w:val="TOC4"/>
    <w:uiPriority w:val="39"/>
    <w:semiHidden/>
    <w:pPr>
      <w:ind w:left="3600"/>
    </w:pPr>
  </w:style>
  <w:style w:type="paragraph" w:styleId="Index2">
    <w:name w:val="index 2"/>
    <w:basedOn w:val="unjustifiedblock"/>
    <w:next w:val="Normal"/>
    <w:uiPriority w:val="99"/>
    <w:semiHidden/>
    <w:pPr>
      <w:tabs>
        <w:tab w:val="right" w:leader="dot" w:pos="9000"/>
      </w:tabs>
      <w:ind w:left="360" w:right="2520" w:hanging="360"/>
    </w:pPr>
    <w:rPr>
      <w:color w:val="0000FF"/>
    </w:rPr>
  </w:style>
  <w:style w:type="paragraph" w:styleId="Index1">
    <w:name w:val="index 1"/>
    <w:basedOn w:val="unjustifiedblock"/>
    <w:next w:val="Normal"/>
    <w:uiPriority w:val="99"/>
    <w:semiHidden/>
    <w:rPr>
      <w:b/>
      <w:color w:val="0000FF"/>
    </w:rPr>
  </w:style>
  <w:style w:type="paragraph" w:styleId="IndexHeading">
    <w:name w:val="index heading"/>
    <w:basedOn w:val="unjustifiedblock"/>
    <w:next w:val="Normal"/>
    <w:uiPriority w:val="99"/>
    <w:semiHidden/>
    <w:rPr>
      <w:b/>
    </w:rPr>
  </w:style>
  <w:style w:type="paragraph" w:styleId="Footer">
    <w:name w:val="footer"/>
    <w:basedOn w:val="plain"/>
    <w:link w:val="FooterChar"/>
    <w:uiPriority w:val="99"/>
    <w:rsid w:val="00E05C6E"/>
    <w:pPr>
      <w:tabs>
        <w:tab w:val="center" w:pos="4507"/>
        <w:tab w:val="right" w:pos="9000"/>
      </w:tabs>
      <w:ind w:right="4320"/>
    </w:pPr>
    <w:rPr>
      <w:color w:val="000000"/>
    </w:rPr>
  </w:style>
  <w:style w:type="paragraph" w:customStyle="1" w:styleId="plain">
    <w:name w:val="plain"/>
    <w:basedOn w:val="unjustifiedblock"/>
    <w:link w:val="plainChar"/>
    <w:rsid w:val="00E05C6E"/>
    <w:pPr>
      <w:spacing w:before="0"/>
    </w:pPr>
  </w:style>
  <w:style w:type="paragraph" w:styleId="Header">
    <w:name w:val="header"/>
    <w:basedOn w:val="plain"/>
    <w:link w:val="HeaderChar"/>
    <w:uiPriority w:val="99"/>
    <w:rsid w:val="00E05C6E"/>
    <w:pPr>
      <w:tabs>
        <w:tab w:val="center" w:pos="4507"/>
        <w:tab w:val="right" w:pos="9000"/>
      </w:tabs>
    </w:p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Pr>
      <w:position w:val="6"/>
      <w:sz w:val="16"/>
    </w:rPr>
  </w:style>
  <w:style w:type="paragraph" w:styleId="NormalIndent">
    <w:name w:val="Normal Indent"/>
    <w:basedOn w:val="singleblock"/>
    <w:uiPriority w:val="99"/>
    <w:rsid w:val="00AA600A"/>
    <w:pPr>
      <w:spacing w:before="0" w:after="240" w:line="240" w:lineRule="auto"/>
      <w:ind w:left="1440" w:right="720"/>
    </w:pPr>
    <w:rPr>
      <w:snapToGrid w:val="0"/>
      <w:lang w:eastAsia="en-US"/>
    </w:r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style>
  <w:style w:type="paragraph" w:customStyle="1" w:styleId="coverpage">
    <w:name w:val="cover page"/>
    <w:basedOn w:val="unjustifiedblock"/>
    <w:pPr>
      <w:jc w:val="right"/>
    </w:pPr>
  </w:style>
  <w:style w:type="paragraph" w:customStyle="1" w:styleId="center">
    <w:name w:val="center"/>
    <w:basedOn w:val="unjustifiedblock"/>
    <w:rsid w:val="00E05C6E"/>
    <w:pPr>
      <w:keepLines/>
      <w:jc w:val="center"/>
    </w:pPr>
  </w:style>
  <w:style w:type="paragraph" w:customStyle="1" w:styleId="normal2">
    <w:name w:val="normal2"/>
    <w:basedOn w:val="Normal"/>
    <w:pPr>
      <w:ind w:firstLine="1440"/>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1">
    <w:name w:val="Title1"/>
    <w:basedOn w:val="center"/>
    <w:rsid w:val="00E05C6E"/>
    <w:pPr>
      <w:keepNext/>
      <w:ind w:left="720" w:right="720"/>
    </w:pPr>
    <w:rPr>
      <w:b/>
      <w:bCs/>
    </w:rPr>
  </w:style>
  <w:style w:type="paragraph" w:customStyle="1" w:styleId="normal3">
    <w:name w:val="normal3"/>
    <w:basedOn w:val="normal2"/>
    <w:pPr>
      <w:ind w:firstLine="2160"/>
    </w:pPr>
  </w:style>
  <w:style w:type="paragraph" w:customStyle="1" w:styleId="normalhanging">
    <w:name w:val="normal hanging"/>
    <w:basedOn w:val="Normal"/>
    <w:link w:val="normalhangingChar"/>
    <w:pPr>
      <w:ind w:left="720" w:hanging="720"/>
    </w:pPr>
  </w:style>
  <w:style w:type="paragraph" w:customStyle="1" w:styleId="righthalf">
    <w:name w:val="right half"/>
    <w:basedOn w:val="unjustifiedblock"/>
    <w:rsid w:val="00E05C6E"/>
    <w:pPr>
      <w:keepLines/>
      <w:tabs>
        <w:tab w:val="left" w:pos="4190"/>
        <w:tab w:val="right" w:pos="8640"/>
      </w:tabs>
      <w:ind w:left="3787" w:right="187"/>
    </w:pPr>
  </w:style>
  <w:style w:type="paragraph" w:customStyle="1" w:styleId="normalhanging2">
    <w:name w:val="normal hanging2"/>
    <w:basedOn w:val="normalhanging"/>
    <w:pPr>
      <w:ind w:left="1440"/>
    </w:pPr>
  </w:style>
  <w:style w:type="paragraph" w:customStyle="1" w:styleId="normalhanging3">
    <w:name w:val="normal hanging3"/>
    <w:basedOn w:val="normalhanging2"/>
    <w:pPr>
      <w:ind w:left="2160"/>
    </w:pPr>
  </w:style>
  <w:style w:type="paragraph" w:customStyle="1" w:styleId="singlehanging">
    <w:name w:val="single hanging"/>
    <w:basedOn w:val="singleblock"/>
    <w:link w:val="singlehangingChar"/>
    <w:pPr>
      <w:ind w:left="720" w:hanging="720"/>
    </w:pPr>
  </w:style>
  <w:style w:type="paragraph" w:customStyle="1" w:styleId="pleading-linenums">
    <w:name w:val="pleading-line nums"/>
    <w:pPr>
      <w:framePr w:w="360" w:hSpace="144" w:vSpace="144" w:wrap="auto" w:vAnchor="page" w:hAnchor="page" w:x="1081" w:y="2161"/>
      <w:spacing w:line="240" w:lineRule="exact"/>
      <w:jc w:val="right"/>
    </w:pPr>
    <w:rPr>
      <w:rFonts w:ascii="Univers (WN)" w:hAnsi="Univers (WN)"/>
      <w:lang w:eastAsia="zh-CN"/>
    </w:rPr>
  </w:style>
  <w:style w:type="paragraph" w:customStyle="1" w:styleId="singlehanging2">
    <w:name w:val="single hanging2"/>
    <w:basedOn w:val="singlehanging"/>
    <w:pPr>
      <w:spacing w:before="0" w:after="240"/>
      <w:ind w:left="1440"/>
    </w:pPr>
  </w:style>
  <w:style w:type="paragraph" w:customStyle="1" w:styleId="response">
    <w:name w:val="response"/>
    <w:basedOn w:val="Normal"/>
    <w:pPr>
      <w:spacing w:after="2880" w:line="480" w:lineRule="atLeast"/>
    </w:pPr>
  </w:style>
  <w:style w:type="paragraph" w:customStyle="1" w:styleId="pleading-leftbar">
    <w:name w:val="pleading-left bar"/>
    <w:link w:val="pleading-leftbarChar"/>
    <w:pPr>
      <w:framePr w:w="144" w:wrap="auto" w:vAnchor="page" w:hAnchor="page" w:x="1441" w:yAlign="top"/>
      <w:pBdr>
        <w:left w:val="double" w:sz="6" w:space="1" w:color="auto"/>
      </w:pBdr>
      <w:spacing w:after="15600" w:line="240" w:lineRule="exact"/>
    </w:pPr>
    <w:rPr>
      <w:rFonts w:ascii="Courier" w:hAnsi="Courier"/>
      <w:sz w:val="24"/>
      <w:lang w:eastAsia="zh-CN"/>
    </w:rPr>
  </w:style>
  <w:style w:type="paragraph" w:customStyle="1" w:styleId="pleading-rightbar">
    <w:name w:val="pleading-right bar"/>
    <w:pPr>
      <w:framePr w:w="144" w:wrap="auto" w:vAnchor="page" w:hAnchor="page" w:x="11377" w:yAlign="top"/>
      <w:pBdr>
        <w:left w:val="single" w:sz="6" w:space="1" w:color="auto"/>
      </w:pBdr>
      <w:spacing w:after="15600" w:line="240" w:lineRule="exact"/>
    </w:pPr>
    <w:rPr>
      <w:rFonts w:ascii="Courier" w:hAnsi="Courier"/>
      <w:sz w:val="24"/>
      <w:lang w:eastAsia="zh-CN"/>
    </w:rPr>
  </w:style>
  <w:style w:type="paragraph" w:customStyle="1" w:styleId="pleading-firmname">
    <w:name w:val="pleading-firm name"/>
    <w:pPr>
      <w:framePr w:w="2880" w:hSpace="360" w:vSpace="360" w:wrap="auto" w:vAnchor="page" w:hAnchor="text" w:xAlign="right" w:yAlign="bottom"/>
      <w:spacing w:after="360"/>
      <w:jc w:val="center"/>
    </w:pPr>
    <w:rPr>
      <w:color w:val="000000"/>
      <w:sz w:val="16"/>
      <w:lang w:eastAsia="zh-CN"/>
    </w:rPr>
  </w:style>
  <w:style w:type="paragraph" w:customStyle="1" w:styleId="singlehanging3">
    <w:name w:val="single hanging3"/>
    <w:basedOn w:val="singlehanging2"/>
    <w:pPr>
      <w:ind w:left="2160"/>
    </w:pPr>
  </w:style>
  <w:style w:type="paragraph" w:customStyle="1" w:styleId="singleindent">
    <w:name w:val="single indent"/>
    <w:basedOn w:val="singleblock"/>
    <w:pPr>
      <w:spacing w:before="0" w:after="240"/>
      <w:ind w:left="1440" w:right="720"/>
    </w:pPr>
  </w:style>
  <w:style w:type="paragraph" w:customStyle="1" w:styleId="unjustifiedhanging">
    <w:name w:val="unjustified hanging"/>
    <w:basedOn w:val="unjustifiedblock"/>
    <w:pPr>
      <w:ind w:left="720" w:hanging="720"/>
    </w:pPr>
  </w:style>
  <w:style w:type="paragraph" w:customStyle="1" w:styleId="unjustifiedhanging2">
    <w:name w:val="unjustified hanging2"/>
    <w:basedOn w:val="unjustifiedhanging"/>
    <w:pPr>
      <w:ind w:left="1440"/>
    </w:pPr>
  </w:style>
  <w:style w:type="paragraph" w:customStyle="1" w:styleId="unjustifiedhanging3">
    <w:name w:val="unjustified hanging3"/>
    <w:basedOn w:val="unjustifiedhanging2"/>
    <w:pPr>
      <w:ind w:left="2160"/>
    </w:pPr>
  </w:style>
  <w:style w:type="paragraph" w:customStyle="1" w:styleId="GilbertAssoc1990">
    <w:name w:val="©Gilbert&amp;Assoc. 1990"/>
    <w:basedOn w:val="Normal"/>
  </w:style>
  <w:style w:type="paragraph" w:customStyle="1" w:styleId="pleading-rightrule">
    <w:name w:val="pleading-right rule"/>
    <w:basedOn w:val="pleading-leftrule"/>
    <w:pPr>
      <w:framePr w:wrap="auto" w:x="11708"/>
    </w:pPr>
  </w:style>
  <w:style w:type="paragraph" w:customStyle="1" w:styleId="pleading-leftrule">
    <w:name w:val="pleading-left rule"/>
    <w:basedOn w:val="pleading-linenums"/>
    <w:pPr>
      <w:framePr w:w="0" w:hSpace="0" w:vSpace="0" w:wrap="auto" w:x="1513" w:yAlign="top"/>
      <w:jc w:val="left"/>
    </w:pPr>
    <w:rPr>
      <w:rFonts w:ascii="Courier" w:hAnsi="Courier"/>
      <w:color w:val="0000FF"/>
    </w:rPr>
  </w:style>
  <w:style w:type="paragraph" w:customStyle="1" w:styleId="pleading-linepage">
    <w:name w:val="pleading-line page"/>
    <w:basedOn w:val="pleading-linenums"/>
    <w:pPr>
      <w:framePr w:w="576" w:vSpace="0" w:wrap="notBeside" w:vAnchor="margin" w:hAnchor="text" w:x="720" w:yAlign="top"/>
      <w:spacing w:line="480" w:lineRule="exact"/>
    </w:pPr>
  </w:style>
  <w:style w:type="paragraph" w:styleId="EnvelopeAddress">
    <w:name w:val="envelope address"/>
    <w:basedOn w:val="Normal"/>
    <w:uiPriority w:val="99"/>
    <w:pPr>
      <w:framePr w:w="7920" w:h="1987" w:hRule="exact" w:hSpace="187" w:wrap="around" w:hAnchor="page" w:xAlign="center" w:yAlign="bottom"/>
      <w:ind w:left="2880" w:firstLine="1440"/>
    </w:pPr>
  </w:style>
  <w:style w:type="paragraph" w:styleId="EnvelopeReturn">
    <w:name w:val="envelope return"/>
    <w:basedOn w:val="Normal"/>
    <w:uiPriority w:val="99"/>
    <w:rPr>
      <w:sz w:val="20"/>
    </w:rPr>
  </w:style>
  <w:style w:type="paragraph" w:styleId="TOAHeading">
    <w:name w:val="toa heading"/>
    <w:basedOn w:val="Normal"/>
    <w:next w:val="Normal"/>
    <w:uiPriority w:val="99"/>
    <w:semiHidden/>
    <w:pPr>
      <w:spacing w:before="120"/>
    </w:pPr>
    <w:rPr>
      <w:b/>
    </w:rPr>
  </w:style>
  <w:style w:type="paragraph" w:styleId="TableofAuthorities">
    <w:name w:val="table of authorities"/>
    <w:basedOn w:val="Normal"/>
    <w:next w:val="Normal"/>
    <w:uiPriority w:val="99"/>
    <w:semiHidden/>
    <w:pPr>
      <w:tabs>
        <w:tab w:val="right" w:leader="dot" w:pos="9000"/>
      </w:tabs>
      <w:spacing w:before="240"/>
      <w:ind w:left="245" w:right="1440" w:hanging="245"/>
    </w:pPr>
  </w:style>
  <w:style w:type="paragraph" w:customStyle="1" w:styleId="ti">
    <w:name w:val="ti"/>
    <w:basedOn w:val="normalblock"/>
    <w:rPr>
      <w:b/>
    </w:rPr>
  </w:style>
  <w:style w:type="paragraph" w:styleId="BodyTextIndent">
    <w:name w:val="Body Text Indent"/>
    <w:basedOn w:val="Normal"/>
    <w:link w:val="BodyTextIndentChar"/>
    <w:uiPriority w:val="99"/>
    <w:rPr>
      <w:rFonts w:ascii="Arial" w:hAnsi="Arial"/>
      <w:sz w:val="22"/>
    </w:rPr>
  </w:style>
  <w:style w:type="paragraph" w:styleId="BodyText">
    <w:name w:val="Body Text"/>
    <w:aliases w:val="bt"/>
    <w:basedOn w:val="Normal"/>
    <w:link w:val="BodyTextChar"/>
    <w:uiPriority w:val="99"/>
    <w:pPr>
      <w:jc w:val="both"/>
    </w:pPr>
    <w:rPr>
      <w:lang w:val="en-GB"/>
    </w:rPr>
  </w:style>
  <w:style w:type="paragraph" w:customStyle="1" w:styleId="bul">
    <w:name w:val="bul"/>
    <w:basedOn w:val="Normal"/>
    <w:pPr>
      <w:spacing w:before="240" w:line="240" w:lineRule="atLeast"/>
      <w:ind w:left="1440" w:hanging="720"/>
    </w:pPr>
    <w:rPr>
      <w:sz w:val="26"/>
    </w:rPr>
  </w:style>
  <w:style w:type="paragraph" w:customStyle="1" w:styleId="ind">
    <w:name w:val="ind"/>
    <w:basedOn w:val="bul"/>
    <w:pPr>
      <w:ind w:firstLine="0"/>
    </w:pPr>
  </w:style>
  <w:style w:type="paragraph" w:customStyle="1" w:styleId="Commitmenttotheenvironment">
    <w:name w:val="Commitment to the environment"/>
    <w:basedOn w:val="normalhanging"/>
    <w:pPr>
      <w:widowControl w:val="0"/>
    </w:pPr>
  </w:style>
  <w:style w:type="character" w:styleId="PageNumber">
    <w:name w:val="page number"/>
    <w:basedOn w:val="DefaultParagraphFont"/>
    <w:uiPriority w:val="99"/>
  </w:style>
  <w:style w:type="paragraph" w:customStyle="1" w:styleId="memo">
    <w:name w:val="memo"/>
    <w:basedOn w:val="normalblock"/>
    <w:pPr>
      <w:spacing w:before="240" w:line="240" w:lineRule="atLeast"/>
      <w:ind w:left="1440" w:hanging="1440"/>
    </w:pPr>
    <w:rPr>
      <w:sz w:val="26"/>
    </w:rPr>
  </w:style>
  <w:style w:type="paragraph" w:customStyle="1" w:styleId="cclist">
    <w:name w:val="cc list"/>
    <w:basedOn w:val="plain"/>
    <w:pPr>
      <w:keepLines/>
      <w:spacing w:before="240"/>
      <w:ind w:left="720" w:hanging="720"/>
    </w:pPr>
    <w:rPr>
      <w:sz w:val="26"/>
    </w:rPr>
  </w:style>
  <w:style w:type="paragraph" w:customStyle="1" w:styleId="roman">
    <w:name w:val="roman"/>
    <w:basedOn w:val="Normal"/>
    <w:pPr>
      <w:tabs>
        <w:tab w:val="right" w:pos="1800"/>
        <w:tab w:val="left" w:pos="2160"/>
      </w:tabs>
      <w:spacing w:before="240" w:line="240" w:lineRule="atLeast"/>
      <w:ind w:left="2160" w:hanging="1440"/>
    </w:pPr>
    <w:rPr>
      <w:sz w:val="26"/>
    </w:rPr>
  </w:style>
  <w:style w:type="paragraph" w:customStyle="1" w:styleId="nest">
    <w:name w:val="nest"/>
    <w:basedOn w:val="Normal"/>
    <w:pPr>
      <w:spacing w:before="240" w:line="240" w:lineRule="atLeast"/>
      <w:ind w:left="720"/>
    </w:pPr>
    <w:rPr>
      <w:sz w:val="26"/>
    </w:rPr>
  </w:style>
  <w:style w:type="paragraph" w:customStyle="1" w:styleId="footnotehanging">
    <w:name w:val="footnote hanging"/>
    <w:basedOn w:val="footnoteindent"/>
    <w:pPr>
      <w:ind w:left="720" w:hanging="720"/>
    </w:pPr>
  </w:style>
  <w:style w:type="paragraph" w:customStyle="1" w:styleId="roman2">
    <w:name w:val="roman2"/>
    <w:basedOn w:val="roman"/>
    <w:pPr>
      <w:tabs>
        <w:tab w:val="clear" w:pos="1800"/>
        <w:tab w:val="clear" w:pos="2160"/>
      </w:tabs>
      <w:ind w:left="2880" w:hanging="720"/>
    </w:pPr>
  </w:style>
  <w:style w:type="paragraph" w:customStyle="1" w:styleId="question">
    <w:name w:val="question"/>
    <w:basedOn w:val="singlehanging"/>
    <w:next w:val="answer"/>
    <w:link w:val="questionChar"/>
    <w:rsid w:val="00D41353"/>
    <w:pPr>
      <w:keepNext/>
      <w:keepLines/>
      <w:spacing w:before="120" w:after="120" w:line="480" w:lineRule="auto"/>
    </w:pPr>
    <w:rPr>
      <w:rFonts w:eastAsia="PMingLiU"/>
      <w:b/>
      <w:bCs/>
      <w:szCs w:val="20"/>
    </w:rPr>
  </w:style>
  <w:style w:type="paragraph" w:customStyle="1" w:styleId="answer">
    <w:name w:val="answer"/>
    <w:basedOn w:val="Normal"/>
    <w:link w:val="answerChar"/>
    <w:rsid w:val="00521736"/>
    <w:pPr>
      <w:spacing w:before="120" w:after="120" w:line="480" w:lineRule="auto"/>
      <w:ind w:left="720" w:hanging="720"/>
    </w:pPr>
    <w:rPr>
      <w:rFonts w:eastAsia="PMingLiU"/>
      <w:szCs w:val="20"/>
      <w:lang w:eastAsia="zh-CN"/>
    </w:rPr>
  </w:style>
  <w:style w:type="paragraph" w:customStyle="1" w:styleId="q">
    <w:name w:val="q"/>
    <w:basedOn w:val="singlehanging"/>
    <w:pPr>
      <w:spacing w:line="480" w:lineRule="auto"/>
    </w:pPr>
    <w:rPr>
      <w:b/>
      <w:sz w:val="26"/>
    </w:rPr>
  </w:style>
  <w:style w:type="paragraph" w:customStyle="1" w:styleId="normalhangingQ">
    <w:name w:val="normal hangingQ"/>
    <w:basedOn w:val="normalhanging"/>
    <w:pPr>
      <w:keepNext/>
      <w:spacing w:before="240"/>
    </w:pPr>
    <w:rPr>
      <w:b/>
    </w:rPr>
  </w:style>
  <w:style w:type="paragraph" w:styleId="BodyTextIndent2">
    <w:name w:val="Body Text Indent 2"/>
    <w:basedOn w:val="Normal"/>
    <w:link w:val="BodyTextIndent2Char"/>
    <w:uiPriority w:val="9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rFonts w:ascii="CG Times" w:hAnsi="CG Times"/>
      <w:color w:val="0000FF"/>
    </w:rPr>
  </w:style>
  <w:style w:type="character" w:styleId="LineNumber">
    <w:name w:val="line number"/>
    <w:basedOn w:val="DefaultParagraphFont"/>
    <w:uiPriority w:val="99"/>
    <w:rsid w:val="00E05C6E"/>
  </w:style>
  <w:style w:type="paragraph" w:customStyle="1" w:styleId="BulletSS">
    <w:name w:val="Bullet SS"/>
    <w:basedOn w:val="Normal"/>
    <w:pPr>
      <w:numPr>
        <w:numId w:val="10"/>
      </w:numPr>
      <w:tabs>
        <w:tab w:val="clear" w:pos="360"/>
        <w:tab w:val="left" w:pos="216"/>
        <w:tab w:val="left" w:pos="533"/>
        <w:tab w:val="left" w:pos="734"/>
      </w:tabs>
    </w:pPr>
    <w:rPr>
      <w:rFonts w:ascii="Times" w:hAnsi="Times"/>
      <w:sz w:val="23"/>
    </w:rPr>
  </w:style>
  <w:style w:type="paragraph" w:customStyle="1" w:styleId="BulletDS">
    <w:name w:val="Bullet DS"/>
    <w:basedOn w:val="Normal"/>
    <w:pPr>
      <w:numPr>
        <w:numId w:val="9"/>
      </w:numPr>
      <w:tabs>
        <w:tab w:val="clear" w:pos="360"/>
        <w:tab w:val="left" w:pos="216"/>
        <w:tab w:val="left" w:pos="533"/>
        <w:tab w:val="left" w:pos="734"/>
      </w:tabs>
      <w:spacing w:after="260"/>
    </w:pPr>
    <w:rPr>
      <w:rFonts w:ascii="Times" w:hAnsi="Times"/>
      <w:sz w:val="23"/>
    </w:rPr>
  </w:style>
  <w:style w:type="paragraph" w:customStyle="1" w:styleId="EmDashSS">
    <w:name w:val="EmDash SS"/>
    <w:basedOn w:val="Normal"/>
    <w:pPr>
      <w:tabs>
        <w:tab w:val="left" w:pos="533"/>
        <w:tab w:val="left" w:pos="734"/>
      </w:tabs>
      <w:ind w:left="533" w:hanging="317"/>
    </w:pPr>
    <w:rPr>
      <w:rFonts w:ascii="Times" w:hAnsi="Times"/>
      <w:sz w:val="23"/>
    </w:rPr>
  </w:style>
  <w:style w:type="paragraph" w:customStyle="1" w:styleId="EmDashDS">
    <w:name w:val="EmDash DS"/>
    <w:basedOn w:val="Normal"/>
    <w:pPr>
      <w:tabs>
        <w:tab w:val="left" w:pos="533"/>
        <w:tab w:val="left" w:pos="734"/>
      </w:tabs>
      <w:spacing w:after="260"/>
      <w:ind w:left="533" w:hanging="317"/>
    </w:pPr>
    <w:rPr>
      <w:rFonts w:ascii="Times" w:hAnsi="Times"/>
      <w:sz w:val="23"/>
    </w:rPr>
  </w:style>
  <w:style w:type="paragraph" w:customStyle="1" w:styleId="EnDashSS">
    <w:name w:val="EnDash SS"/>
    <w:basedOn w:val="Normal"/>
    <w:pPr>
      <w:tabs>
        <w:tab w:val="left" w:pos="734"/>
      </w:tabs>
      <w:ind w:left="734" w:hanging="201"/>
    </w:pPr>
    <w:rPr>
      <w:rFonts w:ascii="Times" w:hAnsi="Times"/>
      <w:sz w:val="23"/>
    </w:rPr>
  </w:style>
  <w:style w:type="paragraph" w:customStyle="1" w:styleId="EnDashDS">
    <w:name w:val="EnDash DS"/>
    <w:basedOn w:val="Normal"/>
    <w:pPr>
      <w:tabs>
        <w:tab w:val="left" w:pos="734"/>
      </w:tabs>
      <w:spacing w:after="260"/>
      <w:ind w:left="734" w:hanging="201"/>
    </w:pPr>
    <w:rPr>
      <w:rFonts w:ascii="Times" w:hAnsi="Times"/>
      <w:sz w:val="23"/>
    </w:rPr>
  </w:style>
  <w:style w:type="paragraph" w:customStyle="1" w:styleId="Numbr10DS">
    <w:name w:val="Numbr 10+ DS"/>
    <w:basedOn w:val="Normal"/>
    <w:pPr>
      <w:numPr>
        <w:numId w:val="4"/>
      </w:numPr>
      <w:tabs>
        <w:tab w:val="left" w:pos="547"/>
        <w:tab w:val="left" w:pos="878"/>
      </w:tabs>
      <w:spacing w:after="260"/>
    </w:pPr>
    <w:rPr>
      <w:rFonts w:ascii="Times" w:hAnsi="Times"/>
      <w:sz w:val="23"/>
    </w:rPr>
  </w:style>
  <w:style w:type="paragraph" w:customStyle="1" w:styleId="Numbr1-9SS">
    <w:name w:val="Numbr 1-9 SS"/>
    <w:basedOn w:val="Normal"/>
    <w:pPr>
      <w:numPr>
        <w:numId w:val="1"/>
      </w:numPr>
      <w:tabs>
        <w:tab w:val="left" w:pos="547"/>
        <w:tab w:val="left" w:pos="878"/>
      </w:tabs>
    </w:pPr>
    <w:rPr>
      <w:rFonts w:ascii="Times" w:hAnsi="Times"/>
      <w:sz w:val="23"/>
    </w:rPr>
  </w:style>
  <w:style w:type="paragraph" w:customStyle="1" w:styleId="Numbr10SS">
    <w:name w:val="Numbr 10+ SS"/>
    <w:basedOn w:val="Normal"/>
    <w:pPr>
      <w:numPr>
        <w:numId w:val="2"/>
      </w:numPr>
      <w:tabs>
        <w:tab w:val="left" w:pos="547"/>
        <w:tab w:val="left" w:pos="878"/>
      </w:tabs>
    </w:pPr>
    <w:rPr>
      <w:rFonts w:ascii="Times" w:hAnsi="Times"/>
      <w:sz w:val="23"/>
    </w:rPr>
  </w:style>
  <w:style w:type="paragraph" w:customStyle="1" w:styleId="Numbr1-9DS">
    <w:name w:val="Numbr 1-9 DS"/>
    <w:basedOn w:val="Normal"/>
    <w:pPr>
      <w:numPr>
        <w:numId w:val="3"/>
      </w:numPr>
      <w:tabs>
        <w:tab w:val="left" w:pos="547"/>
        <w:tab w:val="left" w:pos="878"/>
      </w:tabs>
      <w:spacing w:after="260"/>
    </w:pPr>
    <w:rPr>
      <w:rFonts w:ascii="Times" w:hAnsi="Times"/>
      <w:sz w:val="23"/>
    </w:rPr>
  </w:style>
  <w:style w:type="paragraph" w:customStyle="1" w:styleId="Table3Data-Bullet">
    <w:name w:val="Table3/Data-Bullet"/>
    <w:basedOn w:val="Normal"/>
    <w:pPr>
      <w:numPr>
        <w:numId w:val="5"/>
      </w:numPr>
      <w:tabs>
        <w:tab w:val="clear" w:pos="360"/>
        <w:tab w:val="left" w:pos="187"/>
      </w:tabs>
    </w:pPr>
    <w:rPr>
      <w:rFonts w:ascii="Times" w:hAnsi="Times"/>
      <w:sz w:val="20"/>
    </w:rPr>
  </w:style>
  <w:style w:type="paragraph" w:customStyle="1" w:styleId="Table3Data-EmDash">
    <w:name w:val="Table3/Data-EmDash"/>
    <w:basedOn w:val="Normal"/>
    <w:pPr>
      <w:numPr>
        <w:numId w:val="6"/>
      </w:numPr>
      <w:tabs>
        <w:tab w:val="clear" w:pos="547"/>
        <w:tab w:val="left" w:pos="504"/>
      </w:tabs>
    </w:pPr>
    <w:rPr>
      <w:rFonts w:ascii="Times" w:hAnsi="Times"/>
      <w:sz w:val="20"/>
    </w:rPr>
  </w:style>
  <w:style w:type="paragraph" w:customStyle="1" w:styleId="Tab5Data-EmDash">
    <w:name w:val="Tab5/Data-EmDash"/>
    <w:basedOn w:val="Normal"/>
    <w:pPr>
      <w:numPr>
        <w:numId w:val="8"/>
      </w:numPr>
      <w:tabs>
        <w:tab w:val="clear" w:pos="547"/>
        <w:tab w:val="left" w:pos="504"/>
      </w:tabs>
    </w:pPr>
    <w:rPr>
      <w:rFonts w:ascii="Times" w:hAnsi="Times"/>
      <w:sz w:val="20"/>
    </w:rPr>
  </w:style>
  <w:style w:type="paragraph" w:customStyle="1" w:styleId="Tab5Data-Bullet">
    <w:name w:val="Tab5/Data-Bullet"/>
    <w:basedOn w:val="Normal"/>
    <w:pPr>
      <w:numPr>
        <w:numId w:val="7"/>
      </w:numPr>
      <w:tabs>
        <w:tab w:val="clear" w:pos="360"/>
        <w:tab w:val="left" w:pos="187"/>
      </w:tabs>
    </w:pPr>
    <w:rPr>
      <w:rFonts w:ascii="Times" w:hAnsi="Times"/>
      <w:sz w:val="20"/>
    </w:rPr>
  </w:style>
  <w:style w:type="paragraph" w:customStyle="1" w:styleId="Int3ATMBullet">
    <w:name w:val="Int3/ATM Bullet"/>
    <w:basedOn w:val="Int3ATMText"/>
    <w:pPr>
      <w:numPr>
        <w:numId w:val="11"/>
      </w:numPr>
      <w:tabs>
        <w:tab w:val="clear" w:pos="360"/>
        <w:tab w:val="left" w:pos="230"/>
      </w:tabs>
    </w:pPr>
  </w:style>
  <w:style w:type="paragraph" w:customStyle="1" w:styleId="Int3ATMText">
    <w:name w:val="Int3/ATM Text"/>
    <w:basedOn w:val="NormalDS"/>
    <w:rPr>
      <w:sz w:val="30"/>
    </w:rPr>
  </w:style>
  <w:style w:type="paragraph" w:customStyle="1" w:styleId="NormalDS">
    <w:name w:val="Normal DS"/>
    <w:basedOn w:val="Normal"/>
    <w:pPr>
      <w:spacing w:after="260"/>
    </w:pPr>
    <w:rPr>
      <w:rFonts w:ascii="Times" w:hAnsi="Times"/>
      <w:sz w:val="23"/>
    </w:rPr>
  </w:style>
  <w:style w:type="paragraph" w:customStyle="1" w:styleId="Tab5Data-EnDash">
    <w:name w:val="Tab5/Data-EnDash"/>
    <w:basedOn w:val="Normal"/>
    <w:pPr>
      <w:numPr>
        <w:numId w:val="12"/>
      </w:numPr>
      <w:tabs>
        <w:tab w:val="clear" w:pos="864"/>
        <w:tab w:val="left" w:pos="706"/>
      </w:tabs>
    </w:pPr>
    <w:rPr>
      <w:rFonts w:ascii="Times" w:hAnsi="Times"/>
      <w:sz w:val="20"/>
    </w:rPr>
  </w:style>
  <w:style w:type="paragraph" w:customStyle="1" w:styleId="Table3Data-EnDash">
    <w:name w:val="Table3/Data-EnDash"/>
    <w:basedOn w:val="Normal"/>
    <w:pPr>
      <w:numPr>
        <w:numId w:val="13"/>
      </w:numPr>
      <w:tabs>
        <w:tab w:val="clear" w:pos="864"/>
        <w:tab w:val="left" w:pos="706"/>
      </w:tabs>
    </w:pPr>
    <w:rPr>
      <w:rFonts w:ascii="Times" w:hAnsi="Times"/>
      <w:sz w:val="20"/>
    </w:rPr>
  </w:style>
  <w:style w:type="paragraph" w:styleId="BodyTextIndent3">
    <w:name w:val="Body Text Indent 3"/>
    <w:basedOn w:val="Normal"/>
    <w:link w:val="BodyTextIndent3Char"/>
    <w:uiPriority w:val="99"/>
    <w:pPr>
      <w:ind w:left="1440"/>
    </w:pPr>
    <w:rPr>
      <w:rFonts w:ascii="Times" w:hAnsi="Times"/>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pPr>
      <w:widowControl w:val="0"/>
      <w:tabs>
        <w:tab w:val="left" w:pos="1260"/>
      </w:tabs>
      <w:spacing w:before="252"/>
    </w:pPr>
    <w:rPr>
      <w:noProof/>
      <w:color w:val="000000"/>
      <w:sz w:val="20"/>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BodyText2">
    <w:name w:val="Body Text 2"/>
    <w:basedOn w:val="Normal"/>
    <w:link w:val="BodyText2Char"/>
    <w:uiPriority w:val="99"/>
  </w:style>
  <w:style w:type="paragraph" w:styleId="BodyText3">
    <w:name w:val="Body Text 3"/>
    <w:basedOn w:val="Normal"/>
    <w:link w:val="BodyText3Char"/>
    <w:uiPriority w:val="99"/>
    <w:pPr>
      <w:spacing w:line="360" w:lineRule="auto"/>
      <w:ind w:right="-720"/>
    </w:pPr>
    <w:rPr>
      <w:snapToGrid w:val="0"/>
    </w:rPr>
  </w:style>
  <w:style w:type="paragraph" w:customStyle="1" w:styleId="SingleSpacing">
    <w:name w:val="Single Spacing"/>
    <w:basedOn w:val="Normal"/>
    <w:rsid w:val="00E05C6E"/>
    <w:pPr>
      <w:spacing w:line="240" w:lineRule="exact"/>
    </w:pPr>
    <w:rPr>
      <w:rFonts w:eastAsia="SimSun"/>
      <w:sz w:val="26"/>
      <w:szCs w:val="26"/>
      <w:lang w:eastAsia="zh-CN"/>
    </w:rPr>
  </w:style>
  <w:style w:type="paragraph" w:styleId="TOC8">
    <w:name w:val="toc 8"/>
    <w:basedOn w:val="Normal"/>
    <w:next w:val="Normal"/>
    <w:autoRedefine/>
    <w:uiPriority w:val="39"/>
    <w:semiHidden/>
    <w:pPr>
      <w:ind w:left="1680"/>
    </w:pPr>
  </w:style>
  <w:style w:type="paragraph" w:styleId="TOC9">
    <w:name w:val="toc 9"/>
    <w:basedOn w:val="Normal"/>
    <w:next w:val="Normal"/>
    <w:autoRedefine/>
    <w:uiPriority w:val="39"/>
    <w:semiHidden/>
    <w:pPr>
      <w:ind w:left="1920"/>
    </w:pPr>
  </w:style>
  <w:style w:type="character" w:styleId="Hyperlink">
    <w:name w:val="Hyperlink"/>
    <w:basedOn w:val="DefaultParagraphFont"/>
    <w:uiPriority w:val="99"/>
    <w:rPr>
      <w:color w:val="0000FF"/>
      <w:u w:val="single"/>
    </w:rPr>
  </w:style>
  <w:style w:type="paragraph" w:customStyle="1" w:styleId="Default">
    <w:name w:val="Default"/>
    <w:rPr>
      <w:rFonts w:ascii="Garamond" w:hAnsi="Garamond"/>
      <w:snapToGrid w:val="0"/>
      <w:color w:val="000000"/>
      <w:sz w:val="24"/>
    </w:rPr>
  </w:style>
  <w:style w:type="paragraph" w:customStyle="1" w:styleId="LZBulletText">
    <w:name w:val="LZ Bullet Text"/>
    <w:basedOn w:val="Default"/>
    <w:next w:val="Default"/>
    <w:rPr>
      <w:color w:val="auto"/>
    </w:rPr>
  </w:style>
  <w:style w:type="paragraph" w:styleId="BalloonText">
    <w:name w:val="Balloon Text"/>
    <w:basedOn w:val="Normal"/>
    <w:link w:val="BalloonTextChar"/>
    <w:uiPriority w:val="99"/>
    <w:rPr>
      <w:rFonts w:ascii="Tahoma" w:hAnsi="Tahoma" w:cs="TheSerif 3-Light"/>
      <w:sz w:val="16"/>
      <w:szCs w:val="16"/>
    </w:rPr>
  </w:style>
  <w:style w:type="paragraph" w:customStyle="1" w:styleId="body">
    <w:name w:val="*body"/>
    <w:basedOn w:val="Normal"/>
    <w:pPr>
      <w:widowControl w:val="0"/>
      <w:spacing w:line="280" w:lineRule="exact"/>
      <w:ind w:firstLine="540"/>
    </w:pPr>
    <w:rPr>
      <w:rFonts w:ascii="TheSerif 3-Light" w:hAnsi="TheSerif 3-Light"/>
      <w:sz w:val="18"/>
    </w:rPr>
  </w:style>
  <w:style w:type="paragraph" w:styleId="BlockText">
    <w:name w:val="Block Text"/>
    <w:basedOn w:val="Normal"/>
    <w:uiPriority w:val="99"/>
    <w:pPr>
      <w:numPr>
        <w:numId w:val="14"/>
      </w:numPr>
      <w:spacing w:after="120"/>
      <w:ind w:right="1440"/>
    </w:pPr>
  </w:style>
  <w:style w:type="character" w:styleId="Strong">
    <w:name w:val="Strong"/>
    <w:basedOn w:val="DefaultParagraphFont"/>
    <w:uiPriority w:val="22"/>
    <w:qFormat/>
    <w:rPr>
      <w:b/>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paragraph" w:styleId="Caption">
    <w:name w:val="caption"/>
    <w:basedOn w:val="Normal"/>
    <w:next w:val="Normal"/>
    <w:uiPriority w:val="35"/>
    <w:qFormat/>
    <w:pPr>
      <w:spacing w:before="120" w:after="120" w:line="240" w:lineRule="exact"/>
    </w:pPr>
    <w:rPr>
      <w:b/>
      <w:bCs/>
      <w:sz w:val="20"/>
    </w:rPr>
  </w:style>
  <w:style w:type="paragraph" w:customStyle="1" w:styleId="Arial11">
    <w:name w:val="Arial 11"/>
    <w:aliases w:val="Line Space 1.5,Justified"/>
    <w:basedOn w:val="Normal"/>
    <w:pPr>
      <w:spacing w:line="360" w:lineRule="auto"/>
      <w:jc w:val="both"/>
    </w:pPr>
    <w:rPr>
      <w:rFonts w:ascii="Arial" w:hAnsi="Arial" w:cs="Arial"/>
      <w:sz w:val="22"/>
    </w:rPr>
  </w:style>
  <w:style w:type="character" w:customStyle="1" w:styleId="singleChar">
    <w:name w:val="single Char"/>
    <w:basedOn w:val="DefaultParagraphFont"/>
    <w:rPr>
      <w:noProof w:val="0"/>
      <w:sz w:val="24"/>
      <w:lang w:val="en-US" w:eastAsia="zh-CN" w:bidi="ar-SA"/>
    </w:rPr>
  </w:style>
  <w:style w:type="character" w:customStyle="1" w:styleId="h1CharChar">
    <w:name w:val="h1 Char Char"/>
    <w:basedOn w:val="singleChar"/>
    <w:rPr>
      <w:b/>
      <w:noProof w:val="0"/>
      <w:sz w:val="24"/>
      <w:lang w:val="en-US" w:eastAsia="zh-CN" w:bidi="ar-SA"/>
    </w:rPr>
  </w:style>
  <w:style w:type="character" w:customStyle="1" w:styleId="h2CharChar">
    <w:name w:val="h2 Char Char"/>
    <w:basedOn w:val="h1CharChar"/>
    <w:rPr>
      <w:b/>
      <w:noProof w:val="0"/>
      <w:sz w:val="24"/>
      <w:u w:val="single"/>
      <w:lang w:val="en-US" w:eastAsia="zh-CN" w:bidi="ar-SA"/>
    </w:rPr>
  </w:style>
  <w:style w:type="character" w:customStyle="1" w:styleId="h3CharChar">
    <w:name w:val="h3 Char Char"/>
    <w:basedOn w:val="h2CharChar"/>
    <w:rPr>
      <w:b/>
      <w:noProof w:val="0"/>
      <w:sz w:val="24"/>
      <w:u w:val="single"/>
      <w:lang w:val="en-US" w:eastAsia="zh-CN" w:bidi="ar-SA"/>
    </w:rPr>
  </w:style>
  <w:style w:type="character" w:styleId="FollowedHyperlink">
    <w:name w:val="FollowedHyperlink"/>
    <w:basedOn w:val="DefaultParagraphFont"/>
    <w:uiPriority w:val="99"/>
    <w:rPr>
      <w:color w:val="800080"/>
      <w:u w:val="single"/>
    </w:rPr>
  </w:style>
  <w:style w:type="paragraph" w:styleId="BodyTextFirstIndent">
    <w:name w:val="Body Text First Indent"/>
    <w:basedOn w:val="BodyText"/>
    <w:link w:val="BodyTextFirstIndentChar"/>
    <w:uiPriority w:val="99"/>
    <w:rsid w:val="00CF3F7A"/>
    <w:pPr>
      <w:spacing w:after="120" w:line="480" w:lineRule="atLeast"/>
      <w:ind w:firstLine="210"/>
      <w:jc w:val="left"/>
    </w:pPr>
    <w:rPr>
      <w:lang w:val="en-US"/>
    </w:rPr>
  </w:style>
  <w:style w:type="paragraph" w:styleId="BodyTextFirstIndent2">
    <w:name w:val="Body Text First Indent 2"/>
    <w:basedOn w:val="BodyTextIndent"/>
    <w:link w:val="BodyTextFirstIndent2Char"/>
    <w:uiPriority w:val="99"/>
    <w:rsid w:val="00CF3F7A"/>
    <w:pPr>
      <w:spacing w:after="120" w:line="480" w:lineRule="atLeast"/>
      <w:ind w:left="360" w:firstLine="210"/>
    </w:pPr>
    <w:rPr>
      <w:rFonts w:ascii="Times New Roman" w:hAnsi="Times New Roman"/>
      <w:sz w:val="24"/>
    </w:rPr>
  </w:style>
  <w:style w:type="paragraph" w:styleId="Closing">
    <w:name w:val="Closing"/>
    <w:basedOn w:val="Normal"/>
    <w:link w:val="ClosingChar"/>
    <w:uiPriority w:val="99"/>
    <w:rsid w:val="00CF3F7A"/>
    <w:pPr>
      <w:ind w:left="4320"/>
    </w:pPr>
  </w:style>
  <w:style w:type="paragraph" w:styleId="CommentSubject">
    <w:name w:val="annotation subject"/>
    <w:basedOn w:val="CommentText"/>
    <w:next w:val="CommentText"/>
    <w:link w:val="CommentSubjectChar"/>
    <w:uiPriority w:val="99"/>
    <w:rsid w:val="00CF3F7A"/>
    <w:pPr>
      <w:spacing w:before="0" w:line="480" w:lineRule="atLeast"/>
    </w:pPr>
    <w:rPr>
      <w:b/>
      <w:bCs/>
      <w:sz w:val="20"/>
    </w:rPr>
  </w:style>
  <w:style w:type="paragraph" w:styleId="Date">
    <w:name w:val="Date"/>
    <w:basedOn w:val="Normal"/>
    <w:next w:val="Normal"/>
    <w:link w:val="DateChar"/>
    <w:uiPriority w:val="99"/>
    <w:rsid w:val="00CF3F7A"/>
  </w:style>
  <w:style w:type="paragraph" w:styleId="DocumentMap">
    <w:name w:val="Document Map"/>
    <w:basedOn w:val="Normal"/>
    <w:link w:val="DocumentMapChar"/>
    <w:uiPriority w:val="99"/>
    <w:semiHidden/>
    <w:rsid w:val="00CF3F7A"/>
    <w:pPr>
      <w:shd w:val="clear" w:color="auto" w:fill="000080"/>
    </w:pPr>
    <w:rPr>
      <w:rFonts w:ascii="Tahoma" w:hAnsi="Tahoma" w:cs="Tahoma"/>
    </w:rPr>
  </w:style>
  <w:style w:type="paragraph" w:styleId="E-mailSignature">
    <w:name w:val="E-mail Signature"/>
    <w:basedOn w:val="Normal"/>
    <w:link w:val="E-mailSignatureChar"/>
    <w:uiPriority w:val="99"/>
    <w:rsid w:val="00CF3F7A"/>
  </w:style>
  <w:style w:type="paragraph" w:styleId="EndnoteText">
    <w:name w:val="endnote text"/>
    <w:basedOn w:val="Normal"/>
    <w:link w:val="EndnoteTextChar"/>
    <w:uiPriority w:val="99"/>
    <w:semiHidden/>
    <w:rsid w:val="00CF3F7A"/>
    <w:rPr>
      <w:sz w:val="20"/>
    </w:rPr>
  </w:style>
  <w:style w:type="paragraph" w:styleId="HTMLAddress">
    <w:name w:val="HTML Address"/>
    <w:basedOn w:val="Normal"/>
    <w:link w:val="HTMLAddressChar"/>
    <w:uiPriority w:val="99"/>
    <w:rsid w:val="00CF3F7A"/>
    <w:rPr>
      <w:i/>
      <w:iCs/>
    </w:rPr>
  </w:style>
  <w:style w:type="paragraph" w:styleId="HTMLPreformatted">
    <w:name w:val="HTML Preformatted"/>
    <w:basedOn w:val="Normal"/>
    <w:link w:val="HTMLPreformattedChar"/>
    <w:uiPriority w:val="99"/>
    <w:rsid w:val="00CF3F7A"/>
    <w:rPr>
      <w:rFonts w:ascii="Courier New" w:hAnsi="Courier New" w:cs="Courier New"/>
      <w:sz w:val="20"/>
    </w:rPr>
  </w:style>
  <w:style w:type="paragraph" w:styleId="Index3">
    <w:name w:val="index 3"/>
    <w:basedOn w:val="Normal"/>
    <w:next w:val="Normal"/>
    <w:autoRedefine/>
    <w:uiPriority w:val="99"/>
    <w:semiHidden/>
    <w:rsid w:val="00CF3F7A"/>
    <w:pPr>
      <w:ind w:left="720" w:hanging="240"/>
    </w:pPr>
  </w:style>
  <w:style w:type="paragraph" w:styleId="Index4">
    <w:name w:val="index 4"/>
    <w:basedOn w:val="Normal"/>
    <w:next w:val="Normal"/>
    <w:autoRedefine/>
    <w:uiPriority w:val="99"/>
    <w:semiHidden/>
    <w:rsid w:val="00CF3F7A"/>
    <w:pPr>
      <w:ind w:left="960" w:hanging="240"/>
    </w:pPr>
  </w:style>
  <w:style w:type="paragraph" w:styleId="Index5">
    <w:name w:val="index 5"/>
    <w:basedOn w:val="Normal"/>
    <w:next w:val="Normal"/>
    <w:autoRedefine/>
    <w:uiPriority w:val="99"/>
    <w:semiHidden/>
    <w:rsid w:val="00CF3F7A"/>
    <w:pPr>
      <w:ind w:left="1200" w:hanging="240"/>
    </w:pPr>
  </w:style>
  <w:style w:type="paragraph" w:styleId="Index6">
    <w:name w:val="index 6"/>
    <w:basedOn w:val="Normal"/>
    <w:next w:val="Normal"/>
    <w:autoRedefine/>
    <w:uiPriority w:val="99"/>
    <w:semiHidden/>
    <w:rsid w:val="00CF3F7A"/>
    <w:pPr>
      <w:ind w:left="1440" w:hanging="240"/>
    </w:pPr>
  </w:style>
  <w:style w:type="paragraph" w:styleId="Index7">
    <w:name w:val="index 7"/>
    <w:basedOn w:val="Normal"/>
    <w:next w:val="Normal"/>
    <w:autoRedefine/>
    <w:uiPriority w:val="99"/>
    <w:semiHidden/>
    <w:rsid w:val="00CF3F7A"/>
    <w:pPr>
      <w:ind w:left="1680" w:hanging="240"/>
    </w:pPr>
  </w:style>
  <w:style w:type="paragraph" w:styleId="Index8">
    <w:name w:val="index 8"/>
    <w:basedOn w:val="Normal"/>
    <w:next w:val="Normal"/>
    <w:autoRedefine/>
    <w:uiPriority w:val="99"/>
    <w:semiHidden/>
    <w:rsid w:val="00CF3F7A"/>
    <w:pPr>
      <w:ind w:left="1920" w:hanging="240"/>
    </w:pPr>
  </w:style>
  <w:style w:type="paragraph" w:styleId="Index9">
    <w:name w:val="index 9"/>
    <w:basedOn w:val="Normal"/>
    <w:next w:val="Normal"/>
    <w:autoRedefine/>
    <w:uiPriority w:val="99"/>
    <w:semiHidden/>
    <w:rsid w:val="00CF3F7A"/>
    <w:pPr>
      <w:ind w:left="2160" w:hanging="240"/>
    </w:pPr>
  </w:style>
  <w:style w:type="paragraph" w:styleId="List">
    <w:name w:val="List"/>
    <w:basedOn w:val="Normal"/>
    <w:uiPriority w:val="99"/>
    <w:rsid w:val="00BF05CC"/>
    <w:pPr>
      <w:spacing w:after="280"/>
      <w:ind w:left="2160" w:right="720" w:hanging="720"/>
    </w:pPr>
  </w:style>
  <w:style w:type="paragraph" w:styleId="List2">
    <w:name w:val="List 2"/>
    <w:basedOn w:val="Normal"/>
    <w:uiPriority w:val="99"/>
    <w:rsid w:val="00CF3F7A"/>
    <w:pPr>
      <w:ind w:left="720" w:hanging="360"/>
    </w:pPr>
  </w:style>
  <w:style w:type="paragraph" w:styleId="List3">
    <w:name w:val="List 3"/>
    <w:basedOn w:val="Normal"/>
    <w:uiPriority w:val="99"/>
    <w:rsid w:val="00CF3F7A"/>
    <w:pPr>
      <w:ind w:left="1080" w:hanging="360"/>
    </w:pPr>
  </w:style>
  <w:style w:type="paragraph" w:styleId="List4">
    <w:name w:val="List 4"/>
    <w:basedOn w:val="Normal"/>
    <w:uiPriority w:val="99"/>
    <w:rsid w:val="00CF3F7A"/>
    <w:pPr>
      <w:ind w:left="1440" w:hanging="360"/>
    </w:pPr>
  </w:style>
  <w:style w:type="paragraph" w:styleId="List5">
    <w:name w:val="List 5"/>
    <w:basedOn w:val="Normal"/>
    <w:uiPriority w:val="99"/>
    <w:rsid w:val="00CF3F7A"/>
    <w:pPr>
      <w:ind w:left="1800" w:hanging="360"/>
    </w:pPr>
  </w:style>
  <w:style w:type="paragraph" w:styleId="ListBullet">
    <w:name w:val="List Bullet"/>
    <w:basedOn w:val="Normal"/>
    <w:autoRedefine/>
    <w:uiPriority w:val="99"/>
    <w:rsid w:val="00CF3F7A"/>
    <w:pPr>
      <w:numPr>
        <w:numId w:val="15"/>
      </w:numPr>
    </w:pPr>
  </w:style>
  <w:style w:type="paragraph" w:styleId="ListBullet2">
    <w:name w:val="List Bullet 2"/>
    <w:basedOn w:val="Normal"/>
    <w:autoRedefine/>
    <w:uiPriority w:val="99"/>
    <w:rsid w:val="00CF3F7A"/>
    <w:pPr>
      <w:numPr>
        <w:numId w:val="16"/>
      </w:numPr>
    </w:pPr>
  </w:style>
  <w:style w:type="paragraph" w:styleId="ListBullet3">
    <w:name w:val="List Bullet 3"/>
    <w:basedOn w:val="Normal"/>
    <w:autoRedefine/>
    <w:uiPriority w:val="99"/>
    <w:rsid w:val="00CF3F7A"/>
    <w:pPr>
      <w:numPr>
        <w:numId w:val="17"/>
      </w:numPr>
    </w:pPr>
  </w:style>
  <w:style w:type="paragraph" w:styleId="ListBullet4">
    <w:name w:val="List Bullet 4"/>
    <w:basedOn w:val="Normal"/>
    <w:autoRedefine/>
    <w:uiPriority w:val="99"/>
    <w:rsid w:val="00CF3F7A"/>
    <w:pPr>
      <w:numPr>
        <w:numId w:val="18"/>
      </w:numPr>
    </w:pPr>
  </w:style>
  <w:style w:type="paragraph" w:styleId="ListBullet5">
    <w:name w:val="List Bullet 5"/>
    <w:basedOn w:val="Normal"/>
    <w:autoRedefine/>
    <w:uiPriority w:val="99"/>
    <w:rsid w:val="00CF3F7A"/>
    <w:pPr>
      <w:numPr>
        <w:numId w:val="19"/>
      </w:numPr>
    </w:pPr>
  </w:style>
  <w:style w:type="paragraph" w:styleId="ListContinue">
    <w:name w:val="List Continue"/>
    <w:basedOn w:val="Normal"/>
    <w:uiPriority w:val="99"/>
    <w:rsid w:val="00CF3F7A"/>
    <w:pPr>
      <w:spacing w:after="120"/>
      <w:ind w:left="360"/>
    </w:pPr>
  </w:style>
  <w:style w:type="paragraph" w:styleId="ListContinue2">
    <w:name w:val="List Continue 2"/>
    <w:basedOn w:val="Normal"/>
    <w:uiPriority w:val="99"/>
    <w:rsid w:val="00CF3F7A"/>
    <w:pPr>
      <w:spacing w:after="120"/>
      <w:ind w:left="720"/>
    </w:pPr>
  </w:style>
  <w:style w:type="paragraph" w:styleId="ListContinue3">
    <w:name w:val="List Continue 3"/>
    <w:basedOn w:val="Normal"/>
    <w:uiPriority w:val="99"/>
    <w:rsid w:val="00CF3F7A"/>
    <w:pPr>
      <w:spacing w:after="120"/>
      <w:ind w:left="1080"/>
    </w:pPr>
  </w:style>
  <w:style w:type="paragraph" w:styleId="ListContinue4">
    <w:name w:val="List Continue 4"/>
    <w:basedOn w:val="Normal"/>
    <w:uiPriority w:val="99"/>
    <w:rsid w:val="00CF3F7A"/>
    <w:pPr>
      <w:spacing w:after="120"/>
      <w:ind w:left="1440"/>
    </w:pPr>
  </w:style>
  <w:style w:type="paragraph" w:styleId="ListContinue5">
    <w:name w:val="List Continue 5"/>
    <w:basedOn w:val="Normal"/>
    <w:uiPriority w:val="99"/>
    <w:rsid w:val="00CF3F7A"/>
    <w:pPr>
      <w:spacing w:after="120"/>
      <w:ind w:left="1800"/>
    </w:pPr>
  </w:style>
  <w:style w:type="paragraph" w:styleId="ListNumber">
    <w:name w:val="List Number"/>
    <w:basedOn w:val="Normal"/>
    <w:uiPriority w:val="99"/>
    <w:rsid w:val="00CF3F7A"/>
    <w:pPr>
      <w:numPr>
        <w:numId w:val="20"/>
      </w:numPr>
    </w:pPr>
  </w:style>
  <w:style w:type="paragraph" w:styleId="ListNumber2">
    <w:name w:val="List Number 2"/>
    <w:basedOn w:val="Normal"/>
    <w:uiPriority w:val="99"/>
    <w:rsid w:val="00CF3F7A"/>
    <w:pPr>
      <w:numPr>
        <w:numId w:val="21"/>
      </w:numPr>
    </w:pPr>
  </w:style>
  <w:style w:type="paragraph" w:styleId="ListNumber3">
    <w:name w:val="List Number 3"/>
    <w:basedOn w:val="Normal"/>
    <w:uiPriority w:val="99"/>
    <w:rsid w:val="00CF3F7A"/>
    <w:pPr>
      <w:numPr>
        <w:numId w:val="22"/>
      </w:numPr>
    </w:pPr>
  </w:style>
  <w:style w:type="paragraph" w:styleId="ListNumber4">
    <w:name w:val="List Number 4"/>
    <w:basedOn w:val="Normal"/>
    <w:uiPriority w:val="99"/>
    <w:rsid w:val="00CF3F7A"/>
    <w:pPr>
      <w:numPr>
        <w:numId w:val="23"/>
      </w:numPr>
    </w:pPr>
  </w:style>
  <w:style w:type="paragraph" w:styleId="ListNumber5">
    <w:name w:val="List Number 5"/>
    <w:basedOn w:val="Normal"/>
    <w:uiPriority w:val="99"/>
    <w:rsid w:val="00CF3F7A"/>
    <w:pPr>
      <w:numPr>
        <w:numId w:val="24"/>
      </w:numPr>
    </w:pPr>
  </w:style>
  <w:style w:type="paragraph" w:styleId="MacroText">
    <w:name w:val="macro"/>
    <w:link w:val="MacroTextChar"/>
    <w:uiPriority w:val="99"/>
    <w:semiHidden/>
    <w:rsid w:val="00CF3F7A"/>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lang w:eastAsia="zh-CN"/>
    </w:rPr>
  </w:style>
  <w:style w:type="paragraph" w:styleId="MessageHeader">
    <w:name w:val="Message Header"/>
    <w:basedOn w:val="Normal"/>
    <w:link w:val="MessageHeaderChar"/>
    <w:uiPriority w:val="99"/>
    <w:rsid w:val="00CF3F7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CF3F7A"/>
  </w:style>
  <w:style w:type="paragraph" w:styleId="NoteHeading">
    <w:name w:val="Note Heading"/>
    <w:basedOn w:val="Normal"/>
    <w:next w:val="Normal"/>
    <w:link w:val="NoteHeadingChar"/>
    <w:uiPriority w:val="99"/>
    <w:rsid w:val="00CF3F7A"/>
  </w:style>
  <w:style w:type="paragraph" w:styleId="PlainText">
    <w:name w:val="Plain Text"/>
    <w:basedOn w:val="Normal"/>
    <w:link w:val="PlainTextChar"/>
    <w:uiPriority w:val="99"/>
    <w:rsid w:val="00CF3F7A"/>
    <w:rPr>
      <w:rFonts w:ascii="Courier New" w:hAnsi="Courier New" w:cs="Courier New"/>
      <w:sz w:val="20"/>
    </w:rPr>
  </w:style>
  <w:style w:type="paragraph" w:styleId="Salutation">
    <w:name w:val="Salutation"/>
    <w:basedOn w:val="Normal"/>
    <w:next w:val="Normal"/>
    <w:link w:val="SalutationChar"/>
    <w:uiPriority w:val="99"/>
    <w:rsid w:val="00CF3F7A"/>
  </w:style>
  <w:style w:type="paragraph" w:styleId="Signature">
    <w:name w:val="Signature"/>
    <w:basedOn w:val="Normal"/>
    <w:link w:val="SignatureChar"/>
    <w:uiPriority w:val="99"/>
    <w:rsid w:val="00CF3F7A"/>
    <w:pPr>
      <w:ind w:left="4320"/>
    </w:pPr>
  </w:style>
  <w:style w:type="paragraph" w:styleId="Subtitle">
    <w:name w:val="Subtitle"/>
    <w:basedOn w:val="Normal"/>
    <w:link w:val="SubtitleChar"/>
    <w:uiPriority w:val="11"/>
    <w:qFormat/>
    <w:rsid w:val="00CF3F7A"/>
    <w:pPr>
      <w:spacing w:after="60"/>
      <w:jc w:val="center"/>
      <w:outlineLvl w:val="1"/>
    </w:pPr>
    <w:rPr>
      <w:rFonts w:ascii="Arial" w:hAnsi="Arial" w:cs="Arial"/>
    </w:rPr>
  </w:style>
  <w:style w:type="paragraph" w:styleId="TableofFigures">
    <w:name w:val="table of figures"/>
    <w:basedOn w:val="Normal"/>
    <w:next w:val="Normal"/>
    <w:uiPriority w:val="99"/>
    <w:semiHidden/>
    <w:rsid w:val="00CF3F7A"/>
    <w:pPr>
      <w:ind w:left="480" w:hanging="480"/>
    </w:pPr>
  </w:style>
  <w:style w:type="character" w:styleId="HTMLCode">
    <w:name w:val="HTML Code"/>
    <w:basedOn w:val="DefaultParagraphFont"/>
    <w:uiPriority w:val="99"/>
    <w:rsid w:val="00FE6160"/>
    <w:rPr>
      <w:rFonts w:ascii="Courier New" w:hAnsi="Courier New" w:cs="Tahoma"/>
      <w:sz w:val="20"/>
      <w:szCs w:val="20"/>
    </w:rPr>
  </w:style>
  <w:style w:type="character" w:customStyle="1" w:styleId="Heading1Char">
    <w:name w:val="Heading 1 Char"/>
    <w:aliases w:val="h1 Char"/>
    <w:basedOn w:val="singleChar"/>
    <w:link w:val="Heading1"/>
    <w:uiPriority w:val="9"/>
    <w:rsid w:val="00FC16B1"/>
    <w:rPr>
      <w:rFonts w:ascii="Times New Roman" w:hAnsi="Times New Roman"/>
      <w:b/>
      <w:noProof w:val="0"/>
      <w:sz w:val="24"/>
      <w:lang w:val="en-US" w:eastAsia="zh-CN" w:bidi="ar-SA"/>
    </w:rPr>
  </w:style>
  <w:style w:type="character" w:customStyle="1" w:styleId="Heading2Char">
    <w:name w:val="Heading 2 Char"/>
    <w:aliases w:val="h2 Char"/>
    <w:basedOn w:val="Heading1Char"/>
    <w:link w:val="Heading2"/>
    <w:uiPriority w:val="9"/>
    <w:rsid w:val="00FC16B1"/>
    <w:rPr>
      <w:rFonts w:ascii="Times New Roman" w:eastAsia="SimSun" w:hAnsi="Times New Roman"/>
      <w:b/>
      <w:noProof w:val="0"/>
      <w:snapToGrid w:val="0"/>
      <w:sz w:val="24"/>
      <w:u w:val="single"/>
      <w:lang w:val="en-US" w:eastAsia="zh-CN" w:bidi="ar-SA"/>
    </w:rPr>
  </w:style>
  <w:style w:type="paragraph" w:customStyle="1" w:styleId="Notes">
    <w:name w:val="Notes"/>
    <w:basedOn w:val="Normal"/>
    <w:rsid w:val="00FE6160"/>
    <w:pPr>
      <w:ind w:left="2160" w:hanging="2160"/>
    </w:pPr>
  </w:style>
  <w:style w:type="table" w:styleId="TableGrid">
    <w:name w:val="Table Grid"/>
    <w:basedOn w:val="TableNormal"/>
    <w:uiPriority w:val="59"/>
    <w:rsid w:val="00802D16"/>
    <w:pPr>
      <w:spacing w:line="480" w:lineRule="atLeast"/>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Char">
    <w:name w:val="answer Char"/>
    <w:basedOn w:val="DefaultParagraphFont"/>
    <w:link w:val="answer"/>
    <w:rsid w:val="00521736"/>
    <w:rPr>
      <w:rFonts w:ascii="Times New Roman" w:eastAsia="PMingLiU" w:hAnsi="Times New Roman"/>
      <w:sz w:val="24"/>
      <w:lang w:eastAsia="zh-CN"/>
    </w:rPr>
  </w:style>
  <w:style w:type="character" w:customStyle="1" w:styleId="style3">
    <w:name w:val="style3"/>
    <w:basedOn w:val="DefaultParagraphFont"/>
    <w:rsid w:val="00C03C38"/>
  </w:style>
  <w:style w:type="paragraph" w:customStyle="1" w:styleId="BODMemoBody">
    <w:name w:val="BOD Memo Body"/>
    <w:basedOn w:val="Heading1"/>
    <w:rsid w:val="00E355F7"/>
    <w:pPr>
      <w:tabs>
        <w:tab w:val="left" w:pos="990"/>
      </w:tabs>
      <w:spacing w:before="0" w:after="240" w:line="360" w:lineRule="auto"/>
      <w:ind w:left="0" w:right="0"/>
      <w:jc w:val="both"/>
    </w:pPr>
    <w:rPr>
      <w:rFonts w:ascii="Arial (W1)" w:hAnsi="Arial (W1)" w:cs="Arial (W1)"/>
      <w:b w:val="0"/>
      <w:kern w:val="16"/>
      <w:szCs w:val="24"/>
      <w:lang w:eastAsia="ko-KR"/>
    </w:rPr>
  </w:style>
  <w:style w:type="character" w:customStyle="1" w:styleId="zzmpTrailerItem">
    <w:name w:val="zzmpTrailerItem"/>
    <w:rsid w:val="00955F6F"/>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DeltaViewInsertion">
    <w:name w:val="DeltaView Insertion"/>
    <w:rPr>
      <w:b/>
      <w:bCs/>
      <w:spacing w:val="0"/>
      <w:u w:val="double"/>
    </w:rPr>
  </w:style>
  <w:style w:type="character" w:customStyle="1" w:styleId="DeltaViewDeletion">
    <w:name w:val="DeltaView Deletion"/>
    <w:rPr>
      <w:strike/>
      <w:spacing w:val="0"/>
    </w:rPr>
  </w:style>
  <w:style w:type="character" w:customStyle="1" w:styleId="normalhangingChar">
    <w:name w:val="normal hanging Char"/>
    <w:basedOn w:val="DefaultParagraphFont"/>
    <w:link w:val="normalhanging"/>
    <w:rsid w:val="00EE26C4"/>
    <w:rPr>
      <w:sz w:val="24"/>
      <w:szCs w:val="24"/>
      <w:lang w:val="en-US" w:eastAsia="en-US" w:bidi="ar-SA"/>
    </w:rPr>
  </w:style>
  <w:style w:type="character" w:customStyle="1" w:styleId="singleChar1">
    <w:name w:val="single Char1"/>
    <w:basedOn w:val="DefaultParagraphFont"/>
    <w:link w:val="single"/>
    <w:rsid w:val="007148BD"/>
    <w:rPr>
      <w:rFonts w:ascii="Times New Roman" w:eastAsia="SimSun" w:hAnsi="Times New Roman"/>
      <w:sz w:val="24"/>
      <w:szCs w:val="24"/>
      <w:lang w:eastAsia="zh-CN"/>
    </w:rPr>
  </w:style>
  <w:style w:type="character" w:customStyle="1" w:styleId="singleblockChar">
    <w:name w:val="single block Char"/>
    <w:basedOn w:val="singleChar1"/>
    <w:link w:val="singleblock"/>
    <w:rsid w:val="007148BD"/>
    <w:rPr>
      <w:rFonts w:ascii="Times New Roman" w:eastAsia="SimSun" w:hAnsi="Times New Roman"/>
      <w:sz w:val="24"/>
      <w:szCs w:val="24"/>
      <w:lang w:eastAsia="zh-CN"/>
    </w:rPr>
  </w:style>
  <w:style w:type="character" w:customStyle="1" w:styleId="singlehangingChar">
    <w:name w:val="single hanging Char"/>
    <w:basedOn w:val="singleblockChar"/>
    <w:link w:val="singlehanging"/>
    <w:rsid w:val="007148BD"/>
    <w:rPr>
      <w:rFonts w:ascii="Times New Roman" w:eastAsia="SimSun" w:hAnsi="Times New Roman"/>
      <w:sz w:val="24"/>
      <w:szCs w:val="24"/>
      <w:lang w:eastAsia="zh-CN"/>
    </w:rPr>
  </w:style>
  <w:style w:type="character" w:customStyle="1" w:styleId="questionChar">
    <w:name w:val="question Char"/>
    <w:basedOn w:val="singlehangingChar"/>
    <w:link w:val="question"/>
    <w:rsid w:val="00D41353"/>
    <w:rPr>
      <w:rFonts w:ascii="Times New Roman" w:eastAsia="PMingLiU" w:hAnsi="Times New Roman"/>
      <w:b/>
      <w:bCs/>
      <w:sz w:val="24"/>
      <w:szCs w:val="24"/>
      <w:lang w:eastAsia="zh-CN"/>
    </w:rPr>
  </w:style>
  <w:style w:type="paragraph" w:styleId="Revision">
    <w:name w:val="Revision"/>
    <w:hidden/>
    <w:uiPriority w:val="99"/>
    <w:semiHidden/>
    <w:rsid w:val="007148BD"/>
    <w:rPr>
      <w:rFonts w:ascii="Times New Roman" w:hAnsi="Times New Roman"/>
      <w:sz w:val="24"/>
      <w:szCs w:val="24"/>
    </w:rPr>
  </w:style>
  <w:style w:type="paragraph" w:styleId="TOCHeading">
    <w:name w:val="TOC Heading"/>
    <w:basedOn w:val="Heading1"/>
    <w:next w:val="Normal"/>
    <w:uiPriority w:val="39"/>
    <w:qFormat/>
    <w:rsid w:val="00FC7A2F"/>
    <w:pPr>
      <w:spacing w:before="480" w:after="0" w:line="276" w:lineRule="auto"/>
      <w:ind w:left="0" w:right="0"/>
      <w:outlineLvl w:val="9"/>
    </w:pPr>
    <w:rPr>
      <w:rFonts w:ascii="Cambria" w:hAnsi="Cambria"/>
      <w:bCs/>
      <w:color w:val="365F91"/>
      <w:sz w:val="28"/>
      <w:szCs w:val="28"/>
      <w:lang w:eastAsia="en-US"/>
    </w:rPr>
  </w:style>
  <w:style w:type="paragraph" w:customStyle="1" w:styleId="Head">
    <w:name w:val="Head"/>
    <w:basedOn w:val="Normal"/>
    <w:rsid w:val="00C967BA"/>
    <w:pPr>
      <w:tabs>
        <w:tab w:val="left" w:pos="9360"/>
      </w:tabs>
      <w:overflowPunct w:val="0"/>
      <w:autoSpaceDE w:val="0"/>
      <w:autoSpaceDN w:val="0"/>
      <w:adjustRightInd w:val="0"/>
      <w:spacing w:after="240"/>
      <w:ind w:firstLine="720"/>
      <w:jc w:val="both"/>
      <w:textAlignment w:val="baseline"/>
    </w:pPr>
    <w:rPr>
      <w:rFonts w:ascii="Arial" w:hAnsi="Arial"/>
      <w:b/>
      <w:sz w:val="22"/>
      <w:szCs w:val="20"/>
    </w:rPr>
  </w:style>
  <w:style w:type="character" w:customStyle="1" w:styleId="plainChar">
    <w:name w:val="plain Char"/>
    <w:basedOn w:val="DefaultParagraphFont"/>
    <w:link w:val="plain"/>
    <w:rsid w:val="00ED3B1B"/>
    <w:rPr>
      <w:rFonts w:eastAsia="SimSun"/>
      <w:sz w:val="24"/>
      <w:szCs w:val="24"/>
      <w:lang w:val="en-US" w:eastAsia="zh-CN" w:bidi="ar-SA"/>
    </w:rPr>
  </w:style>
  <w:style w:type="paragraph" w:customStyle="1" w:styleId="BodyTextContinued">
    <w:name w:val="Body Text Continued"/>
    <w:basedOn w:val="BodyText"/>
    <w:next w:val="BodyText"/>
    <w:rsid w:val="00DA0A86"/>
    <w:pPr>
      <w:spacing w:after="240"/>
      <w:jc w:val="left"/>
    </w:pPr>
    <w:rPr>
      <w:szCs w:val="20"/>
      <w:lang w:val="en-US"/>
    </w:rPr>
  </w:style>
  <w:style w:type="paragraph" w:customStyle="1" w:styleId="DeliveryPhrase">
    <w:name w:val="Delivery Phrase"/>
    <w:basedOn w:val="Normal"/>
    <w:next w:val="Normal"/>
    <w:rsid w:val="00DA0A86"/>
    <w:pPr>
      <w:spacing w:after="240"/>
    </w:pPr>
    <w:rPr>
      <w:b/>
      <w:caps/>
      <w:szCs w:val="20"/>
    </w:rPr>
  </w:style>
  <w:style w:type="paragraph" w:customStyle="1" w:styleId="Letterhead">
    <w:name w:val="Letterhead"/>
    <w:rsid w:val="00DA0A86"/>
    <w:pPr>
      <w:tabs>
        <w:tab w:val="center" w:pos="1886"/>
      </w:tabs>
      <w:jc w:val="center"/>
    </w:pPr>
    <w:rPr>
      <w:rFonts w:ascii="Arial Narrow" w:hAnsi="Arial Narrow"/>
      <w:noProof/>
      <w:spacing w:val="2"/>
      <w:sz w:val="16"/>
    </w:rPr>
  </w:style>
  <w:style w:type="paragraph" w:customStyle="1" w:styleId="Header2QA">
    <w:name w:val="Header 2 Q&amp;A"/>
    <w:basedOn w:val="Normal"/>
    <w:rsid w:val="00DA0A86"/>
    <w:pPr>
      <w:widowControl w:val="0"/>
      <w:ind w:left="6048"/>
    </w:pPr>
    <w:rPr>
      <w:szCs w:val="20"/>
    </w:rPr>
  </w:style>
  <w:style w:type="paragraph" w:customStyle="1" w:styleId="CenterUnderline">
    <w:name w:val="$CenterUnderline"/>
    <w:basedOn w:val="Normal"/>
    <w:rsid w:val="00DA0A86"/>
    <w:pPr>
      <w:widowControl w:val="0"/>
      <w:spacing w:line="480" w:lineRule="exact"/>
      <w:jc w:val="center"/>
    </w:pPr>
    <w:rPr>
      <w:szCs w:val="20"/>
      <w:u w:val="single"/>
    </w:rPr>
  </w:style>
  <w:style w:type="paragraph" w:customStyle="1" w:styleId="CenterNormal">
    <w:name w:val="$CenterNormal"/>
    <w:basedOn w:val="CenterUnderline"/>
    <w:rsid w:val="00DA0A86"/>
    <w:pPr>
      <w:tabs>
        <w:tab w:val="left" w:pos="1296"/>
      </w:tabs>
      <w:spacing w:line="280" w:lineRule="exact"/>
    </w:pPr>
    <w:rPr>
      <w:u w:val="none"/>
    </w:rPr>
  </w:style>
  <w:style w:type="paragraph" w:customStyle="1" w:styleId="toa">
    <w:name w:val="toa"/>
    <w:basedOn w:val="Normal"/>
    <w:rsid w:val="00DA0A86"/>
    <w:pPr>
      <w:tabs>
        <w:tab w:val="left" w:pos="9000"/>
        <w:tab w:val="right" w:pos="9360"/>
      </w:tabs>
      <w:suppressAutoHyphens/>
    </w:pPr>
    <w:rPr>
      <w:sz w:val="20"/>
      <w:szCs w:val="20"/>
    </w:rPr>
  </w:style>
  <w:style w:type="character" w:customStyle="1" w:styleId="EquationCaption">
    <w:name w:val="_Equation Caption"/>
    <w:rsid w:val="00DA0A86"/>
  </w:style>
  <w:style w:type="paragraph" w:customStyle="1" w:styleId="QA">
    <w:name w:val="QA"/>
    <w:basedOn w:val="Normal"/>
    <w:rsid w:val="00DA0A86"/>
    <w:pPr>
      <w:tabs>
        <w:tab w:val="left" w:pos="720"/>
        <w:tab w:val="left" w:pos="1152"/>
        <w:tab w:val="left" w:pos="1584"/>
        <w:tab w:val="left" w:pos="2016"/>
      </w:tabs>
      <w:spacing w:line="480" w:lineRule="exact"/>
      <w:ind w:left="720" w:hanging="720"/>
    </w:pPr>
    <w:rPr>
      <w:szCs w:val="20"/>
    </w:rPr>
  </w:style>
  <w:style w:type="paragraph" w:customStyle="1" w:styleId="QandA">
    <w:name w:val="Q and A"/>
    <w:basedOn w:val="Normal"/>
    <w:rsid w:val="00DA0A86"/>
    <w:pPr>
      <w:widowControl w:val="0"/>
      <w:tabs>
        <w:tab w:val="left" w:pos="0"/>
        <w:tab w:val="left" w:pos="540"/>
        <w:tab w:val="left" w:pos="720"/>
      </w:tabs>
      <w:suppressAutoHyphens/>
      <w:spacing w:line="480" w:lineRule="auto"/>
      <w:ind w:left="540" w:hanging="540"/>
      <w:jc w:val="both"/>
    </w:pPr>
    <w:rPr>
      <w:rFonts w:ascii="Arial" w:hAnsi="Arial"/>
      <w:szCs w:val="20"/>
    </w:rPr>
  </w:style>
  <w:style w:type="paragraph" w:customStyle="1" w:styleId="QuickA">
    <w:name w:val="Quick A."/>
    <w:basedOn w:val="Normal"/>
    <w:rsid w:val="00DA0A86"/>
    <w:pPr>
      <w:widowControl w:val="0"/>
      <w:numPr>
        <w:numId w:val="25"/>
      </w:numPr>
    </w:pPr>
    <w:rPr>
      <w:snapToGrid w:val="0"/>
      <w:szCs w:val="20"/>
    </w:rPr>
  </w:style>
  <w:style w:type="paragraph" w:customStyle="1" w:styleId="Answer0">
    <w:name w:val="$Answer"/>
    <w:basedOn w:val="Normal"/>
    <w:next w:val="NormalIndent"/>
    <w:rsid w:val="00DA0A86"/>
    <w:pPr>
      <w:widowControl w:val="0"/>
      <w:spacing w:line="480" w:lineRule="exact"/>
      <w:ind w:left="576" w:hanging="576"/>
    </w:pPr>
    <w:rPr>
      <w:szCs w:val="20"/>
    </w:rPr>
  </w:style>
  <w:style w:type="paragraph" w:customStyle="1" w:styleId="Level03">
    <w:name w:val="$Level03"/>
    <w:basedOn w:val="Normal"/>
    <w:rsid w:val="00DA0A86"/>
    <w:pPr>
      <w:widowControl w:val="0"/>
      <w:numPr>
        <w:ilvl w:val="3"/>
        <w:numId w:val="26"/>
      </w:numPr>
      <w:tabs>
        <w:tab w:val="left" w:pos="1656"/>
        <w:tab w:val="left" w:pos="2232"/>
        <w:tab w:val="left" w:pos="2808"/>
      </w:tabs>
      <w:spacing w:line="480" w:lineRule="exact"/>
    </w:pPr>
    <w:rPr>
      <w:szCs w:val="20"/>
    </w:rPr>
  </w:style>
  <w:style w:type="paragraph" w:customStyle="1" w:styleId="Level05">
    <w:name w:val="$Level05"/>
    <w:basedOn w:val="Normal"/>
    <w:rsid w:val="00DA0A86"/>
    <w:pPr>
      <w:numPr>
        <w:ilvl w:val="5"/>
        <w:numId w:val="26"/>
      </w:numPr>
      <w:tabs>
        <w:tab w:val="left" w:pos="2376"/>
        <w:tab w:val="left" w:pos="2952"/>
        <w:tab w:val="left" w:pos="3528"/>
      </w:tabs>
      <w:spacing w:line="480" w:lineRule="exact"/>
    </w:pPr>
    <w:rPr>
      <w:szCs w:val="20"/>
    </w:rPr>
  </w:style>
  <w:style w:type="paragraph" w:customStyle="1" w:styleId="Level04">
    <w:name w:val="$Level04"/>
    <w:basedOn w:val="Normal"/>
    <w:rsid w:val="00DA0A86"/>
    <w:pPr>
      <w:numPr>
        <w:ilvl w:val="4"/>
        <w:numId w:val="26"/>
      </w:numPr>
      <w:tabs>
        <w:tab w:val="left" w:pos="2016"/>
        <w:tab w:val="left" w:pos="2592"/>
        <w:tab w:val="left" w:pos="3168"/>
      </w:tabs>
      <w:spacing w:line="480" w:lineRule="exact"/>
    </w:pPr>
    <w:rPr>
      <w:szCs w:val="20"/>
    </w:rPr>
  </w:style>
  <w:style w:type="paragraph" w:customStyle="1" w:styleId="Level06">
    <w:name w:val="$Level06"/>
    <w:basedOn w:val="Normal"/>
    <w:rsid w:val="00DA0A86"/>
    <w:pPr>
      <w:numPr>
        <w:ilvl w:val="6"/>
        <w:numId w:val="26"/>
      </w:numPr>
      <w:tabs>
        <w:tab w:val="left" w:pos="2736"/>
        <w:tab w:val="left" w:pos="3312"/>
        <w:tab w:val="left" w:pos="3888"/>
      </w:tabs>
      <w:spacing w:line="480" w:lineRule="exact"/>
    </w:pPr>
    <w:rPr>
      <w:szCs w:val="20"/>
    </w:rPr>
  </w:style>
  <w:style w:type="paragraph" w:customStyle="1" w:styleId="Level00">
    <w:name w:val="$Level00"/>
    <w:basedOn w:val="Normal"/>
    <w:next w:val="NormalIndent"/>
    <w:rsid w:val="00DA0A86"/>
    <w:pPr>
      <w:widowControl w:val="0"/>
      <w:numPr>
        <w:numId w:val="26"/>
      </w:numPr>
      <w:tabs>
        <w:tab w:val="left" w:pos="576"/>
        <w:tab w:val="left" w:pos="1152"/>
      </w:tabs>
      <w:spacing w:line="480" w:lineRule="exact"/>
    </w:pPr>
    <w:rPr>
      <w:szCs w:val="20"/>
    </w:rPr>
  </w:style>
  <w:style w:type="paragraph" w:customStyle="1" w:styleId="Level01">
    <w:name w:val="$Level01"/>
    <w:basedOn w:val="Normal"/>
    <w:rsid w:val="00DA0A86"/>
    <w:pPr>
      <w:widowControl w:val="0"/>
      <w:numPr>
        <w:ilvl w:val="1"/>
        <w:numId w:val="26"/>
      </w:numPr>
      <w:tabs>
        <w:tab w:val="left" w:pos="1512"/>
        <w:tab w:val="left" w:pos="2088"/>
      </w:tabs>
      <w:spacing w:line="480" w:lineRule="exact"/>
    </w:pPr>
    <w:rPr>
      <w:szCs w:val="20"/>
    </w:rPr>
  </w:style>
  <w:style w:type="paragraph" w:customStyle="1" w:styleId="Level02">
    <w:name w:val="$Level02"/>
    <w:basedOn w:val="Normal"/>
    <w:rsid w:val="00DA0A86"/>
    <w:pPr>
      <w:widowControl w:val="0"/>
      <w:numPr>
        <w:ilvl w:val="2"/>
        <w:numId w:val="26"/>
      </w:numPr>
      <w:tabs>
        <w:tab w:val="left" w:pos="1944"/>
        <w:tab w:val="left" w:pos="2520"/>
      </w:tabs>
      <w:spacing w:line="480" w:lineRule="exact"/>
    </w:pPr>
    <w:rPr>
      <w:szCs w:val="20"/>
    </w:rPr>
  </w:style>
  <w:style w:type="character" w:customStyle="1" w:styleId="documentbody">
    <w:name w:val="documentbody"/>
    <w:basedOn w:val="DefaultParagraphFont"/>
    <w:rsid w:val="00DA0A86"/>
  </w:style>
  <w:style w:type="character" w:customStyle="1" w:styleId="searchterm">
    <w:name w:val="searchterm"/>
    <w:basedOn w:val="DefaultParagraphFont"/>
    <w:rsid w:val="00DA0A86"/>
  </w:style>
  <w:style w:type="paragraph" w:customStyle="1" w:styleId="testimony">
    <w:name w:val="testimony"/>
    <w:basedOn w:val="Normal"/>
    <w:rsid w:val="00DA0A86"/>
    <w:pPr>
      <w:tabs>
        <w:tab w:val="left" w:pos="720"/>
        <w:tab w:val="left" w:pos="2160"/>
      </w:tabs>
      <w:spacing w:line="440" w:lineRule="atLeast"/>
      <w:ind w:hanging="360"/>
    </w:pPr>
    <w:rPr>
      <w:rFonts w:ascii="Times" w:hAnsi="Times"/>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DA0A86"/>
    <w:rPr>
      <w:rFonts w:ascii="Times New Roman" w:eastAsia="SimSun" w:hAnsi="Times New Roman"/>
      <w:sz w:val="22"/>
      <w:szCs w:val="24"/>
      <w:lang w:eastAsia="zh-CN"/>
    </w:rPr>
  </w:style>
  <w:style w:type="character" w:customStyle="1" w:styleId="Heading6Char">
    <w:name w:val="Heading 6 Char"/>
    <w:aliases w:val="h6 Char"/>
    <w:basedOn w:val="DefaultParagraphFont"/>
    <w:link w:val="Heading6"/>
    <w:uiPriority w:val="9"/>
    <w:rsid w:val="00DA0A86"/>
    <w:rPr>
      <w:rFonts w:ascii="Times New Roman Bold" w:hAnsi="Times New Roman Bold"/>
      <w:b/>
      <w:sz w:val="24"/>
      <w:szCs w:val="24"/>
      <w:u w:val="single"/>
      <w:lang w:eastAsia="zh-CN"/>
    </w:rPr>
  </w:style>
  <w:style w:type="character" w:customStyle="1" w:styleId="Heading7Char">
    <w:name w:val="Heading 7 Char"/>
    <w:aliases w:val="h7 Char"/>
    <w:basedOn w:val="DefaultParagraphFont"/>
    <w:link w:val="Heading7"/>
    <w:uiPriority w:val="9"/>
    <w:rsid w:val="00DA0A86"/>
    <w:rPr>
      <w:rFonts w:ascii="Times New Roman Bold" w:hAnsi="Times New Roman Bold"/>
      <w:b/>
      <w:sz w:val="24"/>
      <w:szCs w:val="24"/>
      <w:u w:val="single"/>
      <w:lang w:eastAsia="zh-CN"/>
    </w:rPr>
  </w:style>
  <w:style w:type="character" w:customStyle="1" w:styleId="Heading8Char">
    <w:name w:val="Heading 8 Char"/>
    <w:aliases w:val="h8 Char"/>
    <w:basedOn w:val="DefaultParagraphFont"/>
    <w:link w:val="Heading8"/>
    <w:uiPriority w:val="9"/>
    <w:rsid w:val="00DA0A86"/>
    <w:rPr>
      <w:rFonts w:ascii="Times New Roman Bold" w:hAnsi="Times New Roman Bold"/>
      <w:b/>
      <w:sz w:val="24"/>
      <w:szCs w:val="24"/>
      <w:u w:val="single"/>
      <w:lang w:eastAsia="zh-CN"/>
    </w:rPr>
  </w:style>
  <w:style w:type="character" w:customStyle="1" w:styleId="Heading3Char">
    <w:name w:val="Heading 3 Char"/>
    <w:aliases w:val="h3 Char"/>
    <w:basedOn w:val="DefaultParagraphFont"/>
    <w:link w:val="Heading3"/>
    <w:uiPriority w:val="9"/>
    <w:rsid w:val="00FC16B1"/>
    <w:rPr>
      <w:rFonts w:ascii="Times New Roman" w:eastAsia="SimSun" w:hAnsi="Times New Roman"/>
      <w:b/>
      <w:snapToGrid w:val="0"/>
      <w:sz w:val="24"/>
      <w:u w:val="single"/>
    </w:rPr>
  </w:style>
  <w:style w:type="character" w:customStyle="1" w:styleId="Heading4Char">
    <w:name w:val="Heading 4 Char"/>
    <w:aliases w:val="h4 Char,h4 + No underline Char"/>
    <w:basedOn w:val="DefaultParagraphFont"/>
    <w:link w:val="Heading4"/>
    <w:uiPriority w:val="9"/>
    <w:rsid w:val="00DA0A86"/>
    <w:rPr>
      <w:rFonts w:ascii="Times New Roman Bold" w:hAnsi="Times New Roman Bold"/>
      <w:b/>
      <w:sz w:val="24"/>
      <w:szCs w:val="24"/>
      <w:u w:val="single"/>
      <w:lang w:eastAsia="zh-CN"/>
    </w:rPr>
  </w:style>
  <w:style w:type="character" w:customStyle="1" w:styleId="Heading5Char">
    <w:name w:val="Heading 5 Char"/>
    <w:aliases w:val="h5 Char"/>
    <w:basedOn w:val="DefaultParagraphFont"/>
    <w:link w:val="Heading5"/>
    <w:uiPriority w:val="9"/>
    <w:rsid w:val="00DA0A86"/>
    <w:rPr>
      <w:rFonts w:ascii="Times New Roman Bold" w:hAnsi="Times New Roman Bold"/>
      <w:b/>
      <w:sz w:val="24"/>
      <w:szCs w:val="24"/>
      <w:u w:val="single"/>
      <w:lang w:eastAsia="zh-CN"/>
    </w:rPr>
  </w:style>
  <w:style w:type="character" w:customStyle="1" w:styleId="HeaderChar">
    <w:name w:val="Header Char"/>
    <w:basedOn w:val="DefaultParagraphFont"/>
    <w:link w:val="Header"/>
    <w:uiPriority w:val="99"/>
    <w:rsid w:val="00DA0A86"/>
    <w:rPr>
      <w:rFonts w:ascii="Times New Roman" w:eastAsia="SimSun" w:hAnsi="Times New Roman"/>
      <w:sz w:val="24"/>
      <w:szCs w:val="24"/>
      <w:lang w:eastAsia="zh-CN"/>
    </w:rPr>
  </w:style>
  <w:style w:type="character" w:customStyle="1" w:styleId="BodyTextChar">
    <w:name w:val="Body Text Char"/>
    <w:aliases w:val="bt Char"/>
    <w:basedOn w:val="DefaultParagraphFont"/>
    <w:link w:val="BodyText"/>
    <w:uiPriority w:val="99"/>
    <w:rsid w:val="00DA0A86"/>
    <w:rPr>
      <w:rFonts w:ascii="Times New Roman" w:hAnsi="Times New Roman"/>
      <w:sz w:val="24"/>
      <w:szCs w:val="24"/>
      <w:lang w:val="en-GB"/>
    </w:rPr>
  </w:style>
  <w:style w:type="character" w:customStyle="1" w:styleId="BodyTextIndent2Char">
    <w:name w:val="Body Text Indent 2 Char"/>
    <w:basedOn w:val="DefaultParagraphFont"/>
    <w:link w:val="BodyTextIndent2"/>
    <w:uiPriority w:val="99"/>
    <w:rsid w:val="00DA0A86"/>
    <w:rPr>
      <w:rFonts w:ascii="CG Times" w:hAnsi="CG Times"/>
      <w:color w:val="0000FF"/>
      <w:sz w:val="24"/>
      <w:szCs w:val="24"/>
    </w:rPr>
  </w:style>
  <w:style w:type="character" w:customStyle="1" w:styleId="BodyText3Char">
    <w:name w:val="Body Text 3 Char"/>
    <w:basedOn w:val="DefaultParagraphFont"/>
    <w:link w:val="BodyText3"/>
    <w:uiPriority w:val="99"/>
    <w:rsid w:val="00DA0A86"/>
    <w:rPr>
      <w:rFonts w:ascii="Times New Roman" w:hAnsi="Times New Roman"/>
      <w:snapToGrid w:val="0"/>
      <w:sz w:val="24"/>
      <w:szCs w:val="24"/>
    </w:rPr>
  </w:style>
  <w:style w:type="character" w:customStyle="1" w:styleId="PlainTextChar">
    <w:name w:val="Plain Text Char"/>
    <w:basedOn w:val="DefaultParagraphFont"/>
    <w:link w:val="PlainText"/>
    <w:uiPriority w:val="99"/>
    <w:rsid w:val="00DA0A86"/>
    <w:rPr>
      <w:rFonts w:ascii="Courier New" w:hAnsi="Courier New" w:cs="Courier New"/>
      <w:szCs w:val="24"/>
    </w:rPr>
  </w:style>
  <w:style w:type="character" w:customStyle="1" w:styleId="BodyTextIndentChar">
    <w:name w:val="Body Text Indent Char"/>
    <w:basedOn w:val="DefaultParagraphFont"/>
    <w:link w:val="BodyTextIndent"/>
    <w:uiPriority w:val="99"/>
    <w:rsid w:val="00DA0A86"/>
    <w:rPr>
      <w:rFonts w:ascii="Arial" w:hAnsi="Arial"/>
      <w:sz w:val="22"/>
      <w:szCs w:val="24"/>
    </w:rPr>
  </w:style>
  <w:style w:type="paragraph" w:customStyle="1" w:styleId="Testimony0">
    <w:name w:val="Testimony"/>
    <w:basedOn w:val="Normal"/>
    <w:rsid w:val="00DA0A86"/>
    <w:pPr>
      <w:tabs>
        <w:tab w:val="left" w:pos="80"/>
        <w:tab w:val="left" w:pos="180"/>
        <w:tab w:val="left" w:pos="800"/>
        <w:tab w:val="left" w:pos="1260"/>
        <w:tab w:val="left" w:pos="1700"/>
        <w:tab w:val="left" w:pos="4580"/>
        <w:tab w:val="left" w:pos="9360"/>
      </w:tabs>
      <w:spacing w:line="480" w:lineRule="atLeast"/>
      <w:ind w:left="1260" w:right="460" w:hanging="900"/>
      <w:jc w:val="both"/>
    </w:pPr>
    <w:rPr>
      <w:rFonts w:ascii="Helv" w:hAnsi="Helv"/>
      <w:szCs w:val="20"/>
    </w:rPr>
  </w:style>
  <w:style w:type="character" w:customStyle="1" w:styleId="BodyText2Char">
    <w:name w:val="Body Text 2 Char"/>
    <w:basedOn w:val="DefaultParagraphFont"/>
    <w:link w:val="BodyText2"/>
    <w:uiPriority w:val="99"/>
    <w:rsid w:val="00DA0A86"/>
    <w:rPr>
      <w:rFonts w:ascii="Times New Roman" w:hAnsi="Times New Roman"/>
      <w:sz w:val="24"/>
      <w:szCs w:val="24"/>
    </w:rPr>
  </w:style>
  <w:style w:type="character" w:customStyle="1" w:styleId="FooterChar">
    <w:name w:val="Footer Char"/>
    <w:basedOn w:val="DefaultParagraphFont"/>
    <w:link w:val="Footer"/>
    <w:uiPriority w:val="99"/>
    <w:rsid w:val="00DA0A86"/>
    <w:rPr>
      <w:rFonts w:ascii="Times New Roman" w:eastAsia="SimSun" w:hAnsi="Times New Roman"/>
      <w:color w:val="000000"/>
      <w:sz w:val="24"/>
      <w:szCs w:val="24"/>
      <w:lang w:eastAsia="zh-CN"/>
    </w:rPr>
  </w:style>
  <w:style w:type="character" w:customStyle="1" w:styleId="TitleChar">
    <w:name w:val="Title Char"/>
    <w:basedOn w:val="DefaultParagraphFont"/>
    <w:link w:val="Title"/>
    <w:uiPriority w:val="10"/>
    <w:rsid w:val="00DA0A86"/>
    <w:rPr>
      <w:rFonts w:ascii="Arial" w:hAnsi="Arial" w:cs="Arial"/>
      <w:b/>
      <w:bCs/>
      <w:kern w:val="28"/>
      <w:sz w:val="32"/>
      <w:szCs w:val="32"/>
    </w:rPr>
  </w:style>
  <w:style w:type="character" w:customStyle="1" w:styleId="BodyTextIndent3Char">
    <w:name w:val="Body Text Indent 3 Char"/>
    <w:basedOn w:val="DefaultParagraphFont"/>
    <w:link w:val="BodyTextIndent3"/>
    <w:uiPriority w:val="99"/>
    <w:rsid w:val="00DA0A86"/>
    <w:rPr>
      <w:rFonts w:ascii="Times" w:hAnsi="Times"/>
      <w:sz w:val="24"/>
      <w:szCs w:val="24"/>
    </w:rPr>
  </w:style>
  <w:style w:type="paragraph" w:customStyle="1" w:styleId="MoPSCTestimony">
    <w:name w:val="MoPSC Testimony"/>
    <w:basedOn w:val="Normal"/>
    <w:rsid w:val="00DA0A86"/>
    <w:pPr>
      <w:spacing w:line="480" w:lineRule="auto"/>
      <w:ind w:firstLine="720"/>
    </w:pPr>
  </w:style>
  <w:style w:type="paragraph" w:customStyle="1" w:styleId="Heading3Text">
    <w:name w:val="Heading 3 Text"/>
    <w:basedOn w:val="Normal"/>
    <w:rsid w:val="00DA0A86"/>
    <w:pPr>
      <w:widowControl w:val="0"/>
      <w:overflowPunct w:val="0"/>
      <w:autoSpaceDE w:val="0"/>
      <w:autoSpaceDN w:val="0"/>
      <w:adjustRightInd w:val="0"/>
      <w:spacing w:line="480" w:lineRule="atLeast"/>
      <w:ind w:left="720" w:firstLine="720"/>
      <w:textAlignment w:val="baseline"/>
    </w:pPr>
    <w:rPr>
      <w:rFonts w:ascii="NewCenturySchlbk" w:hAnsi="NewCenturySchlbk"/>
      <w:szCs w:val="20"/>
    </w:rPr>
  </w:style>
  <w:style w:type="paragraph" w:customStyle="1" w:styleId="Quote3">
    <w:name w:val="Quote 3"/>
    <w:basedOn w:val="Normal"/>
    <w:rsid w:val="00DA0A86"/>
    <w:pPr>
      <w:widowControl w:val="0"/>
      <w:overflowPunct w:val="0"/>
      <w:autoSpaceDE w:val="0"/>
      <w:autoSpaceDN w:val="0"/>
      <w:adjustRightInd w:val="0"/>
      <w:spacing w:before="240"/>
      <w:ind w:left="2880" w:right="2880"/>
      <w:textAlignment w:val="baseline"/>
    </w:pPr>
    <w:rPr>
      <w:rFonts w:ascii="NewCenturySchlbk" w:hAnsi="NewCenturySchlbk"/>
      <w:szCs w:val="20"/>
    </w:rPr>
  </w:style>
  <w:style w:type="paragraph" w:customStyle="1" w:styleId="Heading2Text">
    <w:name w:val="Heading 2 Text"/>
    <w:basedOn w:val="Normal"/>
    <w:rsid w:val="00DA0A86"/>
    <w:pPr>
      <w:spacing w:line="480" w:lineRule="atLeast"/>
      <w:ind w:firstLine="720"/>
    </w:pPr>
    <w:rPr>
      <w:rFonts w:ascii="NewCenturySchlbk" w:hAnsi="NewCenturySchlbk"/>
      <w:szCs w:val="20"/>
    </w:rPr>
  </w:style>
  <w:style w:type="paragraph" w:customStyle="1" w:styleId="Heading1Text">
    <w:name w:val="Heading 1 Text"/>
    <w:basedOn w:val="Normal"/>
    <w:rsid w:val="00DA0A86"/>
    <w:pPr>
      <w:spacing w:line="480" w:lineRule="atLeast"/>
      <w:ind w:firstLine="720"/>
    </w:pPr>
    <w:rPr>
      <w:rFonts w:ascii="NewCenturySchlbk" w:hAnsi="NewCenturySchlbk"/>
      <w:szCs w:val="20"/>
    </w:rPr>
  </w:style>
  <w:style w:type="paragraph" w:customStyle="1" w:styleId="Question0">
    <w:name w:val="$Question"/>
    <w:basedOn w:val="Normal"/>
    <w:next w:val="NormalIndent"/>
    <w:rsid w:val="00DA0A86"/>
    <w:pPr>
      <w:widowControl w:val="0"/>
      <w:spacing w:line="480" w:lineRule="exact"/>
      <w:ind w:left="576" w:hanging="576"/>
    </w:pPr>
    <w:rPr>
      <w:szCs w:val="20"/>
    </w:rPr>
  </w:style>
  <w:style w:type="character" w:customStyle="1" w:styleId="BalloonTextChar">
    <w:name w:val="Balloon Text Char"/>
    <w:basedOn w:val="DefaultParagraphFont"/>
    <w:link w:val="BalloonText"/>
    <w:uiPriority w:val="99"/>
    <w:rsid w:val="00DA0A86"/>
    <w:rPr>
      <w:rFonts w:ascii="Tahoma" w:hAnsi="Tahoma" w:cs="TheSerif 3-Light"/>
      <w:sz w:val="16"/>
      <w:szCs w:val="16"/>
    </w:rPr>
  </w:style>
  <w:style w:type="character" w:customStyle="1" w:styleId="CommentTextChar">
    <w:name w:val="Comment Text Char"/>
    <w:basedOn w:val="DefaultParagraphFont"/>
    <w:link w:val="CommentText"/>
    <w:uiPriority w:val="99"/>
    <w:rsid w:val="00DA0A86"/>
    <w:rPr>
      <w:rFonts w:ascii="Times New Roman" w:eastAsia="SimSun" w:hAnsi="Times New Roman"/>
      <w:sz w:val="22"/>
      <w:szCs w:val="24"/>
      <w:lang w:eastAsia="zh-CN"/>
    </w:rPr>
  </w:style>
  <w:style w:type="character" w:customStyle="1" w:styleId="CommentSubjectChar">
    <w:name w:val="Comment Subject Char"/>
    <w:basedOn w:val="CommentTextChar"/>
    <w:link w:val="CommentSubject"/>
    <w:uiPriority w:val="99"/>
    <w:rsid w:val="00DA0A86"/>
    <w:rPr>
      <w:rFonts w:ascii="Times New Roman" w:eastAsia="SimSun" w:hAnsi="Times New Roman"/>
      <w:b/>
      <w:bCs/>
      <w:sz w:val="22"/>
      <w:szCs w:val="24"/>
      <w:lang w:eastAsia="zh-CN"/>
    </w:rPr>
  </w:style>
  <w:style w:type="paragraph" w:styleId="ListParagraph">
    <w:name w:val="List Paragraph"/>
    <w:basedOn w:val="Normal"/>
    <w:uiPriority w:val="34"/>
    <w:qFormat/>
    <w:rsid w:val="004C6945"/>
    <w:pPr>
      <w:ind w:left="720"/>
      <w:contextualSpacing/>
    </w:pPr>
  </w:style>
  <w:style w:type="paragraph" w:styleId="Quote">
    <w:name w:val="Quote"/>
    <w:basedOn w:val="Normal"/>
    <w:next w:val="Normal"/>
    <w:link w:val="QuoteChar"/>
    <w:uiPriority w:val="29"/>
    <w:qFormat/>
    <w:rsid w:val="00BF05CC"/>
    <w:pPr>
      <w:spacing w:after="280"/>
      <w:ind w:left="1440" w:right="720"/>
      <w:jc w:val="both"/>
    </w:pPr>
    <w:rPr>
      <w:iCs/>
      <w:color w:val="000000" w:themeColor="text1"/>
    </w:rPr>
  </w:style>
  <w:style w:type="character" w:customStyle="1" w:styleId="QuoteChar">
    <w:name w:val="Quote Char"/>
    <w:basedOn w:val="DefaultParagraphFont"/>
    <w:link w:val="Quote"/>
    <w:uiPriority w:val="29"/>
    <w:rsid w:val="00BF05CC"/>
    <w:rPr>
      <w:rFonts w:ascii="Times New Roman" w:hAnsi="Times New Roman"/>
      <w:iCs/>
      <w:color w:val="000000" w:themeColor="text1"/>
      <w:sz w:val="24"/>
      <w:szCs w:val="24"/>
    </w:rPr>
  </w:style>
  <w:style w:type="numbering" w:customStyle="1" w:styleId="NoList1">
    <w:name w:val="No List1"/>
    <w:next w:val="NoList"/>
    <w:uiPriority w:val="99"/>
    <w:semiHidden/>
    <w:unhideWhenUsed/>
    <w:rsid w:val="00537488"/>
  </w:style>
  <w:style w:type="character" w:customStyle="1" w:styleId="Heading9Char">
    <w:name w:val="Heading 9 Char"/>
    <w:aliases w:val="h9 Char"/>
    <w:basedOn w:val="DefaultParagraphFont"/>
    <w:link w:val="Heading9"/>
    <w:uiPriority w:val="9"/>
    <w:rsid w:val="00537488"/>
    <w:rPr>
      <w:rFonts w:ascii="Times New Roman" w:eastAsia="SimSun" w:hAnsi="Times New Roman"/>
      <w:b/>
      <w:snapToGrid w:val="0"/>
      <w:sz w:val="24"/>
      <w:u w:val="single"/>
    </w:rPr>
  </w:style>
  <w:style w:type="paragraph" w:customStyle="1" w:styleId="answerFirstline0">
    <w:name w:val="answer + First line:  0&quot;"/>
    <w:basedOn w:val="answer"/>
    <w:rsid w:val="00537488"/>
    <w:pPr>
      <w:ind w:firstLine="0"/>
    </w:pPr>
    <w:rPr>
      <w:rFonts w:ascii="CG Times (WN)" w:hAnsi="CG Times (WN)"/>
    </w:rPr>
  </w:style>
  <w:style w:type="character" w:customStyle="1" w:styleId="Heading1Char1">
    <w:name w:val="Heading 1 Char1"/>
    <w:aliases w:val="h1 Char1"/>
    <w:uiPriority w:val="9"/>
    <w:locked/>
    <w:rsid w:val="00537488"/>
    <w:rPr>
      <w:b/>
      <w:sz w:val="24"/>
      <w:lang w:eastAsia="zh-CN"/>
    </w:rPr>
  </w:style>
  <w:style w:type="character" w:customStyle="1" w:styleId="BodyTextFirstIndentChar">
    <w:name w:val="Body Text First Indent Char"/>
    <w:basedOn w:val="BodyTextChar"/>
    <w:link w:val="BodyTextFirstIndent"/>
    <w:uiPriority w:val="99"/>
    <w:rsid w:val="00537488"/>
    <w:rPr>
      <w:rFonts w:ascii="Times New Roman" w:hAnsi="Times New Roman"/>
      <w:sz w:val="24"/>
      <w:szCs w:val="24"/>
      <w:lang w:val="en-GB"/>
    </w:rPr>
  </w:style>
  <w:style w:type="character" w:customStyle="1" w:styleId="BodyTextFirstIndent2Char">
    <w:name w:val="Body Text First Indent 2 Char"/>
    <w:basedOn w:val="BodyTextIndentChar"/>
    <w:link w:val="BodyTextFirstIndent2"/>
    <w:uiPriority w:val="99"/>
    <w:rsid w:val="00537488"/>
    <w:rPr>
      <w:rFonts w:ascii="Times New Roman" w:hAnsi="Times New Roman"/>
      <w:sz w:val="24"/>
      <w:szCs w:val="24"/>
    </w:rPr>
  </w:style>
  <w:style w:type="character" w:customStyle="1" w:styleId="ClosingChar">
    <w:name w:val="Closing Char"/>
    <w:basedOn w:val="DefaultParagraphFont"/>
    <w:link w:val="Closing"/>
    <w:uiPriority w:val="99"/>
    <w:rsid w:val="00537488"/>
    <w:rPr>
      <w:rFonts w:ascii="Times New Roman" w:hAnsi="Times New Roman"/>
      <w:sz w:val="24"/>
      <w:szCs w:val="24"/>
    </w:rPr>
  </w:style>
  <w:style w:type="character" w:customStyle="1" w:styleId="DateChar">
    <w:name w:val="Date Char"/>
    <w:basedOn w:val="DefaultParagraphFont"/>
    <w:link w:val="Date"/>
    <w:uiPriority w:val="99"/>
    <w:rsid w:val="00537488"/>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37488"/>
    <w:rPr>
      <w:rFonts w:ascii="Tahoma" w:hAnsi="Tahoma" w:cs="Tahoma"/>
      <w:sz w:val="24"/>
      <w:szCs w:val="24"/>
      <w:shd w:val="clear" w:color="auto" w:fill="000080"/>
    </w:rPr>
  </w:style>
  <w:style w:type="character" w:customStyle="1" w:styleId="E-mailSignatureChar">
    <w:name w:val="E-mail Signature Char"/>
    <w:basedOn w:val="DefaultParagraphFont"/>
    <w:link w:val="E-mailSignature"/>
    <w:uiPriority w:val="99"/>
    <w:rsid w:val="00537488"/>
    <w:rPr>
      <w:rFonts w:ascii="Times New Roman" w:hAnsi="Times New Roman"/>
      <w:sz w:val="24"/>
      <w:szCs w:val="24"/>
    </w:rPr>
  </w:style>
  <w:style w:type="character" w:customStyle="1" w:styleId="EndnoteTextChar">
    <w:name w:val="Endnote Text Char"/>
    <w:basedOn w:val="DefaultParagraphFont"/>
    <w:link w:val="EndnoteText"/>
    <w:uiPriority w:val="99"/>
    <w:semiHidden/>
    <w:rsid w:val="00537488"/>
    <w:rPr>
      <w:rFonts w:ascii="Times New Roman" w:hAnsi="Times New Roman"/>
      <w:szCs w:val="24"/>
    </w:rPr>
  </w:style>
  <w:style w:type="character" w:customStyle="1" w:styleId="HTMLAddressChar">
    <w:name w:val="HTML Address Char"/>
    <w:basedOn w:val="DefaultParagraphFont"/>
    <w:link w:val="HTMLAddress"/>
    <w:uiPriority w:val="99"/>
    <w:rsid w:val="00537488"/>
    <w:rPr>
      <w:rFonts w:ascii="Times New Roman" w:hAnsi="Times New Roman"/>
      <w:i/>
      <w:iCs/>
      <w:sz w:val="24"/>
      <w:szCs w:val="24"/>
    </w:rPr>
  </w:style>
  <w:style w:type="character" w:customStyle="1" w:styleId="HTMLPreformattedChar">
    <w:name w:val="HTML Preformatted Char"/>
    <w:basedOn w:val="DefaultParagraphFont"/>
    <w:link w:val="HTMLPreformatted"/>
    <w:uiPriority w:val="99"/>
    <w:rsid w:val="00537488"/>
    <w:rPr>
      <w:rFonts w:ascii="Courier New" w:hAnsi="Courier New" w:cs="Courier New"/>
      <w:szCs w:val="24"/>
    </w:rPr>
  </w:style>
  <w:style w:type="character" w:customStyle="1" w:styleId="MacroTextChar">
    <w:name w:val="Macro Text Char"/>
    <w:basedOn w:val="DefaultParagraphFont"/>
    <w:link w:val="MacroText"/>
    <w:uiPriority w:val="99"/>
    <w:semiHidden/>
    <w:rsid w:val="00537488"/>
    <w:rPr>
      <w:rFonts w:ascii="Courier New" w:hAnsi="Courier New" w:cs="Courier New"/>
      <w:lang w:eastAsia="zh-CN"/>
    </w:rPr>
  </w:style>
  <w:style w:type="character" w:customStyle="1" w:styleId="MessageHeaderChar">
    <w:name w:val="Message Header Char"/>
    <w:basedOn w:val="DefaultParagraphFont"/>
    <w:link w:val="MessageHeader"/>
    <w:uiPriority w:val="99"/>
    <w:rsid w:val="00537488"/>
    <w:rPr>
      <w:rFonts w:ascii="Arial" w:hAnsi="Arial" w:cs="Arial"/>
      <w:sz w:val="24"/>
      <w:szCs w:val="24"/>
      <w:shd w:val="pct20" w:color="auto" w:fill="auto"/>
    </w:rPr>
  </w:style>
  <w:style w:type="character" w:customStyle="1" w:styleId="NoteHeadingChar">
    <w:name w:val="Note Heading Char"/>
    <w:basedOn w:val="DefaultParagraphFont"/>
    <w:link w:val="NoteHeading"/>
    <w:uiPriority w:val="99"/>
    <w:rsid w:val="00537488"/>
    <w:rPr>
      <w:rFonts w:ascii="Times New Roman" w:hAnsi="Times New Roman"/>
      <w:sz w:val="24"/>
      <w:szCs w:val="24"/>
    </w:rPr>
  </w:style>
  <w:style w:type="character" w:customStyle="1" w:styleId="SalutationChar">
    <w:name w:val="Salutation Char"/>
    <w:basedOn w:val="DefaultParagraphFont"/>
    <w:link w:val="Salutation"/>
    <w:uiPriority w:val="99"/>
    <w:rsid w:val="00537488"/>
    <w:rPr>
      <w:rFonts w:ascii="Times New Roman" w:hAnsi="Times New Roman"/>
      <w:sz w:val="24"/>
      <w:szCs w:val="24"/>
    </w:rPr>
  </w:style>
  <w:style w:type="character" w:customStyle="1" w:styleId="SignatureChar">
    <w:name w:val="Signature Char"/>
    <w:basedOn w:val="DefaultParagraphFont"/>
    <w:link w:val="Signature"/>
    <w:uiPriority w:val="99"/>
    <w:rsid w:val="00537488"/>
    <w:rPr>
      <w:rFonts w:ascii="Times New Roman" w:hAnsi="Times New Roman"/>
      <w:sz w:val="24"/>
      <w:szCs w:val="24"/>
    </w:rPr>
  </w:style>
  <w:style w:type="character" w:customStyle="1" w:styleId="SubtitleChar">
    <w:name w:val="Subtitle Char"/>
    <w:basedOn w:val="DefaultParagraphFont"/>
    <w:link w:val="Subtitle"/>
    <w:uiPriority w:val="11"/>
    <w:rsid w:val="00537488"/>
    <w:rPr>
      <w:rFonts w:ascii="Arial" w:hAnsi="Arial" w:cs="Arial"/>
      <w:sz w:val="24"/>
      <w:szCs w:val="24"/>
    </w:rPr>
  </w:style>
  <w:style w:type="table" w:customStyle="1" w:styleId="TableGrid1">
    <w:name w:val="Table Grid1"/>
    <w:basedOn w:val="TableNormal"/>
    <w:next w:val="TableGrid"/>
    <w:uiPriority w:val="59"/>
    <w:rsid w:val="00537488"/>
    <w:pPr>
      <w:spacing w:line="480" w:lineRule="atLeast"/>
      <w:ind w:firstLine="72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 No underline Char1,h4 Char1"/>
    <w:locked/>
    <w:rsid w:val="00537488"/>
    <w:rPr>
      <w:rFonts w:ascii="Times New Roman Bold" w:hAnsi="Times New Roman Bold"/>
      <w:b/>
      <w:sz w:val="24"/>
      <w:u w:val="single"/>
    </w:rPr>
  </w:style>
  <w:style w:type="character" w:customStyle="1" w:styleId="questionChar1">
    <w:name w:val="question Char1"/>
    <w:rsid w:val="00537488"/>
    <w:rPr>
      <w:rFonts w:eastAsia="SimSun"/>
      <w:b/>
      <w:sz w:val="24"/>
      <w:lang w:val="en-US" w:eastAsia="zh-CN"/>
    </w:rPr>
  </w:style>
  <w:style w:type="paragraph" w:customStyle="1" w:styleId="WUTCParagraph">
    <w:name w:val="WUTC Paragraph"/>
    <w:basedOn w:val="Normal"/>
    <w:rsid w:val="00537488"/>
    <w:pPr>
      <w:tabs>
        <w:tab w:val="num" w:pos="0"/>
        <w:tab w:val="left" w:pos="1440"/>
      </w:tabs>
      <w:spacing w:line="480" w:lineRule="auto"/>
      <w:ind w:hanging="720"/>
    </w:pPr>
    <w:rPr>
      <w:rFonts w:eastAsia="SimSun"/>
    </w:rPr>
  </w:style>
  <w:style w:type="paragraph" w:customStyle="1" w:styleId="StyleArialLinespacingDouble">
    <w:name w:val="Style Arial Line spacing:  Double"/>
    <w:basedOn w:val="Normal"/>
    <w:rsid w:val="00537488"/>
    <w:pPr>
      <w:spacing w:line="480" w:lineRule="auto"/>
    </w:pPr>
    <w:rPr>
      <w:rFonts w:ascii="Arial" w:eastAsia="SimSun" w:hAnsi="Arial"/>
      <w:sz w:val="22"/>
      <w:szCs w:val="20"/>
    </w:rPr>
  </w:style>
  <w:style w:type="paragraph" w:customStyle="1" w:styleId="08WHEBody">
    <w:name w:val="08WHE Body"/>
    <w:basedOn w:val="Normal"/>
    <w:link w:val="08WHEBodyChar"/>
    <w:rsid w:val="00537488"/>
    <w:pPr>
      <w:spacing w:after="240" w:line="480" w:lineRule="auto"/>
      <w:jc w:val="both"/>
    </w:pPr>
    <w:rPr>
      <w:rFonts w:ascii="Arial" w:eastAsia="SimSun" w:hAnsi="Arial"/>
      <w:sz w:val="20"/>
      <w:szCs w:val="20"/>
    </w:rPr>
  </w:style>
  <w:style w:type="character" w:customStyle="1" w:styleId="08WHEBodyChar">
    <w:name w:val="08WHE Body Char"/>
    <w:link w:val="08WHEBody"/>
    <w:locked/>
    <w:rsid w:val="00537488"/>
    <w:rPr>
      <w:rFonts w:ascii="Arial" w:eastAsia="SimSun" w:hAnsi="Arial"/>
    </w:rPr>
  </w:style>
  <w:style w:type="character" w:customStyle="1" w:styleId="StyleArial115pt">
    <w:name w:val="Style Arial 11.5 pt"/>
    <w:rsid w:val="00537488"/>
    <w:rPr>
      <w:rFonts w:ascii="Arial" w:hAnsi="Arial"/>
      <w:spacing w:val="0"/>
      <w:w w:val="100"/>
      <w:position w:val="0"/>
      <w:sz w:val="22"/>
    </w:rPr>
  </w:style>
  <w:style w:type="paragraph" w:customStyle="1" w:styleId="StyleArial11ptJustifiedAfter12ptLinespacing15">
    <w:name w:val="Style Arial 11 pt Justified After:  12 pt Line spacing:  1.5 ..."/>
    <w:basedOn w:val="Normal"/>
    <w:link w:val="StyleArial11ptJustifiedAfter12ptLinespacing15Char"/>
    <w:rsid w:val="00537488"/>
    <w:pPr>
      <w:spacing w:after="240" w:line="360" w:lineRule="auto"/>
      <w:jc w:val="both"/>
    </w:pPr>
    <w:rPr>
      <w:rFonts w:ascii="Arial" w:eastAsia="SimSun" w:hAnsi="Arial"/>
      <w:sz w:val="20"/>
      <w:szCs w:val="20"/>
    </w:rPr>
  </w:style>
  <w:style w:type="character" w:customStyle="1" w:styleId="StyleArial11ptJustifiedAfter12ptLinespacing15Char">
    <w:name w:val="Style Arial 11 pt Justified After:  12 pt Line spacing:  1.5 ... Char"/>
    <w:link w:val="StyleArial11ptJustifiedAfter12ptLinespacing15"/>
    <w:locked/>
    <w:rsid w:val="00537488"/>
    <w:rPr>
      <w:rFonts w:ascii="Arial" w:eastAsia="SimSun" w:hAnsi="Arial"/>
    </w:rPr>
  </w:style>
  <w:style w:type="paragraph" w:customStyle="1" w:styleId="Style08WHEbulletsimple12ptAfter6ptLinespacing15">
    <w:name w:val="Style 08WHE bullet simple + 12 pt After:  6 pt Line spacing:  1.5..."/>
    <w:basedOn w:val="Normal"/>
    <w:rsid w:val="00537488"/>
    <w:pPr>
      <w:tabs>
        <w:tab w:val="num" w:pos="720"/>
      </w:tabs>
      <w:spacing w:after="120" w:line="360" w:lineRule="auto"/>
      <w:ind w:left="720" w:hanging="360"/>
      <w:jc w:val="both"/>
    </w:pPr>
    <w:rPr>
      <w:rFonts w:ascii="Arial" w:eastAsia="SimSun" w:hAnsi="Arial"/>
      <w:sz w:val="22"/>
      <w:szCs w:val="20"/>
    </w:rPr>
  </w:style>
  <w:style w:type="paragraph" w:customStyle="1" w:styleId="Head1">
    <w:name w:val="Head1"/>
    <w:basedOn w:val="Normal"/>
    <w:rsid w:val="00537488"/>
    <w:pPr>
      <w:tabs>
        <w:tab w:val="num" w:pos="360"/>
        <w:tab w:val="num" w:pos="720"/>
      </w:tabs>
      <w:ind w:left="720" w:hanging="360"/>
    </w:pPr>
    <w:rPr>
      <w:rFonts w:eastAsia="SimSun"/>
      <w:b/>
      <w:u w:val="single"/>
    </w:rPr>
  </w:style>
  <w:style w:type="character" w:customStyle="1" w:styleId="h2CharChar1">
    <w:name w:val="h2 Char Char1"/>
    <w:rsid w:val="00537488"/>
    <w:rPr>
      <w:rFonts w:ascii="Times New Roman Bold" w:hAnsi="Times New Roman Bold"/>
      <w:sz w:val="24"/>
      <w:u w:val="single"/>
      <w:lang w:val="en-US" w:eastAsia="zh-CN"/>
    </w:rPr>
  </w:style>
  <w:style w:type="paragraph" w:customStyle="1" w:styleId="StyleanswerFirstline0">
    <w:name w:val="Style answer + First line:  0&quot;"/>
    <w:basedOn w:val="answer"/>
    <w:rsid w:val="00537488"/>
    <w:pPr>
      <w:ind w:firstLine="0"/>
    </w:pPr>
    <w:rPr>
      <w:rFonts w:ascii="CG Times (WN)" w:hAnsi="CG Times (WN)"/>
    </w:rPr>
  </w:style>
  <w:style w:type="character" w:customStyle="1" w:styleId="pleading-leftbarChar">
    <w:name w:val="pleading-left bar Char"/>
    <w:link w:val="pleading-leftbar"/>
    <w:locked/>
    <w:rsid w:val="00537488"/>
    <w:rPr>
      <w:rFonts w:ascii="Courier" w:hAnsi="Courier"/>
      <w:sz w:val="24"/>
      <w:lang w:eastAsia="zh-CN"/>
    </w:rPr>
  </w:style>
  <w:style w:type="character" w:customStyle="1" w:styleId="answerChar1">
    <w:name w:val="answer Char1"/>
    <w:uiPriority w:val="99"/>
    <w:rsid w:val="00537488"/>
    <w:rPr>
      <w:rFonts w:eastAsia="SimSun"/>
      <w:sz w:val="24"/>
      <w:lang w:val="en-US" w:eastAsia="zh-CN"/>
    </w:rPr>
  </w:style>
  <w:style w:type="paragraph" w:customStyle="1" w:styleId="TOCHeader">
    <w:name w:val="TOC Header"/>
    <w:basedOn w:val="Normal"/>
    <w:rsid w:val="00537488"/>
    <w:pPr>
      <w:ind w:left="115" w:right="115"/>
      <w:jc w:val="center"/>
    </w:pPr>
    <w:rPr>
      <w:rFonts w:eastAsia="PMingLiU"/>
      <w:szCs w:val="20"/>
    </w:rPr>
  </w:style>
  <w:style w:type="paragraph" w:customStyle="1" w:styleId="08RFPBody">
    <w:name w:val="08RFP Body"/>
    <w:basedOn w:val="Normal"/>
    <w:link w:val="08RFPBodyChar"/>
    <w:rsid w:val="00537488"/>
    <w:pPr>
      <w:spacing w:after="240"/>
    </w:pPr>
    <w:rPr>
      <w:rFonts w:ascii="Arial" w:eastAsia="PMingLiU" w:hAnsi="Arial"/>
      <w:sz w:val="20"/>
      <w:szCs w:val="20"/>
    </w:rPr>
  </w:style>
  <w:style w:type="character" w:customStyle="1" w:styleId="08RFPBodyChar">
    <w:name w:val="08RFP Body Char"/>
    <w:link w:val="08RFPBody"/>
    <w:locked/>
    <w:rsid w:val="00537488"/>
    <w:rPr>
      <w:rFonts w:ascii="Arial" w:eastAsia="PMingLiU" w:hAnsi="Arial"/>
    </w:rPr>
  </w:style>
  <w:style w:type="paragraph" w:customStyle="1" w:styleId="08RFPTableTitle">
    <w:name w:val="08RFP Table Title"/>
    <w:basedOn w:val="Normal"/>
    <w:rsid w:val="00537488"/>
    <w:pPr>
      <w:spacing w:after="120"/>
    </w:pPr>
    <w:rPr>
      <w:rFonts w:ascii="Palatino Linotype" w:eastAsia="PMingLiU" w:hAnsi="Palatino Linotype"/>
      <w:b/>
      <w:sz w:val="28"/>
      <w:szCs w:val="20"/>
    </w:rPr>
  </w:style>
  <w:style w:type="character" w:customStyle="1" w:styleId="08RFPFootnotesChar">
    <w:name w:val="08RFP Footnotes Char"/>
    <w:rsid w:val="00537488"/>
    <w:rPr>
      <w:rFonts w:ascii="Arial" w:hAnsi="Arial"/>
      <w:sz w:val="16"/>
      <w:lang w:val="en-US" w:eastAsia="en-US"/>
    </w:rPr>
  </w:style>
  <w:style w:type="paragraph" w:customStyle="1" w:styleId="IRPpicture">
    <w:name w:val="IRPpicture"/>
    <w:basedOn w:val="Normal"/>
    <w:rsid w:val="00537488"/>
    <w:rPr>
      <w:rFonts w:ascii="Arial MT" w:eastAsia="MS Mincho" w:hAnsi="Arial MT"/>
      <w:sz w:val="16"/>
      <w:szCs w:val="20"/>
      <w:lang w:eastAsia="ja-JP"/>
    </w:rPr>
  </w:style>
  <w:style w:type="paragraph" w:customStyle="1" w:styleId="IRPfiguresub">
    <w:name w:val="IRPfiguresub"/>
    <w:basedOn w:val="BodyText"/>
    <w:rsid w:val="00537488"/>
    <w:pPr>
      <w:spacing w:beforeAutospacing="1" w:afterAutospacing="1"/>
      <w:jc w:val="left"/>
    </w:pPr>
    <w:rPr>
      <w:rFonts w:ascii="Arial" w:eastAsia="PMingLiU" w:hAnsi="Arial"/>
      <w:b/>
      <w:sz w:val="20"/>
      <w:lang w:val="en-US"/>
    </w:rPr>
  </w:style>
  <w:style w:type="paragraph" w:customStyle="1" w:styleId="09ProcessBullets">
    <w:name w:val="09Process_Bullets"/>
    <w:basedOn w:val="Normal"/>
    <w:rsid w:val="00537488"/>
    <w:pPr>
      <w:numPr>
        <w:numId w:val="30"/>
      </w:numPr>
    </w:pPr>
    <w:rPr>
      <w:rFonts w:eastAsia="PMingLiU"/>
      <w:sz w:val="20"/>
      <w:szCs w:val="20"/>
    </w:rPr>
  </w:style>
  <w:style w:type="paragraph" w:customStyle="1" w:styleId="ans">
    <w:name w:val="ans"/>
    <w:basedOn w:val="IRPfiguresub"/>
    <w:rsid w:val="00537488"/>
    <w:pPr>
      <w:keepNext/>
      <w:keepLines/>
      <w:spacing w:beforeAutospacing="0" w:after="240" w:afterAutospacing="0"/>
      <w:jc w:val="center"/>
      <w:outlineLvl w:val="0"/>
    </w:pPr>
    <w:rPr>
      <w:rFonts w:ascii="Times New Roman" w:hAnsi="Times New Roman"/>
      <w:sz w:val="24"/>
    </w:rPr>
  </w:style>
  <w:style w:type="character" w:customStyle="1" w:styleId="h1CharChar2">
    <w:name w:val="h1 Char Char2"/>
    <w:rsid w:val="00537488"/>
    <w:rPr>
      <w:rFonts w:eastAsia="SimSun"/>
      <w:b/>
      <w:sz w:val="24"/>
      <w:lang w:val="en-US" w:eastAsia="zh-CN"/>
    </w:rPr>
  </w:style>
  <w:style w:type="paragraph" w:customStyle="1" w:styleId="default0">
    <w:name w:val="default"/>
    <w:basedOn w:val="Normal"/>
    <w:rsid w:val="00537488"/>
    <w:pPr>
      <w:spacing w:before="100" w:beforeAutospacing="1" w:after="100" w:afterAutospacing="1"/>
    </w:pPr>
    <w:rPr>
      <w:rFonts w:eastAsia="PMingLiU"/>
    </w:rPr>
  </w:style>
  <w:style w:type="character" w:styleId="Emphasis">
    <w:name w:val="Emphasis"/>
    <w:uiPriority w:val="20"/>
    <w:qFormat/>
    <w:rsid w:val="00537488"/>
    <w:rPr>
      <w:i/>
    </w:rPr>
  </w:style>
  <w:style w:type="character" w:customStyle="1" w:styleId="questionchar0">
    <w:name w:val="questionchar"/>
    <w:rsid w:val="00537488"/>
  </w:style>
  <w:style w:type="character" w:customStyle="1" w:styleId="searchhighlight2">
    <w:name w:val="searchhighlight2"/>
    <w:rsid w:val="00537488"/>
    <w:rPr>
      <w:b/>
      <w:color w:val="FF0000"/>
      <w:u w:val="single"/>
    </w:rPr>
  </w:style>
  <w:style w:type="character" w:customStyle="1" w:styleId="FootnoteTextChar1">
    <w:name w:val="Footnote Text Char1"/>
    <w:aliases w:val="Footnote Text Char Char,Footnote Text Char1 Char Char1,Footnote Text Char Char Char Char1,Footnote Text Char1 Char Char Char Char1,Footnote Text Char Char Char Char Char Char1,Footnote Text Char Char1 Char Char1,ft Cha Char1"/>
    <w:uiPriority w:val="99"/>
    <w:locked/>
    <w:rsid w:val="00537488"/>
    <w:rPr>
      <w:sz w:val="22"/>
    </w:rPr>
  </w:style>
  <w:style w:type="character" w:styleId="EndnoteReference">
    <w:name w:val="endnote reference"/>
    <w:uiPriority w:val="99"/>
    <w:rsid w:val="00537488"/>
    <w:rPr>
      <w:vertAlign w:val="superscript"/>
    </w:rPr>
  </w:style>
  <w:style w:type="character" w:customStyle="1" w:styleId="st">
    <w:name w:val="st"/>
    <w:rsid w:val="00537488"/>
  </w:style>
  <w:style w:type="paragraph" w:customStyle="1" w:styleId="08RFPFigureTitle">
    <w:name w:val="08RFP Figure Title"/>
    <w:basedOn w:val="Normal"/>
    <w:link w:val="08RFPFigureTitleChar"/>
    <w:rsid w:val="00537488"/>
    <w:pPr>
      <w:spacing w:after="120"/>
    </w:pPr>
    <w:rPr>
      <w:rFonts w:ascii="Palatino Linotype" w:eastAsia="PMingLiU" w:hAnsi="Palatino Linotype"/>
      <w:b/>
      <w:szCs w:val="20"/>
    </w:rPr>
  </w:style>
  <w:style w:type="character" w:customStyle="1" w:styleId="08RFPFigureTitleChar">
    <w:name w:val="08RFP Figure Title Char"/>
    <w:link w:val="08RFPFigureTitle"/>
    <w:locked/>
    <w:rsid w:val="00537488"/>
    <w:rPr>
      <w:rFonts w:ascii="Palatino Linotype" w:eastAsia="PMingLiU" w:hAnsi="Palatino Linotype"/>
      <w:b/>
      <w:sz w:val="24"/>
    </w:rPr>
  </w:style>
  <w:style w:type="paragraph" w:customStyle="1" w:styleId="08RFPBullet2">
    <w:name w:val="08RFP Bullet 2"/>
    <w:basedOn w:val="Normal"/>
    <w:rsid w:val="00537488"/>
    <w:pPr>
      <w:spacing w:after="60"/>
    </w:pPr>
    <w:rPr>
      <w:rFonts w:ascii="Arial" w:eastAsia="PMingLiU" w:hAnsi="Arial"/>
      <w:sz w:val="20"/>
      <w:szCs w:val="20"/>
    </w:rPr>
  </w:style>
  <w:style w:type="paragraph" w:customStyle="1" w:styleId="11RFPDocBody">
    <w:name w:val="11RFP Doc Body"/>
    <w:basedOn w:val="Normal"/>
    <w:link w:val="11RFPDocBodyCharChar"/>
    <w:rsid w:val="00537488"/>
    <w:pPr>
      <w:spacing w:after="240"/>
      <w:jc w:val="both"/>
    </w:pPr>
    <w:rPr>
      <w:rFonts w:ascii="Arial" w:eastAsia="PMingLiU" w:hAnsi="Arial"/>
      <w:sz w:val="20"/>
      <w:szCs w:val="20"/>
    </w:rPr>
  </w:style>
  <w:style w:type="character" w:customStyle="1" w:styleId="11RFPDocBodyCharChar">
    <w:name w:val="11RFP Doc Body Char Char"/>
    <w:link w:val="11RFPDocBody"/>
    <w:locked/>
    <w:rsid w:val="00537488"/>
    <w:rPr>
      <w:rFonts w:ascii="Arial" w:eastAsia="PMingLiU" w:hAnsi="Arial"/>
    </w:rPr>
  </w:style>
  <w:style w:type="character" w:customStyle="1" w:styleId="CharChar25">
    <w:name w:val="Char Char25"/>
    <w:locked/>
    <w:rsid w:val="00537488"/>
    <w:rPr>
      <w:rFonts w:eastAsia="PMingLiU"/>
      <w:color w:val="000000"/>
      <w:sz w:val="24"/>
      <w:lang w:val="en-US" w:eastAsia="zh-CN"/>
    </w:rPr>
  </w:style>
  <w:style w:type="character" w:customStyle="1" w:styleId="CharChar24">
    <w:name w:val="Char Char24"/>
    <w:locked/>
    <w:rsid w:val="00537488"/>
    <w:rPr>
      <w:rFonts w:eastAsia="PMingLiU"/>
      <w:sz w:val="24"/>
      <w:lang w:val="en-US" w:eastAsia="zh-CN"/>
    </w:rPr>
  </w:style>
  <w:style w:type="character" w:customStyle="1" w:styleId="CharChar23">
    <w:name w:val="Char Char23"/>
    <w:locked/>
    <w:rsid w:val="00537488"/>
    <w:rPr>
      <w:rFonts w:ascii="Arial" w:eastAsia="PMingLiU" w:hAnsi="Arial"/>
      <w:sz w:val="22"/>
      <w:lang w:val="en-US" w:eastAsia="zh-CN"/>
    </w:rPr>
  </w:style>
  <w:style w:type="character" w:customStyle="1" w:styleId="CharChar22">
    <w:name w:val="Char Char22"/>
    <w:locked/>
    <w:rsid w:val="00537488"/>
    <w:rPr>
      <w:rFonts w:ascii="CG Times" w:eastAsia="PMingLiU" w:hAnsi="CG Times"/>
      <w:color w:val="0000FF"/>
      <w:sz w:val="24"/>
      <w:lang w:val="en-US" w:eastAsia="zh-CN"/>
    </w:rPr>
  </w:style>
  <w:style w:type="character" w:customStyle="1" w:styleId="CharChar21">
    <w:name w:val="Char Char21"/>
    <w:locked/>
    <w:rsid w:val="00537488"/>
    <w:rPr>
      <w:rFonts w:ascii="Times" w:eastAsia="PMingLiU" w:hAnsi="Times"/>
      <w:sz w:val="24"/>
      <w:lang w:val="en-US" w:eastAsia="zh-CN"/>
    </w:rPr>
  </w:style>
  <w:style w:type="character" w:customStyle="1" w:styleId="CharChar20">
    <w:name w:val="Char Char20"/>
    <w:locked/>
    <w:rsid w:val="00537488"/>
    <w:rPr>
      <w:rFonts w:eastAsia="PMingLiU"/>
      <w:sz w:val="24"/>
      <w:lang w:val="en-US" w:eastAsia="zh-CN"/>
    </w:rPr>
  </w:style>
  <w:style w:type="character" w:customStyle="1" w:styleId="CharChar19">
    <w:name w:val="Char Char19"/>
    <w:locked/>
    <w:rsid w:val="00537488"/>
    <w:rPr>
      <w:rFonts w:eastAsia="PMingLiU"/>
      <w:snapToGrid w:val="0"/>
      <w:sz w:val="24"/>
      <w:lang w:val="en-US" w:eastAsia="en-US"/>
    </w:rPr>
  </w:style>
  <w:style w:type="character" w:customStyle="1" w:styleId="CharChar17">
    <w:name w:val="Char Char17"/>
    <w:locked/>
    <w:rsid w:val="00537488"/>
    <w:rPr>
      <w:rFonts w:ascii="Arial" w:eastAsia="PMingLiU" w:hAnsi="Arial"/>
      <w:b/>
      <w:kern w:val="28"/>
      <w:sz w:val="32"/>
      <w:lang w:val="en-US" w:eastAsia="zh-CN"/>
    </w:rPr>
  </w:style>
  <w:style w:type="character" w:customStyle="1" w:styleId="CharChar13">
    <w:name w:val="Char Char13"/>
    <w:semiHidden/>
    <w:locked/>
    <w:rsid w:val="00537488"/>
    <w:rPr>
      <w:rFonts w:eastAsia="PMingLiU"/>
      <w:b/>
      <w:lang w:val="en-US" w:eastAsia="zh-CN"/>
    </w:rPr>
  </w:style>
  <w:style w:type="paragraph" w:customStyle="1" w:styleId="Title11">
    <w:name w:val="Title11"/>
    <w:basedOn w:val="center"/>
    <w:rsid w:val="00537488"/>
    <w:pPr>
      <w:keepNext/>
      <w:ind w:left="720" w:right="720"/>
    </w:pPr>
    <w:rPr>
      <w:b/>
      <w:bCs/>
      <w:szCs w:val="20"/>
      <w:lang w:eastAsia="en-US"/>
    </w:rPr>
  </w:style>
  <w:style w:type="character" w:customStyle="1" w:styleId="h2CharChar2">
    <w:name w:val="h2 Char Char2"/>
    <w:rsid w:val="00537488"/>
    <w:rPr>
      <w:rFonts w:eastAsia="PMingLiU"/>
      <w:b/>
      <w:sz w:val="24"/>
      <w:u w:val="single"/>
      <w:lang w:val="en-US" w:eastAsia="zh-CN"/>
    </w:rPr>
  </w:style>
  <w:style w:type="paragraph" w:customStyle="1" w:styleId="11RFPDocFootnotes">
    <w:name w:val="11RFP Doc Footnotes"/>
    <w:basedOn w:val="FootnoteText"/>
    <w:rsid w:val="00537488"/>
    <w:pPr>
      <w:spacing w:before="0" w:line="240" w:lineRule="auto"/>
      <w:ind w:firstLine="0"/>
    </w:pPr>
    <w:rPr>
      <w:rFonts w:ascii="Arial" w:eastAsia="PMingLiU" w:hAnsi="Arial"/>
      <w:sz w:val="16"/>
      <w:szCs w:val="20"/>
      <w:lang w:eastAsia="en-US"/>
    </w:rPr>
  </w:style>
  <w:style w:type="paragraph" w:customStyle="1" w:styleId="11RFPBodyBullet">
    <w:name w:val="11RFP Body Bullet"/>
    <w:basedOn w:val="11RFPDocBody"/>
    <w:rsid w:val="00537488"/>
    <w:pPr>
      <w:numPr>
        <w:numId w:val="32"/>
      </w:numPr>
      <w:ind w:left="0" w:firstLine="0"/>
    </w:pPr>
  </w:style>
  <w:style w:type="paragraph" w:customStyle="1" w:styleId="11RFPFigureHead">
    <w:name w:val="11RFP Figure Head"/>
    <w:basedOn w:val="11RFPDocBody"/>
    <w:rsid w:val="00537488"/>
    <w:pPr>
      <w:jc w:val="center"/>
    </w:pPr>
    <w:rPr>
      <w:b/>
      <w:bCs/>
    </w:rPr>
  </w:style>
  <w:style w:type="paragraph" w:customStyle="1" w:styleId="11RFPDocBodyEmphasis">
    <w:name w:val="11RFP Doc Body Emphasis"/>
    <w:basedOn w:val="11RFPDocBody"/>
    <w:link w:val="11RFPDocBodyEmphasisChar"/>
    <w:rsid w:val="00537488"/>
    <w:rPr>
      <w:b/>
    </w:rPr>
  </w:style>
  <w:style w:type="character" w:customStyle="1" w:styleId="11RFPDocBodyEmphasisChar">
    <w:name w:val="11RFP Doc Body Emphasis Char"/>
    <w:link w:val="11RFPDocBodyEmphasis"/>
    <w:locked/>
    <w:rsid w:val="00537488"/>
    <w:rPr>
      <w:rFonts w:ascii="Arial" w:eastAsia="PMingLiU" w:hAnsi="Arial"/>
      <w:b/>
    </w:rPr>
  </w:style>
  <w:style w:type="paragraph" w:customStyle="1" w:styleId="11RFPDocHead1">
    <w:name w:val="11RFP Doc Head 1"/>
    <w:basedOn w:val="Normal"/>
    <w:next w:val="Normal"/>
    <w:link w:val="11RFPDocHead1CharChar"/>
    <w:rsid w:val="00537488"/>
    <w:pPr>
      <w:spacing w:before="360" w:after="240"/>
    </w:pPr>
    <w:rPr>
      <w:rFonts w:ascii="Palatino Linotype" w:eastAsia="PMingLiU" w:hAnsi="Palatino Linotype"/>
      <w:b/>
      <w:kern w:val="28"/>
      <w:sz w:val="28"/>
      <w:szCs w:val="20"/>
    </w:rPr>
  </w:style>
  <w:style w:type="character" w:customStyle="1" w:styleId="11RFPDocHead1CharChar">
    <w:name w:val="11RFP Doc Head 1 Char Char"/>
    <w:link w:val="11RFPDocHead1"/>
    <w:locked/>
    <w:rsid w:val="00537488"/>
    <w:rPr>
      <w:rFonts w:ascii="Palatino Linotype" w:eastAsia="PMingLiU" w:hAnsi="Palatino Linotype"/>
      <w:b/>
      <w:kern w:val="28"/>
      <w:sz w:val="28"/>
    </w:rPr>
  </w:style>
  <w:style w:type="paragraph" w:customStyle="1" w:styleId="11RFPDocHead2">
    <w:name w:val="11RFP Doc Head 2"/>
    <w:basedOn w:val="11RFPDocBody"/>
    <w:link w:val="11RFPDocHead2Char"/>
    <w:rsid w:val="00537488"/>
    <w:pPr>
      <w:spacing w:before="240"/>
    </w:pPr>
    <w:rPr>
      <w:rFonts w:ascii="Palatino Linotype" w:hAnsi="Palatino Linotype"/>
      <w:b/>
      <w:sz w:val="24"/>
    </w:rPr>
  </w:style>
  <w:style w:type="character" w:customStyle="1" w:styleId="11RFPDocHead2Char">
    <w:name w:val="11RFP Doc Head 2 Char"/>
    <w:link w:val="11RFPDocHead2"/>
    <w:locked/>
    <w:rsid w:val="00537488"/>
    <w:rPr>
      <w:rFonts w:ascii="Palatino Linotype" w:eastAsia="PMingLiU" w:hAnsi="Palatino Linotype"/>
      <w:b/>
      <w:sz w:val="24"/>
    </w:rPr>
  </w:style>
  <w:style w:type="paragraph" w:customStyle="1" w:styleId="08RFPHead1">
    <w:name w:val="08RFP Head 1"/>
    <w:basedOn w:val="Normal"/>
    <w:rsid w:val="00537488"/>
    <w:pPr>
      <w:keepNext/>
      <w:spacing w:before="240" w:after="120"/>
      <w:outlineLvl w:val="0"/>
    </w:pPr>
    <w:rPr>
      <w:rFonts w:ascii="Palatino Linotype" w:eastAsia="PMingLiU" w:hAnsi="Palatino Linotype"/>
      <w:b/>
      <w:bCs/>
      <w:iCs/>
      <w:kern w:val="28"/>
      <w:sz w:val="40"/>
      <w:szCs w:val="20"/>
    </w:rPr>
  </w:style>
  <w:style w:type="character" w:customStyle="1" w:styleId="CharChar10">
    <w:name w:val="Char Char10"/>
    <w:semiHidden/>
    <w:locked/>
    <w:rsid w:val="00537488"/>
    <w:rPr>
      <w:rFonts w:ascii="Times New Roman" w:eastAsia="SimSun" w:hAnsi="Times New Roman"/>
      <w:sz w:val="24"/>
      <w:lang w:val="x-none" w:eastAsia="zh-CN"/>
    </w:rPr>
  </w:style>
  <w:style w:type="character" w:customStyle="1" w:styleId="mctextpopupbodypopup0">
    <w:name w:val="mctextpopupbody_popup_0"/>
    <w:rsid w:val="00537488"/>
    <w:rPr>
      <w:rFonts w:ascii="Verdana" w:hAnsi="Verdana"/>
      <w:color w:val="000000"/>
      <w:sz w:val="19"/>
      <w:bdr w:val="single" w:sz="6" w:space="4" w:color="000000" w:frame="1"/>
      <w:shd w:val="clear" w:color="auto" w:fill="E4E4E4"/>
    </w:rPr>
  </w:style>
  <w:style w:type="character" w:customStyle="1" w:styleId="mctextpopup">
    <w:name w:val="mctextpopup"/>
    <w:rsid w:val="00537488"/>
  </w:style>
  <w:style w:type="paragraph" w:customStyle="1" w:styleId="NestedAnswer">
    <w:name w:val="Nested Answer"/>
    <w:basedOn w:val="answer"/>
    <w:link w:val="NestedAnswerChar"/>
    <w:qFormat/>
    <w:rsid w:val="00240442"/>
    <w:pPr>
      <w:ind w:firstLine="0"/>
    </w:pPr>
  </w:style>
  <w:style w:type="paragraph" w:customStyle="1" w:styleId="answerft0">
    <w:name w:val="answerft:  0&quot;"/>
    <w:aliases w:val="Hanging:  0.5&quot;,Before:  6 pt,After:  6 pt,Line spacing..."/>
    <w:basedOn w:val="Normal"/>
    <w:rsid w:val="0019731E"/>
    <w:pPr>
      <w:spacing w:before="120" w:after="120" w:line="480" w:lineRule="auto"/>
      <w:ind w:left="720" w:hanging="720"/>
    </w:pPr>
    <w:rPr>
      <w:rFonts w:eastAsia="PMingLiU"/>
      <w:szCs w:val="20"/>
      <w:lang w:eastAsia="zh-CN"/>
    </w:rPr>
  </w:style>
  <w:style w:type="character" w:customStyle="1" w:styleId="NestedAnswerChar">
    <w:name w:val="Nested Answer Char"/>
    <w:basedOn w:val="answerChar"/>
    <w:link w:val="NestedAnswer"/>
    <w:rsid w:val="00240442"/>
    <w:rPr>
      <w:rFonts w:ascii="Times New Roman" w:eastAsia="PMingLiU" w:hAnsi="Times New Roman"/>
      <w:sz w:val="24"/>
      <w:lang w:eastAsia="zh-CN"/>
    </w:rPr>
  </w:style>
  <w:style w:type="paragraph" w:customStyle="1" w:styleId="NestedAnswerBefore18pt">
    <w:name w:val="Nested Answer + Before:  18 pt"/>
    <w:basedOn w:val="NestedAnswer"/>
    <w:rsid w:val="00B22E77"/>
    <w:pPr>
      <w:spacing w:before="360"/>
    </w:pPr>
  </w:style>
  <w:style w:type="paragraph" w:customStyle="1" w:styleId="NestedList">
    <w:name w:val="Nested List"/>
    <w:basedOn w:val="answer"/>
    <w:rsid w:val="00866BF4"/>
  </w:style>
  <w:style w:type="paragraph" w:customStyle="1" w:styleId="TableHeader">
    <w:name w:val="Table Header"/>
    <w:basedOn w:val="Normal"/>
    <w:link w:val="TableHeaderChar"/>
    <w:qFormat/>
    <w:rsid w:val="00D51825"/>
    <w:pPr>
      <w:keepNext/>
      <w:keepLines/>
      <w:widowControl w:val="0"/>
      <w:spacing w:after="60"/>
      <w:jc w:val="center"/>
    </w:pPr>
    <w:rPr>
      <w:b/>
    </w:rPr>
  </w:style>
  <w:style w:type="character" w:customStyle="1" w:styleId="TableHeaderChar">
    <w:name w:val="Table Header Char"/>
    <w:basedOn w:val="DefaultParagraphFont"/>
    <w:link w:val="TableHeader"/>
    <w:rsid w:val="00D51825"/>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893">
      <w:bodyDiv w:val="1"/>
      <w:marLeft w:val="0"/>
      <w:marRight w:val="0"/>
      <w:marTop w:val="0"/>
      <w:marBottom w:val="0"/>
      <w:divBdr>
        <w:top w:val="none" w:sz="0" w:space="0" w:color="auto"/>
        <w:left w:val="none" w:sz="0" w:space="0" w:color="auto"/>
        <w:bottom w:val="none" w:sz="0" w:space="0" w:color="auto"/>
        <w:right w:val="none" w:sz="0" w:space="0" w:color="auto"/>
      </w:divBdr>
    </w:div>
    <w:div w:id="37433798">
      <w:bodyDiv w:val="1"/>
      <w:marLeft w:val="0"/>
      <w:marRight w:val="0"/>
      <w:marTop w:val="0"/>
      <w:marBottom w:val="0"/>
      <w:divBdr>
        <w:top w:val="none" w:sz="0" w:space="0" w:color="auto"/>
        <w:left w:val="none" w:sz="0" w:space="0" w:color="auto"/>
        <w:bottom w:val="none" w:sz="0" w:space="0" w:color="auto"/>
        <w:right w:val="none" w:sz="0" w:space="0" w:color="auto"/>
      </w:divBdr>
    </w:div>
    <w:div w:id="43525623">
      <w:bodyDiv w:val="1"/>
      <w:marLeft w:val="0"/>
      <w:marRight w:val="0"/>
      <w:marTop w:val="0"/>
      <w:marBottom w:val="0"/>
      <w:divBdr>
        <w:top w:val="none" w:sz="0" w:space="0" w:color="auto"/>
        <w:left w:val="none" w:sz="0" w:space="0" w:color="auto"/>
        <w:bottom w:val="none" w:sz="0" w:space="0" w:color="auto"/>
        <w:right w:val="none" w:sz="0" w:space="0" w:color="auto"/>
      </w:divBdr>
    </w:div>
    <w:div w:id="62800918">
      <w:bodyDiv w:val="1"/>
      <w:marLeft w:val="0"/>
      <w:marRight w:val="0"/>
      <w:marTop w:val="0"/>
      <w:marBottom w:val="0"/>
      <w:divBdr>
        <w:top w:val="none" w:sz="0" w:space="0" w:color="auto"/>
        <w:left w:val="none" w:sz="0" w:space="0" w:color="auto"/>
        <w:bottom w:val="none" w:sz="0" w:space="0" w:color="auto"/>
        <w:right w:val="none" w:sz="0" w:space="0" w:color="auto"/>
      </w:divBdr>
    </w:div>
    <w:div w:id="66659559">
      <w:bodyDiv w:val="1"/>
      <w:marLeft w:val="0"/>
      <w:marRight w:val="0"/>
      <w:marTop w:val="0"/>
      <w:marBottom w:val="0"/>
      <w:divBdr>
        <w:top w:val="none" w:sz="0" w:space="0" w:color="auto"/>
        <w:left w:val="none" w:sz="0" w:space="0" w:color="auto"/>
        <w:bottom w:val="none" w:sz="0" w:space="0" w:color="auto"/>
        <w:right w:val="none" w:sz="0" w:space="0" w:color="auto"/>
      </w:divBdr>
    </w:div>
    <w:div w:id="90048986">
      <w:bodyDiv w:val="1"/>
      <w:marLeft w:val="0"/>
      <w:marRight w:val="0"/>
      <w:marTop w:val="0"/>
      <w:marBottom w:val="0"/>
      <w:divBdr>
        <w:top w:val="none" w:sz="0" w:space="0" w:color="auto"/>
        <w:left w:val="none" w:sz="0" w:space="0" w:color="auto"/>
        <w:bottom w:val="none" w:sz="0" w:space="0" w:color="auto"/>
        <w:right w:val="none" w:sz="0" w:space="0" w:color="auto"/>
      </w:divBdr>
    </w:div>
    <w:div w:id="117114685">
      <w:bodyDiv w:val="1"/>
      <w:marLeft w:val="0"/>
      <w:marRight w:val="0"/>
      <w:marTop w:val="0"/>
      <w:marBottom w:val="0"/>
      <w:divBdr>
        <w:top w:val="none" w:sz="0" w:space="0" w:color="auto"/>
        <w:left w:val="none" w:sz="0" w:space="0" w:color="auto"/>
        <w:bottom w:val="none" w:sz="0" w:space="0" w:color="auto"/>
        <w:right w:val="none" w:sz="0" w:space="0" w:color="auto"/>
      </w:divBdr>
      <w:divsChild>
        <w:div w:id="1646734669">
          <w:marLeft w:val="0"/>
          <w:marRight w:val="0"/>
          <w:marTop w:val="0"/>
          <w:marBottom w:val="0"/>
          <w:divBdr>
            <w:top w:val="none" w:sz="0" w:space="0" w:color="auto"/>
            <w:left w:val="none" w:sz="0" w:space="0" w:color="auto"/>
            <w:bottom w:val="none" w:sz="0" w:space="0" w:color="auto"/>
            <w:right w:val="none" w:sz="0" w:space="0" w:color="auto"/>
          </w:divBdr>
          <w:divsChild>
            <w:div w:id="163782792">
              <w:marLeft w:val="0"/>
              <w:marRight w:val="0"/>
              <w:marTop w:val="0"/>
              <w:marBottom w:val="0"/>
              <w:divBdr>
                <w:top w:val="none" w:sz="0" w:space="0" w:color="auto"/>
                <w:left w:val="none" w:sz="0" w:space="0" w:color="auto"/>
                <w:bottom w:val="none" w:sz="0" w:space="0" w:color="auto"/>
                <w:right w:val="none" w:sz="0" w:space="0" w:color="auto"/>
              </w:divBdr>
            </w:div>
            <w:div w:id="257952286">
              <w:marLeft w:val="0"/>
              <w:marRight w:val="0"/>
              <w:marTop w:val="0"/>
              <w:marBottom w:val="0"/>
              <w:divBdr>
                <w:top w:val="none" w:sz="0" w:space="0" w:color="auto"/>
                <w:left w:val="none" w:sz="0" w:space="0" w:color="auto"/>
                <w:bottom w:val="none" w:sz="0" w:space="0" w:color="auto"/>
                <w:right w:val="none" w:sz="0" w:space="0" w:color="auto"/>
              </w:divBdr>
            </w:div>
            <w:div w:id="323824265">
              <w:marLeft w:val="0"/>
              <w:marRight w:val="0"/>
              <w:marTop w:val="0"/>
              <w:marBottom w:val="0"/>
              <w:divBdr>
                <w:top w:val="none" w:sz="0" w:space="0" w:color="auto"/>
                <w:left w:val="none" w:sz="0" w:space="0" w:color="auto"/>
                <w:bottom w:val="none" w:sz="0" w:space="0" w:color="auto"/>
                <w:right w:val="none" w:sz="0" w:space="0" w:color="auto"/>
              </w:divBdr>
            </w:div>
            <w:div w:id="504175037">
              <w:marLeft w:val="0"/>
              <w:marRight w:val="0"/>
              <w:marTop w:val="0"/>
              <w:marBottom w:val="0"/>
              <w:divBdr>
                <w:top w:val="none" w:sz="0" w:space="0" w:color="auto"/>
                <w:left w:val="none" w:sz="0" w:space="0" w:color="auto"/>
                <w:bottom w:val="none" w:sz="0" w:space="0" w:color="auto"/>
                <w:right w:val="none" w:sz="0" w:space="0" w:color="auto"/>
              </w:divBdr>
            </w:div>
            <w:div w:id="543950730">
              <w:marLeft w:val="0"/>
              <w:marRight w:val="0"/>
              <w:marTop w:val="0"/>
              <w:marBottom w:val="0"/>
              <w:divBdr>
                <w:top w:val="none" w:sz="0" w:space="0" w:color="auto"/>
                <w:left w:val="none" w:sz="0" w:space="0" w:color="auto"/>
                <w:bottom w:val="none" w:sz="0" w:space="0" w:color="auto"/>
                <w:right w:val="none" w:sz="0" w:space="0" w:color="auto"/>
              </w:divBdr>
            </w:div>
            <w:div w:id="556282919">
              <w:marLeft w:val="0"/>
              <w:marRight w:val="0"/>
              <w:marTop w:val="0"/>
              <w:marBottom w:val="0"/>
              <w:divBdr>
                <w:top w:val="none" w:sz="0" w:space="0" w:color="auto"/>
                <w:left w:val="none" w:sz="0" w:space="0" w:color="auto"/>
                <w:bottom w:val="none" w:sz="0" w:space="0" w:color="auto"/>
                <w:right w:val="none" w:sz="0" w:space="0" w:color="auto"/>
              </w:divBdr>
            </w:div>
            <w:div w:id="587545295">
              <w:marLeft w:val="0"/>
              <w:marRight w:val="0"/>
              <w:marTop w:val="0"/>
              <w:marBottom w:val="0"/>
              <w:divBdr>
                <w:top w:val="none" w:sz="0" w:space="0" w:color="auto"/>
                <w:left w:val="none" w:sz="0" w:space="0" w:color="auto"/>
                <w:bottom w:val="none" w:sz="0" w:space="0" w:color="auto"/>
                <w:right w:val="none" w:sz="0" w:space="0" w:color="auto"/>
              </w:divBdr>
            </w:div>
            <w:div w:id="946615648">
              <w:marLeft w:val="0"/>
              <w:marRight w:val="0"/>
              <w:marTop w:val="0"/>
              <w:marBottom w:val="0"/>
              <w:divBdr>
                <w:top w:val="none" w:sz="0" w:space="0" w:color="auto"/>
                <w:left w:val="none" w:sz="0" w:space="0" w:color="auto"/>
                <w:bottom w:val="none" w:sz="0" w:space="0" w:color="auto"/>
                <w:right w:val="none" w:sz="0" w:space="0" w:color="auto"/>
              </w:divBdr>
            </w:div>
            <w:div w:id="959455200">
              <w:marLeft w:val="0"/>
              <w:marRight w:val="0"/>
              <w:marTop w:val="0"/>
              <w:marBottom w:val="0"/>
              <w:divBdr>
                <w:top w:val="none" w:sz="0" w:space="0" w:color="auto"/>
                <w:left w:val="none" w:sz="0" w:space="0" w:color="auto"/>
                <w:bottom w:val="none" w:sz="0" w:space="0" w:color="auto"/>
                <w:right w:val="none" w:sz="0" w:space="0" w:color="auto"/>
              </w:divBdr>
            </w:div>
            <w:div w:id="1001204663">
              <w:marLeft w:val="0"/>
              <w:marRight w:val="0"/>
              <w:marTop w:val="0"/>
              <w:marBottom w:val="0"/>
              <w:divBdr>
                <w:top w:val="none" w:sz="0" w:space="0" w:color="auto"/>
                <w:left w:val="none" w:sz="0" w:space="0" w:color="auto"/>
                <w:bottom w:val="none" w:sz="0" w:space="0" w:color="auto"/>
                <w:right w:val="none" w:sz="0" w:space="0" w:color="auto"/>
              </w:divBdr>
            </w:div>
            <w:div w:id="1143814527">
              <w:marLeft w:val="0"/>
              <w:marRight w:val="0"/>
              <w:marTop w:val="0"/>
              <w:marBottom w:val="0"/>
              <w:divBdr>
                <w:top w:val="none" w:sz="0" w:space="0" w:color="auto"/>
                <w:left w:val="none" w:sz="0" w:space="0" w:color="auto"/>
                <w:bottom w:val="none" w:sz="0" w:space="0" w:color="auto"/>
                <w:right w:val="none" w:sz="0" w:space="0" w:color="auto"/>
              </w:divBdr>
            </w:div>
            <w:div w:id="1306205416">
              <w:marLeft w:val="0"/>
              <w:marRight w:val="0"/>
              <w:marTop w:val="0"/>
              <w:marBottom w:val="0"/>
              <w:divBdr>
                <w:top w:val="none" w:sz="0" w:space="0" w:color="auto"/>
                <w:left w:val="none" w:sz="0" w:space="0" w:color="auto"/>
                <w:bottom w:val="none" w:sz="0" w:space="0" w:color="auto"/>
                <w:right w:val="none" w:sz="0" w:space="0" w:color="auto"/>
              </w:divBdr>
            </w:div>
            <w:div w:id="1306818055">
              <w:marLeft w:val="0"/>
              <w:marRight w:val="0"/>
              <w:marTop w:val="0"/>
              <w:marBottom w:val="0"/>
              <w:divBdr>
                <w:top w:val="none" w:sz="0" w:space="0" w:color="auto"/>
                <w:left w:val="none" w:sz="0" w:space="0" w:color="auto"/>
                <w:bottom w:val="none" w:sz="0" w:space="0" w:color="auto"/>
                <w:right w:val="none" w:sz="0" w:space="0" w:color="auto"/>
              </w:divBdr>
            </w:div>
            <w:div w:id="1355377932">
              <w:marLeft w:val="0"/>
              <w:marRight w:val="0"/>
              <w:marTop w:val="0"/>
              <w:marBottom w:val="0"/>
              <w:divBdr>
                <w:top w:val="none" w:sz="0" w:space="0" w:color="auto"/>
                <w:left w:val="none" w:sz="0" w:space="0" w:color="auto"/>
                <w:bottom w:val="none" w:sz="0" w:space="0" w:color="auto"/>
                <w:right w:val="none" w:sz="0" w:space="0" w:color="auto"/>
              </w:divBdr>
            </w:div>
            <w:div w:id="1613126357">
              <w:marLeft w:val="0"/>
              <w:marRight w:val="0"/>
              <w:marTop w:val="0"/>
              <w:marBottom w:val="0"/>
              <w:divBdr>
                <w:top w:val="none" w:sz="0" w:space="0" w:color="auto"/>
                <w:left w:val="none" w:sz="0" w:space="0" w:color="auto"/>
                <w:bottom w:val="none" w:sz="0" w:space="0" w:color="auto"/>
                <w:right w:val="none" w:sz="0" w:space="0" w:color="auto"/>
              </w:divBdr>
            </w:div>
            <w:div w:id="1700469790">
              <w:marLeft w:val="0"/>
              <w:marRight w:val="0"/>
              <w:marTop w:val="0"/>
              <w:marBottom w:val="0"/>
              <w:divBdr>
                <w:top w:val="none" w:sz="0" w:space="0" w:color="auto"/>
                <w:left w:val="none" w:sz="0" w:space="0" w:color="auto"/>
                <w:bottom w:val="none" w:sz="0" w:space="0" w:color="auto"/>
                <w:right w:val="none" w:sz="0" w:space="0" w:color="auto"/>
              </w:divBdr>
            </w:div>
            <w:div w:id="2049139310">
              <w:marLeft w:val="0"/>
              <w:marRight w:val="0"/>
              <w:marTop w:val="0"/>
              <w:marBottom w:val="0"/>
              <w:divBdr>
                <w:top w:val="none" w:sz="0" w:space="0" w:color="auto"/>
                <w:left w:val="none" w:sz="0" w:space="0" w:color="auto"/>
                <w:bottom w:val="none" w:sz="0" w:space="0" w:color="auto"/>
                <w:right w:val="none" w:sz="0" w:space="0" w:color="auto"/>
              </w:divBdr>
            </w:div>
            <w:div w:id="2093307497">
              <w:marLeft w:val="0"/>
              <w:marRight w:val="0"/>
              <w:marTop w:val="0"/>
              <w:marBottom w:val="0"/>
              <w:divBdr>
                <w:top w:val="none" w:sz="0" w:space="0" w:color="auto"/>
                <w:left w:val="none" w:sz="0" w:space="0" w:color="auto"/>
                <w:bottom w:val="none" w:sz="0" w:space="0" w:color="auto"/>
                <w:right w:val="none" w:sz="0" w:space="0" w:color="auto"/>
              </w:divBdr>
            </w:div>
            <w:div w:id="21011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2572">
      <w:bodyDiv w:val="1"/>
      <w:marLeft w:val="0"/>
      <w:marRight w:val="0"/>
      <w:marTop w:val="0"/>
      <w:marBottom w:val="0"/>
      <w:divBdr>
        <w:top w:val="none" w:sz="0" w:space="0" w:color="auto"/>
        <w:left w:val="none" w:sz="0" w:space="0" w:color="auto"/>
        <w:bottom w:val="none" w:sz="0" w:space="0" w:color="auto"/>
        <w:right w:val="none" w:sz="0" w:space="0" w:color="auto"/>
      </w:divBdr>
      <w:divsChild>
        <w:div w:id="1699042009">
          <w:marLeft w:val="0"/>
          <w:marRight w:val="0"/>
          <w:marTop w:val="0"/>
          <w:marBottom w:val="345"/>
          <w:divBdr>
            <w:top w:val="none" w:sz="0" w:space="0" w:color="auto"/>
            <w:left w:val="none" w:sz="0" w:space="0" w:color="auto"/>
            <w:bottom w:val="none" w:sz="0" w:space="0" w:color="auto"/>
            <w:right w:val="none" w:sz="0" w:space="0" w:color="auto"/>
          </w:divBdr>
          <w:divsChild>
            <w:div w:id="1019157605">
              <w:marLeft w:val="0"/>
              <w:marRight w:val="0"/>
              <w:marTop w:val="0"/>
              <w:marBottom w:val="0"/>
              <w:divBdr>
                <w:top w:val="none" w:sz="0" w:space="0" w:color="auto"/>
                <w:left w:val="none" w:sz="0" w:space="0" w:color="auto"/>
                <w:bottom w:val="none" w:sz="0" w:space="0" w:color="auto"/>
                <w:right w:val="none" w:sz="0" w:space="0" w:color="auto"/>
              </w:divBdr>
              <w:divsChild>
                <w:div w:id="1267343954">
                  <w:marLeft w:val="0"/>
                  <w:marRight w:val="0"/>
                  <w:marTop w:val="0"/>
                  <w:marBottom w:val="0"/>
                  <w:divBdr>
                    <w:top w:val="none" w:sz="0" w:space="0" w:color="auto"/>
                    <w:left w:val="none" w:sz="0" w:space="0" w:color="auto"/>
                    <w:bottom w:val="none" w:sz="0" w:space="0" w:color="auto"/>
                    <w:right w:val="none" w:sz="0" w:space="0" w:color="auto"/>
                  </w:divBdr>
                  <w:divsChild>
                    <w:div w:id="448623446">
                      <w:marLeft w:val="0"/>
                      <w:marRight w:val="0"/>
                      <w:marTop w:val="0"/>
                      <w:marBottom w:val="0"/>
                      <w:divBdr>
                        <w:top w:val="none" w:sz="0" w:space="0" w:color="auto"/>
                        <w:left w:val="none" w:sz="0" w:space="0" w:color="auto"/>
                        <w:bottom w:val="none" w:sz="0" w:space="0" w:color="auto"/>
                        <w:right w:val="none" w:sz="0" w:space="0" w:color="auto"/>
                      </w:divBdr>
                      <w:divsChild>
                        <w:div w:id="112292275">
                          <w:marLeft w:val="0"/>
                          <w:marRight w:val="0"/>
                          <w:marTop w:val="0"/>
                          <w:marBottom w:val="0"/>
                          <w:divBdr>
                            <w:top w:val="none" w:sz="0" w:space="0" w:color="auto"/>
                            <w:left w:val="none" w:sz="0" w:space="0" w:color="auto"/>
                            <w:bottom w:val="none" w:sz="0" w:space="0" w:color="auto"/>
                            <w:right w:val="none" w:sz="0" w:space="0" w:color="auto"/>
                          </w:divBdr>
                          <w:divsChild>
                            <w:div w:id="315649732">
                              <w:marLeft w:val="60"/>
                              <w:marRight w:val="0"/>
                              <w:marTop w:val="0"/>
                              <w:marBottom w:val="0"/>
                              <w:divBdr>
                                <w:top w:val="none" w:sz="0" w:space="0" w:color="auto"/>
                                <w:left w:val="none" w:sz="0" w:space="0" w:color="auto"/>
                                <w:bottom w:val="none" w:sz="0" w:space="0" w:color="auto"/>
                                <w:right w:val="none" w:sz="0" w:space="0" w:color="auto"/>
                              </w:divBdr>
                              <w:divsChild>
                                <w:div w:id="614101714">
                                  <w:marLeft w:val="0"/>
                                  <w:marRight w:val="0"/>
                                  <w:marTop w:val="0"/>
                                  <w:marBottom w:val="0"/>
                                  <w:divBdr>
                                    <w:top w:val="none" w:sz="0" w:space="0" w:color="auto"/>
                                    <w:left w:val="none" w:sz="0" w:space="0" w:color="auto"/>
                                    <w:bottom w:val="none" w:sz="0" w:space="0" w:color="auto"/>
                                    <w:right w:val="none" w:sz="0" w:space="0" w:color="auto"/>
                                  </w:divBdr>
                                </w:div>
                              </w:divsChild>
                            </w:div>
                            <w:div w:id="2141418315">
                              <w:marLeft w:val="45"/>
                              <w:marRight w:val="45"/>
                              <w:marTop w:val="0"/>
                              <w:marBottom w:val="0"/>
                              <w:divBdr>
                                <w:top w:val="none" w:sz="0" w:space="0" w:color="auto"/>
                                <w:left w:val="none" w:sz="0" w:space="0" w:color="auto"/>
                                <w:bottom w:val="none" w:sz="0" w:space="0" w:color="auto"/>
                                <w:right w:val="none" w:sz="0" w:space="0" w:color="auto"/>
                              </w:divBdr>
                              <w:divsChild>
                                <w:div w:id="9548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93416">
      <w:bodyDiv w:val="1"/>
      <w:marLeft w:val="0"/>
      <w:marRight w:val="0"/>
      <w:marTop w:val="0"/>
      <w:marBottom w:val="0"/>
      <w:divBdr>
        <w:top w:val="none" w:sz="0" w:space="0" w:color="auto"/>
        <w:left w:val="none" w:sz="0" w:space="0" w:color="auto"/>
        <w:bottom w:val="none" w:sz="0" w:space="0" w:color="auto"/>
        <w:right w:val="none" w:sz="0" w:space="0" w:color="auto"/>
      </w:divBdr>
    </w:div>
    <w:div w:id="144124045">
      <w:bodyDiv w:val="1"/>
      <w:marLeft w:val="0"/>
      <w:marRight w:val="0"/>
      <w:marTop w:val="0"/>
      <w:marBottom w:val="0"/>
      <w:divBdr>
        <w:top w:val="none" w:sz="0" w:space="0" w:color="auto"/>
        <w:left w:val="none" w:sz="0" w:space="0" w:color="auto"/>
        <w:bottom w:val="none" w:sz="0" w:space="0" w:color="auto"/>
        <w:right w:val="none" w:sz="0" w:space="0" w:color="auto"/>
      </w:divBdr>
    </w:div>
    <w:div w:id="145323262">
      <w:bodyDiv w:val="1"/>
      <w:marLeft w:val="0"/>
      <w:marRight w:val="0"/>
      <w:marTop w:val="0"/>
      <w:marBottom w:val="0"/>
      <w:divBdr>
        <w:top w:val="none" w:sz="0" w:space="0" w:color="auto"/>
        <w:left w:val="none" w:sz="0" w:space="0" w:color="auto"/>
        <w:bottom w:val="none" w:sz="0" w:space="0" w:color="auto"/>
        <w:right w:val="none" w:sz="0" w:space="0" w:color="auto"/>
      </w:divBdr>
    </w:div>
    <w:div w:id="160895543">
      <w:bodyDiv w:val="1"/>
      <w:marLeft w:val="0"/>
      <w:marRight w:val="0"/>
      <w:marTop w:val="0"/>
      <w:marBottom w:val="0"/>
      <w:divBdr>
        <w:top w:val="none" w:sz="0" w:space="0" w:color="auto"/>
        <w:left w:val="none" w:sz="0" w:space="0" w:color="auto"/>
        <w:bottom w:val="none" w:sz="0" w:space="0" w:color="auto"/>
        <w:right w:val="none" w:sz="0" w:space="0" w:color="auto"/>
      </w:divBdr>
    </w:div>
    <w:div w:id="187180952">
      <w:bodyDiv w:val="1"/>
      <w:marLeft w:val="0"/>
      <w:marRight w:val="0"/>
      <w:marTop w:val="0"/>
      <w:marBottom w:val="0"/>
      <w:divBdr>
        <w:top w:val="none" w:sz="0" w:space="0" w:color="auto"/>
        <w:left w:val="none" w:sz="0" w:space="0" w:color="auto"/>
        <w:bottom w:val="none" w:sz="0" w:space="0" w:color="auto"/>
        <w:right w:val="none" w:sz="0" w:space="0" w:color="auto"/>
      </w:divBdr>
    </w:div>
    <w:div w:id="228924697">
      <w:bodyDiv w:val="1"/>
      <w:marLeft w:val="0"/>
      <w:marRight w:val="0"/>
      <w:marTop w:val="0"/>
      <w:marBottom w:val="0"/>
      <w:divBdr>
        <w:top w:val="none" w:sz="0" w:space="0" w:color="auto"/>
        <w:left w:val="none" w:sz="0" w:space="0" w:color="auto"/>
        <w:bottom w:val="none" w:sz="0" w:space="0" w:color="auto"/>
        <w:right w:val="none" w:sz="0" w:space="0" w:color="auto"/>
      </w:divBdr>
    </w:div>
    <w:div w:id="244607452">
      <w:bodyDiv w:val="1"/>
      <w:marLeft w:val="0"/>
      <w:marRight w:val="0"/>
      <w:marTop w:val="0"/>
      <w:marBottom w:val="0"/>
      <w:divBdr>
        <w:top w:val="none" w:sz="0" w:space="0" w:color="auto"/>
        <w:left w:val="none" w:sz="0" w:space="0" w:color="auto"/>
        <w:bottom w:val="none" w:sz="0" w:space="0" w:color="auto"/>
        <w:right w:val="none" w:sz="0" w:space="0" w:color="auto"/>
      </w:divBdr>
    </w:div>
    <w:div w:id="250244029">
      <w:bodyDiv w:val="1"/>
      <w:marLeft w:val="0"/>
      <w:marRight w:val="0"/>
      <w:marTop w:val="0"/>
      <w:marBottom w:val="0"/>
      <w:divBdr>
        <w:top w:val="none" w:sz="0" w:space="0" w:color="auto"/>
        <w:left w:val="none" w:sz="0" w:space="0" w:color="auto"/>
        <w:bottom w:val="none" w:sz="0" w:space="0" w:color="auto"/>
        <w:right w:val="none" w:sz="0" w:space="0" w:color="auto"/>
      </w:divBdr>
    </w:div>
    <w:div w:id="317734163">
      <w:bodyDiv w:val="1"/>
      <w:marLeft w:val="0"/>
      <w:marRight w:val="0"/>
      <w:marTop w:val="0"/>
      <w:marBottom w:val="0"/>
      <w:divBdr>
        <w:top w:val="none" w:sz="0" w:space="0" w:color="auto"/>
        <w:left w:val="none" w:sz="0" w:space="0" w:color="auto"/>
        <w:bottom w:val="none" w:sz="0" w:space="0" w:color="auto"/>
        <w:right w:val="none" w:sz="0" w:space="0" w:color="auto"/>
      </w:divBdr>
    </w:div>
    <w:div w:id="318269837">
      <w:bodyDiv w:val="1"/>
      <w:marLeft w:val="0"/>
      <w:marRight w:val="0"/>
      <w:marTop w:val="0"/>
      <w:marBottom w:val="0"/>
      <w:divBdr>
        <w:top w:val="none" w:sz="0" w:space="0" w:color="auto"/>
        <w:left w:val="none" w:sz="0" w:space="0" w:color="auto"/>
        <w:bottom w:val="none" w:sz="0" w:space="0" w:color="auto"/>
        <w:right w:val="none" w:sz="0" w:space="0" w:color="auto"/>
      </w:divBdr>
    </w:div>
    <w:div w:id="319501940">
      <w:bodyDiv w:val="1"/>
      <w:marLeft w:val="0"/>
      <w:marRight w:val="0"/>
      <w:marTop w:val="0"/>
      <w:marBottom w:val="0"/>
      <w:divBdr>
        <w:top w:val="none" w:sz="0" w:space="0" w:color="auto"/>
        <w:left w:val="none" w:sz="0" w:space="0" w:color="auto"/>
        <w:bottom w:val="none" w:sz="0" w:space="0" w:color="auto"/>
        <w:right w:val="none" w:sz="0" w:space="0" w:color="auto"/>
      </w:divBdr>
    </w:div>
    <w:div w:id="339551988">
      <w:bodyDiv w:val="1"/>
      <w:marLeft w:val="0"/>
      <w:marRight w:val="0"/>
      <w:marTop w:val="0"/>
      <w:marBottom w:val="0"/>
      <w:divBdr>
        <w:top w:val="none" w:sz="0" w:space="0" w:color="auto"/>
        <w:left w:val="none" w:sz="0" w:space="0" w:color="auto"/>
        <w:bottom w:val="none" w:sz="0" w:space="0" w:color="auto"/>
        <w:right w:val="none" w:sz="0" w:space="0" w:color="auto"/>
      </w:divBdr>
    </w:div>
    <w:div w:id="341052374">
      <w:bodyDiv w:val="1"/>
      <w:marLeft w:val="0"/>
      <w:marRight w:val="0"/>
      <w:marTop w:val="0"/>
      <w:marBottom w:val="0"/>
      <w:divBdr>
        <w:top w:val="none" w:sz="0" w:space="0" w:color="auto"/>
        <w:left w:val="none" w:sz="0" w:space="0" w:color="auto"/>
        <w:bottom w:val="none" w:sz="0" w:space="0" w:color="auto"/>
        <w:right w:val="none" w:sz="0" w:space="0" w:color="auto"/>
      </w:divBdr>
    </w:div>
    <w:div w:id="364718396">
      <w:bodyDiv w:val="1"/>
      <w:marLeft w:val="0"/>
      <w:marRight w:val="0"/>
      <w:marTop w:val="0"/>
      <w:marBottom w:val="0"/>
      <w:divBdr>
        <w:top w:val="none" w:sz="0" w:space="0" w:color="auto"/>
        <w:left w:val="none" w:sz="0" w:space="0" w:color="auto"/>
        <w:bottom w:val="none" w:sz="0" w:space="0" w:color="auto"/>
        <w:right w:val="none" w:sz="0" w:space="0" w:color="auto"/>
      </w:divBdr>
    </w:div>
    <w:div w:id="366101439">
      <w:bodyDiv w:val="1"/>
      <w:marLeft w:val="0"/>
      <w:marRight w:val="0"/>
      <w:marTop w:val="0"/>
      <w:marBottom w:val="0"/>
      <w:divBdr>
        <w:top w:val="none" w:sz="0" w:space="0" w:color="auto"/>
        <w:left w:val="none" w:sz="0" w:space="0" w:color="auto"/>
        <w:bottom w:val="none" w:sz="0" w:space="0" w:color="auto"/>
        <w:right w:val="none" w:sz="0" w:space="0" w:color="auto"/>
      </w:divBdr>
    </w:div>
    <w:div w:id="385110259">
      <w:bodyDiv w:val="1"/>
      <w:marLeft w:val="0"/>
      <w:marRight w:val="0"/>
      <w:marTop w:val="0"/>
      <w:marBottom w:val="0"/>
      <w:divBdr>
        <w:top w:val="none" w:sz="0" w:space="0" w:color="auto"/>
        <w:left w:val="none" w:sz="0" w:space="0" w:color="auto"/>
        <w:bottom w:val="none" w:sz="0" w:space="0" w:color="auto"/>
        <w:right w:val="none" w:sz="0" w:space="0" w:color="auto"/>
      </w:divBdr>
    </w:div>
    <w:div w:id="385564262">
      <w:bodyDiv w:val="1"/>
      <w:marLeft w:val="0"/>
      <w:marRight w:val="0"/>
      <w:marTop w:val="0"/>
      <w:marBottom w:val="0"/>
      <w:divBdr>
        <w:top w:val="none" w:sz="0" w:space="0" w:color="auto"/>
        <w:left w:val="none" w:sz="0" w:space="0" w:color="auto"/>
        <w:bottom w:val="none" w:sz="0" w:space="0" w:color="auto"/>
        <w:right w:val="none" w:sz="0" w:space="0" w:color="auto"/>
      </w:divBdr>
    </w:div>
    <w:div w:id="392578760">
      <w:bodyDiv w:val="1"/>
      <w:marLeft w:val="0"/>
      <w:marRight w:val="0"/>
      <w:marTop w:val="0"/>
      <w:marBottom w:val="0"/>
      <w:divBdr>
        <w:top w:val="none" w:sz="0" w:space="0" w:color="auto"/>
        <w:left w:val="none" w:sz="0" w:space="0" w:color="auto"/>
        <w:bottom w:val="none" w:sz="0" w:space="0" w:color="auto"/>
        <w:right w:val="none" w:sz="0" w:space="0" w:color="auto"/>
      </w:divBdr>
    </w:div>
    <w:div w:id="396902872">
      <w:bodyDiv w:val="1"/>
      <w:marLeft w:val="0"/>
      <w:marRight w:val="0"/>
      <w:marTop w:val="0"/>
      <w:marBottom w:val="0"/>
      <w:divBdr>
        <w:top w:val="none" w:sz="0" w:space="0" w:color="auto"/>
        <w:left w:val="none" w:sz="0" w:space="0" w:color="auto"/>
        <w:bottom w:val="none" w:sz="0" w:space="0" w:color="auto"/>
        <w:right w:val="none" w:sz="0" w:space="0" w:color="auto"/>
      </w:divBdr>
    </w:div>
    <w:div w:id="407924865">
      <w:bodyDiv w:val="1"/>
      <w:marLeft w:val="0"/>
      <w:marRight w:val="0"/>
      <w:marTop w:val="0"/>
      <w:marBottom w:val="0"/>
      <w:divBdr>
        <w:top w:val="none" w:sz="0" w:space="0" w:color="auto"/>
        <w:left w:val="none" w:sz="0" w:space="0" w:color="auto"/>
        <w:bottom w:val="none" w:sz="0" w:space="0" w:color="auto"/>
        <w:right w:val="none" w:sz="0" w:space="0" w:color="auto"/>
      </w:divBdr>
    </w:div>
    <w:div w:id="434131934">
      <w:bodyDiv w:val="1"/>
      <w:marLeft w:val="0"/>
      <w:marRight w:val="0"/>
      <w:marTop w:val="0"/>
      <w:marBottom w:val="0"/>
      <w:divBdr>
        <w:top w:val="none" w:sz="0" w:space="0" w:color="auto"/>
        <w:left w:val="none" w:sz="0" w:space="0" w:color="auto"/>
        <w:bottom w:val="none" w:sz="0" w:space="0" w:color="auto"/>
        <w:right w:val="none" w:sz="0" w:space="0" w:color="auto"/>
      </w:divBdr>
    </w:div>
    <w:div w:id="449976220">
      <w:bodyDiv w:val="1"/>
      <w:marLeft w:val="0"/>
      <w:marRight w:val="0"/>
      <w:marTop w:val="0"/>
      <w:marBottom w:val="0"/>
      <w:divBdr>
        <w:top w:val="none" w:sz="0" w:space="0" w:color="auto"/>
        <w:left w:val="none" w:sz="0" w:space="0" w:color="auto"/>
        <w:bottom w:val="none" w:sz="0" w:space="0" w:color="auto"/>
        <w:right w:val="none" w:sz="0" w:space="0" w:color="auto"/>
      </w:divBdr>
    </w:div>
    <w:div w:id="476922259">
      <w:bodyDiv w:val="1"/>
      <w:marLeft w:val="0"/>
      <w:marRight w:val="0"/>
      <w:marTop w:val="0"/>
      <w:marBottom w:val="0"/>
      <w:divBdr>
        <w:top w:val="none" w:sz="0" w:space="0" w:color="auto"/>
        <w:left w:val="none" w:sz="0" w:space="0" w:color="auto"/>
        <w:bottom w:val="none" w:sz="0" w:space="0" w:color="auto"/>
        <w:right w:val="none" w:sz="0" w:space="0" w:color="auto"/>
      </w:divBdr>
      <w:divsChild>
        <w:div w:id="349769793">
          <w:marLeft w:val="0"/>
          <w:marRight w:val="0"/>
          <w:marTop w:val="240"/>
          <w:marBottom w:val="240"/>
          <w:divBdr>
            <w:top w:val="none" w:sz="0" w:space="0" w:color="auto"/>
            <w:left w:val="none" w:sz="0" w:space="0" w:color="auto"/>
            <w:bottom w:val="none" w:sz="0" w:space="0" w:color="auto"/>
            <w:right w:val="none" w:sz="0" w:space="0" w:color="auto"/>
          </w:divBdr>
          <w:divsChild>
            <w:div w:id="900485203">
              <w:marLeft w:val="0"/>
              <w:marRight w:val="0"/>
              <w:marTop w:val="0"/>
              <w:marBottom w:val="0"/>
              <w:divBdr>
                <w:top w:val="none" w:sz="0" w:space="0" w:color="auto"/>
                <w:left w:val="none" w:sz="0" w:space="0" w:color="auto"/>
                <w:bottom w:val="none" w:sz="0" w:space="0" w:color="auto"/>
                <w:right w:val="none" w:sz="0" w:space="0" w:color="auto"/>
              </w:divBdr>
            </w:div>
          </w:divsChild>
        </w:div>
        <w:div w:id="238828576">
          <w:marLeft w:val="0"/>
          <w:marRight w:val="0"/>
          <w:marTop w:val="0"/>
          <w:marBottom w:val="0"/>
          <w:divBdr>
            <w:top w:val="none" w:sz="0" w:space="0" w:color="auto"/>
            <w:left w:val="none" w:sz="0" w:space="0" w:color="auto"/>
            <w:bottom w:val="none" w:sz="0" w:space="0" w:color="auto"/>
            <w:right w:val="none" w:sz="0" w:space="0" w:color="auto"/>
          </w:divBdr>
        </w:div>
        <w:div w:id="1075281009">
          <w:marLeft w:val="0"/>
          <w:marRight w:val="0"/>
          <w:marTop w:val="0"/>
          <w:marBottom w:val="0"/>
          <w:divBdr>
            <w:top w:val="none" w:sz="0" w:space="0" w:color="auto"/>
            <w:left w:val="none" w:sz="0" w:space="0" w:color="auto"/>
            <w:bottom w:val="none" w:sz="0" w:space="0" w:color="auto"/>
            <w:right w:val="none" w:sz="0" w:space="0" w:color="auto"/>
          </w:divBdr>
        </w:div>
      </w:divsChild>
    </w:div>
    <w:div w:id="494567247">
      <w:bodyDiv w:val="1"/>
      <w:marLeft w:val="0"/>
      <w:marRight w:val="0"/>
      <w:marTop w:val="0"/>
      <w:marBottom w:val="0"/>
      <w:divBdr>
        <w:top w:val="none" w:sz="0" w:space="0" w:color="auto"/>
        <w:left w:val="none" w:sz="0" w:space="0" w:color="auto"/>
        <w:bottom w:val="none" w:sz="0" w:space="0" w:color="auto"/>
        <w:right w:val="none" w:sz="0" w:space="0" w:color="auto"/>
      </w:divBdr>
    </w:div>
    <w:div w:id="540095460">
      <w:bodyDiv w:val="1"/>
      <w:marLeft w:val="0"/>
      <w:marRight w:val="0"/>
      <w:marTop w:val="0"/>
      <w:marBottom w:val="0"/>
      <w:divBdr>
        <w:top w:val="none" w:sz="0" w:space="0" w:color="auto"/>
        <w:left w:val="none" w:sz="0" w:space="0" w:color="auto"/>
        <w:bottom w:val="none" w:sz="0" w:space="0" w:color="auto"/>
        <w:right w:val="none" w:sz="0" w:space="0" w:color="auto"/>
      </w:divBdr>
    </w:div>
    <w:div w:id="555433748">
      <w:bodyDiv w:val="1"/>
      <w:marLeft w:val="0"/>
      <w:marRight w:val="0"/>
      <w:marTop w:val="0"/>
      <w:marBottom w:val="0"/>
      <w:divBdr>
        <w:top w:val="none" w:sz="0" w:space="0" w:color="auto"/>
        <w:left w:val="none" w:sz="0" w:space="0" w:color="auto"/>
        <w:bottom w:val="none" w:sz="0" w:space="0" w:color="auto"/>
        <w:right w:val="none" w:sz="0" w:space="0" w:color="auto"/>
      </w:divBdr>
    </w:div>
    <w:div w:id="582570423">
      <w:bodyDiv w:val="1"/>
      <w:marLeft w:val="0"/>
      <w:marRight w:val="0"/>
      <w:marTop w:val="0"/>
      <w:marBottom w:val="0"/>
      <w:divBdr>
        <w:top w:val="none" w:sz="0" w:space="0" w:color="auto"/>
        <w:left w:val="none" w:sz="0" w:space="0" w:color="auto"/>
        <w:bottom w:val="none" w:sz="0" w:space="0" w:color="auto"/>
        <w:right w:val="none" w:sz="0" w:space="0" w:color="auto"/>
      </w:divBdr>
    </w:div>
    <w:div w:id="595940605">
      <w:bodyDiv w:val="1"/>
      <w:marLeft w:val="0"/>
      <w:marRight w:val="0"/>
      <w:marTop w:val="0"/>
      <w:marBottom w:val="0"/>
      <w:divBdr>
        <w:top w:val="none" w:sz="0" w:space="0" w:color="auto"/>
        <w:left w:val="none" w:sz="0" w:space="0" w:color="auto"/>
        <w:bottom w:val="none" w:sz="0" w:space="0" w:color="auto"/>
        <w:right w:val="none" w:sz="0" w:space="0" w:color="auto"/>
      </w:divBdr>
    </w:div>
    <w:div w:id="597296915">
      <w:bodyDiv w:val="1"/>
      <w:marLeft w:val="0"/>
      <w:marRight w:val="0"/>
      <w:marTop w:val="0"/>
      <w:marBottom w:val="0"/>
      <w:divBdr>
        <w:top w:val="none" w:sz="0" w:space="0" w:color="auto"/>
        <w:left w:val="none" w:sz="0" w:space="0" w:color="auto"/>
        <w:bottom w:val="none" w:sz="0" w:space="0" w:color="auto"/>
        <w:right w:val="none" w:sz="0" w:space="0" w:color="auto"/>
      </w:divBdr>
    </w:div>
    <w:div w:id="609242759">
      <w:bodyDiv w:val="1"/>
      <w:marLeft w:val="0"/>
      <w:marRight w:val="0"/>
      <w:marTop w:val="0"/>
      <w:marBottom w:val="0"/>
      <w:divBdr>
        <w:top w:val="none" w:sz="0" w:space="0" w:color="auto"/>
        <w:left w:val="none" w:sz="0" w:space="0" w:color="auto"/>
        <w:bottom w:val="none" w:sz="0" w:space="0" w:color="auto"/>
        <w:right w:val="none" w:sz="0" w:space="0" w:color="auto"/>
      </w:divBdr>
    </w:div>
    <w:div w:id="616522514">
      <w:bodyDiv w:val="1"/>
      <w:marLeft w:val="0"/>
      <w:marRight w:val="0"/>
      <w:marTop w:val="0"/>
      <w:marBottom w:val="0"/>
      <w:divBdr>
        <w:top w:val="none" w:sz="0" w:space="0" w:color="auto"/>
        <w:left w:val="none" w:sz="0" w:space="0" w:color="auto"/>
        <w:bottom w:val="none" w:sz="0" w:space="0" w:color="auto"/>
        <w:right w:val="none" w:sz="0" w:space="0" w:color="auto"/>
      </w:divBdr>
    </w:div>
    <w:div w:id="618414238">
      <w:bodyDiv w:val="1"/>
      <w:marLeft w:val="0"/>
      <w:marRight w:val="0"/>
      <w:marTop w:val="0"/>
      <w:marBottom w:val="0"/>
      <w:divBdr>
        <w:top w:val="none" w:sz="0" w:space="0" w:color="auto"/>
        <w:left w:val="none" w:sz="0" w:space="0" w:color="auto"/>
        <w:bottom w:val="none" w:sz="0" w:space="0" w:color="auto"/>
        <w:right w:val="none" w:sz="0" w:space="0" w:color="auto"/>
      </w:divBdr>
    </w:div>
    <w:div w:id="636688082">
      <w:bodyDiv w:val="1"/>
      <w:marLeft w:val="0"/>
      <w:marRight w:val="0"/>
      <w:marTop w:val="0"/>
      <w:marBottom w:val="0"/>
      <w:divBdr>
        <w:top w:val="none" w:sz="0" w:space="0" w:color="auto"/>
        <w:left w:val="none" w:sz="0" w:space="0" w:color="auto"/>
        <w:bottom w:val="none" w:sz="0" w:space="0" w:color="auto"/>
        <w:right w:val="none" w:sz="0" w:space="0" w:color="auto"/>
      </w:divBdr>
    </w:div>
    <w:div w:id="686444150">
      <w:bodyDiv w:val="1"/>
      <w:marLeft w:val="0"/>
      <w:marRight w:val="0"/>
      <w:marTop w:val="0"/>
      <w:marBottom w:val="0"/>
      <w:divBdr>
        <w:top w:val="none" w:sz="0" w:space="0" w:color="auto"/>
        <w:left w:val="none" w:sz="0" w:space="0" w:color="auto"/>
        <w:bottom w:val="none" w:sz="0" w:space="0" w:color="auto"/>
        <w:right w:val="none" w:sz="0" w:space="0" w:color="auto"/>
      </w:divBdr>
    </w:div>
    <w:div w:id="731196118">
      <w:bodyDiv w:val="1"/>
      <w:marLeft w:val="0"/>
      <w:marRight w:val="0"/>
      <w:marTop w:val="0"/>
      <w:marBottom w:val="0"/>
      <w:divBdr>
        <w:top w:val="none" w:sz="0" w:space="0" w:color="auto"/>
        <w:left w:val="none" w:sz="0" w:space="0" w:color="auto"/>
        <w:bottom w:val="none" w:sz="0" w:space="0" w:color="auto"/>
        <w:right w:val="none" w:sz="0" w:space="0" w:color="auto"/>
      </w:divBdr>
    </w:div>
    <w:div w:id="731199299">
      <w:bodyDiv w:val="1"/>
      <w:marLeft w:val="0"/>
      <w:marRight w:val="0"/>
      <w:marTop w:val="0"/>
      <w:marBottom w:val="0"/>
      <w:divBdr>
        <w:top w:val="none" w:sz="0" w:space="0" w:color="auto"/>
        <w:left w:val="none" w:sz="0" w:space="0" w:color="auto"/>
        <w:bottom w:val="none" w:sz="0" w:space="0" w:color="auto"/>
        <w:right w:val="none" w:sz="0" w:space="0" w:color="auto"/>
      </w:divBdr>
    </w:div>
    <w:div w:id="731923693">
      <w:bodyDiv w:val="1"/>
      <w:marLeft w:val="0"/>
      <w:marRight w:val="0"/>
      <w:marTop w:val="0"/>
      <w:marBottom w:val="0"/>
      <w:divBdr>
        <w:top w:val="none" w:sz="0" w:space="0" w:color="auto"/>
        <w:left w:val="none" w:sz="0" w:space="0" w:color="auto"/>
        <w:bottom w:val="none" w:sz="0" w:space="0" w:color="auto"/>
        <w:right w:val="none" w:sz="0" w:space="0" w:color="auto"/>
      </w:divBdr>
    </w:div>
    <w:div w:id="737171983">
      <w:bodyDiv w:val="1"/>
      <w:marLeft w:val="0"/>
      <w:marRight w:val="0"/>
      <w:marTop w:val="0"/>
      <w:marBottom w:val="0"/>
      <w:divBdr>
        <w:top w:val="none" w:sz="0" w:space="0" w:color="auto"/>
        <w:left w:val="none" w:sz="0" w:space="0" w:color="auto"/>
        <w:bottom w:val="none" w:sz="0" w:space="0" w:color="auto"/>
        <w:right w:val="none" w:sz="0" w:space="0" w:color="auto"/>
      </w:divBdr>
    </w:div>
    <w:div w:id="739710653">
      <w:bodyDiv w:val="1"/>
      <w:marLeft w:val="0"/>
      <w:marRight w:val="0"/>
      <w:marTop w:val="0"/>
      <w:marBottom w:val="0"/>
      <w:divBdr>
        <w:top w:val="none" w:sz="0" w:space="0" w:color="auto"/>
        <w:left w:val="none" w:sz="0" w:space="0" w:color="auto"/>
        <w:bottom w:val="none" w:sz="0" w:space="0" w:color="auto"/>
        <w:right w:val="none" w:sz="0" w:space="0" w:color="auto"/>
      </w:divBdr>
    </w:div>
    <w:div w:id="752631723">
      <w:bodyDiv w:val="1"/>
      <w:marLeft w:val="0"/>
      <w:marRight w:val="0"/>
      <w:marTop w:val="0"/>
      <w:marBottom w:val="0"/>
      <w:divBdr>
        <w:top w:val="none" w:sz="0" w:space="0" w:color="auto"/>
        <w:left w:val="none" w:sz="0" w:space="0" w:color="auto"/>
        <w:bottom w:val="none" w:sz="0" w:space="0" w:color="auto"/>
        <w:right w:val="none" w:sz="0" w:space="0" w:color="auto"/>
      </w:divBdr>
    </w:div>
    <w:div w:id="769393188">
      <w:bodyDiv w:val="1"/>
      <w:marLeft w:val="0"/>
      <w:marRight w:val="0"/>
      <w:marTop w:val="0"/>
      <w:marBottom w:val="0"/>
      <w:divBdr>
        <w:top w:val="none" w:sz="0" w:space="0" w:color="auto"/>
        <w:left w:val="none" w:sz="0" w:space="0" w:color="auto"/>
        <w:bottom w:val="none" w:sz="0" w:space="0" w:color="auto"/>
        <w:right w:val="none" w:sz="0" w:space="0" w:color="auto"/>
      </w:divBdr>
      <w:divsChild>
        <w:div w:id="2125221538">
          <w:marLeft w:val="0"/>
          <w:marRight w:val="0"/>
          <w:marTop w:val="0"/>
          <w:marBottom w:val="0"/>
          <w:divBdr>
            <w:top w:val="none" w:sz="0" w:space="0" w:color="auto"/>
            <w:left w:val="none" w:sz="0" w:space="0" w:color="auto"/>
            <w:bottom w:val="none" w:sz="0" w:space="0" w:color="auto"/>
            <w:right w:val="none" w:sz="0" w:space="0" w:color="auto"/>
          </w:divBdr>
        </w:div>
      </w:divsChild>
    </w:div>
    <w:div w:id="779030299">
      <w:bodyDiv w:val="1"/>
      <w:marLeft w:val="0"/>
      <w:marRight w:val="0"/>
      <w:marTop w:val="0"/>
      <w:marBottom w:val="0"/>
      <w:divBdr>
        <w:top w:val="none" w:sz="0" w:space="0" w:color="auto"/>
        <w:left w:val="none" w:sz="0" w:space="0" w:color="auto"/>
        <w:bottom w:val="none" w:sz="0" w:space="0" w:color="auto"/>
        <w:right w:val="none" w:sz="0" w:space="0" w:color="auto"/>
      </w:divBdr>
    </w:div>
    <w:div w:id="780994334">
      <w:bodyDiv w:val="1"/>
      <w:marLeft w:val="0"/>
      <w:marRight w:val="0"/>
      <w:marTop w:val="0"/>
      <w:marBottom w:val="0"/>
      <w:divBdr>
        <w:top w:val="none" w:sz="0" w:space="0" w:color="auto"/>
        <w:left w:val="none" w:sz="0" w:space="0" w:color="auto"/>
        <w:bottom w:val="none" w:sz="0" w:space="0" w:color="auto"/>
        <w:right w:val="none" w:sz="0" w:space="0" w:color="auto"/>
      </w:divBdr>
    </w:div>
    <w:div w:id="801121894">
      <w:bodyDiv w:val="1"/>
      <w:marLeft w:val="0"/>
      <w:marRight w:val="0"/>
      <w:marTop w:val="0"/>
      <w:marBottom w:val="0"/>
      <w:divBdr>
        <w:top w:val="none" w:sz="0" w:space="0" w:color="auto"/>
        <w:left w:val="none" w:sz="0" w:space="0" w:color="auto"/>
        <w:bottom w:val="none" w:sz="0" w:space="0" w:color="auto"/>
        <w:right w:val="none" w:sz="0" w:space="0" w:color="auto"/>
      </w:divBdr>
    </w:div>
    <w:div w:id="807548926">
      <w:bodyDiv w:val="1"/>
      <w:marLeft w:val="0"/>
      <w:marRight w:val="0"/>
      <w:marTop w:val="0"/>
      <w:marBottom w:val="0"/>
      <w:divBdr>
        <w:top w:val="none" w:sz="0" w:space="0" w:color="auto"/>
        <w:left w:val="none" w:sz="0" w:space="0" w:color="auto"/>
        <w:bottom w:val="none" w:sz="0" w:space="0" w:color="auto"/>
        <w:right w:val="none" w:sz="0" w:space="0" w:color="auto"/>
      </w:divBdr>
    </w:div>
    <w:div w:id="839002027">
      <w:bodyDiv w:val="1"/>
      <w:marLeft w:val="0"/>
      <w:marRight w:val="0"/>
      <w:marTop w:val="0"/>
      <w:marBottom w:val="0"/>
      <w:divBdr>
        <w:top w:val="none" w:sz="0" w:space="0" w:color="auto"/>
        <w:left w:val="none" w:sz="0" w:space="0" w:color="auto"/>
        <w:bottom w:val="none" w:sz="0" w:space="0" w:color="auto"/>
        <w:right w:val="none" w:sz="0" w:space="0" w:color="auto"/>
      </w:divBdr>
    </w:div>
    <w:div w:id="844243257">
      <w:bodyDiv w:val="1"/>
      <w:marLeft w:val="0"/>
      <w:marRight w:val="0"/>
      <w:marTop w:val="0"/>
      <w:marBottom w:val="0"/>
      <w:divBdr>
        <w:top w:val="none" w:sz="0" w:space="0" w:color="auto"/>
        <w:left w:val="none" w:sz="0" w:space="0" w:color="auto"/>
        <w:bottom w:val="none" w:sz="0" w:space="0" w:color="auto"/>
        <w:right w:val="none" w:sz="0" w:space="0" w:color="auto"/>
      </w:divBdr>
    </w:div>
    <w:div w:id="871766974">
      <w:bodyDiv w:val="1"/>
      <w:marLeft w:val="0"/>
      <w:marRight w:val="0"/>
      <w:marTop w:val="0"/>
      <w:marBottom w:val="0"/>
      <w:divBdr>
        <w:top w:val="none" w:sz="0" w:space="0" w:color="auto"/>
        <w:left w:val="none" w:sz="0" w:space="0" w:color="auto"/>
        <w:bottom w:val="none" w:sz="0" w:space="0" w:color="auto"/>
        <w:right w:val="none" w:sz="0" w:space="0" w:color="auto"/>
      </w:divBdr>
    </w:div>
    <w:div w:id="875969288">
      <w:bodyDiv w:val="1"/>
      <w:marLeft w:val="0"/>
      <w:marRight w:val="0"/>
      <w:marTop w:val="0"/>
      <w:marBottom w:val="0"/>
      <w:divBdr>
        <w:top w:val="none" w:sz="0" w:space="0" w:color="auto"/>
        <w:left w:val="none" w:sz="0" w:space="0" w:color="auto"/>
        <w:bottom w:val="none" w:sz="0" w:space="0" w:color="auto"/>
        <w:right w:val="none" w:sz="0" w:space="0" w:color="auto"/>
      </w:divBdr>
    </w:div>
    <w:div w:id="904337186">
      <w:bodyDiv w:val="1"/>
      <w:marLeft w:val="0"/>
      <w:marRight w:val="0"/>
      <w:marTop w:val="0"/>
      <w:marBottom w:val="0"/>
      <w:divBdr>
        <w:top w:val="none" w:sz="0" w:space="0" w:color="auto"/>
        <w:left w:val="none" w:sz="0" w:space="0" w:color="auto"/>
        <w:bottom w:val="none" w:sz="0" w:space="0" w:color="auto"/>
        <w:right w:val="none" w:sz="0" w:space="0" w:color="auto"/>
      </w:divBdr>
    </w:div>
    <w:div w:id="915434588">
      <w:bodyDiv w:val="1"/>
      <w:marLeft w:val="0"/>
      <w:marRight w:val="0"/>
      <w:marTop w:val="0"/>
      <w:marBottom w:val="0"/>
      <w:divBdr>
        <w:top w:val="none" w:sz="0" w:space="0" w:color="auto"/>
        <w:left w:val="none" w:sz="0" w:space="0" w:color="auto"/>
        <w:bottom w:val="none" w:sz="0" w:space="0" w:color="auto"/>
        <w:right w:val="none" w:sz="0" w:space="0" w:color="auto"/>
      </w:divBdr>
    </w:div>
    <w:div w:id="937104642">
      <w:bodyDiv w:val="1"/>
      <w:marLeft w:val="0"/>
      <w:marRight w:val="0"/>
      <w:marTop w:val="0"/>
      <w:marBottom w:val="0"/>
      <w:divBdr>
        <w:top w:val="none" w:sz="0" w:space="0" w:color="auto"/>
        <w:left w:val="none" w:sz="0" w:space="0" w:color="auto"/>
        <w:bottom w:val="none" w:sz="0" w:space="0" w:color="auto"/>
        <w:right w:val="none" w:sz="0" w:space="0" w:color="auto"/>
      </w:divBdr>
    </w:div>
    <w:div w:id="941835692">
      <w:bodyDiv w:val="1"/>
      <w:marLeft w:val="0"/>
      <w:marRight w:val="0"/>
      <w:marTop w:val="0"/>
      <w:marBottom w:val="0"/>
      <w:divBdr>
        <w:top w:val="none" w:sz="0" w:space="0" w:color="auto"/>
        <w:left w:val="none" w:sz="0" w:space="0" w:color="auto"/>
        <w:bottom w:val="none" w:sz="0" w:space="0" w:color="auto"/>
        <w:right w:val="none" w:sz="0" w:space="0" w:color="auto"/>
      </w:divBdr>
    </w:div>
    <w:div w:id="954673034">
      <w:bodyDiv w:val="1"/>
      <w:marLeft w:val="0"/>
      <w:marRight w:val="0"/>
      <w:marTop w:val="0"/>
      <w:marBottom w:val="0"/>
      <w:divBdr>
        <w:top w:val="none" w:sz="0" w:space="0" w:color="auto"/>
        <w:left w:val="none" w:sz="0" w:space="0" w:color="auto"/>
        <w:bottom w:val="none" w:sz="0" w:space="0" w:color="auto"/>
        <w:right w:val="none" w:sz="0" w:space="0" w:color="auto"/>
      </w:divBdr>
    </w:div>
    <w:div w:id="985285200">
      <w:bodyDiv w:val="1"/>
      <w:marLeft w:val="0"/>
      <w:marRight w:val="0"/>
      <w:marTop w:val="0"/>
      <w:marBottom w:val="0"/>
      <w:divBdr>
        <w:top w:val="none" w:sz="0" w:space="0" w:color="auto"/>
        <w:left w:val="none" w:sz="0" w:space="0" w:color="auto"/>
        <w:bottom w:val="none" w:sz="0" w:space="0" w:color="auto"/>
        <w:right w:val="none" w:sz="0" w:space="0" w:color="auto"/>
      </w:divBdr>
    </w:div>
    <w:div w:id="1001546261">
      <w:bodyDiv w:val="1"/>
      <w:marLeft w:val="0"/>
      <w:marRight w:val="0"/>
      <w:marTop w:val="0"/>
      <w:marBottom w:val="0"/>
      <w:divBdr>
        <w:top w:val="none" w:sz="0" w:space="0" w:color="auto"/>
        <w:left w:val="none" w:sz="0" w:space="0" w:color="auto"/>
        <w:bottom w:val="none" w:sz="0" w:space="0" w:color="auto"/>
        <w:right w:val="none" w:sz="0" w:space="0" w:color="auto"/>
      </w:divBdr>
    </w:div>
    <w:div w:id="1004161511">
      <w:bodyDiv w:val="1"/>
      <w:marLeft w:val="0"/>
      <w:marRight w:val="0"/>
      <w:marTop w:val="0"/>
      <w:marBottom w:val="0"/>
      <w:divBdr>
        <w:top w:val="none" w:sz="0" w:space="0" w:color="auto"/>
        <w:left w:val="none" w:sz="0" w:space="0" w:color="auto"/>
        <w:bottom w:val="none" w:sz="0" w:space="0" w:color="auto"/>
        <w:right w:val="none" w:sz="0" w:space="0" w:color="auto"/>
      </w:divBdr>
    </w:div>
    <w:div w:id="1005324974">
      <w:bodyDiv w:val="1"/>
      <w:marLeft w:val="0"/>
      <w:marRight w:val="0"/>
      <w:marTop w:val="0"/>
      <w:marBottom w:val="0"/>
      <w:divBdr>
        <w:top w:val="none" w:sz="0" w:space="0" w:color="auto"/>
        <w:left w:val="none" w:sz="0" w:space="0" w:color="auto"/>
        <w:bottom w:val="none" w:sz="0" w:space="0" w:color="auto"/>
        <w:right w:val="none" w:sz="0" w:space="0" w:color="auto"/>
      </w:divBdr>
    </w:div>
    <w:div w:id="1022628356">
      <w:bodyDiv w:val="1"/>
      <w:marLeft w:val="0"/>
      <w:marRight w:val="0"/>
      <w:marTop w:val="0"/>
      <w:marBottom w:val="0"/>
      <w:divBdr>
        <w:top w:val="none" w:sz="0" w:space="0" w:color="auto"/>
        <w:left w:val="none" w:sz="0" w:space="0" w:color="auto"/>
        <w:bottom w:val="none" w:sz="0" w:space="0" w:color="auto"/>
        <w:right w:val="none" w:sz="0" w:space="0" w:color="auto"/>
      </w:divBdr>
    </w:div>
    <w:div w:id="1028525644">
      <w:bodyDiv w:val="1"/>
      <w:marLeft w:val="0"/>
      <w:marRight w:val="0"/>
      <w:marTop w:val="0"/>
      <w:marBottom w:val="0"/>
      <w:divBdr>
        <w:top w:val="none" w:sz="0" w:space="0" w:color="auto"/>
        <w:left w:val="none" w:sz="0" w:space="0" w:color="auto"/>
        <w:bottom w:val="none" w:sz="0" w:space="0" w:color="auto"/>
        <w:right w:val="none" w:sz="0" w:space="0" w:color="auto"/>
      </w:divBdr>
    </w:div>
    <w:div w:id="1037660585">
      <w:bodyDiv w:val="1"/>
      <w:marLeft w:val="0"/>
      <w:marRight w:val="0"/>
      <w:marTop w:val="0"/>
      <w:marBottom w:val="0"/>
      <w:divBdr>
        <w:top w:val="none" w:sz="0" w:space="0" w:color="auto"/>
        <w:left w:val="none" w:sz="0" w:space="0" w:color="auto"/>
        <w:bottom w:val="none" w:sz="0" w:space="0" w:color="auto"/>
        <w:right w:val="none" w:sz="0" w:space="0" w:color="auto"/>
      </w:divBdr>
    </w:div>
    <w:div w:id="1041440513">
      <w:bodyDiv w:val="1"/>
      <w:marLeft w:val="0"/>
      <w:marRight w:val="0"/>
      <w:marTop w:val="0"/>
      <w:marBottom w:val="0"/>
      <w:divBdr>
        <w:top w:val="none" w:sz="0" w:space="0" w:color="auto"/>
        <w:left w:val="none" w:sz="0" w:space="0" w:color="auto"/>
        <w:bottom w:val="none" w:sz="0" w:space="0" w:color="auto"/>
        <w:right w:val="none" w:sz="0" w:space="0" w:color="auto"/>
      </w:divBdr>
    </w:div>
    <w:div w:id="1076900003">
      <w:bodyDiv w:val="1"/>
      <w:marLeft w:val="0"/>
      <w:marRight w:val="0"/>
      <w:marTop w:val="0"/>
      <w:marBottom w:val="0"/>
      <w:divBdr>
        <w:top w:val="none" w:sz="0" w:space="0" w:color="auto"/>
        <w:left w:val="none" w:sz="0" w:space="0" w:color="auto"/>
        <w:bottom w:val="none" w:sz="0" w:space="0" w:color="auto"/>
        <w:right w:val="none" w:sz="0" w:space="0" w:color="auto"/>
      </w:divBdr>
    </w:div>
    <w:div w:id="1082292926">
      <w:bodyDiv w:val="1"/>
      <w:marLeft w:val="0"/>
      <w:marRight w:val="0"/>
      <w:marTop w:val="0"/>
      <w:marBottom w:val="0"/>
      <w:divBdr>
        <w:top w:val="none" w:sz="0" w:space="0" w:color="auto"/>
        <w:left w:val="none" w:sz="0" w:space="0" w:color="auto"/>
        <w:bottom w:val="none" w:sz="0" w:space="0" w:color="auto"/>
        <w:right w:val="none" w:sz="0" w:space="0" w:color="auto"/>
      </w:divBdr>
    </w:div>
    <w:div w:id="1160586449">
      <w:bodyDiv w:val="1"/>
      <w:marLeft w:val="0"/>
      <w:marRight w:val="0"/>
      <w:marTop w:val="0"/>
      <w:marBottom w:val="0"/>
      <w:divBdr>
        <w:top w:val="none" w:sz="0" w:space="0" w:color="auto"/>
        <w:left w:val="none" w:sz="0" w:space="0" w:color="auto"/>
        <w:bottom w:val="none" w:sz="0" w:space="0" w:color="auto"/>
        <w:right w:val="none" w:sz="0" w:space="0" w:color="auto"/>
      </w:divBdr>
    </w:div>
    <w:div w:id="1169753618">
      <w:bodyDiv w:val="1"/>
      <w:marLeft w:val="0"/>
      <w:marRight w:val="0"/>
      <w:marTop w:val="0"/>
      <w:marBottom w:val="0"/>
      <w:divBdr>
        <w:top w:val="none" w:sz="0" w:space="0" w:color="auto"/>
        <w:left w:val="none" w:sz="0" w:space="0" w:color="auto"/>
        <w:bottom w:val="none" w:sz="0" w:space="0" w:color="auto"/>
        <w:right w:val="none" w:sz="0" w:space="0" w:color="auto"/>
      </w:divBdr>
    </w:div>
    <w:div w:id="1179930557">
      <w:bodyDiv w:val="1"/>
      <w:marLeft w:val="0"/>
      <w:marRight w:val="0"/>
      <w:marTop w:val="0"/>
      <w:marBottom w:val="0"/>
      <w:divBdr>
        <w:top w:val="none" w:sz="0" w:space="0" w:color="auto"/>
        <w:left w:val="none" w:sz="0" w:space="0" w:color="auto"/>
        <w:bottom w:val="none" w:sz="0" w:space="0" w:color="auto"/>
        <w:right w:val="none" w:sz="0" w:space="0" w:color="auto"/>
      </w:divBdr>
    </w:div>
    <w:div w:id="1188059562">
      <w:bodyDiv w:val="1"/>
      <w:marLeft w:val="0"/>
      <w:marRight w:val="0"/>
      <w:marTop w:val="0"/>
      <w:marBottom w:val="0"/>
      <w:divBdr>
        <w:top w:val="none" w:sz="0" w:space="0" w:color="auto"/>
        <w:left w:val="none" w:sz="0" w:space="0" w:color="auto"/>
        <w:bottom w:val="none" w:sz="0" w:space="0" w:color="auto"/>
        <w:right w:val="none" w:sz="0" w:space="0" w:color="auto"/>
      </w:divBdr>
    </w:div>
    <w:div w:id="1216820216">
      <w:bodyDiv w:val="1"/>
      <w:marLeft w:val="0"/>
      <w:marRight w:val="0"/>
      <w:marTop w:val="0"/>
      <w:marBottom w:val="0"/>
      <w:divBdr>
        <w:top w:val="none" w:sz="0" w:space="0" w:color="auto"/>
        <w:left w:val="none" w:sz="0" w:space="0" w:color="auto"/>
        <w:bottom w:val="none" w:sz="0" w:space="0" w:color="auto"/>
        <w:right w:val="none" w:sz="0" w:space="0" w:color="auto"/>
      </w:divBdr>
    </w:div>
    <w:div w:id="1256476114">
      <w:bodyDiv w:val="1"/>
      <w:marLeft w:val="0"/>
      <w:marRight w:val="0"/>
      <w:marTop w:val="0"/>
      <w:marBottom w:val="0"/>
      <w:divBdr>
        <w:top w:val="none" w:sz="0" w:space="0" w:color="auto"/>
        <w:left w:val="none" w:sz="0" w:space="0" w:color="auto"/>
        <w:bottom w:val="none" w:sz="0" w:space="0" w:color="auto"/>
        <w:right w:val="none" w:sz="0" w:space="0" w:color="auto"/>
      </w:divBdr>
    </w:div>
    <w:div w:id="1258253186">
      <w:bodyDiv w:val="1"/>
      <w:marLeft w:val="0"/>
      <w:marRight w:val="0"/>
      <w:marTop w:val="0"/>
      <w:marBottom w:val="0"/>
      <w:divBdr>
        <w:top w:val="none" w:sz="0" w:space="0" w:color="auto"/>
        <w:left w:val="none" w:sz="0" w:space="0" w:color="auto"/>
        <w:bottom w:val="none" w:sz="0" w:space="0" w:color="auto"/>
        <w:right w:val="none" w:sz="0" w:space="0" w:color="auto"/>
      </w:divBdr>
    </w:div>
    <w:div w:id="1268005105">
      <w:bodyDiv w:val="1"/>
      <w:marLeft w:val="0"/>
      <w:marRight w:val="0"/>
      <w:marTop w:val="0"/>
      <w:marBottom w:val="0"/>
      <w:divBdr>
        <w:top w:val="none" w:sz="0" w:space="0" w:color="auto"/>
        <w:left w:val="none" w:sz="0" w:space="0" w:color="auto"/>
        <w:bottom w:val="none" w:sz="0" w:space="0" w:color="auto"/>
        <w:right w:val="none" w:sz="0" w:space="0" w:color="auto"/>
      </w:divBdr>
    </w:div>
    <w:div w:id="1303465478">
      <w:bodyDiv w:val="1"/>
      <w:marLeft w:val="0"/>
      <w:marRight w:val="0"/>
      <w:marTop w:val="0"/>
      <w:marBottom w:val="0"/>
      <w:divBdr>
        <w:top w:val="none" w:sz="0" w:space="0" w:color="auto"/>
        <w:left w:val="none" w:sz="0" w:space="0" w:color="auto"/>
        <w:bottom w:val="none" w:sz="0" w:space="0" w:color="auto"/>
        <w:right w:val="none" w:sz="0" w:space="0" w:color="auto"/>
      </w:divBdr>
    </w:div>
    <w:div w:id="1310478078">
      <w:bodyDiv w:val="1"/>
      <w:marLeft w:val="0"/>
      <w:marRight w:val="0"/>
      <w:marTop w:val="0"/>
      <w:marBottom w:val="0"/>
      <w:divBdr>
        <w:top w:val="none" w:sz="0" w:space="0" w:color="auto"/>
        <w:left w:val="none" w:sz="0" w:space="0" w:color="auto"/>
        <w:bottom w:val="none" w:sz="0" w:space="0" w:color="auto"/>
        <w:right w:val="none" w:sz="0" w:space="0" w:color="auto"/>
      </w:divBdr>
    </w:div>
    <w:div w:id="1326400097">
      <w:bodyDiv w:val="1"/>
      <w:marLeft w:val="0"/>
      <w:marRight w:val="0"/>
      <w:marTop w:val="0"/>
      <w:marBottom w:val="0"/>
      <w:divBdr>
        <w:top w:val="none" w:sz="0" w:space="0" w:color="auto"/>
        <w:left w:val="none" w:sz="0" w:space="0" w:color="auto"/>
        <w:bottom w:val="none" w:sz="0" w:space="0" w:color="auto"/>
        <w:right w:val="none" w:sz="0" w:space="0" w:color="auto"/>
      </w:divBdr>
    </w:div>
    <w:div w:id="1341203007">
      <w:bodyDiv w:val="1"/>
      <w:marLeft w:val="0"/>
      <w:marRight w:val="0"/>
      <w:marTop w:val="0"/>
      <w:marBottom w:val="0"/>
      <w:divBdr>
        <w:top w:val="none" w:sz="0" w:space="0" w:color="auto"/>
        <w:left w:val="none" w:sz="0" w:space="0" w:color="auto"/>
        <w:bottom w:val="none" w:sz="0" w:space="0" w:color="auto"/>
        <w:right w:val="none" w:sz="0" w:space="0" w:color="auto"/>
      </w:divBdr>
    </w:div>
    <w:div w:id="1383745057">
      <w:bodyDiv w:val="1"/>
      <w:marLeft w:val="0"/>
      <w:marRight w:val="0"/>
      <w:marTop w:val="0"/>
      <w:marBottom w:val="0"/>
      <w:divBdr>
        <w:top w:val="none" w:sz="0" w:space="0" w:color="auto"/>
        <w:left w:val="none" w:sz="0" w:space="0" w:color="auto"/>
        <w:bottom w:val="none" w:sz="0" w:space="0" w:color="auto"/>
        <w:right w:val="none" w:sz="0" w:space="0" w:color="auto"/>
      </w:divBdr>
    </w:div>
    <w:div w:id="1429765782">
      <w:bodyDiv w:val="1"/>
      <w:marLeft w:val="0"/>
      <w:marRight w:val="0"/>
      <w:marTop w:val="0"/>
      <w:marBottom w:val="0"/>
      <w:divBdr>
        <w:top w:val="none" w:sz="0" w:space="0" w:color="auto"/>
        <w:left w:val="none" w:sz="0" w:space="0" w:color="auto"/>
        <w:bottom w:val="none" w:sz="0" w:space="0" w:color="auto"/>
        <w:right w:val="none" w:sz="0" w:space="0" w:color="auto"/>
      </w:divBdr>
    </w:div>
    <w:div w:id="1440102983">
      <w:bodyDiv w:val="1"/>
      <w:marLeft w:val="0"/>
      <w:marRight w:val="0"/>
      <w:marTop w:val="0"/>
      <w:marBottom w:val="0"/>
      <w:divBdr>
        <w:top w:val="none" w:sz="0" w:space="0" w:color="auto"/>
        <w:left w:val="none" w:sz="0" w:space="0" w:color="auto"/>
        <w:bottom w:val="none" w:sz="0" w:space="0" w:color="auto"/>
        <w:right w:val="none" w:sz="0" w:space="0" w:color="auto"/>
      </w:divBdr>
    </w:div>
    <w:div w:id="1486165254">
      <w:bodyDiv w:val="1"/>
      <w:marLeft w:val="0"/>
      <w:marRight w:val="0"/>
      <w:marTop w:val="0"/>
      <w:marBottom w:val="0"/>
      <w:divBdr>
        <w:top w:val="none" w:sz="0" w:space="0" w:color="auto"/>
        <w:left w:val="none" w:sz="0" w:space="0" w:color="auto"/>
        <w:bottom w:val="none" w:sz="0" w:space="0" w:color="auto"/>
        <w:right w:val="none" w:sz="0" w:space="0" w:color="auto"/>
      </w:divBdr>
    </w:div>
    <w:div w:id="1493374080">
      <w:bodyDiv w:val="1"/>
      <w:marLeft w:val="0"/>
      <w:marRight w:val="0"/>
      <w:marTop w:val="0"/>
      <w:marBottom w:val="0"/>
      <w:divBdr>
        <w:top w:val="none" w:sz="0" w:space="0" w:color="auto"/>
        <w:left w:val="none" w:sz="0" w:space="0" w:color="auto"/>
        <w:bottom w:val="none" w:sz="0" w:space="0" w:color="auto"/>
        <w:right w:val="none" w:sz="0" w:space="0" w:color="auto"/>
      </w:divBdr>
    </w:div>
    <w:div w:id="1509363931">
      <w:bodyDiv w:val="1"/>
      <w:marLeft w:val="0"/>
      <w:marRight w:val="0"/>
      <w:marTop w:val="0"/>
      <w:marBottom w:val="0"/>
      <w:divBdr>
        <w:top w:val="none" w:sz="0" w:space="0" w:color="auto"/>
        <w:left w:val="none" w:sz="0" w:space="0" w:color="auto"/>
        <w:bottom w:val="none" w:sz="0" w:space="0" w:color="auto"/>
        <w:right w:val="none" w:sz="0" w:space="0" w:color="auto"/>
      </w:divBdr>
    </w:div>
    <w:div w:id="1516534486">
      <w:bodyDiv w:val="1"/>
      <w:marLeft w:val="0"/>
      <w:marRight w:val="0"/>
      <w:marTop w:val="0"/>
      <w:marBottom w:val="0"/>
      <w:divBdr>
        <w:top w:val="none" w:sz="0" w:space="0" w:color="auto"/>
        <w:left w:val="none" w:sz="0" w:space="0" w:color="auto"/>
        <w:bottom w:val="none" w:sz="0" w:space="0" w:color="auto"/>
        <w:right w:val="none" w:sz="0" w:space="0" w:color="auto"/>
      </w:divBdr>
    </w:div>
    <w:div w:id="1524517345">
      <w:bodyDiv w:val="1"/>
      <w:marLeft w:val="0"/>
      <w:marRight w:val="0"/>
      <w:marTop w:val="0"/>
      <w:marBottom w:val="0"/>
      <w:divBdr>
        <w:top w:val="none" w:sz="0" w:space="0" w:color="auto"/>
        <w:left w:val="none" w:sz="0" w:space="0" w:color="auto"/>
        <w:bottom w:val="none" w:sz="0" w:space="0" w:color="auto"/>
        <w:right w:val="none" w:sz="0" w:space="0" w:color="auto"/>
      </w:divBdr>
    </w:div>
    <w:div w:id="1524855731">
      <w:bodyDiv w:val="1"/>
      <w:marLeft w:val="0"/>
      <w:marRight w:val="0"/>
      <w:marTop w:val="0"/>
      <w:marBottom w:val="0"/>
      <w:divBdr>
        <w:top w:val="none" w:sz="0" w:space="0" w:color="auto"/>
        <w:left w:val="none" w:sz="0" w:space="0" w:color="auto"/>
        <w:bottom w:val="none" w:sz="0" w:space="0" w:color="auto"/>
        <w:right w:val="none" w:sz="0" w:space="0" w:color="auto"/>
      </w:divBdr>
    </w:div>
    <w:div w:id="1527794541">
      <w:bodyDiv w:val="1"/>
      <w:marLeft w:val="0"/>
      <w:marRight w:val="0"/>
      <w:marTop w:val="0"/>
      <w:marBottom w:val="0"/>
      <w:divBdr>
        <w:top w:val="none" w:sz="0" w:space="0" w:color="auto"/>
        <w:left w:val="none" w:sz="0" w:space="0" w:color="auto"/>
        <w:bottom w:val="none" w:sz="0" w:space="0" w:color="auto"/>
        <w:right w:val="none" w:sz="0" w:space="0" w:color="auto"/>
      </w:divBdr>
    </w:div>
    <w:div w:id="1544749785">
      <w:bodyDiv w:val="1"/>
      <w:marLeft w:val="0"/>
      <w:marRight w:val="0"/>
      <w:marTop w:val="0"/>
      <w:marBottom w:val="0"/>
      <w:divBdr>
        <w:top w:val="none" w:sz="0" w:space="0" w:color="auto"/>
        <w:left w:val="none" w:sz="0" w:space="0" w:color="auto"/>
        <w:bottom w:val="none" w:sz="0" w:space="0" w:color="auto"/>
        <w:right w:val="none" w:sz="0" w:space="0" w:color="auto"/>
      </w:divBdr>
    </w:div>
    <w:div w:id="1553422712">
      <w:bodyDiv w:val="1"/>
      <w:marLeft w:val="0"/>
      <w:marRight w:val="0"/>
      <w:marTop w:val="0"/>
      <w:marBottom w:val="0"/>
      <w:divBdr>
        <w:top w:val="none" w:sz="0" w:space="0" w:color="auto"/>
        <w:left w:val="none" w:sz="0" w:space="0" w:color="auto"/>
        <w:bottom w:val="none" w:sz="0" w:space="0" w:color="auto"/>
        <w:right w:val="none" w:sz="0" w:space="0" w:color="auto"/>
      </w:divBdr>
    </w:div>
    <w:div w:id="1569613129">
      <w:bodyDiv w:val="1"/>
      <w:marLeft w:val="0"/>
      <w:marRight w:val="0"/>
      <w:marTop w:val="0"/>
      <w:marBottom w:val="0"/>
      <w:divBdr>
        <w:top w:val="none" w:sz="0" w:space="0" w:color="auto"/>
        <w:left w:val="none" w:sz="0" w:space="0" w:color="auto"/>
        <w:bottom w:val="none" w:sz="0" w:space="0" w:color="auto"/>
        <w:right w:val="none" w:sz="0" w:space="0" w:color="auto"/>
      </w:divBdr>
    </w:div>
    <w:div w:id="1576360667">
      <w:bodyDiv w:val="1"/>
      <w:marLeft w:val="0"/>
      <w:marRight w:val="0"/>
      <w:marTop w:val="0"/>
      <w:marBottom w:val="0"/>
      <w:divBdr>
        <w:top w:val="none" w:sz="0" w:space="0" w:color="auto"/>
        <w:left w:val="none" w:sz="0" w:space="0" w:color="auto"/>
        <w:bottom w:val="none" w:sz="0" w:space="0" w:color="auto"/>
        <w:right w:val="none" w:sz="0" w:space="0" w:color="auto"/>
      </w:divBdr>
    </w:div>
    <w:div w:id="1580679140">
      <w:bodyDiv w:val="1"/>
      <w:marLeft w:val="0"/>
      <w:marRight w:val="0"/>
      <w:marTop w:val="0"/>
      <w:marBottom w:val="0"/>
      <w:divBdr>
        <w:top w:val="none" w:sz="0" w:space="0" w:color="auto"/>
        <w:left w:val="none" w:sz="0" w:space="0" w:color="auto"/>
        <w:bottom w:val="none" w:sz="0" w:space="0" w:color="auto"/>
        <w:right w:val="none" w:sz="0" w:space="0" w:color="auto"/>
      </w:divBdr>
    </w:div>
    <w:div w:id="1584298202">
      <w:bodyDiv w:val="1"/>
      <w:marLeft w:val="0"/>
      <w:marRight w:val="0"/>
      <w:marTop w:val="0"/>
      <w:marBottom w:val="0"/>
      <w:divBdr>
        <w:top w:val="none" w:sz="0" w:space="0" w:color="auto"/>
        <w:left w:val="none" w:sz="0" w:space="0" w:color="auto"/>
        <w:bottom w:val="none" w:sz="0" w:space="0" w:color="auto"/>
        <w:right w:val="none" w:sz="0" w:space="0" w:color="auto"/>
      </w:divBdr>
    </w:div>
    <w:div w:id="1589657029">
      <w:bodyDiv w:val="1"/>
      <w:marLeft w:val="0"/>
      <w:marRight w:val="0"/>
      <w:marTop w:val="0"/>
      <w:marBottom w:val="0"/>
      <w:divBdr>
        <w:top w:val="none" w:sz="0" w:space="0" w:color="auto"/>
        <w:left w:val="none" w:sz="0" w:space="0" w:color="auto"/>
        <w:bottom w:val="none" w:sz="0" w:space="0" w:color="auto"/>
        <w:right w:val="none" w:sz="0" w:space="0" w:color="auto"/>
      </w:divBdr>
    </w:div>
    <w:div w:id="1630548282">
      <w:bodyDiv w:val="1"/>
      <w:marLeft w:val="0"/>
      <w:marRight w:val="0"/>
      <w:marTop w:val="0"/>
      <w:marBottom w:val="0"/>
      <w:divBdr>
        <w:top w:val="none" w:sz="0" w:space="0" w:color="auto"/>
        <w:left w:val="none" w:sz="0" w:space="0" w:color="auto"/>
        <w:bottom w:val="none" w:sz="0" w:space="0" w:color="auto"/>
        <w:right w:val="none" w:sz="0" w:space="0" w:color="auto"/>
      </w:divBdr>
    </w:div>
    <w:div w:id="1630623514">
      <w:bodyDiv w:val="1"/>
      <w:marLeft w:val="0"/>
      <w:marRight w:val="0"/>
      <w:marTop w:val="0"/>
      <w:marBottom w:val="0"/>
      <w:divBdr>
        <w:top w:val="none" w:sz="0" w:space="0" w:color="auto"/>
        <w:left w:val="none" w:sz="0" w:space="0" w:color="auto"/>
        <w:bottom w:val="none" w:sz="0" w:space="0" w:color="auto"/>
        <w:right w:val="none" w:sz="0" w:space="0" w:color="auto"/>
      </w:divBdr>
    </w:div>
    <w:div w:id="1631327328">
      <w:bodyDiv w:val="1"/>
      <w:marLeft w:val="0"/>
      <w:marRight w:val="0"/>
      <w:marTop w:val="0"/>
      <w:marBottom w:val="0"/>
      <w:divBdr>
        <w:top w:val="none" w:sz="0" w:space="0" w:color="auto"/>
        <w:left w:val="none" w:sz="0" w:space="0" w:color="auto"/>
        <w:bottom w:val="none" w:sz="0" w:space="0" w:color="auto"/>
        <w:right w:val="none" w:sz="0" w:space="0" w:color="auto"/>
      </w:divBdr>
      <w:divsChild>
        <w:div w:id="924531715">
          <w:marLeft w:val="0"/>
          <w:marRight w:val="0"/>
          <w:marTop w:val="0"/>
          <w:marBottom w:val="0"/>
          <w:divBdr>
            <w:top w:val="none" w:sz="0" w:space="0" w:color="auto"/>
            <w:left w:val="none" w:sz="0" w:space="0" w:color="auto"/>
            <w:bottom w:val="none" w:sz="0" w:space="0" w:color="auto"/>
            <w:right w:val="none" w:sz="0" w:space="0" w:color="auto"/>
          </w:divBdr>
        </w:div>
      </w:divsChild>
    </w:div>
    <w:div w:id="1673795240">
      <w:bodyDiv w:val="1"/>
      <w:marLeft w:val="0"/>
      <w:marRight w:val="0"/>
      <w:marTop w:val="0"/>
      <w:marBottom w:val="0"/>
      <w:divBdr>
        <w:top w:val="none" w:sz="0" w:space="0" w:color="auto"/>
        <w:left w:val="none" w:sz="0" w:space="0" w:color="auto"/>
        <w:bottom w:val="none" w:sz="0" w:space="0" w:color="auto"/>
        <w:right w:val="none" w:sz="0" w:space="0" w:color="auto"/>
      </w:divBdr>
    </w:div>
    <w:div w:id="1682047679">
      <w:bodyDiv w:val="1"/>
      <w:marLeft w:val="0"/>
      <w:marRight w:val="0"/>
      <w:marTop w:val="0"/>
      <w:marBottom w:val="0"/>
      <w:divBdr>
        <w:top w:val="none" w:sz="0" w:space="0" w:color="auto"/>
        <w:left w:val="none" w:sz="0" w:space="0" w:color="auto"/>
        <w:bottom w:val="none" w:sz="0" w:space="0" w:color="auto"/>
        <w:right w:val="none" w:sz="0" w:space="0" w:color="auto"/>
      </w:divBdr>
    </w:div>
    <w:div w:id="1682393871">
      <w:bodyDiv w:val="1"/>
      <w:marLeft w:val="0"/>
      <w:marRight w:val="0"/>
      <w:marTop w:val="0"/>
      <w:marBottom w:val="0"/>
      <w:divBdr>
        <w:top w:val="none" w:sz="0" w:space="0" w:color="auto"/>
        <w:left w:val="none" w:sz="0" w:space="0" w:color="auto"/>
        <w:bottom w:val="none" w:sz="0" w:space="0" w:color="auto"/>
        <w:right w:val="none" w:sz="0" w:space="0" w:color="auto"/>
      </w:divBdr>
    </w:div>
    <w:div w:id="1689746235">
      <w:bodyDiv w:val="1"/>
      <w:marLeft w:val="0"/>
      <w:marRight w:val="0"/>
      <w:marTop w:val="0"/>
      <w:marBottom w:val="0"/>
      <w:divBdr>
        <w:top w:val="none" w:sz="0" w:space="0" w:color="auto"/>
        <w:left w:val="none" w:sz="0" w:space="0" w:color="auto"/>
        <w:bottom w:val="none" w:sz="0" w:space="0" w:color="auto"/>
        <w:right w:val="none" w:sz="0" w:space="0" w:color="auto"/>
      </w:divBdr>
    </w:div>
    <w:div w:id="1702628969">
      <w:bodyDiv w:val="1"/>
      <w:marLeft w:val="0"/>
      <w:marRight w:val="0"/>
      <w:marTop w:val="0"/>
      <w:marBottom w:val="0"/>
      <w:divBdr>
        <w:top w:val="none" w:sz="0" w:space="0" w:color="auto"/>
        <w:left w:val="none" w:sz="0" w:space="0" w:color="auto"/>
        <w:bottom w:val="none" w:sz="0" w:space="0" w:color="auto"/>
        <w:right w:val="none" w:sz="0" w:space="0" w:color="auto"/>
      </w:divBdr>
    </w:div>
    <w:div w:id="1703019112">
      <w:bodyDiv w:val="1"/>
      <w:marLeft w:val="0"/>
      <w:marRight w:val="0"/>
      <w:marTop w:val="0"/>
      <w:marBottom w:val="0"/>
      <w:divBdr>
        <w:top w:val="none" w:sz="0" w:space="0" w:color="auto"/>
        <w:left w:val="none" w:sz="0" w:space="0" w:color="auto"/>
        <w:bottom w:val="none" w:sz="0" w:space="0" w:color="auto"/>
        <w:right w:val="none" w:sz="0" w:space="0" w:color="auto"/>
      </w:divBdr>
    </w:div>
    <w:div w:id="1717311365">
      <w:bodyDiv w:val="1"/>
      <w:marLeft w:val="0"/>
      <w:marRight w:val="0"/>
      <w:marTop w:val="0"/>
      <w:marBottom w:val="0"/>
      <w:divBdr>
        <w:top w:val="none" w:sz="0" w:space="0" w:color="auto"/>
        <w:left w:val="none" w:sz="0" w:space="0" w:color="auto"/>
        <w:bottom w:val="none" w:sz="0" w:space="0" w:color="auto"/>
        <w:right w:val="none" w:sz="0" w:space="0" w:color="auto"/>
      </w:divBdr>
    </w:div>
    <w:div w:id="1731267472">
      <w:bodyDiv w:val="1"/>
      <w:marLeft w:val="0"/>
      <w:marRight w:val="0"/>
      <w:marTop w:val="0"/>
      <w:marBottom w:val="0"/>
      <w:divBdr>
        <w:top w:val="none" w:sz="0" w:space="0" w:color="auto"/>
        <w:left w:val="none" w:sz="0" w:space="0" w:color="auto"/>
        <w:bottom w:val="none" w:sz="0" w:space="0" w:color="auto"/>
        <w:right w:val="none" w:sz="0" w:space="0" w:color="auto"/>
      </w:divBdr>
    </w:div>
    <w:div w:id="1732582816">
      <w:bodyDiv w:val="1"/>
      <w:marLeft w:val="0"/>
      <w:marRight w:val="0"/>
      <w:marTop w:val="0"/>
      <w:marBottom w:val="0"/>
      <w:divBdr>
        <w:top w:val="none" w:sz="0" w:space="0" w:color="auto"/>
        <w:left w:val="none" w:sz="0" w:space="0" w:color="auto"/>
        <w:bottom w:val="none" w:sz="0" w:space="0" w:color="auto"/>
        <w:right w:val="none" w:sz="0" w:space="0" w:color="auto"/>
      </w:divBdr>
    </w:div>
    <w:div w:id="1746028035">
      <w:bodyDiv w:val="1"/>
      <w:marLeft w:val="0"/>
      <w:marRight w:val="0"/>
      <w:marTop w:val="0"/>
      <w:marBottom w:val="0"/>
      <w:divBdr>
        <w:top w:val="none" w:sz="0" w:space="0" w:color="auto"/>
        <w:left w:val="none" w:sz="0" w:space="0" w:color="auto"/>
        <w:bottom w:val="none" w:sz="0" w:space="0" w:color="auto"/>
        <w:right w:val="none" w:sz="0" w:space="0" w:color="auto"/>
      </w:divBdr>
    </w:div>
    <w:div w:id="1769812801">
      <w:bodyDiv w:val="1"/>
      <w:marLeft w:val="0"/>
      <w:marRight w:val="0"/>
      <w:marTop w:val="0"/>
      <w:marBottom w:val="0"/>
      <w:divBdr>
        <w:top w:val="none" w:sz="0" w:space="0" w:color="auto"/>
        <w:left w:val="none" w:sz="0" w:space="0" w:color="auto"/>
        <w:bottom w:val="none" w:sz="0" w:space="0" w:color="auto"/>
        <w:right w:val="none" w:sz="0" w:space="0" w:color="auto"/>
      </w:divBdr>
    </w:div>
    <w:div w:id="1781871556">
      <w:bodyDiv w:val="1"/>
      <w:marLeft w:val="0"/>
      <w:marRight w:val="0"/>
      <w:marTop w:val="0"/>
      <w:marBottom w:val="0"/>
      <w:divBdr>
        <w:top w:val="none" w:sz="0" w:space="0" w:color="auto"/>
        <w:left w:val="none" w:sz="0" w:space="0" w:color="auto"/>
        <w:bottom w:val="none" w:sz="0" w:space="0" w:color="auto"/>
        <w:right w:val="none" w:sz="0" w:space="0" w:color="auto"/>
      </w:divBdr>
    </w:div>
    <w:div w:id="1787043989">
      <w:bodyDiv w:val="1"/>
      <w:marLeft w:val="0"/>
      <w:marRight w:val="0"/>
      <w:marTop w:val="0"/>
      <w:marBottom w:val="0"/>
      <w:divBdr>
        <w:top w:val="none" w:sz="0" w:space="0" w:color="auto"/>
        <w:left w:val="none" w:sz="0" w:space="0" w:color="auto"/>
        <w:bottom w:val="none" w:sz="0" w:space="0" w:color="auto"/>
        <w:right w:val="none" w:sz="0" w:space="0" w:color="auto"/>
      </w:divBdr>
    </w:div>
    <w:div w:id="1829468965">
      <w:bodyDiv w:val="1"/>
      <w:marLeft w:val="0"/>
      <w:marRight w:val="0"/>
      <w:marTop w:val="0"/>
      <w:marBottom w:val="0"/>
      <w:divBdr>
        <w:top w:val="none" w:sz="0" w:space="0" w:color="auto"/>
        <w:left w:val="none" w:sz="0" w:space="0" w:color="auto"/>
        <w:bottom w:val="none" w:sz="0" w:space="0" w:color="auto"/>
        <w:right w:val="none" w:sz="0" w:space="0" w:color="auto"/>
      </w:divBdr>
    </w:div>
    <w:div w:id="1855992036">
      <w:bodyDiv w:val="1"/>
      <w:marLeft w:val="0"/>
      <w:marRight w:val="0"/>
      <w:marTop w:val="0"/>
      <w:marBottom w:val="0"/>
      <w:divBdr>
        <w:top w:val="none" w:sz="0" w:space="0" w:color="auto"/>
        <w:left w:val="none" w:sz="0" w:space="0" w:color="auto"/>
        <w:bottom w:val="none" w:sz="0" w:space="0" w:color="auto"/>
        <w:right w:val="none" w:sz="0" w:space="0" w:color="auto"/>
      </w:divBdr>
    </w:div>
    <w:div w:id="1889493101">
      <w:bodyDiv w:val="1"/>
      <w:marLeft w:val="0"/>
      <w:marRight w:val="0"/>
      <w:marTop w:val="0"/>
      <w:marBottom w:val="0"/>
      <w:divBdr>
        <w:top w:val="none" w:sz="0" w:space="0" w:color="auto"/>
        <w:left w:val="none" w:sz="0" w:space="0" w:color="auto"/>
        <w:bottom w:val="none" w:sz="0" w:space="0" w:color="auto"/>
        <w:right w:val="none" w:sz="0" w:space="0" w:color="auto"/>
      </w:divBdr>
    </w:div>
    <w:div w:id="1896157415">
      <w:bodyDiv w:val="1"/>
      <w:marLeft w:val="0"/>
      <w:marRight w:val="0"/>
      <w:marTop w:val="0"/>
      <w:marBottom w:val="0"/>
      <w:divBdr>
        <w:top w:val="none" w:sz="0" w:space="0" w:color="auto"/>
        <w:left w:val="none" w:sz="0" w:space="0" w:color="auto"/>
        <w:bottom w:val="none" w:sz="0" w:space="0" w:color="auto"/>
        <w:right w:val="none" w:sz="0" w:space="0" w:color="auto"/>
      </w:divBdr>
    </w:div>
    <w:div w:id="1902668172">
      <w:bodyDiv w:val="1"/>
      <w:marLeft w:val="0"/>
      <w:marRight w:val="0"/>
      <w:marTop w:val="0"/>
      <w:marBottom w:val="0"/>
      <w:divBdr>
        <w:top w:val="none" w:sz="0" w:space="0" w:color="auto"/>
        <w:left w:val="none" w:sz="0" w:space="0" w:color="auto"/>
        <w:bottom w:val="none" w:sz="0" w:space="0" w:color="auto"/>
        <w:right w:val="none" w:sz="0" w:space="0" w:color="auto"/>
      </w:divBdr>
    </w:div>
    <w:div w:id="1923104763">
      <w:bodyDiv w:val="1"/>
      <w:marLeft w:val="0"/>
      <w:marRight w:val="0"/>
      <w:marTop w:val="0"/>
      <w:marBottom w:val="0"/>
      <w:divBdr>
        <w:top w:val="none" w:sz="0" w:space="0" w:color="auto"/>
        <w:left w:val="none" w:sz="0" w:space="0" w:color="auto"/>
        <w:bottom w:val="none" w:sz="0" w:space="0" w:color="auto"/>
        <w:right w:val="none" w:sz="0" w:space="0" w:color="auto"/>
      </w:divBdr>
      <w:divsChild>
        <w:div w:id="1042174031">
          <w:marLeft w:val="0"/>
          <w:marRight w:val="0"/>
          <w:marTop w:val="0"/>
          <w:marBottom w:val="0"/>
          <w:divBdr>
            <w:top w:val="none" w:sz="0" w:space="0" w:color="auto"/>
            <w:left w:val="none" w:sz="0" w:space="0" w:color="auto"/>
            <w:bottom w:val="none" w:sz="0" w:space="0" w:color="auto"/>
            <w:right w:val="none" w:sz="0" w:space="0" w:color="auto"/>
          </w:divBdr>
        </w:div>
        <w:div w:id="1500460979">
          <w:marLeft w:val="0"/>
          <w:marRight w:val="0"/>
          <w:marTop w:val="0"/>
          <w:marBottom w:val="0"/>
          <w:divBdr>
            <w:top w:val="none" w:sz="0" w:space="0" w:color="auto"/>
            <w:left w:val="none" w:sz="0" w:space="0" w:color="auto"/>
            <w:bottom w:val="none" w:sz="0" w:space="0" w:color="auto"/>
            <w:right w:val="none" w:sz="0" w:space="0" w:color="auto"/>
          </w:divBdr>
        </w:div>
        <w:div w:id="1954903478">
          <w:marLeft w:val="0"/>
          <w:marRight w:val="0"/>
          <w:marTop w:val="0"/>
          <w:marBottom w:val="0"/>
          <w:divBdr>
            <w:top w:val="none" w:sz="0" w:space="0" w:color="auto"/>
            <w:left w:val="none" w:sz="0" w:space="0" w:color="auto"/>
            <w:bottom w:val="none" w:sz="0" w:space="0" w:color="auto"/>
            <w:right w:val="none" w:sz="0" w:space="0" w:color="auto"/>
          </w:divBdr>
        </w:div>
        <w:div w:id="2011786793">
          <w:marLeft w:val="0"/>
          <w:marRight w:val="0"/>
          <w:marTop w:val="0"/>
          <w:marBottom w:val="0"/>
          <w:divBdr>
            <w:top w:val="none" w:sz="0" w:space="0" w:color="auto"/>
            <w:left w:val="none" w:sz="0" w:space="0" w:color="auto"/>
            <w:bottom w:val="none" w:sz="0" w:space="0" w:color="auto"/>
            <w:right w:val="none" w:sz="0" w:space="0" w:color="auto"/>
          </w:divBdr>
        </w:div>
      </w:divsChild>
    </w:div>
    <w:div w:id="1940214062">
      <w:bodyDiv w:val="1"/>
      <w:marLeft w:val="0"/>
      <w:marRight w:val="0"/>
      <w:marTop w:val="0"/>
      <w:marBottom w:val="0"/>
      <w:divBdr>
        <w:top w:val="none" w:sz="0" w:space="0" w:color="auto"/>
        <w:left w:val="none" w:sz="0" w:space="0" w:color="auto"/>
        <w:bottom w:val="none" w:sz="0" w:space="0" w:color="auto"/>
        <w:right w:val="none" w:sz="0" w:space="0" w:color="auto"/>
      </w:divBdr>
    </w:div>
    <w:div w:id="1949727761">
      <w:bodyDiv w:val="1"/>
      <w:marLeft w:val="0"/>
      <w:marRight w:val="0"/>
      <w:marTop w:val="0"/>
      <w:marBottom w:val="0"/>
      <w:divBdr>
        <w:top w:val="none" w:sz="0" w:space="0" w:color="auto"/>
        <w:left w:val="none" w:sz="0" w:space="0" w:color="auto"/>
        <w:bottom w:val="none" w:sz="0" w:space="0" w:color="auto"/>
        <w:right w:val="none" w:sz="0" w:space="0" w:color="auto"/>
      </w:divBdr>
    </w:div>
    <w:div w:id="1962690229">
      <w:bodyDiv w:val="1"/>
      <w:marLeft w:val="0"/>
      <w:marRight w:val="0"/>
      <w:marTop w:val="0"/>
      <w:marBottom w:val="0"/>
      <w:divBdr>
        <w:top w:val="none" w:sz="0" w:space="0" w:color="auto"/>
        <w:left w:val="none" w:sz="0" w:space="0" w:color="auto"/>
        <w:bottom w:val="none" w:sz="0" w:space="0" w:color="auto"/>
        <w:right w:val="none" w:sz="0" w:space="0" w:color="auto"/>
      </w:divBdr>
    </w:div>
    <w:div w:id="2044402201">
      <w:bodyDiv w:val="1"/>
      <w:marLeft w:val="0"/>
      <w:marRight w:val="0"/>
      <w:marTop w:val="0"/>
      <w:marBottom w:val="0"/>
      <w:divBdr>
        <w:top w:val="none" w:sz="0" w:space="0" w:color="auto"/>
        <w:left w:val="none" w:sz="0" w:space="0" w:color="auto"/>
        <w:bottom w:val="none" w:sz="0" w:space="0" w:color="auto"/>
        <w:right w:val="none" w:sz="0" w:space="0" w:color="auto"/>
      </w:divBdr>
    </w:div>
    <w:div w:id="2045710361">
      <w:bodyDiv w:val="1"/>
      <w:marLeft w:val="0"/>
      <w:marRight w:val="0"/>
      <w:marTop w:val="0"/>
      <w:marBottom w:val="0"/>
      <w:divBdr>
        <w:top w:val="none" w:sz="0" w:space="0" w:color="auto"/>
        <w:left w:val="none" w:sz="0" w:space="0" w:color="auto"/>
        <w:bottom w:val="none" w:sz="0" w:space="0" w:color="auto"/>
        <w:right w:val="none" w:sz="0" w:space="0" w:color="auto"/>
      </w:divBdr>
    </w:div>
    <w:div w:id="2057118983">
      <w:bodyDiv w:val="1"/>
      <w:marLeft w:val="0"/>
      <w:marRight w:val="0"/>
      <w:marTop w:val="0"/>
      <w:marBottom w:val="0"/>
      <w:divBdr>
        <w:top w:val="none" w:sz="0" w:space="0" w:color="auto"/>
        <w:left w:val="none" w:sz="0" w:space="0" w:color="auto"/>
        <w:bottom w:val="none" w:sz="0" w:space="0" w:color="auto"/>
        <w:right w:val="none" w:sz="0" w:space="0" w:color="auto"/>
      </w:divBdr>
    </w:div>
    <w:div w:id="2076387736">
      <w:bodyDiv w:val="1"/>
      <w:marLeft w:val="0"/>
      <w:marRight w:val="0"/>
      <w:marTop w:val="0"/>
      <w:marBottom w:val="0"/>
      <w:divBdr>
        <w:top w:val="none" w:sz="0" w:space="0" w:color="auto"/>
        <w:left w:val="none" w:sz="0" w:space="0" w:color="auto"/>
        <w:bottom w:val="none" w:sz="0" w:space="0" w:color="auto"/>
        <w:right w:val="none" w:sz="0" w:space="0" w:color="auto"/>
      </w:divBdr>
    </w:div>
    <w:div w:id="2093155720">
      <w:bodyDiv w:val="1"/>
      <w:marLeft w:val="0"/>
      <w:marRight w:val="0"/>
      <w:marTop w:val="0"/>
      <w:marBottom w:val="0"/>
      <w:divBdr>
        <w:top w:val="none" w:sz="0" w:space="0" w:color="auto"/>
        <w:left w:val="none" w:sz="0" w:space="0" w:color="auto"/>
        <w:bottom w:val="none" w:sz="0" w:space="0" w:color="auto"/>
        <w:right w:val="none" w:sz="0" w:space="0" w:color="auto"/>
      </w:divBdr>
    </w:div>
    <w:div w:id="2098599742">
      <w:bodyDiv w:val="1"/>
      <w:marLeft w:val="0"/>
      <w:marRight w:val="0"/>
      <w:marTop w:val="0"/>
      <w:marBottom w:val="0"/>
      <w:divBdr>
        <w:top w:val="none" w:sz="0" w:space="0" w:color="auto"/>
        <w:left w:val="none" w:sz="0" w:space="0" w:color="auto"/>
        <w:bottom w:val="none" w:sz="0" w:space="0" w:color="auto"/>
        <w:right w:val="none" w:sz="0" w:space="0" w:color="auto"/>
      </w:divBdr>
    </w:div>
    <w:div w:id="212214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pse.com/aboutpse/EnergySupply/Pages/Resource-Plan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170033</DocketNumber>
    <DelegatedOrder xmlns="dc463f71-b30c-4ab2-9473-d307f9d35888">false</DelegatedOrder>
    <Visibility xmlns="dc463f71-b30c-4ab2-9473-d307f9d35888">Full Visibility</Visibility>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5D2B-CF7F-4C13-AD3A-99BC4F933A23}">
  <ds:schemaRefs>
    <ds:schemaRef ds:uri="http://schemas.microsoft.com/sharepoint/v3/contenttype/forms"/>
  </ds:schemaRefs>
</ds:datastoreItem>
</file>

<file path=customXml/itemProps2.xml><?xml version="1.0" encoding="utf-8"?>
<ds:datastoreItem xmlns:ds="http://schemas.openxmlformats.org/officeDocument/2006/customXml" ds:itemID="{E872953A-5EE3-4C59-84BE-18359B394BB3}"/>
</file>

<file path=customXml/itemProps3.xml><?xml version="1.0" encoding="utf-8"?>
<ds:datastoreItem xmlns:ds="http://schemas.openxmlformats.org/officeDocument/2006/customXml" ds:itemID="{A605E504-B992-4035-9702-B2C6B64CCC40}">
  <ds:schemaRefs>
    <ds:schemaRef ds:uri="http://schemas.microsoft.com/office/2006/metadata/properties"/>
    <ds:schemaRef ds:uri="http://schemas.microsoft.com/office/infopath/2007/PartnerControls"/>
    <ds:schemaRef ds:uri="dc463f71-b30c-4ab2-9473-d307f9d35888"/>
  </ds:schemaRefs>
</ds:datastoreItem>
</file>

<file path=customXml/itemProps4.xml><?xml version="1.0" encoding="utf-8"?>
<ds:datastoreItem xmlns:ds="http://schemas.openxmlformats.org/officeDocument/2006/customXml" ds:itemID="{53B6B821-5834-4EF9-BFA8-C6BB0266FF8D}"/>
</file>

<file path=customXml/itemProps5.xml><?xml version="1.0" encoding="utf-8"?>
<ds:datastoreItem xmlns:ds="http://schemas.openxmlformats.org/officeDocument/2006/customXml" ds:itemID="{B0B81466-367C-4BFE-BD8A-F46EBCB7F2A1}">
  <ds:schemaRefs>
    <ds:schemaRef ds:uri="http://schemas.microsoft.com/office/2006/metadata/longProperties"/>
  </ds:schemaRefs>
</ds:datastoreItem>
</file>

<file path=customXml/itemProps6.xml><?xml version="1.0" encoding="utf-8"?>
<ds:datastoreItem xmlns:ds="http://schemas.openxmlformats.org/officeDocument/2006/customXml" ds:itemID="{5A02B234-A225-4CF6-9117-BADA6053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86</Pages>
  <Words>17484</Words>
  <Characters>99659</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116910</CharactersWithSpaces>
  <SharedDoc>false</SharedDoc>
  <HyperlinkBase/>
  <HLinks>
    <vt:vector size="48" baseType="variant">
      <vt:variant>
        <vt:i4>1310779</vt:i4>
      </vt:variant>
      <vt:variant>
        <vt:i4>44</vt:i4>
      </vt:variant>
      <vt:variant>
        <vt:i4>0</vt:i4>
      </vt:variant>
      <vt:variant>
        <vt:i4>5</vt:i4>
      </vt:variant>
      <vt:variant>
        <vt:lpwstr/>
      </vt:variant>
      <vt:variant>
        <vt:lpwstr>_Toc202733877</vt:lpwstr>
      </vt:variant>
      <vt:variant>
        <vt:i4>1310779</vt:i4>
      </vt:variant>
      <vt:variant>
        <vt:i4>38</vt:i4>
      </vt:variant>
      <vt:variant>
        <vt:i4>0</vt:i4>
      </vt:variant>
      <vt:variant>
        <vt:i4>5</vt:i4>
      </vt:variant>
      <vt:variant>
        <vt:lpwstr/>
      </vt:variant>
      <vt:variant>
        <vt:lpwstr>_Toc202733876</vt:lpwstr>
      </vt:variant>
      <vt:variant>
        <vt:i4>1310779</vt:i4>
      </vt:variant>
      <vt:variant>
        <vt:i4>32</vt:i4>
      </vt:variant>
      <vt:variant>
        <vt:i4>0</vt:i4>
      </vt:variant>
      <vt:variant>
        <vt:i4>5</vt:i4>
      </vt:variant>
      <vt:variant>
        <vt:lpwstr/>
      </vt:variant>
      <vt:variant>
        <vt:lpwstr>_Toc202733875</vt:lpwstr>
      </vt:variant>
      <vt:variant>
        <vt:i4>1310779</vt:i4>
      </vt:variant>
      <vt:variant>
        <vt:i4>26</vt:i4>
      </vt:variant>
      <vt:variant>
        <vt:i4>0</vt:i4>
      </vt:variant>
      <vt:variant>
        <vt:i4>5</vt:i4>
      </vt:variant>
      <vt:variant>
        <vt:lpwstr/>
      </vt:variant>
      <vt:variant>
        <vt:lpwstr>_Toc202733874</vt:lpwstr>
      </vt:variant>
      <vt:variant>
        <vt:i4>1310779</vt:i4>
      </vt:variant>
      <vt:variant>
        <vt:i4>20</vt:i4>
      </vt:variant>
      <vt:variant>
        <vt:i4>0</vt:i4>
      </vt:variant>
      <vt:variant>
        <vt:i4>5</vt:i4>
      </vt:variant>
      <vt:variant>
        <vt:lpwstr/>
      </vt:variant>
      <vt:variant>
        <vt:lpwstr>_Toc202733873</vt:lpwstr>
      </vt:variant>
      <vt:variant>
        <vt:i4>1310779</vt:i4>
      </vt:variant>
      <vt:variant>
        <vt:i4>14</vt:i4>
      </vt:variant>
      <vt:variant>
        <vt:i4>0</vt:i4>
      </vt:variant>
      <vt:variant>
        <vt:i4>5</vt:i4>
      </vt:variant>
      <vt:variant>
        <vt:lpwstr/>
      </vt:variant>
      <vt:variant>
        <vt:lpwstr>_Toc202733872</vt:lpwstr>
      </vt:variant>
      <vt:variant>
        <vt:i4>1310779</vt:i4>
      </vt:variant>
      <vt:variant>
        <vt:i4>8</vt:i4>
      </vt:variant>
      <vt:variant>
        <vt:i4>0</vt:i4>
      </vt:variant>
      <vt:variant>
        <vt:i4>5</vt:i4>
      </vt:variant>
      <vt:variant>
        <vt:lpwstr/>
      </vt:variant>
      <vt:variant>
        <vt:lpwstr>_Toc202733871</vt:lpwstr>
      </vt:variant>
      <vt:variant>
        <vt:i4>1310779</vt:i4>
      </vt:variant>
      <vt:variant>
        <vt:i4>2</vt:i4>
      </vt:variant>
      <vt:variant>
        <vt:i4>0</vt:i4>
      </vt:variant>
      <vt:variant>
        <vt:i4>5</vt:i4>
      </vt:variant>
      <vt:variant>
        <vt:lpwstr/>
      </vt:variant>
      <vt:variant>
        <vt:lpwstr>_Toc202733870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Phelps, Janet</dc:creator>
  <cp:lastModifiedBy>No Name</cp:lastModifiedBy>
  <cp:revision>24</cp:revision>
  <cp:lastPrinted>2017-01-09T22:50:00Z</cp:lastPrinted>
  <dcterms:created xsi:type="dcterms:W3CDTF">2017-01-03T23:21:00Z</dcterms:created>
  <dcterms:modified xsi:type="dcterms:W3CDTF">2017-01-09T22:51:00Z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0FAA7+zFiN7nU6xlOBBbbq1n/luIXanyFsGKImPaiOdML/2rkZTN5vVzX+oiLEJKA5vLGnZmT22ZWg3u
slGj7Xuzt8G9ycoOHSrJk2W4yK9KcDzB7XSNg60KJKKmOTyMDb7LRuIQWL4Z+p+Ai2e+e4mVCF+s
sJaK+xm0z3vj8mLQFhXCPJnWZ5EwHC2zvKqbwWXdnxLIlXdNnqC0c1DpQPi7KW0Fxyu4fEy0AkRM
yUspNmo/JvCAakcJg</vt:lpwstr>
  </property>
  <property fmtid="{D5CDD505-2E9C-101B-9397-08002B2CF9AE}" pid="3" name="MAIL_MSG_ID2">
    <vt:lpwstr>Ve3y+ZQShLfwQ/AhI+pcHvdBm8fWs5hqKMp8OezEFigccldaP67+2cQbry4
HI11/m5+RnZpyAa331TsjmxJj/aalC3H52cEeqzYmmWbXgz7Rn0CHAylKRY=</vt:lpwstr>
  </property>
  <property fmtid="{D5CDD505-2E9C-101B-9397-08002B2CF9AE}" pid="4" name="RESPONSE_SENDER_NAME">
    <vt:lpwstr>ABAAv4tRYjpfjUs9U5lntS/2mOyzQyfb3E8Dcqv9jxe7l9FV6fQYPypVeR0NSydkmZ+s</vt:lpwstr>
  </property>
  <property fmtid="{D5CDD505-2E9C-101B-9397-08002B2CF9AE}" pid="5" name="EMAIL_OWNER_ADDRESS">
    <vt:lpwstr>4AAAMz5NUQ6P8J/ARnxgZqLf5ajaSKtLLiVPgkUzmXkLlKfYB/HoHF0y1Q==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