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Exhibit No. ___ (</w:t>
      </w:r>
      <w:r>
        <w:rPr>
          <w:b/>
          <w:bCs/>
        </w:rPr>
        <w:t>DJR</w:t>
      </w:r>
      <w:r w:rsidRPr="000F025A">
        <w:rPr>
          <w:b/>
          <w:bCs/>
        </w:rPr>
        <w:t>-</w:t>
      </w:r>
      <w:r w:rsidR="003819E0">
        <w:rPr>
          <w:b/>
          <w:bCs/>
        </w:rPr>
        <w:t>1</w:t>
      </w:r>
      <w:r w:rsidRPr="000F025A">
        <w:rPr>
          <w:b/>
          <w:bCs/>
        </w:rPr>
        <w:t xml:space="preserve">T) </w:t>
      </w:r>
    </w:p>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Docket UE-11</w:t>
      </w:r>
      <w:r w:rsidR="003819E0">
        <w:rPr>
          <w:b/>
          <w:bCs/>
        </w:rPr>
        <w:t>0876/</w:t>
      </w:r>
      <w:r w:rsidR="00A80BB4">
        <w:rPr>
          <w:b/>
          <w:bCs/>
        </w:rPr>
        <w:t>UG</w:t>
      </w:r>
      <w:r w:rsidR="003819E0">
        <w:rPr>
          <w:b/>
          <w:bCs/>
        </w:rPr>
        <w:t>-110877</w:t>
      </w:r>
      <w:r w:rsidR="003819E0" w:rsidRPr="000F025A" w:rsidDel="003819E0">
        <w:rPr>
          <w:b/>
          <w:bCs/>
        </w:rPr>
        <w:t xml:space="preserve"> </w:t>
      </w:r>
    </w:p>
    <w:p w:rsidR="000F025A" w:rsidRPr="000F025A" w:rsidRDefault="000F025A" w:rsidP="000F025A">
      <w:pPr>
        <w:tabs>
          <w:tab w:val="clear" w:pos="-1440"/>
          <w:tab w:val="center" w:pos="4680"/>
        </w:tabs>
        <w:spacing w:line="240" w:lineRule="auto"/>
        <w:ind w:left="0" w:right="-252" w:hanging="360"/>
        <w:jc w:val="both"/>
        <w:rPr>
          <w:b/>
          <w:bCs/>
        </w:rPr>
      </w:pPr>
      <w:r w:rsidRPr="000F025A">
        <w:rPr>
          <w:b/>
          <w:bCs/>
        </w:rPr>
        <w:tab/>
      </w:r>
      <w:r w:rsidRPr="000F025A">
        <w:rPr>
          <w:b/>
          <w:bCs/>
        </w:rPr>
        <w:tab/>
      </w:r>
      <w:r w:rsidRPr="000F025A">
        <w:rPr>
          <w:b/>
          <w:bCs/>
        </w:rPr>
        <w:tab/>
      </w:r>
      <w:r w:rsidRPr="000F025A">
        <w:rPr>
          <w:b/>
          <w:bCs/>
        </w:rPr>
        <w:tab/>
        <w:t xml:space="preserve">Witness: </w:t>
      </w:r>
      <w:r>
        <w:rPr>
          <w:b/>
          <w:bCs/>
        </w:rPr>
        <w:t xml:space="preserve"> Deborah J. Reynolds</w:t>
      </w:r>
      <w:r w:rsidRPr="000F025A">
        <w:rPr>
          <w:b/>
          <w:bCs/>
        </w:rPr>
        <w:t xml:space="preserve"> </w:t>
      </w: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252" w:hanging="360"/>
        <w:jc w:val="both"/>
        <w:rPr>
          <w:b/>
          <w:bCs/>
        </w:rPr>
      </w:pPr>
    </w:p>
    <w:p w:rsidR="000F025A" w:rsidRPr="000F025A" w:rsidRDefault="000F025A" w:rsidP="000F025A">
      <w:pPr>
        <w:tabs>
          <w:tab w:val="clear" w:pos="-1440"/>
          <w:tab w:val="center" w:pos="4680"/>
        </w:tabs>
        <w:spacing w:line="240" w:lineRule="auto"/>
        <w:ind w:left="0" w:right="-108" w:hanging="180"/>
        <w:jc w:val="both"/>
        <w:rPr>
          <w:b/>
        </w:rPr>
      </w:pPr>
      <w:r w:rsidRPr="000F025A">
        <w:rPr>
          <w:b/>
        </w:rPr>
        <w:t>BEFORE THE WASHINGTON UTILITIES AND TRANSPORTATION COMMISSION</w:t>
      </w:r>
    </w:p>
    <w:p w:rsidR="000F025A" w:rsidRPr="000F025A" w:rsidRDefault="000F025A" w:rsidP="000F025A">
      <w:pPr>
        <w:tabs>
          <w:tab w:val="clear" w:pos="-1440"/>
        </w:tabs>
        <w:spacing w:line="240" w:lineRule="auto"/>
        <w:ind w:left="0" w:firstLine="0"/>
        <w:jc w:val="both"/>
        <w:rPr>
          <w:b/>
        </w:rPr>
      </w:pPr>
    </w:p>
    <w:p w:rsidR="000F025A" w:rsidRPr="000F025A" w:rsidRDefault="000F025A" w:rsidP="000F025A">
      <w:pPr>
        <w:tabs>
          <w:tab w:val="clear" w:pos="-1440"/>
        </w:tabs>
        <w:spacing w:line="240" w:lineRule="auto"/>
        <w:ind w:left="0" w:firstLine="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F025A" w:rsidRPr="000F025A" w:rsidTr="003819E0">
        <w:tc>
          <w:tcPr>
            <w:tcW w:w="4590" w:type="dxa"/>
            <w:tcBorders>
              <w:top w:val="single" w:sz="6" w:space="0" w:color="FFFFFF"/>
              <w:left w:val="single" w:sz="6" w:space="0" w:color="FFFFFF"/>
              <w:bottom w:val="single" w:sz="7" w:space="0" w:color="000000"/>
              <w:right w:val="single" w:sz="6" w:space="0" w:color="FFFFFF"/>
            </w:tcBorders>
          </w:tcPr>
          <w:p w:rsidR="000F025A" w:rsidRPr="000F025A" w:rsidRDefault="000F025A" w:rsidP="000F025A">
            <w:pPr>
              <w:tabs>
                <w:tab w:val="clear" w:pos="-1440"/>
              </w:tabs>
              <w:spacing w:line="240" w:lineRule="auto"/>
              <w:ind w:left="0" w:firstLine="0"/>
              <w:rPr>
                <w:b/>
              </w:rPr>
            </w:pPr>
            <w:r w:rsidRPr="000F025A">
              <w:rPr>
                <w:b/>
              </w:rPr>
              <w:t xml:space="preserve">WASHINGTON UTILITIES AND TRANSPORTATION COMMISSION, </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line="240" w:lineRule="auto"/>
              <w:ind w:left="0" w:firstLine="0"/>
              <w:rPr>
                <w:b/>
              </w:rPr>
            </w:pPr>
            <w:r w:rsidRPr="000F025A">
              <w:rPr>
                <w:b/>
              </w:rPr>
              <w:tab/>
            </w:r>
            <w:r w:rsidRPr="000F025A">
              <w:rPr>
                <w:b/>
              </w:rPr>
              <w:tab/>
              <w:t>Complainant,</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line="240" w:lineRule="auto"/>
              <w:ind w:left="0" w:firstLine="0"/>
              <w:rPr>
                <w:b/>
              </w:rPr>
            </w:pPr>
            <w:r w:rsidRPr="000F025A">
              <w:rPr>
                <w:b/>
              </w:rPr>
              <w:tab/>
              <w:t>v.</w:t>
            </w:r>
          </w:p>
          <w:p w:rsidR="000F025A" w:rsidRPr="000F025A" w:rsidRDefault="000F025A" w:rsidP="000F025A">
            <w:pPr>
              <w:tabs>
                <w:tab w:val="clear" w:pos="-1440"/>
              </w:tabs>
              <w:spacing w:line="240" w:lineRule="auto"/>
              <w:ind w:left="0" w:firstLine="0"/>
              <w:rPr>
                <w:b/>
              </w:rPr>
            </w:pPr>
          </w:p>
          <w:p w:rsidR="000F025A" w:rsidRPr="000F025A" w:rsidRDefault="003819E0" w:rsidP="000F025A">
            <w:pPr>
              <w:tabs>
                <w:tab w:val="clear" w:pos="-1440"/>
              </w:tabs>
              <w:spacing w:line="240" w:lineRule="auto"/>
              <w:ind w:left="0" w:firstLine="0"/>
              <w:rPr>
                <w:b/>
              </w:rPr>
            </w:pPr>
            <w:r>
              <w:rPr>
                <w:b/>
              </w:rPr>
              <w:t>AVISTA CORPORATION d/b/a AVISTA UTILITIES,</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after="19" w:line="240" w:lineRule="auto"/>
              <w:ind w:left="0" w:firstLine="0"/>
              <w:rPr>
                <w:b/>
              </w:rPr>
            </w:pPr>
            <w:r w:rsidRPr="000F025A">
              <w:rPr>
                <w:b/>
              </w:rPr>
              <w:tab/>
            </w:r>
            <w:r w:rsidRPr="000F025A">
              <w:rPr>
                <w:b/>
              </w:rPr>
              <w:tab/>
              <w:t>Respondent.</w:t>
            </w:r>
          </w:p>
          <w:p w:rsidR="000F025A" w:rsidRPr="000F025A" w:rsidRDefault="000F025A" w:rsidP="000F025A">
            <w:pPr>
              <w:tabs>
                <w:tab w:val="clear" w:pos="-1440"/>
              </w:tabs>
              <w:spacing w:after="19" w:line="240" w:lineRule="auto"/>
              <w:ind w:left="0" w:firstLine="0"/>
              <w:rPr>
                <w:b/>
              </w:rPr>
            </w:pPr>
          </w:p>
        </w:tc>
        <w:tc>
          <w:tcPr>
            <w:tcW w:w="4590" w:type="dxa"/>
            <w:tcBorders>
              <w:top w:val="single" w:sz="6" w:space="0" w:color="FFFFFF"/>
              <w:left w:val="single" w:sz="7" w:space="0" w:color="000000"/>
              <w:bottom w:val="single" w:sz="6" w:space="0" w:color="FFFFFF"/>
              <w:right w:val="single" w:sz="6" w:space="0" w:color="FFFFFF"/>
            </w:tcBorders>
          </w:tcPr>
          <w:p w:rsidR="000F025A" w:rsidRPr="000F025A" w:rsidRDefault="000F025A" w:rsidP="000F025A">
            <w:pPr>
              <w:tabs>
                <w:tab w:val="clear" w:pos="-1440"/>
              </w:tabs>
              <w:spacing w:line="240" w:lineRule="auto"/>
              <w:ind w:left="0" w:firstLine="720"/>
              <w:rPr>
                <w:b/>
              </w:rPr>
            </w:pPr>
            <w:r w:rsidRPr="000F025A">
              <w:rPr>
                <w:b/>
              </w:rPr>
              <w:t>DOCKET UE-11</w:t>
            </w:r>
            <w:r w:rsidR="003819E0">
              <w:rPr>
                <w:b/>
              </w:rPr>
              <w:t>0876</w:t>
            </w:r>
          </w:p>
          <w:p w:rsidR="000F025A" w:rsidRPr="000F025A" w:rsidRDefault="000F025A" w:rsidP="000F025A">
            <w:pPr>
              <w:tabs>
                <w:tab w:val="clear" w:pos="-1440"/>
              </w:tabs>
              <w:spacing w:line="240" w:lineRule="auto"/>
              <w:ind w:left="0" w:firstLine="720"/>
              <w:rPr>
                <w:b/>
              </w:rPr>
            </w:pPr>
            <w:r w:rsidRPr="000F025A">
              <w:rPr>
                <w:b/>
              </w:rPr>
              <w:t>DOCKET UG-11</w:t>
            </w:r>
            <w:r w:rsidR="003819E0">
              <w:rPr>
                <w:b/>
              </w:rPr>
              <w:t>0877</w:t>
            </w:r>
            <w:r w:rsidRPr="000F025A">
              <w:rPr>
                <w:b/>
              </w:rPr>
              <w:t xml:space="preserve"> </w:t>
            </w:r>
          </w:p>
          <w:p w:rsidR="000F025A" w:rsidRPr="000F025A" w:rsidRDefault="000F025A" w:rsidP="000F025A">
            <w:pPr>
              <w:tabs>
                <w:tab w:val="clear" w:pos="-1440"/>
              </w:tabs>
              <w:spacing w:line="240" w:lineRule="auto"/>
              <w:ind w:left="0" w:firstLine="0"/>
              <w:rPr>
                <w:b/>
              </w:rPr>
            </w:pPr>
          </w:p>
          <w:p w:rsidR="000F025A" w:rsidRPr="000F025A" w:rsidRDefault="000F025A" w:rsidP="000F025A">
            <w:pPr>
              <w:tabs>
                <w:tab w:val="clear" w:pos="-1440"/>
              </w:tabs>
              <w:spacing w:after="19" w:line="240" w:lineRule="auto"/>
              <w:ind w:firstLine="0"/>
              <w:rPr>
                <w:b/>
              </w:rPr>
            </w:pPr>
            <w:r w:rsidRPr="000F025A">
              <w:rPr>
                <w:b/>
              </w:rPr>
              <w:t>(Consolidated)</w:t>
            </w:r>
          </w:p>
        </w:tc>
      </w:tr>
    </w:tbl>
    <w:p w:rsidR="000F025A" w:rsidRPr="000F025A" w:rsidRDefault="000F025A" w:rsidP="000F025A">
      <w:pPr>
        <w:tabs>
          <w:tab w:val="clear" w:pos="-1440"/>
        </w:tabs>
        <w:spacing w:line="240" w:lineRule="auto"/>
        <w:ind w:left="0" w:firstLine="0"/>
        <w:rPr>
          <w:b/>
          <w:bCs/>
        </w:rPr>
      </w:pPr>
    </w:p>
    <w:p w:rsidR="000F025A" w:rsidRDefault="000F025A" w:rsidP="000F025A">
      <w:pPr>
        <w:tabs>
          <w:tab w:val="clear" w:pos="-1440"/>
        </w:tabs>
        <w:spacing w:line="240" w:lineRule="auto"/>
        <w:ind w:left="0" w:firstLine="0"/>
        <w:rPr>
          <w:b/>
          <w:bCs/>
        </w:rPr>
      </w:pPr>
    </w:p>
    <w:p w:rsidR="00503B1B" w:rsidRDefault="00503B1B" w:rsidP="000F025A">
      <w:pPr>
        <w:tabs>
          <w:tab w:val="clear" w:pos="-1440"/>
        </w:tabs>
        <w:spacing w:line="240" w:lineRule="auto"/>
        <w:ind w:left="0" w:firstLine="0"/>
        <w:rPr>
          <w:b/>
          <w:bCs/>
        </w:rPr>
      </w:pPr>
    </w:p>
    <w:p w:rsidR="00503B1B" w:rsidRPr="000F025A" w:rsidRDefault="00503B1B" w:rsidP="000F025A">
      <w:pPr>
        <w:tabs>
          <w:tab w:val="clear" w:pos="-1440"/>
        </w:tabs>
        <w:spacing w:line="240" w:lineRule="auto"/>
        <w:ind w:left="0" w:firstLine="0"/>
        <w:rPr>
          <w:b/>
          <w:bCs/>
        </w:rPr>
      </w:pPr>
    </w:p>
    <w:p w:rsidR="000F025A" w:rsidRPr="000F025A" w:rsidRDefault="003819E0" w:rsidP="000F025A">
      <w:pPr>
        <w:tabs>
          <w:tab w:val="clear" w:pos="-1440"/>
          <w:tab w:val="center" w:pos="4680"/>
        </w:tabs>
        <w:spacing w:line="240" w:lineRule="auto"/>
        <w:ind w:left="0" w:firstLine="0"/>
        <w:jc w:val="center"/>
        <w:rPr>
          <w:b/>
          <w:bCs/>
        </w:rPr>
      </w:pPr>
      <w:r>
        <w:rPr>
          <w:b/>
          <w:bCs/>
        </w:rPr>
        <w:t xml:space="preserve">RESPONSE </w:t>
      </w:r>
      <w:r w:rsidR="000F025A" w:rsidRPr="000F025A">
        <w:rPr>
          <w:b/>
          <w:bCs/>
        </w:rPr>
        <w:t>TESTIMONY OF</w:t>
      </w:r>
    </w:p>
    <w:p w:rsidR="000F025A" w:rsidRPr="000F025A" w:rsidRDefault="000F025A" w:rsidP="000F025A">
      <w:pPr>
        <w:tabs>
          <w:tab w:val="clear" w:pos="-1440"/>
        </w:tabs>
        <w:spacing w:line="240" w:lineRule="auto"/>
        <w:ind w:left="0" w:firstLine="0"/>
        <w:jc w:val="center"/>
        <w:rPr>
          <w:b/>
          <w:bCs/>
        </w:rPr>
      </w:pPr>
    </w:p>
    <w:p w:rsidR="000F025A" w:rsidRPr="000F025A" w:rsidRDefault="000F025A" w:rsidP="000F025A">
      <w:pPr>
        <w:tabs>
          <w:tab w:val="clear" w:pos="-1440"/>
          <w:tab w:val="center" w:pos="4680"/>
        </w:tabs>
        <w:spacing w:line="240" w:lineRule="auto"/>
        <w:ind w:left="0" w:firstLine="0"/>
        <w:jc w:val="center"/>
        <w:rPr>
          <w:b/>
          <w:bCs/>
        </w:rPr>
      </w:pPr>
      <w:r>
        <w:rPr>
          <w:b/>
          <w:bCs/>
        </w:rPr>
        <w:t>Deborah J. Reynolds</w:t>
      </w:r>
    </w:p>
    <w:p w:rsidR="000F025A" w:rsidRPr="000F025A" w:rsidRDefault="000F025A" w:rsidP="000F025A">
      <w:pPr>
        <w:tabs>
          <w:tab w:val="clear" w:pos="-1440"/>
          <w:tab w:val="center" w:pos="4680"/>
        </w:tabs>
        <w:spacing w:line="240" w:lineRule="auto"/>
        <w:ind w:left="0" w:firstLine="0"/>
        <w:jc w:val="center"/>
        <w:rPr>
          <w:b/>
          <w:bCs/>
        </w:rPr>
      </w:pPr>
    </w:p>
    <w:p w:rsidR="000F025A" w:rsidRPr="000F025A" w:rsidRDefault="000F025A" w:rsidP="000F025A">
      <w:pPr>
        <w:tabs>
          <w:tab w:val="clear" w:pos="-1440"/>
          <w:tab w:val="center" w:pos="4680"/>
        </w:tabs>
        <w:spacing w:line="240" w:lineRule="auto"/>
        <w:ind w:left="0" w:firstLine="0"/>
        <w:jc w:val="center"/>
        <w:rPr>
          <w:b/>
          <w:bCs/>
        </w:rPr>
      </w:pPr>
      <w:r w:rsidRPr="000F025A">
        <w:rPr>
          <w:b/>
          <w:bCs/>
        </w:rPr>
        <w:t>STAFF OF</w:t>
      </w:r>
    </w:p>
    <w:p w:rsidR="000F025A" w:rsidRPr="000F025A" w:rsidRDefault="000F025A" w:rsidP="000F025A">
      <w:pPr>
        <w:tabs>
          <w:tab w:val="clear" w:pos="-1440"/>
          <w:tab w:val="center" w:pos="4680"/>
        </w:tabs>
        <w:spacing w:line="240" w:lineRule="auto"/>
        <w:ind w:left="0" w:firstLine="0"/>
        <w:jc w:val="center"/>
        <w:rPr>
          <w:b/>
          <w:bCs/>
        </w:rPr>
      </w:pPr>
      <w:smartTag w:uri="urn:schemas-microsoft-com:office:smarttags" w:element="place">
        <w:smartTag w:uri="urn:schemas-microsoft-com:office:smarttags" w:element="State">
          <w:r w:rsidRPr="000F025A">
            <w:rPr>
              <w:b/>
              <w:bCs/>
            </w:rPr>
            <w:t>WASHINGTON</w:t>
          </w:r>
        </w:smartTag>
      </w:smartTag>
      <w:r w:rsidRPr="000F025A">
        <w:rPr>
          <w:b/>
          <w:bCs/>
        </w:rPr>
        <w:t xml:space="preserve"> UTILITIES AND</w:t>
      </w:r>
    </w:p>
    <w:p w:rsidR="000F025A" w:rsidRPr="000F025A" w:rsidRDefault="000F025A" w:rsidP="000F025A">
      <w:pPr>
        <w:tabs>
          <w:tab w:val="clear" w:pos="-1440"/>
          <w:tab w:val="center" w:pos="4680"/>
        </w:tabs>
        <w:spacing w:line="240" w:lineRule="auto"/>
        <w:ind w:left="0" w:firstLine="0"/>
        <w:jc w:val="center"/>
        <w:rPr>
          <w:b/>
          <w:bCs/>
        </w:rPr>
      </w:pPr>
      <w:r w:rsidRPr="000F025A">
        <w:rPr>
          <w:b/>
          <w:bCs/>
        </w:rPr>
        <w:t>TRANSPORTATION COMMISSION</w:t>
      </w:r>
    </w:p>
    <w:p w:rsidR="000F025A" w:rsidRPr="000F025A" w:rsidRDefault="000F025A" w:rsidP="000F025A">
      <w:pPr>
        <w:tabs>
          <w:tab w:val="clear" w:pos="-1440"/>
        </w:tabs>
        <w:spacing w:line="240" w:lineRule="auto"/>
        <w:ind w:left="0" w:firstLine="0"/>
        <w:jc w:val="center"/>
        <w:rPr>
          <w:b/>
          <w:bCs/>
        </w:rPr>
      </w:pPr>
    </w:p>
    <w:p w:rsidR="000F025A" w:rsidRPr="000F025A" w:rsidRDefault="000F025A" w:rsidP="000F025A">
      <w:pPr>
        <w:tabs>
          <w:tab w:val="clear" w:pos="-1440"/>
        </w:tabs>
        <w:spacing w:line="240" w:lineRule="auto"/>
        <w:ind w:left="0" w:firstLine="0"/>
        <w:rPr>
          <w:b/>
          <w:bCs/>
        </w:rPr>
      </w:pPr>
    </w:p>
    <w:p w:rsidR="000F025A" w:rsidRPr="000F025A" w:rsidRDefault="00C664DB" w:rsidP="000F025A">
      <w:pPr>
        <w:tabs>
          <w:tab w:val="clear" w:pos="-1440"/>
        </w:tabs>
        <w:spacing w:line="240" w:lineRule="auto"/>
        <w:ind w:left="0" w:firstLine="0"/>
        <w:jc w:val="center"/>
        <w:rPr>
          <w:b/>
          <w:bCs/>
          <w:i/>
        </w:rPr>
      </w:pPr>
      <w:r>
        <w:rPr>
          <w:b/>
          <w:bCs/>
          <w:i/>
        </w:rPr>
        <w:t>Re: T</w:t>
      </w:r>
      <w:r w:rsidR="00CC0444">
        <w:rPr>
          <w:b/>
          <w:bCs/>
          <w:i/>
        </w:rPr>
        <w:t>he Decoupling Proposal of the NW Energy Coalition</w:t>
      </w:r>
    </w:p>
    <w:p w:rsidR="000F025A" w:rsidRPr="000F025A" w:rsidRDefault="000F025A" w:rsidP="000F025A">
      <w:pPr>
        <w:tabs>
          <w:tab w:val="clear" w:pos="-1440"/>
        </w:tabs>
        <w:spacing w:line="240" w:lineRule="auto"/>
        <w:ind w:left="0" w:firstLine="0"/>
        <w:rPr>
          <w:b/>
          <w:bCs/>
        </w:rPr>
      </w:pPr>
    </w:p>
    <w:p w:rsidR="000F025A" w:rsidRPr="000F025A" w:rsidRDefault="000F025A" w:rsidP="000F025A">
      <w:pPr>
        <w:tabs>
          <w:tab w:val="clear" w:pos="-1440"/>
        </w:tabs>
        <w:spacing w:line="240" w:lineRule="auto"/>
        <w:ind w:left="0" w:firstLine="0"/>
        <w:rPr>
          <w:b/>
          <w:bCs/>
        </w:rPr>
      </w:pPr>
    </w:p>
    <w:p w:rsidR="000F025A" w:rsidRPr="000F025A" w:rsidRDefault="003819E0" w:rsidP="000F025A">
      <w:pPr>
        <w:tabs>
          <w:tab w:val="clear" w:pos="-1440"/>
          <w:tab w:val="center" w:pos="4680"/>
        </w:tabs>
        <w:spacing w:line="240" w:lineRule="auto"/>
        <w:ind w:left="0" w:firstLine="0"/>
        <w:jc w:val="center"/>
        <w:rPr>
          <w:b/>
          <w:bCs/>
        </w:rPr>
      </w:pPr>
      <w:r>
        <w:rPr>
          <w:b/>
          <w:bCs/>
        </w:rPr>
        <w:t>February 24</w:t>
      </w:r>
      <w:r w:rsidR="000F025A" w:rsidRPr="000F025A">
        <w:rPr>
          <w:b/>
          <w:bCs/>
        </w:rPr>
        <w:t>, 2012</w:t>
      </w:r>
    </w:p>
    <w:p w:rsidR="000F025A" w:rsidRDefault="000F025A" w:rsidP="000F025A">
      <w:pPr>
        <w:spacing w:line="240" w:lineRule="auto"/>
        <w:ind w:left="0" w:firstLine="0"/>
      </w:pPr>
    </w:p>
    <w:p w:rsidR="000F025A" w:rsidRDefault="000F025A" w:rsidP="000F025A">
      <w:pPr>
        <w:ind w:left="0" w:firstLine="0"/>
      </w:pPr>
    </w:p>
    <w:p w:rsidR="000F025A" w:rsidRPr="000F025A" w:rsidRDefault="000F025A" w:rsidP="000F025A">
      <w:pPr>
        <w:ind w:left="0" w:firstLine="0"/>
        <w:sectPr w:rsidR="000F025A" w:rsidRPr="000F025A" w:rsidSect="000F025A">
          <w:footerReference w:type="default" r:id="rId9"/>
          <w:pgSz w:w="12240" w:h="15840"/>
          <w:pgMar w:top="1440" w:right="1440" w:bottom="1440" w:left="1872" w:header="720" w:footer="720" w:gutter="0"/>
          <w:cols w:space="720"/>
          <w:docGrid w:linePitch="360"/>
        </w:sectPr>
      </w:pPr>
    </w:p>
    <w:p w:rsidR="000704BF" w:rsidRDefault="000704BF" w:rsidP="000F025A">
      <w:pPr>
        <w:pStyle w:val="TOC1"/>
      </w:pPr>
      <w:r w:rsidRPr="000F025A">
        <w:lastRenderedPageBreak/>
        <w:t>TABLE OF CONTENTS</w:t>
      </w:r>
    </w:p>
    <w:p w:rsidR="000F025A" w:rsidRDefault="000F025A" w:rsidP="000F025A">
      <w:pPr>
        <w:spacing w:line="240" w:lineRule="auto"/>
      </w:pPr>
    </w:p>
    <w:p w:rsidR="003F6AF0" w:rsidRDefault="000F025A" w:rsidP="00A4292E">
      <w:pPr>
        <w:pStyle w:val="ListParagraph"/>
        <w:numPr>
          <w:ilvl w:val="0"/>
          <w:numId w:val="15"/>
        </w:numPr>
        <w:tabs>
          <w:tab w:val="left" w:pos="720"/>
          <w:tab w:val="left" w:pos="1440"/>
          <w:tab w:val="left" w:pos="2160"/>
          <w:tab w:val="right" w:leader="dot" w:pos="8820"/>
        </w:tabs>
        <w:spacing w:line="240" w:lineRule="auto"/>
        <w:ind w:hanging="1080"/>
      </w:pPr>
      <w:r>
        <w:t>INTRODUCTION</w:t>
      </w:r>
      <w:r w:rsidR="00A4292E">
        <w:t xml:space="preserve"> </w:t>
      </w:r>
      <w:r w:rsidR="00A4292E">
        <w:tab/>
        <w:t>1</w:t>
      </w:r>
    </w:p>
    <w:p w:rsidR="003F6AF0" w:rsidRDefault="003F6AF0" w:rsidP="003F6AF0">
      <w:pPr>
        <w:pStyle w:val="ListParagraph"/>
        <w:tabs>
          <w:tab w:val="left" w:pos="720"/>
          <w:tab w:val="left" w:pos="1440"/>
          <w:tab w:val="left" w:pos="2160"/>
          <w:tab w:val="left" w:pos="2880"/>
          <w:tab w:val="right" w:leader="dot" w:pos="8820"/>
        </w:tabs>
        <w:spacing w:line="240" w:lineRule="auto"/>
        <w:ind w:left="1080" w:hanging="1080"/>
      </w:pPr>
    </w:p>
    <w:p w:rsidR="000F025A" w:rsidRDefault="003F6AF0" w:rsidP="003F6AF0">
      <w:pPr>
        <w:pStyle w:val="ListParagraph"/>
        <w:numPr>
          <w:ilvl w:val="0"/>
          <w:numId w:val="15"/>
        </w:numPr>
        <w:tabs>
          <w:tab w:val="left" w:pos="720"/>
          <w:tab w:val="left" w:pos="1440"/>
          <w:tab w:val="left" w:pos="2160"/>
          <w:tab w:val="left" w:pos="2880"/>
          <w:tab w:val="right" w:leader="dot" w:pos="8820"/>
        </w:tabs>
        <w:spacing w:line="240" w:lineRule="auto"/>
        <w:ind w:hanging="1080"/>
      </w:pPr>
      <w:r>
        <w:t>PURPOSE AND SUMMARY</w:t>
      </w:r>
      <w:r w:rsidR="00F47E21">
        <w:tab/>
        <w:t>2</w:t>
      </w:r>
    </w:p>
    <w:p w:rsidR="00F46975" w:rsidRDefault="00F46975" w:rsidP="000F025A">
      <w:pPr>
        <w:tabs>
          <w:tab w:val="left" w:pos="720"/>
          <w:tab w:val="left" w:pos="1440"/>
          <w:tab w:val="left" w:pos="2160"/>
          <w:tab w:val="left" w:pos="2880"/>
          <w:tab w:val="right" w:leader="dot" w:pos="8820"/>
        </w:tabs>
        <w:spacing w:line="240" w:lineRule="auto"/>
        <w:ind w:left="0" w:firstLine="0"/>
      </w:pPr>
    </w:p>
    <w:p w:rsidR="000F025A" w:rsidRDefault="00F46975" w:rsidP="000F025A">
      <w:pPr>
        <w:tabs>
          <w:tab w:val="left" w:pos="720"/>
          <w:tab w:val="left" w:pos="1440"/>
          <w:tab w:val="left" w:pos="2160"/>
          <w:tab w:val="left" w:pos="2880"/>
          <w:tab w:val="right" w:leader="dot" w:pos="8820"/>
        </w:tabs>
        <w:spacing w:line="240" w:lineRule="auto"/>
        <w:ind w:left="0" w:firstLine="0"/>
      </w:pPr>
      <w:r>
        <w:t>III</w:t>
      </w:r>
      <w:r w:rsidR="003416B0">
        <w:t>.</w:t>
      </w:r>
      <w:r>
        <w:tab/>
      </w:r>
      <w:r w:rsidR="003416B0">
        <w:t xml:space="preserve">DISCUSSION OF </w:t>
      </w:r>
      <w:r w:rsidR="000F025A">
        <w:t xml:space="preserve">NWEC’S DECOUPLING PROPOSAL </w:t>
      </w:r>
      <w:r w:rsidR="000F025A">
        <w:tab/>
      </w:r>
      <w:r w:rsidR="00CE236E">
        <w:t>4</w:t>
      </w:r>
    </w:p>
    <w:p w:rsidR="00503B1B" w:rsidRDefault="00503B1B" w:rsidP="000F025A">
      <w:pPr>
        <w:tabs>
          <w:tab w:val="left" w:pos="720"/>
          <w:tab w:val="left" w:pos="1440"/>
          <w:tab w:val="left" w:pos="2160"/>
          <w:tab w:val="left" w:pos="2880"/>
          <w:tab w:val="right" w:leader="dot" w:pos="8820"/>
        </w:tabs>
        <w:spacing w:line="240" w:lineRule="auto"/>
        <w:ind w:left="0" w:firstLine="0"/>
      </w:pPr>
    </w:p>
    <w:p w:rsidR="00503B1B" w:rsidRDefault="00503B1B" w:rsidP="000F025A">
      <w:pPr>
        <w:tabs>
          <w:tab w:val="left" w:pos="720"/>
          <w:tab w:val="left" w:pos="1440"/>
          <w:tab w:val="left" w:pos="2160"/>
          <w:tab w:val="left" w:pos="2880"/>
          <w:tab w:val="right" w:leader="dot" w:pos="8820"/>
        </w:tabs>
        <w:spacing w:line="240" w:lineRule="auto"/>
        <w:ind w:left="0" w:firstLine="0"/>
      </w:pPr>
      <w:r>
        <w:tab/>
        <w:t>A.</w:t>
      </w:r>
      <w:r>
        <w:tab/>
      </w:r>
      <w:r w:rsidR="003416B0">
        <w:t>Response to Mr. Cavanagh’s “Fixed Cost Recovery” Analysis</w:t>
      </w:r>
      <w:r>
        <w:t xml:space="preserve"> </w:t>
      </w:r>
      <w:r>
        <w:tab/>
      </w:r>
      <w:r w:rsidR="00F47E21">
        <w:t>6</w:t>
      </w:r>
    </w:p>
    <w:p w:rsidR="00503B1B" w:rsidRDefault="00503B1B" w:rsidP="000F025A">
      <w:pPr>
        <w:tabs>
          <w:tab w:val="left" w:pos="720"/>
          <w:tab w:val="left" w:pos="1440"/>
          <w:tab w:val="left" w:pos="2160"/>
          <w:tab w:val="left" w:pos="2880"/>
          <w:tab w:val="right" w:leader="dot" w:pos="8820"/>
        </w:tabs>
        <w:spacing w:line="240" w:lineRule="auto"/>
        <w:ind w:left="0" w:firstLine="0"/>
      </w:pPr>
    </w:p>
    <w:p w:rsidR="003416B0" w:rsidRDefault="00503B1B" w:rsidP="000F025A">
      <w:pPr>
        <w:tabs>
          <w:tab w:val="left" w:pos="720"/>
          <w:tab w:val="left" w:pos="1440"/>
          <w:tab w:val="left" w:pos="2160"/>
          <w:tab w:val="left" w:pos="2880"/>
          <w:tab w:val="right" w:leader="dot" w:pos="8820"/>
        </w:tabs>
        <w:spacing w:line="240" w:lineRule="auto"/>
        <w:ind w:left="0" w:firstLine="0"/>
      </w:pPr>
      <w:r>
        <w:tab/>
      </w:r>
      <w:r w:rsidR="003416B0">
        <w:t>B.</w:t>
      </w:r>
      <w:r w:rsidR="003416B0">
        <w:tab/>
        <w:t>NWEC’s Proposal is Not Applied to All Customer Classes</w:t>
      </w:r>
      <w:r w:rsidR="00F47E21">
        <w:tab/>
        <w:t>8</w:t>
      </w:r>
    </w:p>
    <w:p w:rsidR="003416B0" w:rsidRDefault="003416B0" w:rsidP="000F025A">
      <w:pPr>
        <w:tabs>
          <w:tab w:val="left" w:pos="720"/>
          <w:tab w:val="left" w:pos="1440"/>
          <w:tab w:val="left" w:pos="2160"/>
          <w:tab w:val="left" w:pos="2880"/>
          <w:tab w:val="right" w:leader="dot" w:pos="8820"/>
        </w:tabs>
        <w:spacing w:line="240" w:lineRule="auto"/>
        <w:ind w:left="0" w:firstLine="0"/>
      </w:pPr>
    </w:p>
    <w:p w:rsidR="00503B1B" w:rsidRDefault="003416B0" w:rsidP="000F025A">
      <w:pPr>
        <w:tabs>
          <w:tab w:val="left" w:pos="720"/>
          <w:tab w:val="left" w:pos="1440"/>
          <w:tab w:val="left" w:pos="2160"/>
          <w:tab w:val="left" w:pos="2880"/>
          <w:tab w:val="right" w:leader="dot" w:pos="8820"/>
        </w:tabs>
        <w:spacing w:line="240" w:lineRule="auto"/>
        <w:ind w:left="0" w:firstLine="0"/>
      </w:pPr>
      <w:r>
        <w:tab/>
        <w:t>C</w:t>
      </w:r>
      <w:r w:rsidR="00503B1B">
        <w:t>.</w:t>
      </w:r>
      <w:r w:rsidR="00503B1B">
        <w:tab/>
        <w:t xml:space="preserve">NWEC’s Proposal Excludes the Impact of Decoupling on the </w:t>
      </w:r>
    </w:p>
    <w:p w:rsidR="00503B1B" w:rsidRDefault="00503B1B" w:rsidP="000F025A">
      <w:pPr>
        <w:tabs>
          <w:tab w:val="left" w:pos="720"/>
          <w:tab w:val="left" w:pos="1440"/>
          <w:tab w:val="left" w:pos="2160"/>
          <w:tab w:val="left" w:pos="2880"/>
          <w:tab w:val="right" w:leader="dot" w:pos="8820"/>
        </w:tabs>
        <w:spacing w:line="240" w:lineRule="auto"/>
        <w:ind w:left="0" w:firstLine="0"/>
      </w:pPr>
      <w:r>
        <w:tab/>
      </w:r>
      <w:r>
        <w:tab/>
        <w:t xml:space="preserve">Rate of Return </w:t>
      </w:r>
      <w:r>
        <w:tab/>
      </w:r>
      <w:r w:rsidR="00F47E21">
        <w:t>10</w:t>
      </w:r>
    </w:p>
    <w:p w:rsidR="00A91CF2" w:rsidRDefault="00A91CF2" w:rsidP="000F025A">
      <w:pPr>
        <w:tabs>
          <w:tab w:val="left" w:pos="720"/>
          <w:tab w:val="left" w:pos="1440"/>
          <w:tab w:val="left" w:pos="2160"/>
          <w:tab w:val="left" w:pos="2880"/>
          <w:tab w:val="right" w:leader="dot" w:pos="8820"/>
        </w:tabs>
        <w:spacing w:line="240" w:lineRule="auto"/>
        <w:ind w:left="0" w:firstLine="0"/>
      </w:pPr>
    </w:p>
    <w:p w:rsidR="00503B1B" w:rsidRDefault="00503B1B" w:rsidP="000F025A">
      <w:pPr>
        <w:tabs>
          <w:tab w:val="left" w:pos="720"/>
          <w:tab w:val="left" w:pos="1440"/>
          <w:tab w:val="left" w:pos="2160"/>
          <w:tab w:val="left" w:pos="2880"/>
          <w:tab w:val="right" w:leader="dot" w:pos="8820"/>
        </w:tabs>
        <w:spacing w:line="240" w:lineRule="auto"/>
        <w:ind w:left="0" w:firstLine="0"/>
      </w:pPr>
      <w:r>
        <w:tab/>
      </w:r>
      <w:r w:rsidR="003416B0">
        <w:t>D</w:t>
      </w:r>
      <w:r>
        <w:t>.</w:t>
      </w:r>
      <w:r>
        <w:tab/>
        <w:t>NWEC’s Proposal Does Not Condition Recovery on Conservation</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Achievement </w:t>
      </w:r>
      <w:r>
        <w:tab/>
      </w:r>
      <w:r w:rsidR="000D275A">
        <w:t>1</w:t>
      </w:r>
      <w:r w:rsidR="00CE236E">
        <w:t>4</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r>
      <w:r w:rsidR="003416B0">
        <w:t>E</w:t>
      </w:r>
      <w:r>
        <w:t>.</w:t>
      </w:r>
      <w:r>
        <w:tab/>
        <w:t xml:space="preserve">NWEC’s Proposal Does Not Identify Comparable Conservation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Benefits to Low-Income Customers </w:t>
      </w:r>
      <w:r>
        <w:tab/>
      </w:r>
      <w:r w:rsidR="000D275A">
        <w:t>1</w:t>
      </w:r>
      <w:r w:rsidR="00F47E21">
        <w:t>5</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r>
      <w:r w:rsidR="003416B0">
        <w:t>F.</w:t>
      </w:r>
      <w:r>
        <w:tab/>
        <w:t xml:space="preserve">NWEC’s Proposal Does Not Describe Incremental Conservation </w:t>
      </w:r>
      <w:r>
        <w:tab/>
      </w:r>
      <w:r w:rsidR="000D275A">
        <w:t>1</w:t>
      </w:r>
      <w:r w:rsidR="00F47E21">
        <w:t>6</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r>
        <w:tab/>
      </w:r>
      <w:r w:rsidR="003416B0">
        <w:t>G</w:t>
      </w:r>
      <w:r>
        <w:t>.</w:t>
      </w:r>
      <w:r>
        <w:tab/>
        <w:t xml:space="preserve">NWEC’s Proposal Does Not Account for the Net Benefits of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Off-System Sales and Costs Avoided Due to the Utility’s </w:t>
      </w:r>
    </w:p>
    <w:p w:rsidR="00503B1B" w:rsidRDefault="00503B1B" w:rsidP="00503B1B">
      <w:pPr>
        <w:tabs>
          <w:tab w:val="left" w:pos="720"/>
          <w:tab w:val="left" w:pos="1440"/>
          <w:tab w:val="left" w:pos="2160"/>
          <w:tab w:val="right" w:leader="dot" w:pos="8820"/>
        </w:tabs>
        <w:spacing w:line="240" w:lineRule="auto"/>
        <w:ind w:left="0" w:firstLine="0"/>
      </w:pPr>
      <w:r>
        <w:tab/>
      </w:r>
      <w:r>
        <w:tab/>
        <w:t xml:space="preserve">Conservation Efforts </w:t>
      </w:r>
      <w:r>
        <w:tab/>
      </w:r>
      <w:r w:rsidR="000D275A">
        <w:t>1</w:t>
      </w:r>
      <w:r w:rsidR="00CE236E">
        <w:t>7</w:t>
      </w:r>
    </w:p>
    <w:p w:rsidR="00F47E21" w:rsidRDefault="00F47E21" w:rsidP="00503B1B">
      <w:pPr>
        <w:tabs>
          <w:tab w:val="left" w:pos="720"/>
          <w:tab w:val="left" w:pos="1440"/>
          <w:tab w:val="left" w:pos="2160"/>
          <w:tab w:val="right" w:leader="dot" w:pos="8820"/>
        </w:tabs>
        <w:spacing w:line="240" w:lineRule="auto"/>
        <w:ind w:left="0" w:firstLine="0"/>
      </w:pPr>
    </w:p>
    <w:p w:rsidR="00F47E21" w:rsidRDefault="00F47E21" w:rsidP="00503B1B">
      <w:pPr>
        <w:tabs>
          <w:tab w:val="left" w:pos="720"/>
          <w:tab w:val="left" w:pos="1440"/>
          <w:tab w:val="left" w:pos="2160"/>
          <w:tab w:val="right" w:leader="dot" w:pos="8820"/>
        </w:tabs>
        <w:spacing w:line="240" w:lineRule="auto"/>
        <w:ind w:left="0" w:firstLine="0"/>
      </w:pPr>
      <w:r>
        <w:t>IV.</w:t>
      </w:r>
      <w:r>
        <w:tab/>
        <w:t>CONCLUSION</w:t>
      </w:r>
      <w:r>
        <w:tab/>
        <w:t>20</w:t>
      </w:r>
    </w:p>
    <w:p w:rsidR="00503B1B" w:rsidRDefault="00503B1B" w:rsidP="00503B1B">
      <w:pPr>
        <w:tabs>
          <w:tab w:val="left" w:pos="720"/>
          <w:tab w:val="left" w:pos="1440"/>
          <w:tab w:val="left" w:pos="2160"/>
          <w:tab w:val="right" w:leader="dot" w:pos="8820"/>
        </w:tabs>
        <w:spacing w:line="240" w:lineRule="auto"/>
        <w:ind w:left="0" w:firstLine="0"/>
      </w:pPr>
    </w:p>
    <w:p w:rsidR="00503B1B" w:rsidRDefault="00503B1B" w:rsidP="00503B1B">
      <w:pPr>
        <w:tabs>
          <w:tab w:val="left" w:pos="720"/>
          <w:tab w:val="left" w:pos="1440"/>
          <w:tab w:val="left" w:pos="2160"/>
          <w:tab w:val="right" w:leader="dot" w:pos="8820"/>
        </w:tabs>
        <w:spacing w:line="240" w:lineRule="auto"/>
        <w:ind w:left="0" w:firstLine="0"/>
      </w:pPr>
    </w:p>
    <w:p w:rsidR="00100077" w:rsidRPr="00100077" w:rsidRDefault="00100077" w:rsidP="00100077">
      <w:pPr>
        <w:tabs>
          <w:tab w:val="left" w:pos="720"/>
          <w:tab w:val="left" w:pos="1440"/>
          <w:tab w:val="left" w:pos="2160"/>
          <w:tab w:val="right" w:leader="dot" w:pos="8820"/>
        </w:tabs>
        <w:spacing w:line="240" w:lineRule="auto"/>
        <w:ind w:left="0" w:firstLine="0"/>
        <w:jc w:val="center"/>
        <w:rPr>
          <w:b/>
        </w:rPr>
      </w:pPr>
      <w:r w:rsidRPr="00100077">
        <w:rPr>
          <w:b/>
        </w:rPr>
        <w:t>LIST OF EXHIBITS</w:t>
      </w:r>
    </w:p>
    <w:p w:rsidR="00100077" w:rsidRDefault="00100077" w:rsidP="00100077">
      <w:pPr>
        <w:tabs>
          <w:tab w:val="left" w:pos="720"/>
          <w:tab w:val="left" w:pos="1440"/>
          <w:tab w:val="left" w:pos="2160"/>
          <w:tab w:val="right" w:leader="dot" w:pos="8820"/>
        </w:tabs>
        <w:spacing w:line="240" w:lineRule="auto"/>
        <w:ind w:left="0" w:firstLine="0"/>
      </w:pPr>
    </w:p>
    <w:p w:rsidR="00100077" w:rsidRDefault="00100077" w:rsidP="00F47E21">
      <w:pPr>
        <w:spacing w:line="240" w:lineRule="auto"/>
        <w:ind w:left="2880" w:hanging="2880"/>
        <w:rPr>
          <w:bCs/>
        </w:rPr>
      </w:pPr>
      <w:r>
        <w:t xml:space="preserve">Exhibit No. </w:t>
      </w:r>
      <w:r w:rsidR="00F47E21">
        <w:t>___ (</w:t>
      </w:r>
      <w:r>
        <w:t>DJR-2</w:t>
      </w:r>
      <w:r w:rsidR="00F47E21">
        <w:t>)</w:t>
      </w:r>
      <w:r w:rsidRPr="00100077">
        <w:t xml:space="preserve">:  </w:t>
      </w:r>
      <w:r>
        <w:tab/>
      </w:r>
      <w:r w:rsidRPr="00100077">
        <w:rPr>
          <w:bCs/>
        </w:rPr>
        <w:t>UTC Staff’s Response to Bench Request in Dockets UE-111048 and UG-111049</w:t>
      </w:r>
    </w:p>
    <w:p w:rsidR="00100077" w:rsidRDefault="00100077" w:rsidP="00100077">
      <w:pPr>
        <w:spacing w:line="240" w:lineRule="auto"/>
        <w:ind w:left="2160" w:hanging="2160"/>
        <w:rPr>
          <w:bCs/>
        </w:rPr>
      </w:pPr>
    </w:p>
    <w:p w:rsidR="00100077" w:rsidRPr="00A4292E" w:rsidRDefault="00100077" w:rsidP="00F47E21">
      <w:pPr>
        <w:spacing w:line="240" w:lineRule="auto"/>
        <w:ind w:left="2880" w:hanging="2880"/>
        <w:jc w:val="both"/>
        <w:rPr>
          <w:bCs/>
        </w:rPr>
      </w:pPr>
      <w:r w:rsidRPr="00A4292E">
        <w:rPr>
          <w:bCs/>
        </w:rPr>
        <w:t xml:space="preserve">Exhibit No. </w:t>
      </w:r>
      <w:r w:rsidR="00F47E21">
        <w:rPr>
          <w:bCs/>
        </w:rPr>
        <w:t>___ (</w:t>
      </w:r>
      <w:r w:rsidRPr="00A4292E">
        <w:rPr>
          <w:bCs/>
        </w:rPr>
        <w:t>DJR-3</w:t>
      </w:r>
      <w:r w:rsidR="00F47E21">
        <w:rPr>
          <w:bCs/>
        </w:rPr>
        <w:t>)</w:t>
      </w:r>
      <w:r w:rsidRPr="00A4292E">
        <w:rPr>
          <w:bCs/>
        </w:rPr>
        <w:t>:</w:t>
      </w:r>
      <w:r w:rsidRPr="00A4292E">
        <w:rPr>
          <w:bCs/>
        </w:rPr>
        <w:tab/>
      </w:r>
      <w:r w:rsidR="00A4292E" w:rsidRPr="00A4292E">
        <w:rPr>
          <w:bCs/>
        </w:rPr>
        <w:t>NWEC Cover Letter and Data Requests 2-4</w:t>
      </w:r>
      <w:r w:rsidR="00A4292E">
        <w:rPr>
          <w:bCs/>
        </w:rPr>
        <w:t xml:space="preserve"> </w:t>
      </w:r>
      <w:r w:rsidR="00A4292E" w:rsidRPr="00A4292E">
        <w:rPr>
          <w:bCs/>
        </w:rPr>
        <w:t>Dated September 1, 2011</w:t>
      </w:r>
    </w:p>
    <w:p w:rsidR="00100077" w:rsidRDefault="00100077" w:rsidP="00100077">
      <w:pPr>
        <w:tabs>
          <w:tab w:val="left" w:pos="720"/>
          <w:tab w:val="left" w:pos="1440"/>
          <w:tab w:val="left" w:pos="2160"/>
          <w:tab w:val="right" w:leader="dot" w:pos="8820"/>
        </w:tabs>
        <w:spacing w:line="240" w:lineRule="auto"/>
        <w:ind w:left="0" w:firstLine="0"/>
      </w:pPr>
    </w:p>
    <w:p w:rsidR="00A4292E" w:rsidRPr="00A4292E" w:rsidRDefault="00A4292E" w:rsidP="00F47E21">
      <w:pPr>
        <w:spacing w:line="240" w:lineRule="auto"/>
        <w:ind w:left="2880" w:hanging="2880"/>
        <w:rPr>
          <w:bCs/>
        </w:rPr>
      </w:pPr>
      <w:r w:rsidRPr="00A4292E">
        <w:t xml:space="preserve">Exhibit No. </w:t>
      </w:r>
      <w:r w:rsidR="00F47E21">
        <w:t>___ (</w:t>
      </w:r>
      <w:r w:rsidRPr="00A4292E">
        <w:t>DJR-4</w:t>
      </w:r>
      <w:r w:rsidR="00F47E21">
        <w:t>)</w:t>
      </w:r>
      <w:r w:rsidRPr="00A4292E">
        <w:t>:</w:t>
      </w:r>
      <w:r w:rsidRPr="00A4292E">
        <w:tab/>
      </w:r>
      <w:r w:rsidRPr="00A4292E">
        <w:rPr>
          <w:bCs/>
        </w:rPr>
        <w:t>Excerpt from “Revenue Regulation and Decoupling:</w:t>
      </w:r>
      <w:r>
        <w:rPr>
          <w:bCs/>
        </w:rPr>
        <w:t xml:space="preserve">  </w:t>
      </w:r>
      <w:r w:rsidRPr="00A4292E">
        <w:rPr>
          <w:bCs/>
        </w:rPr>
        <w:t>A Guide to Theory and Application”</w:t>
      </w:r>
      <w:r>
        <w:rPr>
          <w:bCs/>
        </w:rPr>
        <w:t xml:space="preserve"> </w:t>
      </w:r>
      <w:r w:rsidRPr="00A4292E">
        <w:rPr>
          <w:bCs/>
        </w:rPr>
        <w:t>(The Regulatory Assistance Project, June 2011)</w:t>
      </w:r>
      <w:r>
        <w:rPr>
          <w:bCs/>
        </w:rPr>
        <w:t xml:space="preserve"> </w:t>
      </w:r>
      <w:r w:rsidRPr="00A4292E">
        <w:rPr>
          <w:bCs/>
        </w:rPr>
        <w:t>(Cover page and pages 4, 5, 36-39)</w:t>
      </w:r>
    </w:p>
    <w:p w:rsidR="00503B1B" w:rsidRDefault="00503B1B" w:rsidP="00503B1B">
      <w:pPr>
        <w:tabs>
          <w:tab w:val="left" w:pos="720"/>
          <w:tab w:val="left" w:pos="1440"/>
          <w:tab w:val="left" w:pos="2160"/>
          <w:tab w:val="right" w:leader="dot" w:pos="8820"/>
        </w:tabs>
        <w:spacing w:line="240" w:lineRule="auto"/>
        <w:ind w:left="0" w:firstLine="0"/>
      </w:pPr>
    </w:p>
    <w:p w:rsidR="000704BF" w:rsidRDefault="000704BF" w:rsidP="00503B1B">
      <w:pPr>
        <w:ind w:left="0" w:firstLine="0"/>
      </w:pPr>
    </w:p>
    <w:p w:rsidR="000F025A" w:rsidRDefault="000F025A" w:rsidP="000F025A"/>
    <w:p w:rsidR="000F025A" w:rsidRDefault="000F025A" w:rsidP="000F025A">
      <w:pPr>
        <w:ind w:left="0" w:firstLine="0"/>
        <w:sectPr w:rsidR="000F025A" w:rsidSect="00503B1B">
          <w:footerReference w:type="default" r:id="rId10"/>
          <w:pgSz w:w="12240" w:h="15840"/>
          <w:pgMar w:top="1440" w:right="1440" w:bottom="1440" w:left="1872" w:header="720" w:footer="720" w:gutter="0"/>
          <w:pgNumType w:fmt="lowerRoman" w:start="1"/>
          <w:cols w:space="720"/>
          <w:docGrid w:linePitch="360"/>
        </w:sectPr>
      </w:pPr>
    </w:p>
    <w:p w:rsidR="00CD54E2" w:rsidRPr="00C278B3" w:rsidRDefault="00CD54E2" w:rsidP="00C278B3">
      <w:pPr>
        <w:pStyle w:val="Heading1"/>
      </w:pPr>
      <w:bookmarkStart w:id="0" w:name="_Toc314559020"/>
      <w:r w:rsidRPr="00C278B3">
        <w:lastRenderedPageBreak/>
        <w:t>INTRODUCTION</w:t>
      </w:r>
      <w:bookmarkEnd w:id="0"/>
    </w:p>
    <w:p w:rsidR="002F09C6" w:rsidRPr="00C278B3" w:rsidRDefault="002F09C6" w:rsidP="00C278B3"/>
    <w:p w:rsidR="00CD54E2" w:rsidRPr="00C278B3" w:rsidRDefault="00CD54E2" w:rsidP="00C278B3">
      <w:pPr>
        <w:pStyle w:val="Heading3"/>
      </w:pPr>
      <w:r w:rsidRPr="00C278B3">
        <w:t>Q.</w:t>
      </w:r>
      <w:r w:rsidRPr="00C278B3">
        <w:tab/>
        <w:t>Please state your name</w:t>
      </w:r>
      <w:r w:rsidR="00561F39" w:rsidRPr="00C278B3">
        <w:t xml:space="preserve"> and</w:t>
      </w:r>
      <w:r w:rsidRPr="00C278B3">
        <w:t xml:space="preserve"> business address.</w:t>
      </w:r>
    </w:p>
    <w:p w:rsidR="00CD54E2" w:rsidRPr="00C278B3" w:rsidRDefault="00CD54E2" w:rsidP="00C278B3">
      <w:r w:rsidRPr="00C278B3">
        <w:t>A.</w:t>
      </w:r>
      <w:r w:rsidRPr="00C278B3">
        <w:tab/>
        <w:t xml:space="preserve">My name is Deborah </w:t>
      </w:r>
      <w:r w:rsidR="00EC45FD" w:rsidRPr="00C278B3">
        <w:t>J</w:t>
      </w:r>
      <w:r w:rsidRPr="00C278B3">
        <w:t xml:space="preserve">. Reynolds.  My business address is the Richard Hemstad Building, 1300 S. Evergreen Park Dr. SW, Olympia, Washington 98504.  </w:t>
      </w:r>
    </w:p>
    <w:p w:rsidR="00CD54E2" w:rsidRPr="00C278B3" w:rsidRDefault="00CD54E2" w:rsidP="00C278B3"/>
    <w:p w:rsidR="003F6AF0" w:rsidRPr="00C278B3" w:rsidRDefault="003F6AF0" w:rsidP="00C278B3">
      <w:pPr>
        <w:pStyle w:val="Heading3"/>
      </w:pPr>
      <w:r w:rsidRPr="00C278B3">
        <w:t>Q.</w:t>
      </w:r>
      <w:r w:rsidRPr="00C278B3">
        <w:tab/>
        <w:t>By whom are you employed and in what capacity?</w:t>
      </w:r>
    </w:p>
    <w:p w:rsidR="003F6AF0" w:rsidRPr="00C278B3" w:rsidRDefault="003F6AF0" w:rsidP="00C278B3">
      <w:r w:rsidRPr="00C278B3">
        <w:t>A.</w:t>
      </w:r>
      <w:r w:rsidRPr="00C278B3">
        <w:tab/>
        <w:t xml:space="preserve">I am employed by the Washington Utilities and Transportation Commission (“Commission”) as </w:t>
      </w:r>
      <w:r w:rsidR="00556E2F" w:rsidRPr="00C278B3">
        <w:t xml:space="preserve">the Assistant Director of </w:t>
      </w:r>
      <w:r w:rsidR="00E53711" w:rsidRPr="00C278B3">
        <w:t xml:space="preserve">the </w:t>
      </w:r>
      <w:r w:rsidR="00556E2F" w:rsidRPr="00C278B3">
        <w:t xml:space="preserve">Conservation and Energy </w:t>
      </w:r>
      <w:r w:rsidR="00FC3AB6" w:rsidRPr="00C278B3">
        <w:t>Planning Section</w:t>
      </w:r>
      <w:r w:rsidRPr="00C278B3">
        <w:t xml:space="preserve"> of the Regulatory Services Division.  My employment at the Commission began in 1999.</w:t>
      </w:r>
    </w:p>
    <w:p w:rsidR="003F6AF0" w:rsidRPr="00C278B3" w:rsidRDefault="003F6AF0" w:rsidP="00C278B3"/>
    <w:p w:rsidR="003F6AF0" w:rsidRPr="00C278B3" w:rsidRDefault="003F6AF0" w:rsidP="00C278B3">
      <w:pPr>
        <w:pStyle w:val="Heading3"/>
      </w:pPr>
      <w:r w:rsidRPr="00C278B3">
        <w:t>Q.</w:t>
      </w:r>
      <w:r w:rsidRPr="00C278B3">
        <w:tab/>
        <w:t>Please describe your education and your professional qualifications.</w:t>
      </w:r>
    </w:p>
    <w:p w:rsidR="003F6AF0" w:rsidRPr="00C278B3" w:rsidRDefault="003F6AF0" w:rsidP="00C278B3">
      <w:r w:rsidRPr="00C278B3">
        <w:t>A.</w:t>
      </w:r>
      <w:r w:rsidRPr="00C278B3">
        <w:tab/>
        <w:t>I have a Bachelor of Science degree in General Studies emphasizing ecology and statistics and a Master of Regional Planning degree, both from Washington State University.  I attended the National Association of Regulatory Utility Commissioners’ Annual Regulatory Studies Program in August 2004, the New Mexico State University’s rate case basics workshop in May 2008, Electric Utility Consultants, Inc.’s cost of service and rate design workshops in August 2008, the International Energy Program Evaluation Conference and training in August 2009, as well as a number of other utility related seminars, conferences, and training opportunities.</w:t>
      </w:r>
    </w:p>
    <w:p w:rsidR="003F6AF0" w:rsidRPr="00C278B3" w:rsidRDefault="003F6AF0" w:rsidP="00C278B3">
      <w:r w:rsidRPr="00C278B3">
        <w:lastRenderedPageBreak/>
        <w:tab/>
      </w:r>
      <w:r w:rsidRPr="00C278B3">
        <w:tab/>
        <w:t xml:space="preserve">I am responsible primarily for </w:t>
      </w:r>
      <w:r w:rsidR="006721E8" w:rsidRPr="00C278B3">
        <w:t>S</w:t>
      </w:r>
      <w:r w:rsidR="00E53711" w:rsidRPr="00C278B3">
        <w:t xml:space="preserve">taff </w:t>
      </w:r>
      <w:r w:rsidR="00F47E21">
        <w:t xml:space="preserve">who </w:t>
      </w:r>
      <w:r w:rsidRPr="00C278B3">
        <w:t>review and evaluat</w:t>
      </w:r>
      <w:r w:rsidR="00F47E21">
        <w:t>e</w:t>
      </w:r>
      <w:r w:rsidRPr="00C278B3">
        <w:t xml:space="preserve"> conservation programs, conservation resource planning, cost of service, rate spread and rate design, decoupling, reliability, service quality, low-income issues, and other analyses in general rate case</w:t>
      </w:r>
      <w:r w:rsidR="00F47E21">
        <w:t>s</w:t>
      </w:r>
      <w:r w:rsidRPr="00C278B3">
        <w:t xml:space="preserve"> and </w:t>
      </w:r>
      <w:r w:rsidR="00F47E21">
        <w:t xml:space="preserve">other </w:t>
      </w:r>
      <w:r w:rsidRPr="00C278B3">
        <w:t xml:space="preserve">tariff filings of </w:t>
      </w:r>
      <w:r w:rsidR="00F47E21">
        <w:t xml:space="preserve">Commission-regulated </w:t>
      </w:r>
      <w:r w:rsidRPr="00C278B3">
        <w:t xml:space="preserve">electric and natural gas utilities.  I also provide technical assistance to companies on energy regulatory matters.  </w:t>
      </w:r>
    </w:p>
    <w:p w:rsidR="003F6AF0" w:rsidRPr="00C278B3" w:rsidRDefault="003F6AF0" w:rsidP="00C278B3">
      <w:r w:rsidRPr="00C278B3">
        <w:tab/>
      </w:r>
      <w:r w:rsidRPr="00C278B3">
        <w:tab/>
        <w:t>I have participated in the development of Commission rules and examined utility reports for compliance with Commission regulations.  I have also presented Staff recommendations at numerous open public meetings.  I have filed testimony on decoupling in Avista’s consolidated general rate case, Docket</w:t>
      </w:r>
      <w:r w:rsidR="00E53711" w:rsidRPr="00C278B3">
        <w:t>s</w:t>
      </w:r>
      <w:r w:rsidRPr="00C278B3">
        <w:t xml:space="preserve"> UE-090134, UE-090135 and UG-060518, Staff comments on conservation target filings in Dockets UE-100170, UE-100176, and UE-100177</w:t>
      </w:r>
      <w:r w:rsidR="00E53711" w:rsidRPr="00C278B3">
        <w:t xml:space="preserve">, </w:t>
      </w:r>
      <w:r w:rsidR="00561F39" w:rsidRPr="00C278B3">
        <w:t xml:space="preserve">and </w:t>
      </w:r>
      <w:r w:rsidR="00E53711" w:rsidRPr="00C278B3">
        <w:t xml:space="preserve">testimony on decoupling in </w:t>
      </w:r>
      <w:r w:rsidR="009B281C" w:rsidRPr="00C278B3">
        <w:t>Puget Sound Energy, Inc.’s (</w:t>
      </w:r>
      <w:r w:rsidR="00E53711" w:rsidRPr="00C278B3">
        <w:t>PSE</w:t>
      </w:r>
      <w:r w:rsidR="009B281C" w:rsidRPr="00C278B3">
        <w:t>)</w:t>
      </w:r>
      <w:r w:rsidR="00E53711" w:rsidRPr="00C278B3">
        <w:t xml:space="preserve"> consolidated general rate case, Dockets UE-111048 and UG-111049</w:t>
      </w:r>
      <w:r w:rsidRPr="00C278B3">
        <w:t>.</w:t>
      </w:r>
    </w:p>
    <w:p w:rsidR="00CD54E2" w:rsidRPr="00C278B3" w:rsidRDefault="00CD54E2" w:rsidP="00C278B3">
      <w:pPr>
        <w:rPr>
          <w:b/>
        </w:rPr>
      </w:pPr>
    </w:p>
    <w:p w:rsidR="003F6AF0" w:rsidRPr="00C278B3" w:rsidRDefault="003F6AF0" w:rsidP="00C278B3">
      <w:pPr>
        <w:pStyle w:val="Heading1"/>
      </w:pPr>
      <w:r w:rsidRPr="00C278B3">
        <w:t>PURPOSE AND SUMMARY</w:t>
      </w:r>
    </w:p>
    <w:p w:rsidR="003F6AF0" w:rsidRPr="00C278B3" w:rsidRDefault="003F6AF0" w:rsidP="00C278B3">
      <w:pPr>
        <w:rPr>
          <w:b/>
        </w:rPr>
      </w:pPr>
    </w:p>
    <w:p w:rsidR="00CD54E2" w:rsidRPr="00C278B3" w:rsidRDefault="00CD54E2" w:rsidP="00C278B3">
      <w:pPr>
        <w:pStyle w:val="Heading3"/>
      </w:pPr>
      <w:r w:rsidRPr="00C278B3">
        <w:t>Q.</w:t>
      </w:r>
      <w:r w:rsidRPr="00C278B3">
        <w:tab/>
        <w:t>What is the purpose of your testimony in this proceeding?</w:t>
      </w:r>
    </w:p>
    <w:p w:rsidR="00CD54E2" w:rsidRPr="00C278B3" w:rsidRDefault="00CD54E2" w:rsidP="00C278B3">
      <w:r w:rsidRPr="00C278B3">
        <w:t>A.</w:t>
      </w:r>
      <w:r w:rsidRPr="00C278B3">
        <w:tab/>
        <w:t>My testimony respond</w:t>
      </w:r>
      <w:r w:rsidR="003819E0" w:rsidRPr="00C278B3">
        <w:t>s</w:t>
      </w:r>
      <w:r w:rsidRPr="00C278B3">
        <w:t xml:space="preserve"> to the </w:t>
      </w:r>
      <w:r w:rsidR="00ED2025" w:rsidRPr="00C278B3">
        <w:t xml:space="preserve">full </w:t>
      </w:r>
      <w:r w:rsidR="00E53711" w:rsidRPr="00C278B3">
        <w:t xml:space="preserve">electric </w:t>
      </w:r>
      <w:r w:rsidRPr="00C278B3">
        <w:t xml:space="preserve">decoupling proposal </w:t>
      </w:r>
      <w:r w:rsidR="0076172D" w:rsidRPr="00C278B3">
        <w:t xml:space="preserve">of </w:t>
      </w:r>
      <w:r w:rsidRPr="00C278B3">
        <w:t>the NW Energy Coalition</w:t>
      </w:r>
      <w:r w:rsidR="0076172D" w:rsidRPr="00C278B3">
        <w:t>, presented by Mr. Ralph Cavanagh</w:t>
      </w:r>
      <w:r w:rsidR="008E585B" w:rsidRPr="00C278B3">
        <w:t xml:space="preserve">.  </w:t>
      </w:r>
    </w:p>
    <w:p w:rsidR="009B1C9D" w:rsidRPr="00C278B3" w:rsidRDefault="009B1C9D" w:rsidP="00C278B3"/>
    <w:p w:rsidR="009B1C9D" w:rsidRPr="00C278B3" w:rsidRDefault="009B1C9D" w:rsidP="007C4C1C">
      <w:pPr>
        <w:pStyle w:val="Heading3"/>
        <w:keepNext/>
      </w:pPr>
      <w:r w:rsidRPr="00C278B3">
        <w:lastRenderedPageBreak/>
        <w:t>Q.</w:t>
      </w:r>
      <w:r w:rsidRPr="00C278B3">
        <w:tab/>
        <w:t>Have you responded to a decoupling proposal by NWEC in another Commission docket?</w:t>
      </w:r>
    </w:p>
    <w:p w:rsidR="009B1C9D" w:rsidRPr="00C278B3" w:rsidRDefault="009B1C9D" w:rsidP="00C278B3">
      <w:r w:rsidRPr="00C278B3">
        <w:t>A.</w:t>
      </w:r>
      <w:r w:rsidRPr="00C278B3">
        <w:tab/>
        <w:t xml:space="preserve">Yes.  I filed and defended testimony on this issue in </w:t>
      </w:r>
      <w:r w:rsidR="00B300D2" w:rsidRPr="00C278B3">
        <w:t xml:space="preserve">consolidated </w:t>
      </w:r>
      <w:r w:rsidRPr="00C278B3">
        <w:t xml:space="preserve">PSE Dockets UE-111048 and </w:t>
      </w:r>
      <w:r w:rsidR="00B300D2" w:rsidRPr="00C278B3">
        <w:t>UG-</w:t>
      </w:r>
      <w:r w:rsidRPr="00C278B3">
        <w:t>111049.</w:t>
      </w:r>
    </w:p>
    <w:p w:rsidR="009B1C9D" w:rsidRPr="00C278B3" w:rsidRDefault="009B1C9D" w:rsidP="00C278B3"/>
    <w:p w:rsidR="009B1C9D" w:rsidRPr="00C278B3" w:rsidRDefault="009B1C9D" w:rsidP="00C278B3">
      <w:pPr>
        <w:pStyle w:val="Heading3"/>
      </w:pPr>
      <w:r w:rsidRPr="00C278B3">
        <w:t>Q.</w:t>
      </w:r>
      <w:r w:rsidRPr="00C278B3">
        <w:tab/>
        <w:t>In th</w:t>
      </w:r>
      <w:r w:rsidR="00B300D2" w:rsidRPr="00C278B3">
        <w:t>ose</w:t>
      </w:r>
      <w:r w:rsidRPr="00C278B3">
        <w:t xml:space="preserve"> PSE docket</w:t>
      </w:r>
      <w:r w:rsidR="00B300D2" w:rsidRPr="00C278B3">
        <w:t>s</w:t>
      </w:r>
      <w:r w:rsidRPr="00C278B3">
        <w:t>, did Staff file a response to a Bench Request regarding decoupling?</w:t>
      </w:r>
    </w:p>
    <w:p w:rsidR="009B1C9D" w:rsidRPr="00C278B3" w:rsidRDefault="009B1C9D" w:rsidP="00C278B3">
      <w:r w:rsidRPr="00C278B3">
        <w:t>A.</w:t>
      </w:r>
      <w:r w:rsidRPr="00C278B3">
        <w:tab/>
        <w:t>Yes.  In th</w:t>
      </w:r>
      <w:r w:rsidR="00B300D2" w:rsidRPr="00C278B3">
        <w:t xml:space="preserve">ose PSE </w:t>
      </w:r>
      <w:r w:rsidRPr="00C278B3">
        <w:t>docket</w:t>
      </w:r>
      <w:r w:rsidR="00B300D2" w:rsidRPr="00C278B3">
        <w:t>s</w:t>
      </w:r>
      <w:r w:rsidRPr="00C278B3">
        <w:t xml:space="preserve">, the Commission issued the same (or substantially the same) decoupling-related Bench Request that the Commission issued in </w:t>
      </w:r>
      <w:r w:rsidR="009B281C" w:rsidRPr="00C278B3">
        <w:t>this</w:t>
      </w:r>
      <w:r w:rsidRPr="00C278B3">
        <w:t xml:space="preserve"> </w:t>
      </w:r>
      <w:r w:rsidR="009B281C" w:rsidRPr="00C278B3">
        <w:t>general rate case</w:t>
      </w:r>
      <w:r w:rsidR="003F6AF0" w:rsidRPr="00C278B3">
        <w:t xml:space="preserve">.  </w:t>
      </w:r>
      <w:r w:rsidR="009B281C" w:rsidRPr="00C278B3">
        <w:t>Although</w:t>
      </w:r>
      <w:r w:rsidR="003F6AF0" w:rsidRPr="00C278B3">
        <w:t xml:space="preserve"> </w:t>
      </w:r>
      <w:r w:rsidRPr="00C278B3">
        <w:t xml:space="preserve">the Commission relieved Staff from filing </w:t>
      </w:r>
      <w:r w:rsidR="003F6AF0" w:rsidRPr="00C278B3">
        <w:t xml:space="preserve">a </w:t>
      </w:r>
      <w:r w:rsidRPr="00C278B3">
        <w:t>response</w:t>
      </w:r>
      <w:r w:rsidR="009B281C" w:rsidRPr="00C278B3">
        <w:t xml:space="preserve"> in these Avista dockets</w:t>
      </w:r>
      <w:r w:rsidRPr="00C278B3">
        <w:t xml:space="preserve">, I am including a copy of the Bench Request response Staff filed in the PSE dockets so the Commission will have that information available </w:t>
      </w:r>
      <w:r w:rsidR="00F47E21">
        <w:t>here</w:t>
      </w:r>
      <w:r w:rsidRPr="00C278B3">
        <w:t xml:space="preserve">. </w:t>
      </w:r>
      <w:r w:rsidR="003F6AF0" w:rsidRPr="00C278B3">
        <w:t xml:space="preserve"> </w:t>
      </w:r>
      <w:r w:rsidR="00442040" w:rsidRPr="00C278B3">
        <w:t>Staff’s</w:t>
      </w:r>
      <w:r w:rsidR="003F6AF0" w:rsidRPr="00C278B3">
        <w:t xml:space="preserve"> response is my Exhibit N</w:t>
      </w:r>
      <w:r w:rsidR="00442040" w:rsidRPr="00C278B3">
        <w:t>o</w:t>
      </w:r>
      <w:r w:rsidR="003F6AF0" w:rsidRPr="00C278B3">
        <w:t xml:space="preserve">. ___ (DJR-2).  </w:t>
      </w:r>
    </w:p>
    <w:p w:rsidR="008E585B" w:rsidRPr="00C278B3" w:rsidRDefault="008E585B" w:rsidP="00C278B3"/>
    <w:p w:rsidR="008E585B" w:rsidRPr="00C278B3" w:rsidRDefault="008E585B" w:rsidP="00C278B3">
      <w:pPr>
        <w:pStyle w:val="Heading3"/>
      </w:pPr>
      <w:r w:rsidRPr="00C278B3">
        <w:t>Q.</w:t>
      </w:r>
      <w:r w:rsidRPr="00C278B3">
        <w:tab/>
        <w:t xml:space="preserve">Please summarize </w:t>
      </w:r>
      <w:r w:rsidR="002F09C6" w:rsidRPr="00C278B3">
        <w:t>Staff’s</w:t>
      </w:r>
      <w:r w:rsidRPr="00C278B3">
        <w:t xml:space="preserve"> response to </w:t>
      </w:r>
      <w:r w:rsidR="003F6AF0" w:rsidRPr="00C278B3">
        <w:t xml:space="preserve">NWEC’s </w:t>
      </w:r>
      <w:r w:rsidRPr="00C278B3">
        <w:t>decoupling proposal.</w:t>
      </w:r>
    </w:p>
    <w:p w:rsidR="004C4CB3" w:rsidRPr="00C278B3" w:rsidRDefault="008E585B" w:rsidP="00C278B3">
      <w:r w:rsidRPr="00C278B3">
        <w:t xml:space="preserve">A. </w:t>
      </w:r>
      <w:r w:rsidRPr="00C278B3">
        <w:tab/>
      </w:r>
      <w:r w:rsidR="004C4CB3" w:rsidRPr="00C278B3">
        <w:t xml:space="preserve">In its direct testimony in this case, </w:t>
      </w:r>
      <w:r w:rsidR="003819E0" w:rsidRPr="00C278B3">
        <w:t xml:space="preserve">Avista </w:t>
      </w:r>
      <w:r w:rsidR="002F09C6" w:rsidRPr="00C278B3">
        <w:t>allege</w:t>
      </w:r>
      <w:r w:rsidR="004C4CB3" w:rsidRPr="00C278B3">
        <w:t>d</w:t>
      </w:r>
      <w:r w:rsidR="002F09C6" w:rsidRPr="00C278B3">
        <w:t xml:space="preserve"> that it is experiencing growth in </w:t>
      </w:r>
      <w:r w:rsidR="00D225A3" w:rsidRPr="00C278B3">
        <w:t>costs</w:t>
      </w:r>
      <w:r w:rsidR="002F09C6" w:rsidRPr="00C278B3">
        <w:t xml:space="preserve"> that are </w:t>
      </w:r>
      <w:r w:rsidR="00D225A3" w:rsidRPr="00C278B3">
        <w:t>not reflected in rates</w:t>
      </w:r>
      <w:r w:rsidR="002F09C6" w:rsidRPr="00C278B3">
        <w:t>.  A decoupling mechanism will not address that phenomenon.  Staff recommends an attrition adjustment as the best way to deal with this issue</w:t>
      </w:r>
      <w:r w:rsidR="004C4CB3" w:rsidRPr="00C278B3">
        <w:t xml:space="preserve">, including any </w:t>
      </w:r>
      <w:r w:rsidR="00D225A3" w:rsidRPr="00C278B3">
        <w:t xml:space="preserve">lost </w:t>
      </w:r>
      <w:r w:rsidR="004C4CB3" w:rsidRPr="00C278B3">
        <w:t xml:space="preserve">revenues due to </w:t>
      </w:r>
      <w:r w:rsidR="00D225A3" w:rsidRPr="00C278B3">
        <w:t>conservation</w:t>
      </w:r>
      <w:r w:rsidR="002F09C6" w:rsidRPr="00C278B3">
        <w:t xml:space="preserve">.  </w:t>
      </w:r>
    </w:p>
    <w:p w:rsidR="009B0896" w:rsidRPr="00C278B3" w:rsidRDefault="004C4CB3" w:rsidP="00C278B3">
      <w:pPr>
        <w:rPr>
          <w:bCs/>
          <w:u w:val="single"/>
        </w:rPr>
      </w:pPr>
      <w:r w:rsidRPr="00C278B3">
        <w:tab/>
      </w:r>
      <w:r w:rsidRPr="00C278B3">
        <w:tab/>
      </w:r>
      <w:r w:rsidR="008E585B" w:rsidRPr="00C278B3">
        <w:t>The Commission should reject Mr. Cavanagh’s decoupling proposal</w:t>
      </w:r>
      <w:r w:rsidR="0076172D" w:rsidRPr="00C278B3">
        <w:t xml:space="preserve"> because it </w:t>
      </w:r>
      <w:r w:rsidR="00446C14" w:rsidRPr="00C278B3">
        <w:t xml:space="preserve">does not comply with the Commission’s </w:t>
      </w:r>
      <w:r w:rsidR="008308F1" w:rsidRPr="00C278B3">
        <w:t xml:space="preserve">Decoupling </w:t>
      </w:r>
      <w:r w:rsidR="00446C14" w:rsidRPr="00C278B3">
        <w:t>Policy Statement.</w:t>
      </w:r>
      <w:r w:rsidR="00F83AD8" w:rsidRPr="00C278B3">
        <w:rPr>
          <w:rStyle w:val="FootnoteReference"/>
        </w:rPr>
        <w:footnoteReference w:id="2"/>
      </w:r>
      <w:r w:rsidR="008308F1" w:rsidRPr="00C278B3">
        <w:t xml:space="preserve">  </w:t>
      </w:r>
      <w:r w:rsidR="00D76141" w:rsidRPr="00C278B3">
        <w:tab/>
      </w:r>
      <w:r w:rsidR="009B0896" w:rsidRPr="00C278B3">
        <w:t xml:space="preserve">In </w:t>
      </w:r>
      <w:r w:rsidRPr="00C278B3">
        <w:t xml:space="preserve">their </w:t>
      </w:r>
      <w:r w:rsidR="009B0896" w:rsidRPr="00C278B3">
        <w:lastRenderedPageBreak/>
        <w:t>joint testimony supporting settlement, the Settling Parties, including Staff, recommend that, in the event that the Commission orders further consideration (beyond this Docket No. UE-110876) or adoption of electric decoupling or any other similar mechanism, this should not occur until the Company’s next general rate case.</w:t>
      </w:r>
      <w:r w:rsidR="009B0896" w:rsidRPr="00C278B3">
        <w:rPr>
          <w:rStyle w:val="FootnoteReference"/>
        </w:rPr>
        <w:footnoteReference w:id="3"/>
      </w:r>
      <w:r w:rsidR="009B0896" w:rsidRPr="00C278B3">
        <w:t xml:space="preserve">  </w:t>
      </w:r>
      <w:r w:rsidRPr="00C278B3">
        <w:t xml:space="preserve">The </w:t>
      </w:r>
      <w:r w:rsidR="009B0896" w:rsidRPr="00C278B3">
        <w:t>Settling Parties reserve</w:t>
      </w:r>
      <w:r w:rsidRPr="00C278B3">
        <w:t>d</w:t>
      </w:r>
      <w:r w:rsidR="009B0896" w:rsidRPr="00C278B3">
        <w:t xml:space="preserve"> the right to advocate any position or to offer recommendations regarding the rejection, adoption or implementation of electric decoupling or other similar mechanisms in Avista’s next general rate case or in any future proceeding.</w:t>
      </w:r>
      <w:r w:rsidR="009B0896" w:rsidRPr="00C278B3">
        <w:rPr>
          <w:rStyle w:val="FootnoteReference"/>
        </w:rPr>
        <w:footnoteReference w:id="4"/>
      </w:r>
    </w:p>
    <w:p w:rsidR="008E585B" w:rsidRPr="00C278B3" w:rsidRDefault="008E585B" w:rsidP="00C278B3"/>
    <w:p w:rsidR="00617FB7" w:rsidRPr="00C278B3" w:rsidRDefault="003F6AF0" w:rsidP="00C278B3">
      <w:pPr>
        <w:pStyle w:val="Heading1"/>
      </w:pPr>
      <w:bookmarkStart w:id="1" w:name="_Toc314559021"/>
      <w:r w:rsidRPr="00C278B3">
        <w:t xml:space="preserve">DISCUSSION OF </w:t>
      </w:r>
      <w:r w:rsidR="00617FB7" w:rsidRPr="00C278B3">
        <w:t>NWEC’S DECOUPLING PROPOSAL</w:t>
      </w:r>
      <w:bookmarkEnd w:id="1"/>
    </w:p>
    <w:p w:rsidR="009E549A" w:rsidRPr="00C278B3" w:rsidRDefault="009E549A" w:rsidP="00C278B3"/>
    <w:p w:rsidR="009E549A" w:rsidRPr="00C278B3" w:rsidRDefault="00617FB7" w:rsidP="00C278B3">
      <w:pPr>
        <w:pStyle w:val="Heading3"/>
      </w:pPr>
      <w:r w:rsidRPr="00C278B3">
        <w:t>Q.</w:t>
      </w:r>
      <w:r w:rsidRPr="00C278B3">
        <w:tab/>
        <w:t xml:space="preserve">Please generally describe NWEC’s decoupling proposal.  </w:t>
      </w:r>
    </w:p>
    <w:p w:rsidR="0076172D" w:rsidRPr="00C278B3" w:rsidRDefault="00617FB7" w:rsidP="00C278B3">
      <w:r w:rsidRPr="00C278B3">
        <w:t>A.</w:t>
      </w:r>
      <w:r w:rsidRPr="00C278B3">
        <w:tab/>
        <w:t xml:space="preserve">NWEC proposes a full decoupling mechanism for </w:t>
      </w:r>
      <w:r w:rsidR="005B2107" w:rsidRPr="00C278B3">
        <w:t>Avista</w:t>
      </w:r>
      <w:r w:rsidR="00B66CF4" w:rsidRPr="00C278B3">
        <w:t>’s electric operations</w:t>
      </w:r>
      <w:r w:rsidRPr="00C278B3">
        <w:t xml:space="preserve">.  </w:t>
      </w:r>
      <w:r w:rsidR="005B2107" w:rsidRPr="00C278B3">
        <w:t>Avista’s</w:t>
      </w:r>
      <w:r w:rsidR="00446C14" w:rsidRPr="00C278B3">
        <w:t xml:space="preserve"> revenues would be based upon a revenue</w:t>
      </w:r>
      <w:r w:rsidR="00213C95" w:rsidRPr="00C278B3">
        <w:t>-</w:t>
      </w:r>
      <w:r w:rsidR="00446C14" w:rsidRPr="00C278B3">
        <w:t>per</w:t>
      </w:r>
      <w:r w:rsidR="00213C95" w:rsidRPr="00C278B3">
        <w:t>-</w:t>
      </w:r>
      <w:r w:rsidR="00446C14" w:rsidRPr="00C278B3">
        <w:t xml:space="preserve">customer (“RPC”) </w:t>
      </w:r>
      <w:r w:rsidR="0076172D" w:rsidRPr="00C278B3">
        <w:t xml:space="preserve">value </w:t>
      </w:r>
      <w:r w:rsidR="00446C14" w:rsidRPr="00C278B3">
        <w:t xml:space="preserve">for </w:t>
      </w:r>
      <w:r w:rsidR="00596E8D" w:rsidRPr="00C278B3">
        <w:t xml:space="preserve">all </w:t>
      </w:r>
      <w:r w:rsidR="00B66CF4" w:rsidRPr="00C278B3">
        <w:t xml:space="preserve">electric </w:t>
      </w:r>
      <w:r w:rsidR="00596E8D" w:rsidRPr="00C278B3">
        <w:t>customers</w:t>
      </w:r>
      <w:r w:rsidR="00F47E21">
        <w:t>,</w:t>
      </w:r>
      <w:r w:rsidR="00596E8D" w:rsidRPr="00C278B3">
        <w:t xml:space="preserve"> except the 22 customers Avista serves under Schedule 25, Extra Large General Service</w:t>
      </w:r>
      <w:r w:rsidR="0076172D" w:rsidRPr="00C278B3">
        <w:t>.</w:t>
      </w:r>
      <w:r w:rsidR="00446C14" w:rsidRPr="00C278B3">
        <w:rPr>
          <w:rStyle w:val="FootnoteReference"/>
        </w:rPr>
        <w:footnoteReference w:id="5"/>
      </w:r>
      <w:r w:rsidR="00446C14" w:rsidRPr="00C278B3">
        <w:t xml:space="preserve">  </w:t>
      </w:r>
    </w:p>
    <w:p w:rsidR="0076172D" w:rsidRPr="00C278B3" w:rsidRDefault="0076172D" w:rsidP="00C278B3">
      <w:r w:rsidRPr="00C278B3">
        <w:tab/>
      </w:r>
      <w:r w:rsidRPr="00C278B3">
        <w:tab/>
        <w:t xml:space="preserve">The </w:t>
      </w:r>
      <w:r w:rsidR="00596E8D" w:rsidRPr="00C278B3">
        <w:t xml:space="preserve">NWEC </w:t>
      </w:r>
      <w:r w:rsidR="004161DE" w:rsidRPr="00C278B3">
        <w:t>propos</w:t>
      </w:r>
      <w:r w:rsidR="002F09C6" w:rsidRPr="00C278B3">
        <w:t xml:space="preserve">al </w:t>
      </w:r>
      <w:r w:rsidR="00617FB7" w:rsidRPr="00C278B3">
        <w:t xml:space="preserve">would </w:t>
      </w:r>
      <w:r w:rsidRPr="00C278B3">
        <w:t xml:space="preserve">guarantee </w:t>
      </w:r>
      <w:r w:rsidR="005B2107" w:rsidRPr="00C278B3">
        <w:t>Avista</w:t>
      </w:r>
      <w:r w:rsidR="00617FB7" w:rsidRPr="00C278B3">
        <w:t xml:space="preserve"> would recover that </w:t>
      </w:r>
      <w:r w:rsidR="004161DE" w:rsidRPr="00C278B3">
        <w:t xml:space="preserve">RPC </w:t>
      </w:r>
      <w:r w:rsidRPr="00C278B3">
        <w:t>through a deferred accounting and true-up process</w:t>
      </w:r>
      <w:r w:rsidR="00617FB7" w:rsidRPr="00C278B3">
        <w:t>.  The true-ups</w:t>
      </w:r>
      <w:r w:rsidRPr="00C278B3">
        <w:t xml:space="preserve"> of actual revenue to the </w:t>
      </w:r>
      <w:r w:rsidR="002F09C6" w:rsidRPr="00C278B3">
        <w:t xml:space="preserve">RPC </w:t>
      </w:r>
      <w:r w:rsidRPr="00C278B3">
        <w:t>level would occur annually</w:t>
      </w:r>
      <w:r w:rsidR="00617FB7" w:rsidRPr="00C278B3">
        <w:t xml:space="preserve">, subject to a three percent rate increase cap.  </w:t>
      </w:r>
      <w:r w:rsidR="005B2107" w:rsidRPr="00C278B3">
        <w:lastRenderedPageBreak/>
        <w:t>Avista</w:t>
      </w:r>
      <w:r w:rsidR="00617FB7" w:rsidRPr="00C278B3">
        <w:t xml:space="preserve"> would defer any amount above the cap and recover it in later annual </w:t>
      </w:r>
      <w:r w:rsidR="00446C14" w:rsidRPr="00C278B3">
        <w:t>rate changes</w:t>
      </w:r>
      <w:r w:rsidR="00617FB7" w:rsidRPr="00C278B3">
        <w:t xml:space="preserve">.  </w:t>
      </w:r>
    </w:p>
    <w:p w:rsidR="00617FB7" w:rsidRPr="00C278B3" w:rsidRDefault="0076172D" w:rsidP="00C278B3">
      <w:r w:rsidRPr="00C278B3">
        <w:tab/>
      </w:r>
      <w:r w:rsidRPr="00C278B3">
        <w:tab/>
      </w:r>
      <w:r w:rsidR="00617FB7" w:rsidRPr="00C278B3">
        <w:t>NWEC</w:t>
      </w:r>
      <w:r w:rsidR="00446C14" w:rsidRPr="00C278B3">
        <w:t xml:space="preserve"> proposes that the</w:t>
      </w:r>
      <w:r w:rsidR="00617FB7" w:rsidRPr="00C278B3">
        <w:t xml:space="preserve"> mechanism </w:t>
      </w:r>
      <w:r w:rsidR="00446C14" w:rsidRPr="00C278B3">
        <w:t xml:space="preserve">run for </w:t>
      </w:r>
      <w:r w:rsidRPr="00C278B3">
        <w:t xml:space="preserve">at least </w:t>
      </w:r>
      <w:r w:rsidR="00213C95" w:rsidRPr="00C278B3">
        <w:t>f</w:t>
      </w:r>
      <w:r w:rsidR="00617FB7" w:rsidRPr="00C278B3">
        <w:t>ive year</w:t>
      </w:r>
      <w:r w:rsidR="003B3D07" w:rsidRPr="00C278B3">
        <w:t>s</w:t>
      </w:r>
      <w:r w:rsidRPr="00C278B3">
        <w:t xml:space="preserve">, subject to a </w:t>
      </w:r>
      <w:r w:rsidR="00446C14" w:rsidRPr="00C278B3">
        <w:t xml:space="preserve">future evaluation </w:t>
      </w:r>
      <w:r w:rsidR="00617FB7" w:rsidRPr="00C278B3">
        <w:t xml:space="preserve">by an independent contractor.  </w:t>
      </w:r>
      <w:r w:rsidR="008C3E2A" w:rsidRPr="00C278B3">
        <w:t xml:space="preserve">Finally, the </w:t>
      </w:r>
      <w:r w:rsidRPr="00C278B3">
        <w:t xml:space="preserve">proposed </w:t>
      </w:r>
      <w:r w:rsidR="008C3E2A" w:rsidRPr="00C278B3">
        <w:t xml:space="preserve">mechanism requires annual reports by </w:t>
      </w:r>
      <w:r w:rsidR="005B2107" w:rsidRPr="00C278B3">
        <w:t>Avista</w:t>
      </w:r>
      <w:r w:rsidR="00617FB7" w:rsidRPr="00C278B3">
        <w:t xml:space="preserve"> </w:t>
      </w:r>
      <w:r w:rsidR="008C3E2A" w:rsidRPr="00C278B3">
        <w:t>describing</w:t>
      </w:r>
      <w:r w:rsidR="00617FB7" w:rsidRPr="00C278B3">
        <w:t xml:space="preserve"> its progress</w:t>
      </w:r>
      <w:r w:rsidR="00213C95" w:rsidRPr="00C278B3">
        <w:t xml:space="preserve"> toward</w:t>
      </w:r>
      <w:r w:rsidR="00617FB7" w:rsidRPr="00C278B3">
        <w:t xml:space="preserve"> conservation targets.</w:t>
      </w:r>
      <w:r w:rsidR="003B3D07" w:rsidRPr="00C278B3">
        <w:rPr>
          <w:rStyle w:val="FootnoteReference"/>
        </w:rPr>
        <w:footnoteReference w:id="6"/>
      </w:r>
    </w:p>
    <w:p w:rsidR="00617FB7" w:rsidRPr="00C278B3" w:rsidRDefault="00617FB7" w:rsidP="00C278B3"/>
    <w:p w:rsidR="009E549A" w:rsidRPr="00C278B3" w:rsidRDefault="00CE798F" w:rsidP="00C278B3">
      <w:pPr>
        <w:pStyle w:val="Heading3"/>
      </w:pPr>
      <w:r w:rsidRPr="00C278B3">
        <w:t>Q.</w:t>
      </w:r>
      <w:r w:rsidRPr="00C278B3">
        <w:tab/>
        <w:t>Do</w:t>
      </w:r>
      <w:r w:rsidR="00D31A6A" w:rsidRPr="00C278B3">
        <w:t xml:space="preserve">es Staff </w:t>
      </w:r>
      <w:r w:rsidRPr="00C278B3">
        <w:t xml:space="preserve">have </w:t>
      </w:r>
      <w:r w:rsidR="00D31A6A" w:rsidRPr="00C278B3">
        <w:t xml:space="preserve">any </w:t>
      </w:r>
      <w:r w:rsidRPr="00C278B3">
        <w:t>general concerns about implementing</w:t>
      </w:r>
      <w:r w:rsidR="00213C95" w:rsidRPr="00C278B3">
        <w:t xml:space="preserve"> NWEC’s</w:t>
      </w:r>
      <w:r w:rsidRPr="00C278B3">
        <w:t xml:space="preserve"> decoupling</w:t>
      </w:r>
      <w:r w:rsidR="00213C95" w:rsidRPr="00C278B3">
        <w:t xml:space="preserve"> proposal</w:t>
      </w:r>
      <w:r w:rsidRPr="00C278B3">
        <w:t xml:space="preserve"> for </w:t>
      </w:r>
      <w:r w:rsidR="005B2107" w:rsidRPr="00C278B3">
        <w:t>Avista</w:t>
      </w:r>
      <w:r w:rsidRPr="00C278B3">
        <w:t>?</w:t>
      </w:r>
    </w:p>
    <w:p w:rsidR="0076172D" w:rsidRPr="00C278B3" w:rsidRDefault="00CE798F" w:rsidP="00C278B3">
      <w:r w:rsidRPr="00C278B3">
        <w:t>A.</w:t>
      </w:r>
      <w:r w:rsidRPr="00C278B3">
        <w:tab/>
        <w:t>Yes</w:t>
      </w:r>
      <w:r w:rsidR="00D31A6A" w:rsidRPr="00C278B3">
        <w:t xml:space="preserve">, Staff has </w:t>
      </w:r>
      <w:r w:rsidR="007F129F" w:rsidRPr="00C278B3">
        <w:t xml:space="preserve">two </w:t>
      </w:r>
      <w:r w:rsidR="00D31A6A" w:rsidRPr="00C278B3">
        <w:t xml:space="preserve">general concerns.  First, </w:t>
      </w:r>
      <w:r w:rsidR="003819E0" w:rsidRPr="00C278B3">
        <w:t xml:space="preserve">Avista </w:t>
      </w:r>
      <w:r w:rsidR="00B831CD" w:rsidRPr="00C278B3">
        <w:t xml:space="preserve">alleges it is experiencing </w:t>
      </w:r>
      <w:r w:rsidR="00AB30F9" w:rsidRPr="00C278B3">
        <w:t xml:space="preserve">growth in </w:t>
      </w:r>
      <w:r w:rsidR="00D225A3" w:rsidRPr="00C278B3">
        <w:t>costs</w:t>
      </w:r>
      <w:r w:rsidR="00AB30F9" w:rsidRPr="00C278B3">
        <w:t xml:space="preserve"> that are </w:t>
      </w:r>
      <w:r w:rsidR="00D225A3" w:rsidRPr="00C278B3">
        <w:t>not reflected in rates</w:t>
      </w:r>
      <w:r w:rsidR="00AB30F9" w:rsidRPr="00C278B3">
        <w:t>.</w:t>
      </w:r>
      <w:r w:rsidR="002E3ECB" w:rsidRPr="00C278B3">
        <w:rPr>
          <w:rStyle w:val="FootnoteReference"/>
        </w:rPr>
        <w:footnoteReference w:id="7"/>
      </w:r>
      <w:r w:rsidR="00AB30F9" w:rsidRPr="00C278B3">
        <w:t xml:space="preserve"> </w:t>
      </w:r>
      <w:r w:rsidR="009E549A" w:rsidRPr="00C278B3">
        <w:t xml:space="preserve"> </w:t>
      </w:r>
      <w:r w:rsidR="003819E0" w:rsidRPr="00C278B3">
        <w:t xml:space="preserve">It is </w:t>
      </w:r>
      <w:r w:rsidR="00AB30F9" w:rsidRPr="00C278B3">
        <w:t>Staff</w:t>
      </w:r>
      <w:r w:rsidR="003819E0" w:rsidRPr="00C278B3">
        <w:t xml:space="preserve">’s view that </w:t>
      </w:r>
      <w:r w:rsidR="00AB30F9" w:rsidRPr="00C278B3">
        <w:t xml:space="preserve">an attrition adjustment </w:t>
      </w:r>
      <w:r w:rsidR="0076172D" w:rsidRPr="00C278B3">
        <w:t xml:space="preserve">is </w:t>
      </w:r>
      <w:r w:rsidR="00AB30F9" w:rsidRPr="00C278B3">
        <w:t>the best way to deal with th</w:t>
      </w:r>
      <w:r w:rsidR="00D31A6A" w:rsidRPr="00C278B3">
        <w:t>is issue</w:t>
      </w:r>
      <w:r w:rsidR="0076172D" w:rsidRPr="00C278B3">
        <w:t xml:space="preserve">, </w:t>
      </w:r>
      <w:r w:rsidR="002F09C6" w:rsidRPr="00C278B3">
        <w:t xml:space="preserve">including </w:t>
      </w:r>
      <w:r w:rsidR="00D225A3" w:rsidRPr="00C278B3">
        <w:t xml:space="preserve">any </w:t>
      </w:r>
      <w:r w:rsidR="0076172D" w:rsidRPr="00C278B3">
        <w:t>lost revenues due to conservation.</w:t>
      </w:r>
      <w:r w:rsidR="00B2591D" w:rsidRPr="00C278B3">
        <w:rPr>
          <w:rStyle w:val="FootnoteReference"/>
        </w:rPr>
        <w:footnoteReference w:id="8"/>
      </w:r>
      <w:r w:rsidR="009E549A" w:rsidRPr="00C278B3">
        <w:t xml:space="preserve">  </w:t>
      </w:r>
      <w:r w:rsidR="003819E0" w:rsidRPr="00C278B3">
        <w:t>D</w:t>
      </w:r>
      <w:r w:rsidR="00AB30F9" w:rsidRPr="00C278B3">
        <w:t xml:space="preserve">ecoupling </w:t>
      </w:r>
      <w:r w:rsidR="0076172D" w:rsidRPr="00C278B3">
        <w:t xml:space="preserve">does not </w:t>
      </w:r>
      <w:r w:rsidR="00D31A6A" w:rsidRPr="00C278B3">
        <w:t xml:space="preserve">address </w:t>
      </w:r>
      <w:r w:rsidR="0076172D" w:rsidRPr="00C278B3">
        <w:t>attrition</w:t>
      </w:r>
      <w:r w:rsidR="003819E0" w:rsidRPr="00C278B3">
        <w:t xml:space="preserve">, as Mr. Cavanagh has conceded in </w:t>
      </w:r>
      <w:r w:rsidR="005B2107" w:rsidRPr="00C278B3">
        <w:t xml:space="preserve">testimony he filed in the PSE rate case currently pending </w:t>
      </w:r>
      <w:r w:rsidR="003819E0" w:rsidRPr="00C278B3">
        <w:t>before this Commission</w:t>
      </w:r>
      <w:r w:rsidR="00D31A6A" w:rsidRPr="00C278B3">
        <w:t>.</w:t>
      </w:r>
      <w:r w:rsidR="00864D9E" w:rsidRPr="00C278B3">
        <w:rPr>
          <w:rStyle w:val="FootnoteReference"/>
        </w:rPr>
        <w:footnoteReference w:id="9"/>
      </w:r>
    </w:p>
    <w:p w:rsidR="008C3E2A" w:rsidRPr="00C278B3" w:rsidRDefault="0076172D" w:rsidP="00C278B3">
      <w:r w:rsidRPr="00C278B3">
        <w:tab/>
      </w:r>
      <w:r w:rsidRPr="00C278B3">
        <w:tab/>
      </w:r>
      <w:r w:rsidR="007F129F" w:rsidRPr="00C278B3">
        <w:t>Second</w:t>
      </w:r>
      <w:r w:rsidRPr="00C278B3">
        <w:t xml:space="preserve">, </w:t>
      </w:r>
      <w:r w:rsidR="00CB0EB4" w:rsidRPr="00C278B3">
        <w:t>t</w:t>
      </w:r>
      <w:r w:rsidRPr="00C278B3">
        <w:t xml:space="preserve">he NWEC proposal </w:t>
      </w:r>
      <w:r w:rsidR="007E150E" w:rsidRPr="00C278B3">
        <w:t>fails to comply with the most significant elements of the Decoupling Policy Statement</w:t>
      </w:r>
      <w:r w:rsidR="00CB0EB4" w:rsidRPr="00C278B3">
        <w:t>, namely:</w:t>
      </w:r>
      <w:r w:rsidR="008C3E2A" w:rsidRPr="00C278B3">
        <w:t xml:space="preserve">  </w:t>
      </w:r>
    </w:p>
    <w:p w:rsidR="00942516" w:rsidRPr="00C278B3" w:rsidRDefault="00942516" w:rsidP="00C278B3">
      <w:pPr>
        <w:pStyle w:val="ListParagraph"/>
        <w:numPr>
          <w:ilvl w:val="0"/>
          <w:numId w:val="11"/>
        </w:numPr>
        <w:spacing w:line="480" w:lineRule="auto"/>
        <w:rPr>
          <w:rFonts w:cs="Times New Roman"/>
          <w:szCs w:val="24"/>
        </w:rPr>
      </w:pPr>
      <w:r w:rsidRPr="00C278B3">
        <w:rPr>
          <w:rFonts w:cs="Times New Roman"/>
          <w:szCs w:val="24"/>
        </w:rPr>
        <w:t>It does not appropriately analyze the impact of conservation on Avista;</w:t>
      </w:r>
    </w:p>
    <w:p w:rsidR="008C3E2A" w:rsidRPr="00C278B3" w:rsidRDefault="004161DE" w:rsidP="00C278B3">
      <w:pPr>
        <w:pStyle w:val="ListParagraph"/>
        <w:numPr>
          <w:ilvl w:val="0"/>
          <w:numId w:val="11"/>
        </w:numPr>
        <w:spacing w:line="480" w:lineRule="auto"/>
        <w:rPr>
          <w:rFonts w:cs="Times New Roman"/>
          <w:szCs w:val="24"/>
        </w:rPr>
      </w:pPr>
      <w:r w:rsidRPr="00C278B3">
        <w:rPr>
          <w:rFonts w:cs="Times New Roman"/>
          <w:szCs w:val="24"/>
        </w:rPr>
        <w:t xml:space="preserve">it </w:t>
      </w:r>
      <w:r w:rsidR="008C3E2A" w:rsidRPr="00C278B3">
        <w:rPr>
          <w:rFonts w:cs="Times New Roman"/>
          <w:szCs w:val="24"/>
        </w:rPr>
        <w:t xml:space="preserve">is not appropriately applied to all customer classes; </w:t>
      </w:r>
    </w:p>
    <w:p w:rsidR="008C3E2A" w:rsidRPr="00C278B3" w:rsidRDefault="008C3E2A" w:rsidP="00C278B3">
      <w:pPr>
        <w:pStyle w:val="ListParagraph"/>
        <w:numPr>
          <w:ilvl w:val="0"/>
          <w:numId w:val="11"/>
        </w:numPr>
        <w:spacing w:line="480" w:lineRule="auto"/>
        <w:rPr>
          <w:rFonts w:cs="Times New Roman"/>
          <w:szCs w:val="24"/>
        </w:rPr>
      </w:pPr>
      <w:r w:rsidRPr="00C278B3">
        <w:rPr>
          <w:rFonts w:cs="Times New Roman"/>
          <w:szCs w:val="24"/>
        </w:rPr>
        <w:t xml:space="preserve">it makes no reduction to cost of capital;  </w:t>
      </w:r>
    </w:p>
    <w:p w:rsidR="007F129F" w:rsidRPr="00F47E21" w:rsidRDefault="008C3E2A" w:rsidP="00C278B3">
      <w:pPr>
        <w:pStyle w:val="ListParagraph"/>
        <w:numPr>
          <w:ilvl w:val="0"/>
          <w:numId w:val="11"/>
        </w:numPr>
        <w:spacing w:line="480" w:lineRule="auto"/>
        <w:rPr>
          <w:rFonts w:cs="Times New Roman"/>
          <w:szCs w:val="24"/>
        </w:rPr>
      </w:pPr>
      <w:r w:rsidRPr="00C278B3">
        <w:rPr>
          <w:rFonts w:cs="Times New Roman"/>
          <w:szCs w:val="24"/>
        </w:rPr>
        <w:t>it fails to co</w:t>
      </w:r>
      <w:r w:rsidRPr="00F47E21">
        <w:rPr>
          <w:rFonts w:cs="Times New Roman"/>
          <w:szCs w:val="24"/>
        </w:rPr>
        <w:t xml:space="preserve">ndition </w:t>
      </w:r>
      <w:r w:rsidR="004161DE" w:rsidRPr="00F47E21">
        <w:rPr>
          <w:rFonts w:cs="Times New Roman"/>
          <w:szCs w:val="24"/>
        </w:rPr>
        <w:t>RPC</w:t>
      </w:r>
      <w:r w:rsidRPr="00F47E21">
        <w:rPr>
          <w:rFonts w:cs="Times New Roman"/>
          <w:szCs w:val="24"/>
        </w:rPr>
        <w:t xml:space="preserve"> recovery on achieving conservation targets; </w:t>
      </w:r>
    </w:p>
    <w:p w:rsidR="007C4C1C" w:rsidRDefault="007C4C1C" w:rsidP="00C278B3">
      <w:pPr>
        <w:pStyle w:val="ListParagraph"/>
        <w:numPr>
          <w:ilvl w:val="0"/>
          <w:numId w:val="11"/>
        </w:numPr>
        <w:spacing w:line="480" w:lineRule="auto"/>
        <w:rPr>
          <w:rFonts w:cs="Times New Roman"/>
          <w:szCs w:val="24"/>
        </w:rPr>
      </w:pPr>
      <w:r>
        <w:rPr>
          <w:rFonts w:cs="Times New Roman"/>
          <w:szCs w:val="24"/>
        </w:rPr>
        <w:br w:type="page"/>
      </w:r>
    </w:p>
    <w:p w:rsidR="007F129F" w:rsidRPr="00C278B3" w:rsidRDefault="007F129F" w:rsidP="00C278B3">
      <w:pPr>
        <w:pStyle w:val="ListParagraph"/>
        <w:numPr>
          <w:ilvl w:val="0"/>
          <w:numId w:val="11"/>
        </w:numPr>
        <w:spacing w:line="480" w:lineRule="auto"/>
        <w:rPr>
          <w:rFonts w:cs="Times New Roman"/>
          <w:szCs w:val="24"/>
        </w:rPr>
      </w:pPr>
      <w:r w:rsidRPr="00C278B3">
        <w:rPr>
          <w:rFonts w:cs="Times New Roman"/>
          <w:szCs w:val="24"/>
        </w:rPr>
        <w:lastRenderedPageBreak/>
        <w:t xml:space="preserve">it does not </w:t>
      </w:r>
      <w:r w:rsidR="00B65840" w:rsidRPr="00C278B3">
        <w:rPr>
          <w:rFonts w:cs="Times New Roman"/>
          <w:szCs w:val="24"/>
        </w:rPr>
        <w:t>identify comparable</w:t>
      </w:r>
      <w:r w:rsidRPr="00C278B3">
        <w:rPr>
          <w:rFonts w:cs="Times New Roman"/>
          <w:szCs w:val="24"/>
        </w:rPr>
        <w:t xml:space="preserve"> conservation benefits </w:t>
      </w:r>
      <w:r w:rsidR="00B65840" w:rsidRPr="00C278B3">
        <w:rPr>
          <w:rFonts w:cs="Times New Roman"/>
          <w:szCs w:val="24"/>
        </w:rPr>
        <w:t>for</w:t>
      </w:r>
      <w:r w:rsidRPr="00C278B3">
        <w:rPr>
          <w:rFonts w:cs="Times New Roman"/>
          <w:szCs w:val="24"/>
        </w:rPr>
        <w:t xml:space="preserve"> low income customers; </w:t>
      </w:r>
    </w:p>
    <w:p w:rsidR="008C3E2A" w:rsidRPr="00C278B3" w:rsidRDefault="007F129F" w:rsidP="00C278B3">
      <w:pPr>
        <w:pStyle w:val="ListParagraph"/>
        <w:numPr>
          <w:ilvl w:val="0"/>
          <w:numId w:val="11"/>
        </w:numPr>
        <w:spacing w:line="480" w:lineRule="auto"/>
        <w:rPr>
          <w:rFonts w:cs="Times New Roman"/>
          <w:szCs w:val="24"/>
        </w:rPr>
      </w:pPr>
      <w:r w:rsidRPr="00C278B3">
        <w:rPr>
          <w:rFonts w:cs="Times New Roman"/>
          <w:szCs w:val="24"/>
        </w:rPr>
        <w:t xml:space="preserve">it does not describe the incremental conservation the </w:t>
      </w:r>
      <w:r w:rsidR="002F0871" w:rsidRPr="00C278B3">
        <w:rPr>
          <w:rFonts w:cs="Times New Roman"/>
          <w:szCs w:val="24"/>
        </w:rPr>
        <w:t>C</w:t>
      </w:r>
      <w:r w:rsidRPr="00C278B3">
        <w:rPr>
          <w:rFonts w:cs="Times New Roman"/>
          <w:szCs w:val="24"/>
        </w:rPr>
        <w:t xml:space="preserve">ompany should pursue; </w:t>
      </w:r>
      <w:r w:rsidR="008C3E2A" w:rsidRPr="00C278B3">
        <w:rPr>
          <w:rFonts w:cs="Times New Roman"/>
          <w:szCs w:val="24"/>
        </w:rPr>
        <w:t xml:space="preserve">and </w:t>
      </w:r>
    </w:p>
    <w:p w:rsidR="008C3E2A" w:rsidRPr="00C278B3" w:rsidRDefault="008C3E2A" w:rsidP="00C278B3">
      <w:pPr>
        <w:pStyle w:val="ListParagraph"/>
        <w:numPr>
          <w:ilvl w:val="0"/>
          <w:numId w:val="11"/>
        </w:numPr>
        <w:spacing w:line="480" w:lineRule="auto"/>
        <w:rPr>
          <w:rFonts w:cs="Times New Roman"/>
          <w:szCs w:val="24"/>
        </w:rPr>
      </w:pPr>
      <w:r w:rsidRPr="00C278B3">
        <w:rPr>
          <w:rFonts w:cs="Times New Roman"/>
          <w:szCs w:val="24"/>
        </w:rPr>
        <w:t>it fails to net increased wholesale sales</w:t>
      </w:r>
      <w:r w:rsidR="008308F1" w:rsidRPr="00C278B3">
        <w:rPr>
          <w:rFonts w:cs="Times New Roman"/>
          <w:szCs w:val="24"/>
        </w:rPr>
        <w:t xml:space="preserve"> due to conservation</w:t>
      </w:r>
      <w:r w:rsidRPr="00C278B3">
        <w:rPr>
          <w:rFonts w:cs="Times New Roman"/>
          <w:szCs w:val="24"/>
        </w:rPr>
        <w:t xml:space="preserve"> in the true-up.  </w:t>
      </w:r>
    </w:p>
    <w:p w:rsidR="00617FB7" w:rsidRPr="00C278B3" w:rsidRDefault="008C3E2A" w:rsidP="00C278B3">
      <w:r w:rsidRPr="00C278B3">
        <w:tab/>
        <w:t>I explain each of these deficiencies in the following sections of my testimony.</w:t>
      </w:r>
    </w:p>
    <w:p w:rsidR="00CB0EB4" w:rsidRPr="00C278B3" w:rsidRDefault="00CB0EB4" w:rsidP="00C278B3"/>
    <w:p w:rsidR="00942516" w:rsidRPr="00C278B3" w:rsidRDefault="00942516" w:rsidP="00C278B3">
      <w:pPr>
        <w:pStyle w:val="Heading2"/>
        <w:numPr>
          <w:ilvl w:val="0"/>
          <w:numId w:val="14"/>
        </w:numPr>
        <w:tabs>
          <w:tab w:val="clear" w:pos="-1440"/>
        </w:tabs>
        <w:spacing w:line="480" w:lineRule="auto"/>
        <w:ind w:left="0" w:firstLine="0"/>
        <w:jc w:val="left"/>
      </w:pPr>
      <w:bookmarkStart w:id="2" w:name="_Toc314559022"/>
      <w:r w:rsidRPr="00C278B3">
        <w:t xml:space="preserve">Response </w:t>
      </w:r>
      <w:r w:rsidR="007C4C1C">
        <w:t>t</w:t>
      </w:r>
      <w:r w:rsidRPr="00C278B3">
        <w:t>o Mr. Cavanagh’s “Fixed Cost Recovery” Analysis</w:t>
      </w:r>
    </w:p>
    <w:p w:rsidR="00942516" w:rsidRPr="00C278B3" w:rsidRDefault="00942516" w:rsidP="00C278B3"/>
    <w:p w:rsidR="00942516" w:rsidRPr="00C278B3" w:rsidRDefault="00942516" w:rsidP="00C278B3">
      <w:pPr>
        <w:pStyle w:val="Heading3"/>
      </w:pPr>
      <w:r w:rsidRPr="00C278B3">
        <w:t>Q.</w:t>
      </w:r>
      <w:r w:rsidRPr="00C278B3">
        <w:tab/>
        <w:t>What is the main</w:t>
      </w:r>
      <w:r w:rsidR="00A63D82" w:rsidRPr="00C278B3">
        <w:t xml:space="preserve"> </w:t>
      </w:r>
      <w:r w:rsidRPr="00C278B3">
        <w:t xml:space="preserve">premise </w:t>
      </w:r>
      <w:r w:rsidR="00F47E21">
        <w:t xml:space="preserve">supporting </w:t>
      </w:r>
      <w:r w:rsidRPr="00C278B3">
        <w:t>Mr. Cavanagh’s decoupling testimony?</w:t>
      </w:r>
    </w:p>
    <w:p w:rsidR="00942516" w:rsidRPr="00C278B3" w:rsidRDefault="00942516" w:rsidP="00C278B3">
      <w:pPr>
        <w:ind w:hanging="810"/>
      </w:pPr>
      <w:r w:rsidRPr="00C278B3">
        <w:t>A.</w:t>
      </w:r>
      <w:r w:rsidRPr="00C278B3">
        <w:tab/>
      </w:r>
      <w:r w:rsidR="004C4CB3" w:rsidRPr="00C278B3">
        <w:t xml:space="preserve">Mr. </w:t>
      </w:r>
      <w:r w:rsidR="009E6C88" w:rsidRPr="00C278B3">
        <w:t>C</w:t>
      </w:r>
      <w:r w:rsidR="004C4CB3" w:rsidRPr="00C278B3">
        <w:t xml:space="preserve">avanagh’s main supporting premise is: </w:t>
      </w:r>
      <w:r w:rsidRPr="00C278B3">
        <w:t>“If Avista helped its customers save just one percent of system-wide electricity use per year every year for the next five years, it would automatically lose almost $38 million in authorized fixed-cost recovery.”</w:t>
      </w:r>
      <w:r w:rsidRPr="00C278B3">
        <w:rPr>
          <w:rStyle w:val="FootnoteReference"/>
        </w:rPr>
        <w:footnoteReference w:id="10"/>
      </w:r>
      <w:r w:rsidRPr="00C278B3">
        <w:t xml:space="preserve">  </w:t>
      </w:r>
    </w:p>
    <w:p w:rsidR="00942516" w:rsidRPr="00C278B3" w:rsidRDefault="00942516" w:rsidP="00C278B3">
      <w:pPr>
        <w:ind w:hanging="810"/>
      </w:pPr>
    </w:p>
    <w:p w:rsidR="00942516" w:rsidRPr="00C278B3" w:rsidRDefault="00942516" w:rsidP="00C278B3">
      <w:pPr>
        <w:pStyle w:val="Heading3"/>
      </w:pPr>
      <w:r w:rsidRPr="00C278B3">
        <w:t>Q.</w:t>
      </w:r>
      <w:r w:rsidRPr="00C278B3">
        <w:tab/>
        <w:t>Is that testimony accurate?</w:t>
      </w:r>
    </w:p>
    <w:p w:rsidR="004C4CB3" w:rsidRPr="00C278B3" w:rsidRDefault="00942516" w:rsidP="00C278B3">
      <w:r w:rsidRPr="00C278B3">
        <w:t>A.</w:t>
      </w:r>
      <w:r w:rsidRPr="00C278B3">
        <w:tab/>
        <w:t xml:space="preserve">No.  Mr. Cavanagh uses an extremely broad definition of “fixed costs” that includes costs that are not “fixed”.  As a result, Mr. Cavanagh’s $38 million over five years is a gross overstatement.  </w:t>
      </w:r>
    </w:p>
    <w:p w:rsidR="003416B0" w:rsidRPr="00C278B3" w:rsidRDefault="004C4CB3" w:rsidP="00C278B3">
      <w:r w:rsidRPr="00C278B3">
        <w:tab/>
      </w:r>
      <w:r w:rsidRPr="00C278B3">
        <w:tab/>
        <w:t xml:space="preserve">Mr. Cavanagh </w:t>
      </w:r>
      <w:r w:rsidR="003416B0" w:rsidRPr="00C278B3">
        <w:t xml:space="preserve">believes </w:t>
      </w:r>
      <w:r w:rsidRPr="00C278B3">
        <w:t xml:space="preserve">his definition </w:t>
      </w:r>
      <w:r w:rsidR="00FC3AB6" w:rsidRPr="00C278B3">
        <w:t>of “fixed</w:t>
      </w:r>
      <w:r w:rsidR="00942516" w:rsidRPr="00C278B3">
        <w:t xml:space="preserve"> cost</w:t>
      </w:r>
      <w:r w:rsidRPr="00C278B3">
        <w:t>”</w:t>
      </w:r>
      <w:r w:rsidR="00942516" w:rsidRPr="00C278B3">
        <w:t xml:space="preserve"> is consistent with how that term is used </w:t>
      </w:r>
      <w:r w:rsidRPr="00C278B3">
        <w:t xml:space="preserve">in a recent publication regarding decoupling </w:t>
      </w:r>
      <w:r w:rsidR="00942516" w:rsidRPr="00C278B3">
        <w:t>by the Regulatory Assistance Project (RAP)</w:t>
      </w:r>
      <w:r w:rsidR="003416B0" w:rsidRPr="00C278B3">
        <w:t xml:space="preserve">, entitled </w:t>
      </w:r>
      <w:r w:rsidR="003416B0" w:rsidRPr="00C278B3">
        <w:rPr>
          <w:i/>
        </w:rPr>
        <w:t xml:space="preserve">Revenue Regulation and Decoupling </w:t>
      </w:r>
      <w:r w:rsidR="003416B0" w:rsidRPr="00C278B3">
        <w:lastRenderedPageBreak/>
        <w:t>(June</w:t>
      </w:r>
      <w:r w:rsidR="007C4C1C">
        <w:t> </w:t>
      </w:r>
      <w:r w:rsidR="003416B0" w:rsidRPr="00C278B3">
        <w:t>2011)</w:t>
      </w:r>
      <w:r w:rsidR="00942516" w:rsidRPr="00C278B3">
        <w:t>.</w:t>
      </w:r>
      <w:r w:rsidR="003416B0" w:rsidRPr="00C278B3">
        <w:rPr>
          <w:rStyle w:val="FootnoteReference"/>
        </w:rPr>
        <w:footnoteReference w:id="11"/>
      </w:r>
      <w:r w:rsidR="00942516" w:rsidRPr="00C278B3">
        <w:t xml:space="preserve">  </w:t>
      </w:r>
      <w:r w:rsidR="009E6C88" w:rsidRPr="00C278B3">
        <w:t xml:space="preserve">In fact, that </w:t>
      </w:r>
      <w:r w:rsidR="00942516" w:rsidRPr="00C278B3">
        <w:t xml:space="preserve">RAP </w:t>
      </w:r>
      <w:r w:rsidR="009E6C88" w:rsidRPr="00C278B3">
        <w:t xml:space="preserve">publication did not define “fixed costs”.  RAP </w:t>
      </w:r>
      <w:r w:rsidR="00942516" w:rsidRPr="00C278B3">
        <w:t xml:space="preserve">was addressing decoupling in the context of utilities with fuel adjustment mechanisms that allow for full recovery of production costs.  Therefore, RAP needed to distinguish between costs that were covered by </w:t>
      </w:r>
      <w:r w:rsidR="009E6C88" w:rsidRPr="00C278B3">
        <w:t>“fully reco</w:t>
      </w:r>
      <w:r w:rsidR="003416B0" w:rsidRPr="00C278B3">
        <w:t>n</w:t>
      </w:r>
      <w:r w:rsidR="009E6C88" w:rsidRPr="00C278B3">
        <w:t xml:space="preserve">ciled” </w:t>
      </w:r>
      <w:r w:rsidR="00942516" w:rsidRPr="00C278B3">
        <w:t xml:space="preserve">fuel adjustment mechanisms and costs that were not.  RAP uses the terms “production” and “non-production” costs to make that distinction.  </w:t>
      </w:r>
      <w:r w:rsidR="009E6C88" w:rsidRPr="00C278B3">
        <w:t xml:space="preserve">This is demonstrated in RAP’s discussion on pages </w:t>
      </w:r>
      <w:r w:rsidR="002E3ECB" w:rsidRPr="00C278B3">
        <w:t xml:space="preserve">4-5 </w:t>
      </w:r>
      <w:r w:rsidR="009E6C88" w:rsidRPr="00C278B3">
        <w:t>of its publication, which are in my Exhibit No. ___ (DJR-</w:t>
      </w:r>
      <w:r w:rsidR="00A43A6B" w:rsidRPr="00C278B3">
        <w:t>4</w:t>
      </w:r>
      <w:r w:rsidR="009E6C88" w:rsidRPr="00C278B3">
        <w:t xml:space="preserve">).  </w:t>
      </w:r>
    </w:p>
    <w:p w:rsidR="00942516" w:rsidRPr="00C278B3" w:rsidRDefault="003416B0" w:rsidP="00C278B3">
      <w:r w:rsidRPr="00C278B3">
        <w:tab/>
      </w:r>
      <w:r w:rsidRPr="00C278B3">
        <w:tab/>
      </w:r>
      <w:r w:rsidR="009E6C88" w:rsidRPr="00C278B3">
        <w:t xml:space="preserve">In </w:t>
      </w:r>
      <w:r w:rsidR="00F47E21">
        <w:t>short</w:t>
      </w:r>
      <w:r w:rsidR="009E6C88" w:rsidRPr="00C278B3">
        <w:t xml:space="preserve">, </w:t>
      </w:r>
      <w:r w:rsidR="00942516" w:rsidRPr="00C278B3">
        <w:t xml:space="preserve">RAP was not trying to distinguish between “fixed” and “variable” costs, as Mr. Cavanagh </w:t>
      </w:r>
      <w:r w:rsidR="009E6C88" w:rsidRPr="00C278B3">
        <w:t xml:space="preserve">tries to do </w:t>
      </w:r>
      <w:r w:rsidR="00942516" w:rsidRPr="00C278B3">
        <w:t>in his testimony.</w:t>
      </w:r>
      <w:r w:rsidR="00942516" w:rsidRPr="00C278B3">
        <w:rPr>
          <w:rStyle w:val="FootnoteReference"/>
        </w:rPr>
        <w:footnoteReference w:id="12"/>
      </w:r>
    </w:p>
    <w:p w:rsidR="00942516" w:rsidRPr="00C278B3" w:rsidRDefault="00A63D82" w:rsidP="00C278B3">
      <w:r w:rsidRPr="00C278B3">
        <w:tab/>
      </w:r>
      <w:r w:rsidRPr="00C278B3">
        <w:tab/>
      </w:r>
      <w:r w:rsidR="00942516" w:rsidRPr="00C278B3">
        <w:t>In addition, and perhaps more important, Mr. Cavanagh</w:t>
      </w:r>
      <w:r w:rsidR="002E3ECB" w:rsidRPr="00C278B3">
        <w:t>’s proposed decoupling mechanism</w:t>
      </w:r>
      <w:r w:rsidR="00942516" w:rsidRPr="00C278B3">
        <w:t xml:space="preserve"> includes</w:t>
      </w:r>
      <w:r w:rsidR="002E3ECB" w:rsidRPr="00C278B3">
        <w:t xml:space="preserve"> in the RPC</w:t>
      </w:r>
      <w:r w:rsidR="00942516" w:rsidRPr="00C278B3">
        <w:t xml:space="preserve"> all of </w:t>
      </w:r>
      <w:r w:rsidR="00F47E21">
        <w:t>Avista’s</w:t>
      </w:r>
      <w:r w:rsidR="00942516" w:rsidRPr="00C278B3">
        <w:t xml:space="preserve"> investment-related costs associated with power supply, including investment in generating facilities and transmission.  </w:t>
      </w:r>
      <w:r w:rsidR="002E3ECB" w:rsidRPr="00C278B3">
        <w:t>If full decoupling were in effect, and</w:t>
      </w:r>
      <w:r w:rsidR="00942516" w:rsidRPr="00C278B3">
        <w:t xml:space="preserve"> Avista experience</w:t>
      </w:r>
      <w:r w:rsidR="002E3ECB" w:rsidRPr="00C278B3">
        <w:t>d</w:t>
      </w:r>
      <w:r w:rsidR="00942516" w:rsidRPr="00C278B3">
        <w:t xml:space="preserve"> lower </w:t>
      </w:r>
      <w:r w:rsidR="009E6C88" w:rsidRPr="00C278B3">
        <w:t xml:space="preserve">retail </w:t>
      </w:r>
      <w:r w:rsidR="00942516" w:rsidRPr="00C278B3">
        <w:t>sales</w:t>
      </w:r>
      <w:r w:rsidR="009E6C88" w:rsidRPr="00C278B3">
        <w:t xml:space="preserve"> due to conservation</w:t>
      </w:r>
      <w:r w:rsidR="00942516" w:rsidRPr="00C278B3">
        <w:t xml:space="preserve">, </w:t>
      </w:r>
      <w:r w:rsidR="009E6C88" w:rsidRPr="00C278B3">
        <w:t xml:space="preserve">Avista </w:t>
      </w:r>
      <w:r w:rsidR="002E3ECB" w:rsidRPr="00C278B3">
        <w:t xml:space="preserve">would be </w:t>
      </w:r>
      <w:r w:rsidR="00942516" w:rsidRPr="00C278B3">
        <w:t xml:space="preserve">able to sell </w:t>
      </w:r>
      <w:r w:rsidR="009E6C88" w:rsidRPr="00C278B3">
        <w:t xml:space="preserve">the unused </w:t>
      </w:r>
      <w:r w:rsidR="00942516" w:rsidRPr="00C278B3">
        <w:t xml:space="preserve">power in the wholesale market, </w:t>
      </w:r>
      <w:r w:rsidR="002E3ECB" w:rsidRPr="00C278B3">
        <w:t xml:space="preserve">thus </w:t>
      </w:r>
      <w:r w:rsidR="00942516" w:rsidRPr="00C278B3">
        <w:t>recover</w:t>
      </w:r>
      <w:r w:rsidR="002E3ECB" w:rsidRPr="00C278B3">
        <w:t>ing</w:t>
      </w:r>
      <w:r w:rsidR="00942516" w:rsidRPr="00C278B3">
        <w:t xml:space="preserve"> much or all of this cost</w:t>
      </w:r>
      <w:r w:rsidR="00BF50A1" w:rsidRPr="00C278B3">
        <w:t xml:space="preserve"> twice</w:t>
      </w:r>
      <w:r w:rsidR="00F47E21">
        <w:t>:</w:t>
      </w:r>
      <w:r w:rsidR="00BF50A1" w:rsidRPr="00C278B3">
        <w:t xml:space="preserve"> once through the decoupling mechanism, and once</w:t>
      </w:r>
      <w:r w:rsidR="00942516" w:rsidRPr="00C278B3">
        <w:t xml:space="preserve"> from wholesale customers.  </w:t>
      </w:r>
      <w:r w:rsidR="00F47E21">
        <w:t xml:space="preserve">Though </w:t>
      </w:r>
      <w:r w:rsidR="00942516" w:rsidRPr="00C278B3">
        <w:t xml:space="preserve">Mr. Cavanagh </w:t>
      </w:r>
      <w:r w:rsidR="00942516" w:rsidRPr="00C278B3">
        <w:lastRenderedPageBreak/>
        <w:t xml:space="preserve">correctly excluded these costs in his PSE decoupling proposal, </w:t>
      </w:r>
      <w:r w:rsidR="00830679">
        <w:t>he fail</w:t>
      </w:r>
      <w:r w:rsidR="00F47E21">
        <w:t xml:space="preserve">s to do so in </w:t>
      </w:r>
      <w:r w:rsidR="009E6C88" w:rsidRPr="00C278B3">
        <w:t xml:space="preserve">his </w:t>
      </w:r>
      <w:r w:rsidR="00942516" w:rsidRPr="00C278B3">
        <w:t>Avista proposal.</w:t>
      </w:r>
      <w:r w:rsidR="00942516" w:rsidRPr="00C278B3">
        <w:rPr>
          <w:rStyle w:val="FootnoteReference"/>
        </w:rPr>
        <w:footnoteReference w:id="13"/>
      </w:r>
    </w:p>
    <w:p w:rsidR="00A63D82" w:rsidRPr="00C278B3" w:rsidRDefault="00A63D82" w:rsidP="00C278B3"/>
    <w:p w:rsidR="00942516" w:rsidRPr="00C278B3" w:rsidRDefault="00942516" w:rsidP="00C278B3">
      <w:pPr>
        <w:pStyle w:val="Heading3"/>
        <w:keepNext/>
      </w:pPr>
      <w:r w:rsidRPr="00C278B3">
        <w:t>Q.</w:t>
      </w:r>
      <w:r w:rsidRPr="00C278B3">
        <w:tab/>
        <w:t>Is Avista’s fuel adjustment clause “fully reconciled</w:t>
      </w:r>
      <w:r w:rsidR="006001BC">
        <w:t>,</w:t>
      </w:r>
      <w:r w:rsidRPr="00C278B3">
        <w:t>”</w:t>
      </w:r>
      <w:bookmarkStart w:id="3" w:name="_GoBack"/>
      <w:bookmarkEnd w:id="3"/>
      <w:r w:rsidR="006001BC">
        <w:t xml:space="preserve"> as RAP uses that term</w:t>
      </w:r>
      <w:r w:rsidRPr="00C278B3">
        <w:t>?</w:t>
      </w:r>
    </w:p>
    <w:p w:rsidR="00942516" w:rsidRPr="00C278B3" w:rsidRDefault="00942516" w:rsidP="00C278B3">
      <w:r w:rsidRPr="00C278B3">
        <w:t>A.</w:t>
      </w:r>
      <w:r w:rsidRPr="00C278B3">
        <w:tab/>
        <w:t>No.  Avista’s Energy Recovery Mechanism (ERM) has a dead band and sharing bands, which means, by definition, Avista does not fully recover all production costs within the mechanism.  This not only proves Mr. Cavanagh improperly has taken the RAP publication out of context, but it also presents significant issues for full decoupling.  As I discuss in more detail later, NWEC’s proposal fails to address those issues.</w:t>
      </w:r>
    </w:p>
    <w:p w:rsidR="00942516" w:rsidRPr="00C278B3" w:rsidRDefault="00942516" w:rsidP="00C278B3"/>
    <w:p w:rsidR="002B2E41" w:rsidRPr="00C278B3" w:rsidRDefault="00CC141D" w:rsidP="00C278B3">
      <w:pPr>
        <w:pStyle w:val="Heading2"/>
        <w:numPr>
          <w:ilvl w:val="0"/>
          <w:numId w:val="14"/>
        </w:numPr>
        <w:tabs>
          <w:tab w:val="clear" w:pos="-1440"/>
        </w:tabs>
        <w:spacing w:line="480" w:lineRule="auto"/>
        <w:ind w:left="0" w:firstLine="0"/>
        <w:jc w:val="left"/>
      </w:pPr>
      <w:r w:rsidRPr="00C278B3">
        <w:t xml:space="preserve">NWEC’s </w:t>
      </w:r>
      <w:r w:rsidR="00A979BD" w:rsidRPr="00C278B3">
        <w:t xml:space="preserve">Proposal is </w:t>
      </w:r>
      <w:r w:rsidR="005B37A2" w:rsidRPr="00C278B3">
        <w:t>N</w:t>
      </w:r>
      <w:r w:rsidR="00A979BD" w:rsidRPr="00C278B3">
        <w:t>ot Applied to</w:t>
      </w:r>
      <w:r w:rsidR="002F0871" w:rsidRPr="00C278B3">
        <w:t xml:space="preserve"> All </w:t>
      </w:r>
      <w:r w:rsidR="00617FB7" w:rsidRPr="00C278B3">
        <w:t>Customer Classes</w:t>
      </w:r>
      <w:bookmarkEnd w:id="2"/>
    </w:p>
    <w:p w:rsidR="00C5557F" w:rsidRPr="00C278B3" w:rsidRDefault="00C5557F" w:rsidP="00C278B3"/>
    <w:p w:rsidR="009E549A" w:rsidRPr="00C278B3" w:rsidRDefault="00617FB7" w:rsidP="00C278B3">
      <w:pPr>
        <w:pStyle w:val="Heading3"/>
      </w:pPr>
      <w:r w:rsidRPr="00C278B3">
        <w:t>Q.</w:t>
      </w:r>
      <w:r w:rsidRPr="00C278B3">
        <w:tab/>
      </w:r>
      <w:r w:rsidR="00EF0C1F" w:rsidRPr="00C278B3">
        <w:t xml:space="preserve">How does the </w:t>
      </w:r>
      <w:r w:rsidR="00516E1D" w:rsidRPr="00C278B3">
        <w:t xml:space="preserve">Decoupling Policy Statement </w:t>
      </w:r>
      <w:r w:rsidR="00EF0C1F" w:rsidRPr="00C278B3">
        <w:t xml:space="preserve">address the </w:t>
      </w:r>
      <w:r w:rsidRPr="00C278B3">
        <w:t xml:space="preserve">application of </w:t>
      </w:r>
      <w:r w:rsidR="002B2E41" w:rsidRPr="00C278B3">
        <w:t xml:space="preserve">full </w:t>
      </w:r>
      <w:r w:rsidRPr="00C278B3">
        <w:t>decoupling</w:t>
      </w:r>
      <w:r w:rsidR="00EF0C1F" w:rsidRPr="00C278B3">
        <w:t xml:space="preserve"> </w:t>
      </w:r>
      <w:r w:rsidRPr="00C278B3">
        <w:t>to customer classes?</w:t>
      </w:r>
    </w:p>
    <w:p w:rsidR="009E549A" w:rsidRPr="00C278B3" w:rsidRDefault="00617FB7" w:rsidP="00C278B3">
      <w:r w:rsidRPr="00C278B3">
        <w:t>A.</w:t>
      </w:r>
      <w:r w:rsidRPr="00C278B3">
        <w:tab/>
      </w:r>
      <w:r w:rsidR="007E150E" w:rsidRPr="00C278B3">
        <w:t>The Commission states that a</w:t>
      </w:r>
      <w:r w:rsidRPr="00C278B3">
        <w:t xml:space="preserve"> full decoupling mechanism </w:t>
      </w:r>
      <w:r w:rsidR="00812039" w:rsidRPr="00C278B3">
        <w:t xml:space="preserve">should </w:t>
      </w:r>
      <w:r w:rsidRPr="00C278B3">
        <w:t>include all customer classes, unless it would be lawful or consistent with “the public interest” to do otherwise:</w:t>
      </w:r>
    </w:p>
    <w:p w:rsidR="00617FB7" w:rsidRDefault="00617FB7" w:rsidP="00617FB7">
      <w:pPr>
        <w:spacing w:line="240" w:lineRule="auto"/>
        <w:ind w:left="1440"/>
      </w:pPr>
      <w:r>
        <w:rPr>
          <w:i/>
        </w:rPr>
        <w:tab/>
      </w:r>
      <w:r w:rsidRPr="0012757E">
        <w:rPr>
          <w:i/>
        </w:rPr>
        <w:t>Application to Customer Classes.</w:t>
      </w:r>
      <w:r w:rsidR="00E07C71" w:rsidRPr="00441E00">
        <w:t xml:space="preserve">  </w:t>
      </w:r>
      <w:r>
        <w:t>Generally, a full decoupling proposal should cover all customer classes. However, where in the public interest and not unlawfully discriminatory or preferential, the Commission will consider a proposal that would apply to fewer than all customer classes.</w:t>
      </w:r>
      <w:r>
        <w:rPr>
          <w:rStyle w:val="FootnoteReference"/>
        </w:rPr>
        <w:footnoteReference w:id="14"/>
      </w:r>
    </w:p>
    <w:p w:rsidR="009E549A" w:rsidRPr="00441E00" w:rsidRDefault="009E549A" w:rsidP="00BF620B"/>
    <w:p w:rsidR="009E549A" w:rsidRPr="00C278B3" w:rsidRDefault="00617FB7" w:rsidP="00C278B3">
      <w:pPr>
        <w:pStyle w:val="Heading3"/>
      </w:pPr>
      <w:r w:rsidRPr="00C278B3">
        <w:lastRenderedPageBreak/>
        <w:t>Q.</w:t>
      </w:r>
      <w:r w:rsidRPr="00C278B3">
        <w:tab/>
        <w:t xml:space="preserve">Is the Commission’s </w:t>
      </w:r>
      <w:r w:rsidR="00EF0C1F" w:rsidRPr="00C278B3">
        <w:t xml:space="preserve">policy </w:t>
      </w:r>
      <w:r w:rsidRPr="00C278B3">
        <w:t>appropriate?</w:t>
      </w:r>
    </w:p>
    <w:p w:rsidR="009E549A" w:rsidRPr="00C278B3" w:rsidRDefault="00617FB7" w:rsidP="00C278B3">
      <w:r w:rsidRPr="00C278B3">
        <w:t>A.</w:t>
      </w:r>
      <w:r w:rsidRPr="00C278B3">
        <w:tab/>
        <w:t xml:space="preserve">Yes.  The discrimination and preference statutes are part of </w:t>
      </w:r>
      <w:r w:rsidR="00CC141D" w:rsidRPr="00C278B3">
        <w:t xml:space="preserve">the </w:t>
      </w:r>
      <w:r w:rsidRPr="00C278B3">
        <w:t>Commission</w:t>
      </w:r>
      <w:r w:rsidR="005A01C5" w:rsidRPr="00C278B3">
        <w:t>’s overall</w:t>
      </w:r>
      <w:r w:rsidRPr="00C278B3">
        <w:t xml:space="preserve"> regulation of </w:t>
      </w:r>
      <w:r w:rsidR="00BF620B" w:rsidRPr="00C278B3">
        <w:t>utilities</w:t>
      </w:r>
      <w:r w:rsidR="00CB7FAC" w:rsidRPr="00C278B3">
        <w:t xml:space="preserve">; </w:t>
      </w:r>
      <w:r w:rsidRPr="00C278B3">
        <w:t>a</w:t>
      </w:r>
      <w:r w:rsidR="007E150E" w:rsidRPr="00C278B3">
        <w:t xml:space="preserve">lthough </w:t>
      </w:r>
      <w:r w:rsidRPr="00C278B3">
        <w:t>there may be circumstances where excluding a customer class would satisfy those statutes and also be in the “public interest”.</w:t>
      </w:r>
    </w:p>
    <w:p w:rsidR="00617FB7" w:rsidRPr="00C278B3" w:rsidRDefault="00617FB7" w:rsidP="00C278B3"/>
    <w:p w:rsidR="009E549A" w:rsidRPr="00C278B3" w:rsidRDefault="00617FB7" w:rsidP="00C278B3">
      <w:pPr>
        <w:pStyle w:val="Heading3"/>
      </w:pPr>
      <w:r w:rsidRPr="00C278B3">
        <w:t>Q.</w:t>
      </w:r>
      <w:r w:rsidRPr="00C278B3">
        <w:tab/>
      </w:r>
      <w:r w:rsidR="00F47E21">
        <w:t>Does NWEC’s proposed decoupling mechanism include all customers?</w:t>
      </w:r>
      <w:r w:rsidR="00516C71" w:rsidRPr="00C278B3">
        <w:t xml:space="preserve">  </w:t>
      </w:r>
    </w:p>
    <w:p w:rsidR="009D4F75" w:rsidRPr="00C278B3" w:rsidRDefault="00617FB7" w:rsidP="00C278B3">
      <w:r w:rsidRPr="00C278B3">
        <w:t>A.</w:t>
      </w:r>
      <w:r w:rsidRPr="00C278B3">
        <w:tab/>
      </w:r>
      <w:r w:rsidR="00F47E21">
        <w:t xml:space="preserve">No.  </w:t>
      </w:r>
      <w:r w:rsidRPr="00C278B3">
        <w:t>NWEC’s proposal exempt</w:t>
      </w:r>
      <w:r w:rsidR="007E150E" w:rsidRPr="00C278B3">
        <w:t>s</w:t>
      </w:r>
      <w:r w:rsidRPr="00C278B3">
        <w:t xml:space="preserve"> </w:t>
      </w:r>
      <w:r w:rsidR="005B2107" w:rsidRPr="00C278B3">
        <w:t xml:space="preserve">all </w:t>
      </w:r>
      <w:r w:rsidR="00596E8D" w:rsidRPr="00C278B3">
        <w:t xml:space="preserve">22 </w:t>
      </w:r>
      <w:r w:rsidR="005B37A2" w:rsidRPr="00C278B3">
        <w:t xml:space="preserve">customers </w:t>
      </w:r>
      <w:r w:rsidR="00596E8D" w:rsidRPr="00C278B3">
        <w:t>Avista serves</w:t>
      </w:r>
      <w:r w:rsidR="005B2107" w:rsidRPr="00C278B3">
        <w:t xml:space="preserve"> under Schedule 25, Extra Large General Service.</w:t>
      </w:r>
      <w:r w:rsidR="005B2107" w:rsidRPr="00C278B3">
        <w:rPr>
          <w:rStyle w:val="FootnoteReference"/>
        </w:rPr>
        <w:footnoteReference w:id="15"/>
      </w:r>
      <w:r w:rsidR="009E6C88" w:rsidRPr="00C278B3">
        <w:t xml:space="preserve">  </w:t>
      </w:r>
      <w:r w:rsidR="00F47E21">
        <w:t>Typically, t</w:t>
      </w:r>
      <w:r w:rsidR="005B2107" w:rsidRPr="00C278B3">
        <w:t>he</w:t>
      </w:r>
      <w:r w:rsidR="00F47E21">
        <w:t>se</w:t>
      </w:r>
      <w:r w:rsidR="005B2107" w:rsidRPr="00C278B3">
        <w:t xml:space="preserve"> customers are </w:t>
      </w:r>
      <w:r w:rsidR="006A122C" w:rsidRPr="00C278B3">
        <w:t>very large</w:t>
      </w:r>
      <w:r w:rsidR="005B37A2" w:rsidRPr="00C278B3">
        <w:t xml:space="preserve"> industrial </w:t>
      </w:r>
      <w:r w:rsidRPr="00C278B3">
        <w:t>customers.</w:t>
      </w:r>
      <w:r w:rsidR="00516C71" w:rsidRPr="00C278B3">
        <w:t xml:space="preserve">  </w:t>
      </w:r>
    </w:p>
    <w:p w:rsidR="009D4F75" w:rsidRPr="00C278B3" w:rsidRDefault="009D4F75" w:rsidP="00C278B3"/>
    <w:p w:rsidR="009D4F75" w:rsidRPr="00C278B3" w:rsidRDefault="009D4F75" w:rsidP="00C278B3">
      <w:pPr>
        <w:pStyle w:val="Heading3"/>
      </w:pPr>
      <w:r w:rsidRPr="00C278B3">
        <w:t>Q.</w:t>
      </w:r>
      <w:r w:rsidRPr="00C278B3">
        <w:tab/>
        <w:t xml:space="preserve">What </w:t>
      </w:r>
      <w:r w:rsidR="00F47E21">
        <w:t xml:space="preserve">specific </w:t>
      </w:r>
      <w:r w:rsidRPr="00C278B3">
        <w:t>reasons does Mr. Cavanagh give for excluding customers served under Schedule 25 from decoupling?</w:t>
      </w:r>
    </w:p>
    <w:p w:rsidR="009E549A" w:rsidRPr="00C278B3" w:rsidRDefault="009D4F75" w:rsidP="00C278B3">
      <w:r w:rsidRPr="00C278B3">
        <w:t>A.</w:t>
      </w:r>
      <w:r w:rsidRPr="00C278B3">
        <w:tab/>
      </w:r>
      <w:r w:rsidR="00617FB7" w:rsidRPr="00C278B3">
        <w:t xml:space="preserve">Mr. Cavanagh </w:t>
      </w:r>
      <w:r w:rsidR="007E150E" w:rsidRPr="00C278B3">
        <w:t xml:space="preserve">exempts </w:t>
      </w:r>
      <w:r w:rsidR="005B2107" w:rsidRPr="00C278B3">
        <w:t xml:space="preserve">Schedule 25 </w:t>
      </w:r>
      <w:r w:rsidRPr="00C278B3">
        <w:t xml:space="preserve">customers </w:t>
      </w:r>
      <w:r w:rsidR="00596E8D" w:rsidRPr="00C278B3">
        <w:t xml:space="preserve">on the basis that this </w:t>
      </w:r>
      <w:r w:rsidRPr="00C278B3">
        <w:t>schedule “</w:t>
      </w:r>
      <w:r w:rsidR="005B2107" w:rsidRPr="00C278B3">
        <w:t>has</w:t>
      </w:r>
      <w:r w:rsidR="00617FB7" w:rsidRPr="00C278B3">
        <w:t xml:space="preserve"> so few members (</w:t>
      </w:r>
      <w:r w:rsidR="005B2107" w:rsidRPr="00C278B3">
        <w:t>22</w:t>
      </w:r>
      <w:r w:rsidR="00617FB7" w:rsidRPr="00C278B3">
        <w:t>) and account</w:t>
      </w:r>
      <w:r w:rsidR="005B2107" w:rsidRPr="00C278B3">
        <w:t>s</w:t>
      </w:r>
      <w:r w:rsidR="00617FB7" w:rsidRPr="00C278B3">
        <w:t xml:space="preserve"> for a relatively small fraction of</w:t>
      </w:r>
      <w:r w:rsidRPr="00C278B3">
        <w:t xml:space="preserve"> the fixed cost revenue requirement that Avista recovers through its energy sales </w:t>
      </w:r>
      <w:r w:rsidR="00617FB7" w:rsidRPr="00C278B3">
        <w:t xml:space="preserve">(about </w:t>
      </w:r>
      <w:r w:rsidRPr="00C278B3">
        <w:t>10%</w:t>
      </w:r>
      <w:r w:rsidR="00617FB7" w:rsidRPr="00C278B3">
        <w:t>, although the</w:t>
      </w:r>
      <w:r w:rsidRPr="00C278B3">
        <w:t xml:space="preserve"> class</w:t>
      </w:r>
      <w:r w:rsidR="008E7D71" w:rsidRPr="00C278B3">
        <w:t xml:space="preserve"> </w:t>
      </w:r>
      <w:r w:rsidR="00617FB7" w:rsidRPr="00C278B3">
        <w:t>account</w:t>
      </w:r>
      <w:r w:rsidRPr="00C278B3">
        <w:t>s</w:t>
      </w:r>
      <w:r w:rsidR="00617FB7" w:rsidRPr="00C278B3">
        <w:t xml:space="preserve"> for almost </w:t>
      </w:r>
      <w:r w:rsidRPr="00C278B3">
        <w:t>20%</w:t>
      </w:r>
      <w:r w:rsidR="003470F7" w:rsidRPr="00C278B3">
        <w:t xml:space="preserve"> </w:t>
      </w:r>
      <w:r w:rsidR="00617FB7" w:rsidRPr="00C278B3">
        <w:t>of retail electricity sales).”</w:t>
      </w:r>
      <w:r w:rsidR="00617FB7" w:rsidRPr="00C278B3">
        <w:rPr>
          <w:rStyle w:val="FootnoteReference"/>
        </w:rPr>
        <w:footnoteReference w:id="16"/>
      </w:r>
      <w:r w:rsidR="00617FB7" w:rsidRPr="00C278B3">
        <w:t xml:space="preserve">  </w:t>
      </w:r>
    </w:p>
    <w:p w:rsidR="009E549A" w:rsidRPr="00C278B3" w:rsidRDefault="009E549A" w:rsidP="00C278B3"/>
    <w:p w:rsidR="009E549A" w:rsidRPr="00C278B3" w:rsidRDefault="00617FB7" w:rsidP="00C278B3">
      <w:pPr>
        <w:pStyle w:val="Heading3"/>
      </w:pPr>
      <w:r w:rsidRPr="00C278B3">
        <w:t>Q.</w:t>
      </w:r>
      <w:r w:rsidRPr="00C278B3">
        <w:tab/>
      </w:r>
      <w:r w:rsidR="00F47E21">
        <w:t xml:space="preserve">Are these specific </w:t>
      </w:r>
      <w:r w:rsidR="009D4F75" w:rsidRPr="00C278B3">
        <w:t xml:space="preserve">reasons </w:t>
      </w:r>
      <w:r w:rsidR="00F47E21">
        <w:t xml:space="preserve">sufficient to </w:t>
      </w:r>
      <w:r w:rsidRPr="00C278B3">
        <w:t>exemp</w:t>
      </w:r>
      <w:r w:rsidR="005E25E5">
        <w:t>t</w:t>
      </w:r>
      <w:r w:rsidRPr="00C278B3">
        <w:t xml:space="preserve"> </w:t>
      </w:r>
      <w:r w:rsidR="00EF0C1F" w:rsidRPr="00C278B3">
        <w:t xml:space="preserve">these </w:t>
      </w:r>
      <w:r w:rsidR="005B37A2" w:rsidRPr="00C278B3">
        <w:t>customers</w:t>
      </w:r>
      <w:r w:rsidR="00EF0C1F" w:rsidRPr="00C278B3">
        <w:t xml:space="preserve"> </w:t>
      </w:r>
      <w:r w:rsidRPr="00C278B3">
        <w:t>from decoupling?</w:t>
      </w:r>
    </w:p>
    <w:p w:rsidR="008F305C" w:rsidRPr="00C278B3" w:rsidRDefault="00617FB7" w:rsidP="00C278B3">
      <w:r w:rsidRPr="00C278B3">
        <w:t>A.</w:t>
      </w:r>
      <w:r w:rsidRPr="00C278B3">
        <w:tab/>
        <w:t>No</w:t>
      </w:r>
      <w:r w:rsidR="00F47E21">
        <w:t xml:space="preserve">, </w:t>
      </w:r>
      <w:r w:rsidRPr="00C278B3">
        <w:t xml:space="preserve">although I do not offer a legal opinion regarding the discrimination or undue preference statutes.  </w:t>
      </w:r>
      <w:r w:rsidR="00F47E21">
        <w:t xml:space="preserve">The number of customers in a rate schedule or their relative portion of electricity sales are facts, not reasons.  Schedule 25 customers </w:t>
      </w:r>
      <w:r w:rsidR="00253ED0" w:rsidRPr="00C278B3">
        <w:t xml:space="preserve">participate </w:t>
      </w:r>
      <w:r w:rsidR="00253ED0" w:rsidRPr="00C278B3">
        <w:lastRenderedPageBreak/>
        <w:t xml:space="preserve">in </w:t>
      </w:r>
      <w:r w:rsidR="00F47E21">
        <w:t xml:space="preserve">Avista’s </w:t>
      </w:r>
      <w:r w:rsidR="00253ED0" w:rsidRPr="00C278B3">
        <w:t>conservation programs</w:t>
      </w:r>
      <w:r w:rsidR="00596CB9" w:rsidRPr="00C278B3">
        <w:t>.</w:t>
      </w:r>
      <w:r w:rsidR="00253ED0" w:rsidRPr="00C278B3">
        <w:t xml:space="preserve">  The sample</w:t>
      </w:r>
      <w:r w:rsidR="00AA0A52" w:rsidRPr="00C278B3">
        <w:t xml:space="preserve"> decoupling mechanis</w:t>
      </w:r>
      <w:r w:rsidR="007E150E" w:rsidRPr="00C278B3">
        <w:t>m</w:t>
      </w:r>
      <w:r w:rsidR="00A978EB" w:rsidRPr="00C278B3">
        <w:t xml:space="preserve"> found in </w:t>
      </w:r>
      <w:r w:rsidR="00F47E21">
        <w:t xml:space="preserve">my </w:t>
      </w:r>
      <w:r w:rsidR="00A978EB" w:rsidRPr="00C278B3">
        <w:t>Exhibit No. ___ (DJR-2) included all customers</w:t>
      </w:r>
      <w:r w:rsidR="00315C94" w:rsidRPr="00C278B3">
        <w:t>.</w:t>
      </w:r>
      <w:r w:rsidR="00311974" w:rsidRPr="00C278B3">
        <w:rPr>
          <w:rStyle w:val="FootnoteReference"/>
        </w:rPr>
        <w:footnoteReference w:id="17"/>
      </w:r>
      <w:r w:rsidR="00315C94" w:rsidRPr="00C278B3">
        <w:t xml:space="preserve">  </w:t>
      </w:r>
    </w:p>
    <w:p w:rsidR="00BF50A1" w:rsidRPr="00C278B3" w:rsidRDefault="00617FB7" w:rsidP="00C278B3">
      <w:r w:rsidRPr="00C278B3">
        <w:tab/>
      </w:r>
      <w:r w:rsidRPr="00C278B3">
        <w:tab/>
      </w:r>
      <w:r w:rsidR="009E6C88" w:rsidRPr="00C278B3">
        <w:t>In s</w:t>
      </w:r>
      <w:r w:rsidR="00F47E21">
        <w:t>um</w:t>
      </w:r>
      <w:r w:rsidR="009E6C88" w:rsidRPr="00C278B3">
        <w:t xml:space="preserve">, the </w:t>
      </w:r>
      <w:r w:rsidR="00311974" w:rsidRPr="00C278B3">
        <w:t xml:space="preserve">Commission </w:t>
      </w:r>
      <w:r w:rsidR="003F6AF0" w:rsidRPr="00C278B3">
        <w:t xml:space="preserve">needs </w:t>
      </w:r>
      <w:r w:rsidR="009E6C88" w:rsidRPr="00C278B3">
        <w:t xml:space="preserve">and deserves </w:t>
      </w:r>
      <w:r w:rsidR="003F6AF0" w:rsidRPr="00C278B3">
        <w:t xml:space="preserve">much more justification </w:t>
      </w:r>
      <w:r w:rsidR="003416B0" w:rsidRPr="00C278B3">
        <w:t xml:space="preserve">than NWEC has supplied </w:t>
      </w:r>
      <w:r w:rsidR="003F6AF0" w:rsidRPr="00C278B3">
        <w:t xml:space="preserve">before </w:t>
      </w:r>
      <w:r w:rsidR="00F47E21">
        <w:t>exempting Schedule 25 customers.</w:t>
      </w:r>
      <w:r w:rsidRPr="00C278B3">
        <w:t xml:space="preserve">  </w:t>
      </w:r>
    </w:p>
    <w:p w:rsidR="003F7147" w:rsidRPr="00C278B3" w:rsidRDefault="003F7147" w:rsidP="00C278B3"/>
    <w:p w:rsidR="00617FB7" w:rsidRPr="00C278B3" w:rsidRDefault="00CC141D" w:rsidP="00C278B3">
      <w:pPr>
        <w:pStyle w:val="Heading2"/>
        <w:numPr>
          <w:ilvl w:val="0"/>
          <w:numId w:val="14"/>
        </w:numPr>
        <w:spacing w:line="480" w:lineRule="auto"/>
        <w:ind w:left="720" w:hanging="720"/>
        <w:jc w:val="left"/>
      </w:pPr>
      <w:bookmarkStart w:id="4" w:name="_Toc314559023"/>
      <w:r w:rsidRPr="00C278B3">
        <w:t xml:space="preserve">NWEC’s </w:t>
      </w:r>
      <w:r w:rsidR="00A979BD" w:rsidRPr="00C278B3">
        <w:t>Proposal Excludes</w:t>
      </w:r>
      <w:r w:rsidR="00617FB7" w:rsidRPr="00C278B3">
        <w:t xml:space="preserve"> </w:t>
      </w:r>
      <w:r w:rsidR="005B37A2" w:rsidRPr="00C278B3">
        <w:t xml:space="preserve">the </w:t>
      </w:r>
      <w:r w:rsidR="00617FB7" w:rsidRPr="00C278B3">
        <w:t xml:space="preserve">Impact </w:t>
      </w:r>
      <w:r w:rsidR="005B37A2" w:rsidRPr="00C278B3">
        <w:t xml:space="preserve">of Decoupling </w:t>
      </w:r>
      <w:r w:rsidR="00617FB7" w:rsidRPr="00C278B3">
        <w:t>on the Rate of Return</w:t>
      </w:r>
      <w:bookmarkEnd w:id="4"/>
    </w:p>
    <w:p w:rsidR="006A122C" w:rsidRPr="00C278B3" w:rsidRDefault="006A122C" w:rsidP="00C278B3"/>
    <w:p w:rsidR="009E549A" w:rsidRPr="00C278B3" w:rsidRDefault="00617FB7" w:rsidP="00C278B3">
      <w:pPr>
        <w:pStyle w:val="Heading3"/>
      </w:pPr>
      <w:r w:rsidRPr="00C278B3">
        <w:t>Q.</w:t>
      </w:r>
      <w:r w:rsidRPr="00C278B3">
        <w:tab/>
        <w:t xml:space="preserve">What </w:t>
      </w:r>
      <w:r w:rsidR="00812039" w:rsidRPr="00C278B3">
        <w:t xml:space="preserve">does </w:t>
      </w:r>
      <w:r w:rsidRPr="00C278B3">
        <w:t xml:space="preserve">the </w:t>
      </w:r>
      <w:r w:rsidR="008308F1" w:rsidRPr="00C278B3">
        <w:t>Decoupling Policy Statement</w:t>
      </w:r>
      <w:r w:rsidR="00812039" w:rsidRPr="00C278B3">
        <w:t xml:space="preserve"> </w:t>
      </w:r>
      <w:r w:rsidR="008308F1" w:rsidRPr="00C278B3">
        <w:t xml:space="preserve">say </w:t>
      </w:r>
      <w:r w:rsidR="00812039" w:rsidRPr="00C278B3">
        <w:t>with respect to</w:t>
      </w:r>
      <w:r w:rsidRPr="00C278B3">
        <w:t xml:space="preserve"> the impact of full decoupling on </w:t>
      </w:r>
      <w:r w:rsidR="00CC141D" w:rsidRPr="00C278B3">
        <w:t>a</w:t>
      </w:r>
      <w:r w:rsidRPr="00C278B3">
        <w:t xml:space="preserve"> utility’s cost of capital?</w:t>
      </w:r>
    </w:p>
    <w:p w:rsidR="00617FB7" w:rsidRPr="00C278B3" w:rsidRDefault="00617FB7" w:rsidP="00C278B3">
      <w:r w:rsidRPr="00C278B3">
        <w:t>A.</w:t>
      </w:r>
      <w:r w:rsidRPr="00C278B3">
        <w:tab/>
        <w:t xml:space="preserve">The Commission contemplates full decoupling will reduce </w:t>
      </w:r>
      <w:r w:rsidR="008F305C" w:rsidRPr="00C278B3">
        <w:t xml:space="preserve">the </w:t>
      </w:r>
      <w:r w:rsidRPr="00C278B3">
        <w:t>utility’s cost of capital:</w:t>
      </w:r>
    </w:p>
    <w:p w:rsidR="00617FB7" w:rsidRDefault="00617FB7" w:rsidP="00640822">
      <w:pPr>
        <w:spacing w:line="240" w:lineRule="auto"/>
        <w:ind w:left="1440"/>
      </w:pPr>
      <w:r>
        <w:tab/>
        <w:t>By reducing the risk of volatility of revenue based on customer usage, both up and down, such a mechanism can serve to reduce risk to the company, and therefore to investors, which in turn should benefit customers by reducing a company’s debt and equity costs.  This reduction in costs would flow through to ratepayers in the form of rates that would be lower than they otherwise would be, as the rates would be set to reflect the assumption of more risk by ratepayers.</w:t>
      </w:r>
      <w:r>
        <w:rPr>
          <w:rStyle w:val="FootnoteReference"/>
        </w:rPr>
        <w:footnoteReference w:id="18"/>
      </w:r>
      <w:r w:rsidR="00F90CBF">
        <w:t xml:space="preserve"> </w:t>
      </w:r>
    </w:p>
    <w:p w:rsidR="009D4F75" w:rsidRDefault="009D4F75"/>
    <w:p w:rsidR="00617FB7" w:rsidRDefault="00617FB7">
      <w:r>
        <w:tab/>
      </w:r>
      <w:r>
        <w:tab/>
        <w:t>The Commission specifically requires a full decoupling mechanism proposal to evaluate its impact on the return on equity:</w:t>
      </w:r>
    </w:p>
    <w:p w:rsidR="009E549A" w:rsidRDefault="00617FB7" w:rsidP="00441E00">
      <w:pPr>
        <w:spacing w:line="240" w:lineRule="auto"/>
        <w:ind w:left="1440"/>
      </w:pPr>
      <w:r>
        <w:tab/>
      </w:r>
      <w:r w:rsidRPr="00771642">
        <w:rPr>
          <w:i/>
        </w:rPr>
        <w:t>Impact on Rate of Return.</w:t>
      </w:r>
      <w:r w:rsidR="00E07C71" w:rsidRPr="00441E00">
        <w:t xml:space="preserve"> </w:t>
      </w:r>
      <w:r>
        <w:t xml:space="preserve"> Evidence evaluating the impact of the proposal on risk to investors and ratepayers and its effect on the utility's ROE.</w:t>
      </w:r>
      <w:r>
        <w:rPr>
          <w:rStyle w:val="FootnoteReference"/>
        </w:rPr>
        <w:footnoteReference w:id="19"/>
      </w:r>
    </w:p>
    <w:p w:rsidR="009E549A" w:rsidRDefault="009E549A" w:rsidP="00A91CF2">
      <w:pPr>
        <w:pStyle w:val="BodyTextIndent"/>
        <w:ind w:left="0" w:firstLine="0"/>
      </w:pPr>
    </w:p>
    <w:p w:rsidR="009E549A" w:rsidRDefault="00617FB7" w:rsidP="007C4C1C">
      <w:pPr>
        <w:pStyle w:val="Heading3"/>
        <w:keepNext/>
      </w:pPr>
      <w:r>
        <w:lastRenderedPageBreak/>
        <w:t>Q.</w:t>
      </w:r>
      <w:r>
        <w:tab/>
        <w:t>Is this policy appropriate?</w:t>
      </w:r>
    </w:p>
    <w:p w:rsidR="009E549A" w:rsidRDefault="00617FB7" w:rsidP="00C278B3">
      <w:r>
        <w:t>A.</w:t>
      </w:r>
      <w:r>
        <w:tab/>
        <w:t xml:space="preserve">Yes.  Full decoupling </w:t>
      </w:r>
      <w:r w:rsidR="00A01E8D">
        <w:t>changes</w:t>
      </w:r>
      <w:r>
        <w:t xml:space="preserve"> the utility’s </w:t>
      </w:r>
      <w:r w:rsidR="006911E2">
        <w:t xml:space="preserve">revenue </w:t>
      </w:r>
      <w:r>
        <w:t>risk</w:t>
      </w:r>
      <w:r w:rsidR="005B37A2">
        <w:t xml:space="preserve"> by</w:t>
      </w:r>
      <w:r w:rsidR="006911E2">
        <w:t xml:space="preserve"> guaranteeing a specific amount of revenue per customer regardless of typical causes of fluctuation in revenue related to weather</w:t>
      </w:r>
      <w:r w:rsidR="00E45A13">
        <w:t>, economic</w:t>
      </w:r>
      <w:r w:rsidR="00CC141D">
        <w:t xml:space="preserve"> conditions</w:t>
      </w:r>
      <w:r w:rsidR="00E45A13">
        <w:t>, or any other</w:t>
      </w:r>
      <w:r w:rsidR="006911E2">
        <w:t xml:space="preserve"> condition</w:t>
      </w:r>
      <w:r>
        <w:t xml:space="preserve">.  </w:t>
      </w:r>
      <w:r w:rsidR="006A122C">
        <w:t>Reduced</w:t>
      </w:r>
      <w:r w:rsidR="00812039">
        <w:t xml:space="preserve"> revenue volatility </w:t>
      </w:r>
      <w:r>
        <w:t xml:space="preserve">should translate into lower capital costs, </w:t>
      </w:r>
      <w:r w:rsidR="00812039">
        <w:t>either as a</w:t>
      </w:r>
      <w:r>
        <w:t xml:space="preserve"> lower </w:t>
      </w:r>
      <w:r w:rsidR="00812039">
        <w:t>required return</w:t>
      </w:r>
      <w:r>
        <w:t xml:space="preserve"> </w:t>
      </w:r>
      <w:r w:rsidR="00812039">
        <w:t>on equity or the</w:t>
      </w:r>
      <w:r>
        <w:t xml:space="preserve"> need for less equity in the utility’s capital structure.</w:t>
      </w:r>
    </w:p>
    <w:p w:rsidR="009E549A" w:rsidRPr="00441E00" w:rsidRDefault="009E549A" w:rsidP="00C278B3"/>
    <w:p w:rsidR="009E549A" w:rsidRDefault="00617FB7" w:rsidP="00C278B3">
      <w:pPr>
        <w:pStyle w:val="Heading3"/>
      </w:pPr>
      <w:r>
        <w:t>Q.</w:t>
      </w:r>
      <w:r>
        <w:tab/>
        <w:t>Does NWEC</w:t>
      </w:r>
      <w:r w:rsidR="00640822">
        <w:t xml:space="preserve"> </w:t>
      </w:r>
      <w:r>
        <w:t xml:space="preserve">recognize any </w:t>
      </w:r>
      <w:r w:rsidR="00A01E8D">
        <w:t xml:space="preserve">change </w:t>
      </w:r>
      <w:r>
        <w:t xml:space="preserve">to </w:t>
      </w:r>
      <w:r w:rsidR="005B2107">
        <w:t>Avista</w:t>
      </w:r>
      <w:r>
        <w:t>’s cost of capital due to full decoupling?</w:t>
      </w:r>
    </w:p>
    <w:p w:rsidR="002F0871" w:rsidRDefault="00617FB7" w:rsidP="00C278B3">
      <w:r>
        <w:t>A.</w:t>
      </w:r>
      <w:r>
        <w:tab/>
        <w:t xml:space="preserve">No.  Apparently, Mr. Cavanagh believes full decoupling </w:t>
      </w:r>
      <w:r w:rsidR="00E45A13">
        <w:t>could</w:t>
      </w:r>
      <w:r>
        <w:t xml:space="preserve"> </w:t>
      </w:r>
      <w:r w:rsidR="00E84BCE">
        <w:t xml:space="preserve">actually </w:t>
      </w:r>
      <w:r w:rsidRPr="00E84BCE">
        <w:rPr>
          <w:i/>
        </w:rPr>
        <w:t>increase</w:t>
      </w:r>
      <w:r>
        <w:t xml:space="preserve"> </w:t>
      </w:r>
      <w:r w:rsidR="005B2107">
        <w:t>Avista</w:t>
      </w:r>
      <w:r>
        <w:t>’s cost of equity</w:t>
      </w:r>
      <w:r w:rsidR="00F47E21">
        <w:t xml:space="preserve">, </w:t>
      </w:r>
      <w:r>
        <w:t xml:space="preserve">based on a study by the Brattle Group that found </w:t>
      </w:r>
      <w:r w:rsidR="00E45A13">
        <w:t>the cost of equity to be higher</w:t>
      </w:r>
      <w:r>
        <w:t xml:space="preserve"> for the </w:t>
      </w:r>
      <w:r w:rsidR="00E84BCE">
        <w:t xml:space="preserve">decoupled </w:t>
      </w:r>
      <w:r>
        <w:t>gas utilities studied.</w:t>
      </w:r>
      <w:r w:rsidR="00E84BCE">
        <w:rPr>
          <w:rStyle w:val="FootnoteReference"/>
        </w:rPr>
        <w:footnoteReference w:id="20"/>
      </w:r>
      <w:r w:rsidR="00A979BD">
        <w:t xml:space="preserve"> </w:t>
      </w:r>
      <w:r w:rsidR="00E84BCE">
        <w:t xml:space="preserve"> </w:t>
      </w:r>
    </w:p>
    <w:p w:rsidR="009E549A" w:rsidRDefault="002F0871" w:rsidP="00C278B3">
      <w:r>
        <w:tab/>
      </w:r>
      <w:r>
        <w:tab/>
      </w:r>
      <w:r w:rsidR="008F305C">
        <w:t xml:space="preserve">In any event, </w:t>
      </w:r>
      <w:r w:rsidR="00617FB7">
        <w:t>Mr. Cavanagh concludes that the only possible cost of capital benefit will be through a potential reduction in the utility’s equity ratio, but</w:t>
      </w:r>
      <w:r w:rsidR="00CC141D">
        <w:t>,</w:t>
      </w:r>
      <w:r w:rsidR="00617FB7">
        <w:t xml:space="preserve"> even then, he proposes this capital structure benefit flow to ratepayers if and only if, and </w:t>
      </w:r>
      <w:r w:rsidR="008F305C">
        <w:t xml:space="preserve">only </w:t>
      </w:r>
      <w:r w:rsidR="00617FB7">
        <w:t xml:space="preserve">after, the utility actually decreases its equity ratio.  He claims </w:t>
      </w:r>
      <w:r>
        <w:t>the Ratepayer Assistance Project (“</w:t>
      </w:r>
      <w:r w:rsidR="00617FB7">
        <w:t>RAP</w:t>
      </w:r>
      <w:r>
        <w:t>”)</w:t>
      </w:r>
      <w:r w:rsidR="00617FB7">
        <w:t xml:space="preserve"> agrees with him on this timing issue.</w:t>
      </w:r>
      <w:r w:rsidR="00617FB7">
        <w:rPr>
          <w:rStyle w:val="FootnoteReference"/>
        </w:rPr>
        <w:footnoteReference w:id="21"/>
      </w:r>
      <w:r w:rsidR="00617FB7">
        <w:t xml:space="preserve"> </w:t>
      </w:r>
    </w:p>
    <w:p w:rsidR="00617FB7" w:rsidRDefault="00617FB7" w:rsidP="00C278B3"/>
    <w:p w:rsidR="009E549A" w:rsidRDefault="00617FB7" w:rsidP="00C278B3">
      <w:pPr>
        <w:pStyle w:val="Heading3"/>
      </w:pPr>
      <w:r>
        <w:t>Q.</w:t>
      </w:r>
      <w:r>
        <w:tab/>
        <w:t xml:space="preserve">Should the Commission </w:t>
      </w:r>
      <w:r w:rsidR="00F47E21">
        <w:t xml:space="preserve">wait to </w:t>
      </w:r>
      <w:r w:rsidR="00E23D8D">
        <w:t>recogniz</w:t>
      </w:r>
      <w:r w:rsidR="00F47E21">
        <w:t>e</w:t>
      </w:r>
      <w:r w:rsidR="00E23D8D">
        <w:t xml:space="preserve"> </w:t>
      </w:r>
      <w:r w:rsidR="008F305C">
        <w:t xml:space="preserve">any cost of capital benefit </w:t>
      </w:r>
      <w:r w:rsidR="006F6866">
        <w:t>from</w:t>
      </w:r>
      <w:r w:rsidR="008F305C">
        <w:t xml:space="preserve"> decoupling</w:t>
      </w:r>
      <w:r>
        <w:t>?</w:t>
      </w:r>
    </w:p>
    <w:p w:rsidR="0097377D" w:rsidRDefault="00617FB7" w:rsidP="00C278B3">
      <w:r>
        <w:lastRenderedPageBreak/>
        <w:t>A.</w:t>
      </w:r>
      <w:r>
        <w:tab/>
      </w:r>
      <w:r w:rsidRPr="00F86E60">
        <w:t>No</w:t>
      </w:r>
      <w:r w:rsidR="006F6866">
        <w:t xml:space="preserve">. </w:t>
      </w:r>
      <w:r w:rsidR="00640822">
        <w:t xml:space="preserve"> </w:t>
      </w:r>
      <w:r w:rsidR="006F6866">
        <w:t>T</w:t>
      </w:r>
      <w:r w:rsidR="0097377D">
        <w:t xml:space="preserve">he Commission should reject Mr. Cavanagh’s proposal as inconsistent with an important element </w:t>
      </w:r>
      <w:r w:rsidR="002F0871">
        <w:t>of the Decoupling Policy Statement</w:t>
      </w:r>
      <w:r w:rsidR="0097377D">
        <w:t xml:space="preserve">:  customers should receive the benefits of the </w:t>
      </w:r>
      <w:r w:rsidR="00A63D82">
        <w:t xml:space="preserve">revenue </w:t>
      </w:r>
      <w:r w:rsidR="0097377D">
        <w:t>risk reduction resulting from decoupling</w:t>
      </w:r>
      <w:r w:rsidRPr="00F86E60">
        <w:t>.</w:t>
      </w:r>
    </w:p>
    <w:p w:rsidR="00617FB7" w:rsidRDefault="0097377D" w:rsidP="00C278B3">
      <w:r>
        <w:tab/>
      </w:r>
      <w:r>
        <w:tab/>
      </w:r>
      <w:r w:rsidR="00F47E21">
        <w:t>T</w:t>
      </w:r>
      <w:r w:rsidR="00E84BCE" w:rsidRPr="00F86E60">
        <w:t xml:space="preserve">he Brattle Group study upon which Mr. Cavanagh relies did not attempt to exclude any other variables that may have contributed to the higher cost of equity </w:t>
      </w:r>
      <w:r w:rsidR="00F86E60">
        <w:t>for</w:t>
      </w:r>
      <w:r w:rsidR="00E84BCE" w:rsidRPr="00F86E60">
        <w:t xml:space="preserve"> the</w:t>
      </w:r>
      <w:r w:rsidR="00F86E60">
        <w:t xml:space="preserve"> studied</w:t>
      </w:r>
      <w:r w:rsidR="00E84BCE" w:rsidRPr="00F86E60">
        <w:t xml:space="preserve"> utilities</w:t>
      </w:r>
      <w:r w:rsidR="006F41CA">
        <w:t>, such as market perceptions about the consistency of the regulatory agencies that implement decoupling</w:t>
      </w:r>
      <w:r w:rsidR="00E84BCE" w:rsidRPr="00F86E60">
        <w:t>.</w:t>
      </w:r>
      <w:r w:rsidR="006F41CA">
        <w:rPr>
          <w:rStyle w:val="FootnoteReference"/>
        </w:rPr>
        <w:footnoteReference w:id="22"/>
      </w:r>
      <w:r w:rsidR="00E84BCE" w:rsidRPr="00F86E60">
        <w:t xml:space="preserve">  Consequently, its conclusion about higher cost of equity for decoupled gas utilities is suspect</w:t>
      </w:r>
      <w:r w:rsidR="00A63D82">
        <w:t>, and insufficient as evidence on the appropriate cost of capital for Avista under a decoupling mechanism</w:t>
      </w:r>
      <w:r w:rsidR="00E84BCE" w:rsidRPr="00F86E60">
        <w:t>.</w:t>
      </w:r>
    </w:p>
    <w:p w:rsidR="00617FB7" w:rsidRDefault="00617FB7" w:rsidP="00C278B3"/>
    <w:p w:rsidR="009E549A" w:rsidRDefault="00617FB7" w:rsidP="00C278B3">
      <w:pPr>
        <w:pStyle w:val="Heading3"/>
      </w:pPr>
      <w:r>
        <w:t>Q.</w:t>
      </w:r>
      <w:r>
        <w:tab/>
      </w:r>
      <w:r w:rsidR="00945865">
        <w:t xml:space="preserve">Did </w:t>
      </w:r>
      <w:r>
        <w:t>RAP agree</w:t>
      </w:r>
      <w:r w:rsidR="00945865">
        <w:t>, as Mr. Cavanagh states,</w:t>
      </w:r>
      <w:r>
        <w:t xml:space="preserve"> that any capital structure benefits </w:t>
      </w:r>
      <w:r w:rsidR="006F6866">
        <w:t xml:space="preserve">should </w:t>
      </w:r>
      <w:r>
        <w:t>be passed through to customers</w:t>
      </w:r>
      <w:r w:rsidR="00DD7EE8">
        <w:t>,</w:t>
      </w:r>
      <w:r>
        <w:t xml:space="preserve"> if and only if</w:t>
      </w:r>
      <w:r w:rsidR="00DD7EE8">
        <w:t>,</w:t>
      </w:r>
      <w:r>
        <w:t xml:space="preserve"> </w:t>
      </w:r>
      <w:r w:rsidR="008F305C">
        <w:t xml:space="preserve">and only when, </w:t>
      </w:r>
      <w:r>
        <w:t>the utility actually achieves those improvements?</w:t>
      </w:r>
    </w:p>
    <w:p w:rsidR="009E549A" w:rsidRDefault="00617FB7" w:rsidP="00C278B3">
      <w:r>
        <w:t>A.</w:t>
      </w:r>
      <w:r>
        <w:tab/>
        <w:t xml:space="preserve">No.  Nowhere in its publication does RAP recommend regulators wait until actual capital structure benefits materialize.  In fact, RAP considers it </w:t>
      </w:r>
      <w:r w:rsidR="00F47E21">
        <w:t xml:space="preserve">appropriate </w:t>
      </w:r>
      <w:r>
        <w:t xml:space="preserve">to recognize cost of capital improvements at the time full decoupling is put into place.  </w:t>
      </w:r>
    </w:p>
    <w:p w:rsidR="00E7042A" w:rsidRDefault="00617FB7" w:rsidP="00C278B3">
      <w:r>
        <w:tab/>
      </w:r>
      <w:r>
        <w:tab/>
        <w:t xml:space="preserve">In particular, RAP estimates the equity ratio </w:t>
      </w:r>
      <w:r w:rsidR="00EF46EB">
        <w:t>c</w:t>
      </w:r>
      <w:r>
        <w:t>ould be lower by three percentage points due to risk-mitigation benefits of decoupling.</w:t>
      </w:r>
      <w:r>
        <w:rPr>
          <w:rStyle w:val="FootnoteReference"/>
        </w:rPr>
        <w:footnoteReference w:id="23"/>
      </w:r>
      <w:r>
        <w:t xml:space="preserve">   RAP </w:t>
      </w:r>
      <w:r w:rsidR="00FE7E3B">
        <w:t xml:space="preserve">also </w:t>
      </w:r>
      <w:r>
        <w:t>recogni</w:t>
      </w:r>
      <w:r w:rsidR="00FE7E3B">
        <w:t xml:space="preserve">zes </w:t>
      </w:r>
      <w:r>
        <w:t xml:space="preserve">cost of capital benefits of full decoupling </w:t>
      </w:r>
      <w:r w:rsidR="00112861">
        <w:t>when it is implemented</w:t>
      </w:r>
      <w:r>
        <w:t>.</w:t>
      </w:r>
      <w:r w:rsidR="00FE7E3B">
        <w:rPr>
          <w:rStyle w:val="FootnoteReference"/>
        </w:rPr>
        <w:footnoteReference w:id="24"/>
      </w:r>
      <w:r>
        <w:t xml:space="preserve">  </w:t>
      </w:r>
    </w:p>
    <w:p w:rsidR="00945865" w:rsidRDefault="00E7042A" w:rsidP="00C278B3">
      <w:r>
        <w:lastRenderedPageBreak/>
        <w:tab/>
      </w:r>
      <w:r w:rsidR="009B1C9D">
        <w:tab/>
      </w:r>
      <w:r w:rsidR="00617FB7">
        <w:t xml:space="preserve">Though RAP suggests against lowering the cost of equity at the time a decoupling mechanism is implemented, RAP also suggests that regulators may want to lower the utility’s equity ratio “when regulators consider how to flow through the risk-mitigation benefits of decoupling to consumers </w:t>
      </w:r>
      <w:r w:rsidR="00E07C71" w:rsidRPr="005779A8">
        <w:t>when a mechanism is put into place</w:t>
      </w:r>
      <w:r w:rsidR="00617FB7">
        <w:t>.”</w:t>
      </w:r>
      <w:r w:rsidR="00617FB7">
        <w:rPr>
          <w:rStyle w:val="FootnoteReference"/>
        </w:rPr>
        <w:footnoteReference w:id="25"/>
      </w:r>
      <w:r w:rsidR="00617FB7">
        <w:t xml:space="preserve">  In other words, RAP </w:t>
      </w:r>
      <w:r w:rsidR="008F305C">
        <w:t>agrees with the Decoupling Policy Statement</w:t>
      </w:r>
      <w:r w:rsidR="00945865">
        <w:t xml:space="preserve"> that </w:t>
      </w:r>
      <w:r w:rsidR="00617FB7">
        <w:t>cost of capital-related reduction</w:t>
      </w:r>
      <w:r w:rsidR="0017202C">
        <w:t>s</w:t>
      </w:r>
      <w:r w:rsidR="00617FB7">
        <w:t xml:space="preserve"> </w:t>
      </w:r>
      <w:r w:rsidR="00B46C8F">
        <w:t xml:space="preserve">may appropriately </w:t>
      </w:r>
      <w:r w:rsidR="00EF46EB">
        <w:t>coincide with the adoption of</w:t>
      </w:r>
      <w:r w:rsidR="00617FB7">
        <w:t xml:space="preserve"> a decoupling mechanism. </w:t>
      </w:r>
    </w:p>
    <w:p w:rsidR="00945865" w:rsidRPr="00945865" w:rsidRDefault="00945865" w:rsidP="00C278B3"/>
    <w:p w:rsidR="009E549A" w:rsidRDefault="00617FB7" w:rsidP="00C278B3">
      <w:pPr>
        <w:pStyle w:val="Heading3"/>
      </w:pPr>
      <w:r>
        <w:t>Q.</w:t>
      </w:r>
      <w:r>
        <w:tab/>
      </w:r>
      <w:r w:rsidR="00945865">
        <w:t>Have other</w:t>
      </w:r>
      <w:r>
        <w:t xml:space="preserve"> commissions lowered </w:t>
      </w:r>
      <w:r w:rsidR="00F86E60">
        <w:t>a</w:t>
      </w:r>
      <w:r>
        <w:t xml:space="preserve"> utility’s cost of capital </w:t>
      </w:r>
      <w:r w:rsidR="00592218">
        <w:t>when</w:t>
      </w:r>
      <w:r>
        <w:t xml:space="preserve"> </w:t>
      </w:r>
      <w:r w:rsidR="00592218">
        <w:t xml:space="preserve">implementing </w:t>
      </w:r>
      <w:r>
        <w:t>a decoupling mechanism?</w:t>
      </w:r>
    </w:p>
    <w:p w:rsidR="009E549A" w:rsidRDefault="00617FB7" w:rsidP="00C278B3">
      <w:r>
        <w:t>A.</w:t>
      </w:r>
      <w:r>
        <w:tab/>
        <w:t>Yes</w:t>
      </w:r>
      <w:r w:rsidR="00DD7EE8">
        <w:t xml:space="preserve">, </w:t>
      </w:r>
      <w:r w:rsidR="00BB0E8F">
        <w:t>the Public Service Commission of Maryland</w:t>
      </w:r>
      <w:r w:rsidR="00945865">
        <w:t>,</w:t>
      </w:r>
      <w:r w:rsidR="00BB0E8F">
        <w:t xml:space="preserve"> in its approval of </w:t>
      </w:r>
      <w:r w:rsidR="00DD7EE8">
        <w:t xml:space="preserve">a </w:t>
      </w:r>
      <w:r w:rsidR="00BB0E8F">
        <w:t xml:space="preserve">decoupling mechanism for </w:t>
      </w:r>
      <w:r w:rsidR="00DD7EE8">
        <w:t xml:space="preserve">each of </w:t>
      </w:r>
      <w:r w:rsidR="00BB0E8F">
        <w:t>its three investor-owned utilities</w:t>
      </w:r>
      <w:r w:rsidR="00945865">
        <w:t>,</w:t>
      </w:r>
      <w:r w:rsidR="00BB0E8F">
        <w:t xml:space="preserve"> reduced the return on equity by 50 basis points.  The District of Columbia Public Service Commission </w:t>
      </w:r>
      <w:r w:rsidR="008F305C">
        <w:t>did the same</w:t>
      </w:r>
      <w:r w:rsidR="00BB0E8F">
        <w:t>.</w:t>
      </w:r>
      <w:r w:rsidR="00BB0E8F">
        <w:rPr>
          <w:rStyle w:val="FootnoteReference"/>
        </w:rPr>
        <w:footnoteReference w:id="26"/>
      </w:r>
    </w:p>
    <w:p w:rsidR="00547916" w:rsidRDefault="00547916" w:rsidP="00C278B3"/>
    <w:p w:rsidR="009E549A" w:rsidRDefault="00617FB7" w:rsidP="00C278B3">
      <w:pPr>
        <w:pStyle w:val="Heading3"/>
      </w:pPr>
      <w:r>
        <w:t>Q.</w:t>
      </w:r>
      <w:r>
        <w:tab/>
      </w:r>
      <w:r w:rsidR="00F343AD">
        <w:t>I</w:t>
      </w:r>
      <w:r w:rsidR="00DF4B26">
        <w:t xml:space="preserve">f the </w:t>
      </w:r>
      <w:r>
        <w:t>Commission approves a decoupling mechanism</w:t>
      </w:r>
      <w:r w:rsidR="00DD7EE8">
        <w:t>,</w:t>
      </w:r>
      <w:r>
        <w:t xml:space="preserve"> </w:t>
      </w:r>
      <w:r w:rsidR="00DF4B26">
        <w:t xml:space="preserve">how </w:t>
      </w:r>
      <w:r w:rsidR="000D4851">
        <w:t xml:space="preserve">could </w:t>
      </w:r>
      <w:r w:rsidR="008F305C">
        <w:t>the Commission</w:t>
      </w:r>
      <w:r w:rsidR="00DF4B26">
        <w:t xml:space="preserve"> implement its </w:t>
      </w:r>
      <w:r>
        <w:t>cost of capital reduction policy?</w:t>
      </w:r>
      <w:r w:rsidR="00DD7EE8">
        <w:t xml:space="preserve">  </w:t>
      </w:r>
    </w:p>
    <w:p w:rsidR="009E549A" w:rsidRDefault="00617FB7" w:rsidP="00C278B3">
      <w:r>
        <w:t>A.</w:t>
      </w:r>
      <w:r>
        <w:tab/>
      </w:r>
      <w:r w:rsidR="00D741C3">
        <w:t>The</w:t>
      </w:r>
      <w:r w:rsidR="005936D4">
        <w:t xml:space="preserve"> Commission </w:t>
      </w:r>
      <w:r w:rsidR="000D4851">
        <w:t>c</w:t>
      </w:r>
      <w:r w:rsidR="00D741C3">
        <w:t xml:space="preserve">ould </w:t>
      </w:r>
      <w:r w:rsidR="00CE798F">
        <w:t xml:space="preserve">reduce </w:t>
      </w:r>
      <w:r w:rsidR="003C5737">
        <w:t xml:space="preserve">the overall rate of return </w:t>
      </w:r>
      <w:r w:rsidR="003C5737" w:rsidRPr="00AC1C21">
        <w:t xml:space="preserve">by adopting a return on equity in the lower end of </w:t>
      </w:r>
      <w:r w:rsidR="00A63D82">
        <w:t>a reasonable range</w:t>
      </w:r>
      <w:r w:rsidR="003C5737">
        <w:t>,</w:t>
      </w:r>
      <w:r w:rsidR="00B138B7">
        <w:t xml:space="preserve"> </w:t>
      </w:r>
      <w:r w:rsidR="003C5737" w:rsidRPr="00AC1C21">
        <w:t xml:space="preserve">or by reducing the amount of equity in the company’s </w:t>
      </w:r>
      <w:r w:rsidR="009B1C9D">
        <w:t xml:space="preserve">ratemaking </w:t>
      </w:r>
      <w:r w:rsidR="003C5737" w:rsidRPr="00AC1C21">
        <w:t>capital structure</w:t>
      </w:r>
      <w:r w:rsidR="00CC0444">
        <w:t xml:space="preserve">, </w:t>
      </w:r>
      <w:r w:rsidR="003C5737">
        <w:t>or both.</w:t>
      </w:r>
      <w:r w:rsidR="00A63D82">
        <w:t xml:space="preserve">  However, </w:t>
      </w:r>
      <w:r w:rsidR="009E6C88">
        <w:t xml:space="preserve">while </w:t>
      </w:r>
      <w:r w:rsidR="00A63D82">
        <w:t xml:space="preserve">the </w:t>
      </w:r>
      <w:r w:rsidR="00B41609">
        <w:t>S</w:t>
      </w:r>
      <w:r w:rsidR="00A63D82">
        <w:t xml:space="preserve">ettlement </w:t>
      </w:r>
      <w:r w:rsidR="00B41609">
        <w:t>S</w:t>
      </w:r>
      <w:r w:rsidR="00A63D82">
        <w:t>tipulation</w:t>
      </w:r>
      <w:r w:rsidR="00B41609">
        <w:t xml:space="preserve"> the Commission approved in this docket </w:t>
      </w:r>
      <w:r w:rsidR="00A63D82">
        <w:t>identif</w:t>
      </w:r>
      <w:r w:rsidR="00B41609">
        <w:t>ies</w:t>
      </w:r>
      <w:r w:rsidR="00A63D82">
        <w:t xml:space="preserve"> an </w:t>
      </w:r>
      <w:r w:rsidR="00B41609">
        <w:t xml:space="preserve">agreed </w:t>
      </w:r>
      <w:r w:rsidR="00A63D82">
        <w:t>overall rate of return</w:t>
      </w:r>
      <w:r w:rsidR="00B41609">
        <w:t xml:space="preserve">, </w:t>
      </w:r>
      <w:r w:rsidR="009E6C88">
        <w:t xml:space="preserve">it does not identify a </w:t>
      </w:r>
      <w:r w:rsidR="00B41609">
        <w:t xml:space="preserve">specific capital </w:t>
      </w:r>
      <w:r w:rsidR="00B16137">
        <w:t xml:space="preserve">structure </w:t>
      </w:r>
      <w:r w:rsidR="00B41609">
        <w:t xml:space="preserve">or </w:t>
      </w:r>
      <w:r w:rsidR="003416B0">
        <w:t xml:space="preserve">specific </w:t>
      </w:r>
      <w:r w:rsidR="00B41609">
        <w:t xml:space="preserve">cost rates.  </w:t>
      </w:r>
      <w:r w:rsidR="00B41609">
        <w:lastRenderedPageBreak/>
        <w:t xml:space="preserve">Consequently, absent a </w:t>
      </w:r>
      <w:r w:rsidR="009E6C88">
        <w:t xml:space="preserve">fuller </w:t>
      </w:r>
      <w:r w:rsidR="00B41609">
        <w:t xml:space="preserve">record on rate of return, </w:t>
      </w:r>
      <w:r w:rsidR="00B16137">
        <w:t>the Commission</w:t>
      </w:r>
      <w:r w:rsidR="00B41609">
        <w:t xml:space="preserve"> will not be able t</w:t>
      </w:r>
      <w:r w:rsidR="009E6C88">
        <w:t>o</w:t>
      </w:r>
      <w:r w:rsidR="00B41609">
        <w:t xml:space="preserve"> </w:t>
      </w:r>
      <w:r w:rsidR="009E6C88">
        <w:t xml:space="preserve">apply </w:t>
      </w:r>
      <w:r w:rsidR="00B41609">
        <w:t xml:space="preserve">its </w:t>
      </w:r>
      <w:r w:rsidR="00B16137">
        <w:t>cost of capital reduction policy</w:t>
      </w:r>
      <w:r w:rsidR="009E6C88">
        <w:t>,</w:t>
      </w:r>
      <w:r w:rsidR="00B16137">
        <w:t xml:space="preserve"> </w:t>
      </w:r>
      <w:r w:rsidR="00B41609">
        <w:t xml:space="preserve">should it decide to </w:t>
      </w:r>
      <w:r w:rsidR="00B16137">
        <w:t xml:space="preserve">implement full decoupling </w:t>
      </w:r>
      <w:r w:rsidR="00830679">
        <w:t xml:space="preserve">at this point in this </w:t>
      </w:r>
      <w:r w:rsidR="00B16137">
        <w:t>case.</w:t>
      </w:r>
    </w:p>
    <w:p w:rsidR="00945865" w:rsidRPr="00945865" w:rsidRDefault="00945865" w:rsidP="00C278B3"/>
    <w:p w:rsidR="00617FB7" w:rsidRPr="00AD1DF5" w:rsidRDefault="00A30810" w:rsidP="00C278B3">
      <w:pPr>
        <w:pStyle w:val="Heading2"/>
        <w:numPr>
          <w:ilvl w:val="0"/>
          <w:numId w:val="14"/>
        </w:numPr>
        <w:tabs>
          <w:tab w:val="clear" w:pos="-1440"/>
        </w:tabs>
        <w:spacing w:line="480" w:lineRule="auto"/>
        <w:ind w:left="630" w:hanging="630"/>
        <w:jc w:val="left"/>
      </w:pPr>
      <w:bookmarkStart w:id="5" w:name="_Toc314559024"/>
      <w:r w:rsidRPr="00AD1DF5">
        <w:t xml:space="preserve">NWEC’s </w:t>
      </w:r>
      <w:r w:rsidR="00617FB7" w:rsidRPr="00AD1DF5">
        <w:t>Proposal Does Not Condition Recovery on Conservation Achievement</w:t>
      </w:r>
      <w:bookmarkEnd w:id="5"/>
    </w:p>
    <w:p w:rsidR="002353CA" w:rsidRDefault="002353CA" w:rsidP="005E25E5">
      <w:pPr>
        <w:keepNext/>
      </w:pPr>
    </w:p>
    <w:p w:rsidR="009E549A" w:rsidRDefault="00617FB7" w:rsidP="00C278B3">
      <w:pPr>
        <w:pStyle w:val="Heading3"/>
      </w:pPr>
      <w:r>
        <w:t>Q.</w:t>
      </w:r>
      <w:r>
        <w:tab/>
        <w:t>What is the Commission’s policy regarding meeting conservation targets and revenue per customer recovery by a utility under a decoupling mechanism?</w:t>
      </w:r>
    </w:p>
    <w:p w:rsidR="00617FB7" w:rsidRPr="004F1235" w:rsidRDefault="00617FB7" w:rsidP="00C278B3">
      <w:r>
        <w:t>A.</w:t>
      </w:r>
      <w:r>
        <w:tab/>
      </w:r>
      <w:r w:rsidR="007F60F1">
        <w:t>It is</w:t>
      </w:r>
      <w:r w:rsidR="00A30810">
        <w:t xml:space="preserve"> essential that the decoupled utility meet its conservation targets: </w:t>
      </w:r>
      <w:r w:rsidR="002F725A">
        <w:t xml:space="preserve"> </w:t>
      </w:r>
      <w:r>
        <w:t>“Revenue recovery by the company under the mechanism will be conditioned upon a utility’s level of achievement with respect to its conservation target.”</w:t>
      </w:r>
      <w:r>
        <w:rPr>
          <w:rStyle w:val="FootnoteReference"/>
        </w:rPr>
        <w:footnoteReference w:id="27"/>
      </w:r>
      <w:r>
        <w:t xml:space="preserve">  </w:t>
      </w:r>
      <w:r w:rsidRPr="004F1235">
        <w:t>Later</w:t>
      </w:r>
      <w:r w:rsidR="00A30810">
        <w:t xml:space="preserve"> in the Decoupling Policy Statement, </w:t>
      </w:r>
      <w:r w:rsidRPr="004F1235">
        <w:t xml:space="preserve">in </w:t>
      </w:r>
      <w:r w:rsidR="00A30810">
        <w:t xml:space="preserve">the </w:t>
      </w:r>
      <w:r w:rsidRPr="004F1235">
        <w:t>discussion about direct conservation incentives, the Commission explains further</w:t>
      </w:r>
      <w:r w:rsidR="00A30810">
        <w:t>:</w:t>
      </w:r>
    </w:p>
    <w:p w:rsidR="00617FB7" w:rsidRDefault="00617FB7" w:rsidP="00617FB7">
      <w:pPr>
        <w:spacing w:line="240" w:lineRule="auto"/>
        <w:ind w:left="1440"/>
      </w:pPr>
      <w:r>
        <w:tab/>
      </w:r>
      <w:r w:rsidRPr="004F1235">
        <w:t xml:space="preserve">However, the EIA, in RCW 19.285.060(4), provides us with the express authority to provide such incentives: </w:t>
      </w:r>
      <w:r>
        <w:t xml:space="preserve">  </w:t>
      </w:r>
      <w:r w:rsidRPr="004F1235">
        <w:t>“The commission … may consider providing positive incentives for an investor-owned utility to exceed the targets established in RCW 19.285.040.”  We do not read this provision to permit us to provide incentives to acquire conservation that is not cost-effective.  Rather, we read this to suggest that, between the biennial conservation targets designed to determine what cost-effective conservation can be required, the electric utility may be able to acquire additional conservation as technology is improved, federal or other matching funds become available, or for other reasons that were not known at the time of the setting of the target.</w:t>
      </w:r>
      <w:r w:rsidRPr="004F1235">
        <w:rPr>
          <w:vertAlign w:val="superscript"/>
        </w:rPr>
        <w:footnoteReference w:id="28"/>
      </w:r>
      <w:r w:rsidRPr="004F1235">
        <w:t xml:space="preserve">  </w:t>
      </w:r>
    </w:p>
    <w:p w:rsidR="00617FB7" w:rsidRDefault="00617FB7" w:rsidP="00617FB7"/>
    <w:p w:rsidR="009E549A" w:rsidRDefault="00617FB7" w:rsidP="00E7042A">
      <w:pPr>
        <w:pStyle w:val="Heading3"/>
        <w:keepNext/>
      </w:pPr>
      <w:r>
        <w:lastRenderedPageBreak/>
        <w:t>Q.</w:t>
      </w:r>
      <w:r>
        <w:tab/>
      </w:r>
      <w:r w:rsidR="00530B98">
        <w:t xml:space="preserve">Can </w:t>
      </w:r>
      <w:r>
        <w:t xml:space="preserve">this policy </w:t>
      </w:r>
      <w:r w:rsidR="00530B98">
        <w:t>be practically applied</w:t>
      </w:r>
      <w:r>
        <w:t>?</w:t>
      </w:r>
    </w:p>
    <w:p w:rsidR="00617FB7" w:rsidRPr="004F1235" w:rsidRDefault="00617FB7" w:rsidP="00C278B3">
      <w:r>
        <w:t>A.</w:t>
      </w:r>
      <w:r>
        <w:tab/>
        <w:t xml:space="preserve">Yes.  </w:t>
      </w:r>
      <w:r w:rsidR="00490E74">
        <w:t xml:space="preserve">On page 14 of </w:t>
      </w:r>
      <w:r w:rsidR="00596E8D">
        <w:t xml:space="preserve">my Exhibit No. ___ (DJR-2), </w:t>
      </w:r>
      <w:r>
        <w:t xml:space="preserve">Staff’s </w:t>
      </w:r>
      <w:r w:rsidR="002F725A">
        <w:t>r</w:t>
      </w:r>
      <w:r>
        <w:t xml:space="preserve">esponse to </w:t>
      </w:r>
      <w:r w:rsidR="002F725A">
        <w:t xml:space="preserve">the </w:t>
      </w:r>
      <w:r w:rsidR="00596E8D">
        <w:t xml:space="preserve">Commission’s </w:t>
      </w:r>
      <w:r>
        <w:t xml:space="preserve">Bench Request </w:t>
      </w:r>
      <w:r w:rsidR="00596E8D">
        <w:t xml:space="preserve">in Docket UE-111048 and UG-111049, Staff </w:t>
      </w:r>
      <w:r w:rsidR="00A30810">
        <w:t>identifie</w:t>
      </w:r>
      <w:r w:rsidR="00596E8D">
        <w:t>d</w:t>
      </w:r>
      <w:r w:rsidR="00A30810">
        <w:t xml:space="preserve"> </w:t>
      </w:r>
      <w:r>
        <w:t xml:space="preserve">a Conservation Test that </w:t>
      </w:r>
      <w:r w:rsidR="00A30810">
        <w:t xml:space="preserve">would </w:t>
      </w:r>
      <w:r>
        <w:t>implement this policy</w:t>
      </w:r>
      <w:r w:rsidRPr="004F1235">
        <w:t>.</w:t>
      </w:r>
      <w:r w:rsidR="00596E8D">
        <w:t xml:space="preserve">  That test could apply </w:t>
      </w:r>
      <w:r w:rsidR="00490E74">
        <w:t xml:space="preserve">to Avista </w:t>
      </w:r>
      <w:r w:rsidR="00596E8D">
        <w:t>as well.</w:t>
      </w:r>
      <w:r w:rsidRPr="004F1235">
        <w:t xml:space="preserve">  </w:t>
      </w:r>
    </w:p>
    <w:p w:rsidR="00617FB7" w:rsidRDefault="00617FB7" w:rsidP="00C278B3"/>
    <w:p w:rsidR="009E549A" w:rsidRDefault="00617FB7" w:rsidP="00C278B3">
      <w:pPr>
        <w:pStyle w:val="Heading3"/>
      </w:pPr>
      <w:r>
        <w:t>Q.</w:t>
      </w:r>
      <w:r>
        <w:tab/>
        <w:t>Does NWEC’s proposal condition</w:t>
      </w:r>
      <w:r w:rsidR="00A30810">
        <w:t xml:space="preserve"> </w:t>
      </w:r>
      <w:r w:rsidR="005B2107">
        <w:t>Avista</w:t>
      </w:r>
      <w:r w:rsidR="00A30810">
        <w:t xml:space="preserve">’s revenue recovery under decoupling with achieving </w:t>
      </w:r>
      <w:r w:rsidR="00857518">
        <w:t xml:space="preserve">the Company’s </w:t>
      </w:r>
      <w:r w:rsidR="00A30810">
        <w:t>conservation targets</w:t>
      </w:r>
      <w:r>
        <w:t>?</w:t>
      </w:r>
    </w:p>
    <w:p w:rsidR="003B01D4" w:rsidRPr="003B01D4" w:rsidRDefault="00617FB7" w:rsidP="00C278B3">
      <w:r w:rsidRPr="003B01D4">
        <w:t>A.</w:t>
      </w:r>
      <w:r w:rsidRPr="003B01D4">
        <w:tab/>
        <w:t>No.</w:t>
      </w:r>
      <w:r w:rsidR="00945865" w:rsidRPr="003B01D4">
        <w:t xml:space="preserve">  </w:t>
      </w:r>
    </w:p>
    <w:p w:rsidR="00A3019D" w:rsidRPr="003416B0" w:rsidRDefault="00A3019D" w:rsidP="00C278B3">
      <w:pPr>
        <w:rPr>
          <w:i/>
        </w:rPr>
      </w:pPr>
    </w:p>
    <w:p w:rsidR="00617FB7" w:rsidRPr="00516E1D" w:rsidRDefault="003416B0" w:rsidP="00C278B3">
      <w:pPr>
        <w:pStyle w:val="Heading2"/>
        <w:numPr>
          <w:ilvl w:val="0"/>
          <w:numId w:val="0"/>
        </w:numPr>
        <w:tabs>
          <w:tab w:val="clear" w:pos="-1440"/>
        </w:tabs>
        <w:ind w:left="720" w:hanging="720"/>
        <w:jc w:val="left"/>
        <w:rPr>
          <w:i/>
        </w:rPr>
      </w:pPr>
      <w:bookmarkStart w:id="6" w:name="_Toc314559025"/>
      <w:r>
        <w:t>E.</w:t>
      </w:r>
      <w:r>
        <w:tab/>
        <w:t>N</w:t>
      </w:r>
      <w:r w:rsidR="00A3019D" w:rsidRPr="00516E1D">
        <w:t>WEC</w:t>
      </w:r>
      <w:r w:rsidR="00E36EA2">
        <w:t>’s</w:t>
      </w:r>
      <w:r w:rsidR="00A3019D" w:rsidRPr="00516E1D">
        <w:t xml:space="preserve"> </w:t>
      </w:r>
      <w:r w:rsidR="00617FB7" w:rsidRPr="00516E1D">
        <w:t xml:space="preserve">Proposal </w:t>
      </w:r>
      <w:r w:rsidR="00A3019D" w:rsidRPr="00516E1D">
        <w:t xml:space="preserve">Does Not Identify </w:t>
      </w:r>
      <w:r w:rsidR="00617FB7" w:rsidRPr="00516E1D">
        <w:t xml:space="preserve">Comparable Conservation Benefits </w:t>
      </w:r>
      <w:r w:rsidR="00A3019D" w:rsidRPr="00516E1D">
        <w:t xml:space="preserve">to </w:t>
      </w:r>
      <w:r w:rsidR="00617FB7" w:rsidRPr="00516E1D">
        <w:t>Low</w:t>
      </w:r>
      <w:r w:rsidR="00A3019D" w:rsidRPr="00516E1D">
        <w:t xml:space="preserve">-Income </w:t>
      </w:r>
      <w:r w:rsidR="00617FB7" w:rsidRPr="00516E1D">
        <w:t>Customers</w:t>
      </w:r>
      <w:bookmarkEnd w:id="6"/>
    </w:p>
    <w:p w:rsidR="003F7147" w:rsidRPr="003B01D4" w:rsidRDefault="003F7147" w:rsidP="00C278B3">
      <w:pPr>
        <w:pStyle w:val="ListParagraph"/>
        <w:spacing w:line="480" w:lineRule="auto"/>
        <w:ind w:left="810"/>
      </w:pPr>
    </w:p>
    <w:p w:rsidR="009E549A" w:rsidRDefault="00617FB7" w:rsidP="00C278B3">
      <w:pPr>
        <w:pStyle w:val="Heading3"/>
      </w:pPr>
      <w:r>
        <w:t>Q.</w:t>
      </w:r>
      <w:r>
        <w:tab/>
        <w:t xml:space="preserve">What is the Commission’s policy on </w:t>
      </w:r>
      <w:r w:rsidR="00A3019D">
        <w:t xml:space="preserve">conservation for </w:t>
      </w:r>
      <w:r>
        <w:t>low income customers in the context of full decoupling?</w:t>
      </w:r>
    </w:p>
    <w:p w:rsidR="00617FB7" w:rsidRPr="00F339FC" w:rsidRDefault="00617FB7" w:rsidP="00C278B3">
      <w:r>
        <w:t>A.</w:t>
      </w:r>
      <w:r>
        <w:tab/>
        <w:t>The Commission’s policy is:</w:t>
      </w:r>
    </w:p>
    <w:p w:rsidR="002F42C2" w:rsidRDefault="00617FB7" w:rsidP="002F42C2">
      <w:pPr>
        <w:spacing w:line="240" w:lineRule="auto"/>
        <w:ind w:left="1440"/>
      </w:pPr>
      <w:r>
        <w:tab/>
      </w:r>
      <w:r w:rsidRPr="00771642">
        <w:rPr>
          <w:i/>
        </w:rPr>
        <w:t>Low-income.</w:t>
      </w:r>
      <w:r>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46C8F">
        <w:rPr>
          <w:rStyle w:val="FootnoteReference"/>
        </w:rPr>
        <w:footnoteReference w:id="29"/>
      </w:r>
      <w:r>
        <w:t xml:space="preserve"> </w:t>
      </w:r>
    </w:p>
    <w:p w:rsidR="003B01D4" w:rsidRDefault="003B01D4" w:rsidP="002F42C2">
      <w:pPr>
        <w:spacing w:line="240" w:lineRule="auto"/>
        <w:ind w:left="1440"/>
      </w:pPr>
    </w:p>
    <w:p w:rsidR="003A4B39" w:rsidRDefault="003A4B39" w:rsidP="002F42C2">
      <w:pPr>
        <w:spacing w:line="240" w:lineRule="auto"/>
        <w:ind w:left="1440"/>
      </w:pPr>
    </w:p>
    <w:p w:rsidR="009E549A" w:rsidRDefault="00617FB7" w:rsidP="00E7042A">
      <w:pPr>
        <w:pStyle w:val="Heading3"/>
        <w:keepNext/>
      </w:pPr>
      <w:r>
        <w:lastRenderedPageBreak/>
        <w:t>Q.</w:t>
      </w:r>
      <w:r>
        <w:tab/>
        <w:t>Does NWEC’s proposal satisfy th</w:t>
      </w:r>
      <w:r w:rsidR="003B01D4">
        <w:t>is</w:t>
      </w:r>
      <w:r>
        <w:t xml:space="preserve"> Commission policy</w:t>
      </w:r>
      <w:r w:rsidR="003B01D4">
        <w:t>?</w:t>
      </w:r>
    </w:p>
    <w:p w:rsidR="009E549A" w:rsidRDefault="00617FB7" w:rsidP="00F339FC">
      <w:r>
        <w:t>A.</w:t>
      </w:r>
      <w:r>
        <w:tab/>
        <w:t xml:space="preserve">No.  In response to Staff Data Request </w:t>
      </w:r>
      <w:r w:rsidR="00A30EB7">
        <w:t>12</w:t>
      </w:r>
      <w:r>
        <w:t>, NWEC states that “Mr. Cavanagh has not conducted such</w:t>
      </w:r>
      <w:r w:rsidR="00A30EB7">
        <w:t xml:space="preserve"> an</w:t>
      </w:r>
      <w:r>
        <w:t xml:space="preserve"> analysis.”</w:t>
      </w:r>
    </w:p>
    <w:p w:rsidR="00617FB7" w:rsidRDefault="00617FB7" w:rsidP="00617FB7"/>
    <w:p w:rsidR="009E549A" w:rsidRDefault="00617FB7" w:rsidP="00E53711">
      <w:pPr>
        <w:pStyle w:val="Heading3"/>
      </w:pPr>
      <w:r>
        <w:t>Q.</w:t>
      </w:r>
      <w:r>
        <w:tab/>
      </w:r>
      <w:r w:rsidR="00A3019D">
        <w:t xml:space="preserve">Did Staff independently determine whether </w:t>
      </w:r>
      <w:r w:rsidR="005B2107">
        <w:t>Avista</w:t>
      </w:r>
      <w:r w:rsidR="00A3019D">
        <w:t xml:space="preserve">’s </w:t>
      </w:r>
      <w:r>
        <w:t>conservation programs provide benefits to low-income ratepayers that are roughly comparable to other ratepayers?</w:t>
      </w:r>
    </w:p>
    <w:p w:rsidR="009E549A" w:rsidRDefault="00617FB7" w:rsidP="00F339FC">
      <w:r>
        <w:t>A.</w:t>
      </w:r>
      <w:r>
        <w:tab/>
      </w:r>
      <w:r w:rsidR="00A3019D">
        <w:t xml:space="preserve">No.  Staff does </w:t>
      </w:r>
      <w:r w:rsidR="00857518">
        <w:t>not</w:t>
      </w:r>
      <w:r w:rsidR="00A3019D">
        <w:t xml:space="preserve"> have the information available to conduct such analysis.</w:t>
      </w:r>
    </w:p>
    <w:p w:rsidR="003B01D4" w:rsidRDefault="003B01D4" w:rsidP="00F339FC"/>
    <w:p w:rsidR="00617FB7" w:rsidRPr="003B01D4" w:rsidRDefault="003F7147" w:rsidP="003F7147">
      <w:pPr>
        <w:pStyle w:val="Heading2"/>
        <w:numPr>
          <w:ilvl w:val="0"/>
          <w:numId w:val="0"/>
        </w:numPr>
        <w:tabs>
          <w:tab w:val="clear" w:pos="-1440"/>
        </w:tabs>
        <w:spacing w:line="480" w:lineRule="auto"/>
        <w:jc w:val="left"/>
        <w:rPr>
          <w:i/>
        </w:rPr>
      </w:pPr>
      <w:bookmarkStart w:id="7" w:name="_Toc314559026"/>
      <w:r>
        <w:t>F.</w:t>
      </w:r>
      <w:r>
        <w:tab/>
      </w:r>
      <w:r w:rsidR="0006130D" w:rsidRPr="003B01D4">
        <w:t xml:space="preserve">NWEC’s </w:t>
      </w:r>
      <w:r w:rsidR="00617FB7" w:rsidRPr="003B01D4">
        <w:t xml:space="preserve">Proposal </w:t>
      </w:r>
      <w:r w:rsidR="0006130D" w:rsidRPr="003B01D4">
        <w:t>D</w:t>
      </w:r>
      <w:r w:rsidR="00617FB7" w:rsidRPr="003B01D4">
        <w:t xml:space="preserve">oes </w:t>
      </w:r>
      <w:r w:rsidR="0006130D" w:rsidRPr="003B01D4">
        <w:t>N</w:t>
      </w:r>
      <w:r w:rsidR="00617FB7" w:rsidRPr="003B01D4">
        <w:t xml:space="preserve">ot Describe Incremental </w:t>
      </w:r>
      <w:r w:rsidR="002D1E41" w:rsidRPr="003B01D4">
        <w:t>Conservation</w:t>
      </w:r>
      <w:bookmarkEnd w:id="7"/>
    </w:p>
    <w:p w:rsidR="003B01D4" w:rsidRPr="003B01D4" w:rsidRDefault="003B01D4" w:rsidP="00F90CBF"/>
    <w:p w:rsidR="009E549A" w:rsidRDefault="00617FB7" w:rsidP="00E53711">
      <w:pPr>
        <w:pStyle w:val="Heading3"/>
      </w:pPr>
      <w:r>
        <w:t>Q.</w:t>
      </w:r>
      <w:r>
        <w:tab/>
        <w:t xml:space="preserve">What is the Commission’s policy regarding </w:t>
      </w:r>
      <w:r w:rsidR="00E36EA2">
        <w:t xml:space="preserve">a </w:t>
      </w:r>
      <w:r>
        <w:t>utility’s acquisition of more conservation than it would have acquired</w:t>
      </w:r>
      <w:r w:rsidR="0006130D">
        <w:t xml:space="preserve"> absent decoupling</w:t>
      </w:r>
      <w:r>
        <w:t>?</w:t>
      </w:r>
    </w:p>
    <w:p w:rsidR="003B01D4" w:rsidRDefault="00617FB7" w:rsidP="003B01D4">
      <w:r>
        <w:t>A.</w:t>
      </w:r>
      <w:r>
        <w:tab/>
        <w:t>The Commission requires a decoupling proposal to contain: “Evidence describing any incremental conservation the company intends to pursue in conjunction with the mechanism”.</w:t>
      </w:r>
      <w:r w:rsidR="00B46C8F">
        <w:rPr>
          <w:rStyle w:val="FootnoteReference"/>
        </w:rPr>
        <w:footnoteReference w:id="30"/>
      </w:r>
      <w:r>
        <w:t xml:space="preserve"> </w:t>
      </w:r>
    </w:p>
    <w:p w:rsidR="003B01D4" w:rsidRPr="003B01D4" w:rsidRDefault="003B01D4" w:rsidP="003B01D4"/>
    <w:p w:rsidR="00617FB7" w:rsidRDefault="000935EF" w:rsidP="00E53711">
      <w:pPr>
        <w:pStyle w:val="Heading3"/>
      </w:pPr>
      <w:r>
        <w:t>Q.</w:t>
      </w:r>
      <w:r>
        <w:tab/>
      </w:r>
      <w:r w:rsidR="002D1E41">
        <w:t>Does</w:t>
      </w:r>
      <w:r>
        <w:t xml:space="preserve"> </w:t>
      </w:r>
      <w:r w:rsidR="00113E2D">
        <w:t xml:space="preserve">Mr. Cavanagh </w:t>
      </w:r>
      <w:r w:rsidR="003B01D4">
        <w:t>address this policy</w:t>
      </w:r>
      <w:r w:rsidR="00617FB7">
        <w:t>?</w:t>
      </w:r>
    </w:p>
    <w:p w:rsidR="003B01D4" w:rsidRDefault="000935EF" w:rsidP="00B5420A">
      <w:r>
        <w:t>A.</w:t>
      </w:r>
      <w:r>
        <w:tab/>
        <w:t>No.</w:t>
      </w:r>
      <w:r w:rsidR="00113E2D">
        <w:t xml:space="preserve"> </w:t>
      </w:r>
      <w:r w:rsidR="003B01D4">
        <w:t xml:space="preserve"> T</w:t>
      </w:r>
      <w:r w:rsidR="006741D6">
        <w:t xml:space="preserve">he only specific levels of conservation </w:t>
      </w:r>
      <w:r w:rsidR="00113E2D">
        <w:t xml:space="preserve">Mr. Cavanagh refers to </w:t>
      </w:r>
      <w:r w:rsidR="006741D6">
        <w:t xml:space="preserve">are </w:t>
      </w:r>
      <w:r w:rsidR="00113E2D">
        <w:t xml:space="preserve">conservation targets </w:t>
      </w:r>
      <w:r w:rsidR="00DF34FA">
        <w:t xml:space="preserve">that are </w:t>
      </w:r>
      <w:r w:rsidR="00113E2D">
        <w:t>in place</w:t>
      </w:r>
      <w:r w:rsidR="000F5581">
        <w:t xml:space="preserve"> </w:t>
      </w:r>
      <w:r w:rsidR="00DF34FA">
        <w:t xml:space="preserve">for </w:t>
      </w:r>
      <w:r w:rsidR="005B2107">
        <w:t>Avista</w:t>
      </w:r>
      <w:r w:rsidR="002D1E41">
        <w:t xml:space="preserve"> </w:t>
      </w:r>
      <w:r w:rsidR="000F5581">
        <w:t>today</w:t>
      </w:r>
      <w:r w:rsidR="00DF34FA">
        <w:t>, absent decoupling</w:t>
      </w:r>
      <w:r w:rsidR="00113E2D">
        <w:t>.</w:t>
      </w:r>
      <w:r w:rsidR="003B01D4">
        <w:rPr>
          <w:rStyle w:val="FootnoteReference"/>
        </w:rPr>
        <w:footnoteReference w:id="31"/>
      </w:r>
      <w:r w:rsidR="003B01D4" w:rsidRPr="003B01D4">
        <w:t xml:space="preserve"> </w:t>
      </w:r>
      <w:r w:rsidR="003B01D4">
        <w:t xml:space="preserve"> </w:t>
      </w:r>
    </w:p>
    <w:p w:rsidR="00E7042A" w:rsidRDefault="00E7042A" w:rsidP="00B5420A"/>
    <w:p w:rsidR="00617FB7" w:rsidRPr="00AD1DF5" w:rsidRDefault="005B30DB" w:rsidP="005B30DB">
      <w:pPr>
        <w:pStyle w:val="Heading2"/>
        <w:numPr>
          <w:ilvl w:val="0"/>
          <w:numId w:val="0"/>
        </w:numPr>
        <w:tabs>
          <w:tab w:val="clear" w:pos="-1440"/>
        </w:tabs>
        <w:ind w:left="810" w:hanging="810"/>
        <w:jc w:val="left"/>
      </w:pPr>
      <w:bookmarkStart w:id="8" w:name="_Toc314559027"/>
      <w:r>
        <w:lastRenderedPageBreak/>
        <w:t>G.</w:t>
      </w:r>
      <w:r>
        <w:tab/>
      </w:r>
      <w:r w:rsidR="00284257" w:rsidRPr="00AD1DF5">
        <w:t xml:space="preserve">NWEC’s </w:t>
      </w:r>
      <w:r w:rsidR="002D1E41" w:rsidRPr="00AD1DF5">
        <w:t xml:space="preserve">Proposal </w:t>
      </w:r>
      <w:r w:rsidR="00284257" w:rsidRPr="00AD1DF5">
        <w:t>D</w:t>
      </w:r>
      <w:r w:rsidR="002D1E41" w:rsidRPr="00AD1DF5">
        <w:t xml:space="preserve">oes </w:t>
      </w:r>
      <w:r w:rsidR="00B30A97">
        <w:t>N</w:t>
      </w:r>
      <w:r w:rsidR="00B30A97" w:rsidRPr="00AD1DF5">
        <w:t xml:space="preserve">ot </w:t>
      </w:r>
      <w:r w:rsidR="00617FB7" w:rsidRPr="00AD1DF5">
        <w:t>Account for the Net Benefits of Off-System Sales and Costs Avoided Due to the Utility’s Conservation Efforts</w:t>
      </w:r>
      <w:bookmarkEnd w:id="8"/>
    </w:p>
    <w:p w:rsidR="002F42C2" w:rsidRPr="00AD1DF5" w:rsidRDefault="002F42C2" w:rsidP="00FB2784"/>
    <w:p w:rsidR="009E549A" w:rsidRDefault="00617FB7" w:rsidP="00E53711">
      <w:pPr>
        <w:pStyle w:val="Heading3"/>
      </w:pPr>
      <w:r>
        <w:t>Q.</w:t>
      </w:r>
      <w:r>
        <w:tab/>
        <w:t>What is the Commission’s policy on increased wholesale sales as a result of decoupling?</w:t>
      </w:r>
    </w:p>
    <w:p w:rsidR="00617FB7" w:rsidRDefault="00617FB7">
      <w:r>
        <w:t xml:space="preserve">A. </w:t>
      </w:r>
      <w:r>
        <w:tab/>
        <w:t>The Commission requires a full decoupling mechanism to account for certain off-system sales and avoided costs, and to net the benefits as part of the true-up:</w:t>
      </w:r>
    </w:p>
    <w:p w:rsidR="00617FB7" w:rsidRDefault="00617FB7" w:rsidP="0006130D">
      <w:pPr>
        <w:spacing w:line="240" w:lineRule="auto"/>
        <w:ind w:left="1440"/>
      </w:pPr>
      <w:r>
        <w:tab/>
      </w:r>
      <w:r w:rsidR="00E07C71" w:rsidRPr="006C1D8C">
        <w:rPr>
          <w:i/>
        </w:rPr>
        <w:t>Accounting for Off-System Sales and Avoided Costs.</w:t>
      </w:r>
      <w:r w:rsidR="00E07C71" w:rsidRPr="00DC5950">
        <w:t xml:space="preserve">  </w:t>
      </w:r>
      <w:r>
        <w:t xml:space="preserve">A description of the method the company intends to use to determine the financial benefits associated with off-system sales or avoided costs attributable to the utility's conservation efforts and then to net these benefits against the true-up provided in this mechanism. </w:t>
      </w:r>
      <w:r>
        <w:rPr>
          <w:rStyle w:val="FootnoteReference"/>
        </w:rPr>
        <w:footnoteReference w:id="32"/>
      </w:r>
    </w:p>
    <w:p w:rsidR="0006130D" w:rsidRDefault="0006130D" w:rsidP="0006130D">
      <w:pPr>
        <w:spacing w:line="240" w:lineRule="auto"/>
        <w:ind w:left="1440"/>
      </w:pPr>
    </w:p>
    <w:p w:rsidR="00617FB7" w:rsidRDefault="00617FB7" w:rsidP="00B63E58">
      <w:pPr>
        <w:spacing w:line="240" w:lineRule="auto"/>
      </w:pPr>
      <w:r>
        <w:tab/>
        <w:t>In the related footnote, the Commission explains:</w:t>
      </w:r>
    </w:p>
    <w:p w:rsidR="00B63E58" w:rsidRDefault="00B63E58" w:rsidP="00B63E58">
      <w:pPr>
        <w:spacing w:line="240" w:lineRule="auto"/>
      </w:pPr>
    </w:p>
    <w:p w:rsidR="00617FB7" w:rsidRDefault="00617FB7" w:rsidP="00617FB7">
      <w:pPr>
        <w:spacing w:line="240" w:lineRule="auto"/>
        <w:ind w:left="1440"/>
      </w:pPr>
      <w:r>
        <w:tab/>
        <w:t>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electric 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 not incorporated into the calculation of the power costs, is a direct benefit to the utility shareholders.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w:t>
      </w:r>
      <w:r>
        <w:rPr>
          <w:rStyle w:val="FootnoteReference"/>
        </w:rPr>
        <w:footnoteReference w:id="33"/>
      </w:r>
      <w:r w:rsidR="00B63E58">
        <w:t xml:space="preserve"> </w:t>
      </w:r>
    </w:p>
    <w:p w:rsidR="009E549A" w:rsidRDefault="009E549A" w:rsidP="00DC5950"/>
    <w:p w:rsidR="009E549A" w:rsidRPr="00B63E58" w:rsidRDefault="00617FB7" w:rsidP="005B30DB">
      <w:pPr>
        <w:pStyle w:val="Heading3"/>
        <w:keepNext/>
      </w:pPr>
      <w:r w:rsidRPr="00B63E58">
        <w:lastRenderedPageBreak/>
        <w:t>Q.</w:t>
      </w:r>
      <w:r w:rsidRPr="00B63E58">
        <w:tab/>
        <w:t>Is this Commission policy appropriate?</w:t>
      </w:r>
    </w:p>
    <w:p w:rsidR="009E549A" w:rsidRPr="00B63E58" w:rsidRDefault="00617FB7" w:rsidP="00DC5950">
      <w:r w:rsidRPr="00B63E58">
        <w:t>A.</w:t>
      </w:r>
      <w:r w:rsidRPr="00B63E58">
        <w:tab/>
        <w:t xml:space="preserve">Yes.  When customers conserve energy, the utility </w:t>
      </w:r>
      <w:r w:rsidR="008B66AC" w:rsidRPr="00B63E58">
        <w:t xml:space="preserve">should </w:t>
      </w:r>
      <w:r w:rsidRPr="00B63E58">
        <w:t xml:space="preserve">market the electricity the utility would have sold to its own retail customers.  Moreover, the utility incurs lower costs due to the wholesale sales, such as reduced line losses, reduced uncollectible expense, and avoidance of the Public Utility Tax, which effectively applies only to retail sales.  </w:t>
      </w:r>
    </w:p>
    <w:p w:rsidR="009E549A" w:rsidRPr="00B63E58" w:rsidRDefault="00617FB7" w:rsidP="00DC5950">
      <w:r w:rsidRPr="00B63E58">
        <w:tab/>
      </w:r>
      <w:r w:rsidRPr="00B63E58">
        <w:tab/>
        <w:t xml:space="preserve">Under full decoupling, ratepayers guarantee the utility’s recovery of a specified level of revenues per customer.  It is appropriate for </w:t>
      </w:r>
      <w:r w:rsidR="001D766B" w:rsidRPr="00B63E58">
        <w:t xml:space="preserve">the decoupling mechanism </w:t>
      </w:r>
      <w:r w:rsidRPr="00B63E58">
        <w:t xml:space="preserve">to </w:t>
      </w:r>
      <w:r w:rsidR="001D766B" w:rsidRPr="00B63E58">
        <w:t xml:space="preserve">recognize </w:t>
      </w:r>
      <w:r w:rsidRPr="00B63E58">
        <w:t>the benefits of enhanced wholesale sales that may result from decoupling.</w:t>
      </w:r>
      <w:r w:rsidR="008B66AC" w:rsidRPr="00B63E58">
        <w:t xml:space="preserve">  </w:t>
      </w:r>
    </w:p>
    <w:p w:rsidR="00617FB7" w:rsidRPr="00B63E58" w:rsidRDefault="00617FB7" w:rsidP="00617FB7"/>
    <w:p w:rsidR="00617FB7" w:rsidRPr="00B63E58" w:rsidRDefault="00617FB7" w:rsidP="00E53711">
      <w:pPr>
        <w:pStyle w:val="Heading3"/>
      </w:pPr>
      <w:r w:rsidRPr="00B63E58">
        <w:t>Q.</w:t>
      </w:r>
      <w:r w:rsidRPr="00B63E58">
        <w:tab/>
      </w:r>
      <w:r w:rsidR="00DC5950" w:rsidRPr="00B63E58">
        <w:t>Can this policy be practically applied</w:t>
      </w:r>
      <w:r w:rsidRPr="00B63E58">
        <w:t>?</w:t>
      </w:r>
    </w:p>
    <w:p w:rsidR="00617FB7" w:rsidRDefault="00617FB7" w:rsidP="00617FB7">
      <w:r w:rsidRPr="00B63E58">
        <w:t>A.</w:t>
      </w:r>
      <w:r w:rsidRPr="00B63E58">
        <w:tab/>
      </w:r>
      <w:r w:rsidR="009B1C9D" w:rsidRPr="00B63E58">
        <w:t>Yes, but n</w:t>
      </w:r>
      <w:r w:rsidR="00291A68" w:rsidRPr="00B63E58">
        <w:t xml:space="preserve">ot within </w:t>
      </w:r>
      <w:r w:rsidR="004971F8" w:rsidRPr="00B63E58">
        <w:t xml:space="preserve">the </w:t>
      </w:r>
      <w:r w:rsidR="00291A68" w:rsidRPr="00B63E58">
        <w:t>decoupling mechanism</w:t>
      </w:r>
      <w:r w:rsidR="004971F8" w:rsidRPr="00B63E58">
        <w:t xml:space="preserve"> itself</w:t>
      </w:r>
      <w:r w:rsidRPr="00B63E58">
        <w:t xml:space="preserve">.  </w:t>
      </w:r>
      <w:r w:rsidR="00114823" w:rsidRPr="00B63E58">
        <w:t xml:space="preserve">Rather, this policy could be </w:t>
      </w:r>
      <w:r w:rsidR="006C1D8C" w:rsidRPr="00B63E58">
        <w:t>implemented by</w:t>
      </w:r>
      <w:r w:rsidR="00114823" w:rsidRPr="00B63E58">
        <w:t xml:space="preserve"> revising </w:t>
      </w:r>
      <w:r w:rsidR="00114823" w:rsidRPr="00830679">
        <w:t xml:space="preserve">the </w:t>
      </w:r>
      <w:r w:rsidR="00442040" w:rsidRPr="00830679">
        <w:t>ERM</w:t>
      </w:r>
      <w:r w:rsidR="00114823" w:rsidRPr="00830679">
        <w:t xml:space="preserve">.  One possible revision could be to </w:t>
      </w:r>
      <w:r w:rsidR="00B41609" w:rsidRPr="00830679">
        <w:t>eliminate</w:t>
      </w:r>
      <w:r w:rsidR="004971F8" w:rsidRPr="00830679">
        <w:t xml:space="preserve"> the dead</w:t>
      </w:r>
      <w:r w:rsidR="006565DA" w:rsidRPr="00830679">
        <w:t xml:space="preserve"> </w:t>
      </w:r>
      <w:r w:rsidR="004971F8" w:rsidRPr="00830679">
        <w:t>band</w:t>
      </w:r>
      <w:r w:rsidR="00B41609" w:rsidRPr="00830679">
        <w:t xml:space="preserve"> from the ERM</w:t>
      </w:r>
      <w:r w:rsidRPr="00830679">
        <w:t>.</w:t>
      </w:r>
      <w:r w:rsidR="00291A68" w:rsidRPr="00830679">
        <w:rPr>
          <w:rStyle w:val="FootnoteReference"/>
        </w:rPr>
        <w:footnoteReference w:id="34"/>
      </w:r>
      <w:r w:rsidR="004971F8" w:rsidRPr="00830679">
        <w:t xml:space="preserve">  </w:t>
      </w:r>
      <w:r w:rsidR="00B41609" w:rsidRPr="00830679">
        <w:t xml:space="preserve">However, doing that </w:t>
      </w:r>
      <w:r w:rsidR="00277F8D" w:rsidRPr="00830679">
        <w:t xml:space="preserve">would </w:t>
      </w:r>
      <w:r w:rsidR="00B41609" w:rsidRPr="00830679">
        <w:t xml:space="preserve">also </w:t>
      </w:r>
      <w:r w:rsidR="00277F8D" w:rsidRPr="00830679">
        <w:t xml:space="preserve">eliminate a key feature of the ERM: to provide rate stability to consumers except under extreme circumstances, while giving the Company a very strong incentive to manage power supply costs to avoid such extreme circumstances.  </w:t>
      </w:r>
      <w:r w:rsidR="004971F8" w:rsidRPr="00B63E58">
        <w:t>Needless to say, addressing this policy will require more detailed analysis than has been presented thus far.</w:t>
      </w:r>
    </w:p>
    <w:p w:rsidR="005E25E5" w:rsidRPr="00B63E58" w:rsidRDefault="005E25E5" w:rsidP="00617FB7"/>
    <w:p w:rsidR="009E549A" w:rsidRPr="00B63E58" w:rsidRDefault="00617FB7" w:rsidP="003F7147">
      <w:pPr>
        <w:pStyle w:val="Heading3"/>
        <w:keepNext/>
      </w:pPr>
      <w:r w:rsidRPr="00B63E58">
        <w:lastRenderedPageBreak/>
        <w:t>Q.</w:t>
      </w:r>
      <w:r w:rsidRPr="00B63E58">
        <w:tab/>
        <w:t>Does NWEC’s proposal apply this Commission policy?</w:t>
      </w:r>
    </w:p>
    <w:p w:rsidR="009E549A" w:rsidRPr="00B63E58" w:rsidRDefault="00617FB7" w:rsidP="00DC5950">
      <w:r w:rsidRPr="00B63E58">
        <w:t>A.</w:t>
      </w:r>
      <w:r w:rsidRPr="00B63E58">
        <w:tab/>
        <w:t xml:space="preserve">No.  Mr. Cavanagh suggests the Commission ignore this policy on the basis of his belief that </w:t>
      </w:r>
      <w:r w:rsidR="005B2107" w:rsidRPr="00B63E58">
        <w:t>Avista</w:t>
      </w:r>
      <w:r w:rsidR="00284257" w:rsidRPr="00B63E58">
        <w:t xml:space="preserve">’s </w:t>
      </w:r>
      <w:r w:rsidR="002748A5" w:rsidRPr="00B63E58">
        <w:t>ERM</w:t>
      </w:r>
      <w:r w:rsidRPr="00B63E58">
        <w:t xml:space="preserve"> “already </w:t>
      </w:r>
      <w:r w:rsidR="009B1C9D" w:rsidRPr="00B63E58">
        <w:t xml:space="preserve">responds to </w:t>
      </w:r>
      <w:r w:rsidRPr="00B63E58">
        <w:t>this concern” regarding enhanced wholesale sales.</w:t>
      </w:r>
      <w:r w:rsidRPr="00B63E58">
        <w:rPr>
          <w:rStyle w:val="FootnoteReference"/>
        </w:rPr>
        <w:footnoteReference w:id="35"/>
      </w:r>
      <w:r w:rsidR="00830679">
        <w:t xml:space="preserve">  </w:t>
      </w:r>
      <w:r w:rsidR="00830679" w:rsidRPr="00B63E58">
        <w:t>In short, Mr. Cavanagh chooses to not apply the Commission’s decoupling policy on wholesale sales, without adequately supporting that choice.</w:t>
      </w:r>
      <w:r w:rsidRPr="00B63E58">
        <w:t xml:space="preserve">  </w:t>
      </w:r>
    </w:p>
    <w:p w:rsidR="00617FB7" w:rsidRPr="00B63E58" w:rsidRDefault="00617FB7" w:rsidP="00617FB7"/>
    <w:p w:rsidR="009E549A" w:rsidRPr="00B63E58" w:rsidRDefault="00617FB7" w:rsidP="00E53711">
      <w:pPr>
        <w:pStyle w:val="Heading3"/>
      </w:pPr>
      <w:r w:rsidRPr="00B63E58">
        <w:t>Q.</w:t>
      </w:r>
      <w:r w:rsidRPr="00B63E58">
        <w:tab/>
        <w:t>Is Mr. Cavanagh</w:t>
      </w:r>
      <w:r w:rsidR="00114823" w:rsidRPr="00B63E58">
        <w:t>’s characterization</w:t>
      </w:r>
      <w:r w:rsidR="00BE656D" w:rsidRPr="00B63E58">
        <w:t xml:space="preserve"> of</w:t>
      </w:r>
      <w:r w:rsidR="00284257" w:rsidRPr="00B63E58">
        <w:t xml:space="preserve"> </w:t>
      </w:r>
      <w:r w:rsidR="005B2107" w:rsidRPr="00B63E58">
        <w:t>Avista</w:t>
      </w:r>
      <w:r w:rsidR="00284257" w:rsidRPr="00B63E58">
        <w:t xml:space="preserve">’s </w:t>
      </w:r>
      <w:r w:rsidR="00442040" w:rsidRPr="00B63E58">
        <w:t>ERM</w:t>
      </w:r>
      <w:r w:rsidRPr="00B63E58">
        <w:t xml:space="preserve"> </w:t>
      </w:r>
      <w:r w:rsidR="00114823" w:rsidRPr="00B63E58">
        <w:t>correct</w:t>
      </w:r>
      <w:r w:rsidRPr="00B63E58">
        <w:t>?</w:t>
      </w:r>
    </w:p>
    <w:p w:rsidR="009E549A" w:rsidRPr="00B63E58" w:rsidRDefault="00617FB7" w:rsidP="00DC5950">
      <w:r w:rsidRPr="00B63E58">
        <w:t>A.</w:t>
      </w:r>
      <w:r w:rsidRPr="00B63E58">
        <w:tab/>
        <w:t xml:space="preserve">No.  </w:t>
      </w:r>
      <w:r w:rsidR="00B41609" w:rsidRPr="00B63E58">
        <w:t xml:space="preserve">Because </w:t>
      </w:r>
      <w:r w:rsidR="005B2107" w:rsidRPr="00B63E58">
        <w:t>Avista</w:t>
      </w:r>
      <w:r w:rsidR="00284257" w:rsidRPr="00B63E58">
        <w:t xml:space="preserve">’s </w:t>
      </w:r>
      <w:r w:rsidR="002748A5" w:rsidRPr="00B63E58">
        <w:t>ERM</w:t>
      </w:r>
      <w:r w:rsidRPr="00B63E58">
        <w:t xml:space="preserve"> has a “dead band” and “sharing bands”, </w:t>
      </w:r>
      <w:r w:rsidR="00B41609" w:rsidRPr="00B63E58">
        <w:t xml:space="preserve">the </w:t>
      </w:r>
      <w:r w:rsidRPr="00B63E58">
        <w:t>practical</w:t>
      </w:r>
      <w:r w:rsidR="00B41609" w:rsidRPr="00B63E58">
        <w:t xml:space="preserve"> </w:t>
      </w:r>
      <w:r w:rsidRPr="00B63E58">
        <w:t xml:space="preserve">result </w:t>
      </w:r>
      <w:r w:rsidR="00B41609" w:rsidRPr="00B63E58">
        <w:t xml:space="preserve">under full decoupling is that </w:t>
      </w:r>
      <w:r w:rsidRPr="00B63E58">
        <w:t xml:space="preserve">ratepayers </w:t>
      </w:r>
      <w:r w:rsidR="00B41609" w:rsidRPr="00B63E58">
        <w:t xml:space="preserve">would </w:t>
      </w:r>
      <w:r w:rsidRPr="00B63E58">
        <w:t>not receiv</w:t>
      </w:r>
      <w:r w:rsidR="00B41609" w:rsidRPr="00B63E58">
        <w:t>e</w:t>
      </w:r>
      <w:r w:rsidRPr="00B63E58">
        <w:t xml:space="preserve"> the full benefit of incremental wholesale sales occasioned by </w:t>
      </w:r>
      <w:r w:rsidR="00B41609" w:rsidRPr="00B63E58">
        <w:t xml:space="preserve">any reductions in retail </w:t>
      </w:r>
      <w:r w:rsidR="003416B0" w:rsidRPr="00B63E58">
        <w:t>sales</w:t>
      </w:r>
      <w:r w:rsidRPr="00B63E58">
        <w:t xml:space="preserve">.  This is because any </w:t>
      </w:r>
      <w:r w:rsidR="003416B0" w:rsidRPr="00B63E58">
        <w:t xml:space="preserve">revenues from </w:t>
      </w:r>
      <w:r w:rsidRPr="00B63E58">
        <w:t xml:space="preserve">such </w:t>
      </w:r>
      <w:r w:rsidR="00B41609" w:rsidRPr="00B63E58">
        <w:t xml:space="preserve">wholesale </w:t>
      </w:r>
      <w:r w:rsidRPr="00B63E58">
        <w:t>sales likely would fall within the dead band and</w:t>
      </w:r>
      <w:r w:rsidR="006C6715" w:rsidRPr="00B63E58">
        <w:t>,</w:t>
      </w:r>
      <w:r w:rsidRPr="00B63E58">
        <w:t xml:space="preserve"> therefore</w:t>
      </w:r>
      <w:r w:rsidR="006C6715" w:rsidRPr="00B63E58">
        <w:t>,</w:t>
      </w:r>
      <w:r w:rsidRPr="00B63E58">
        <w:t xml:space="preserve"> </w:t>
      </w:r>
      <w:r w:rsidR="005B2107" w:rsidRPr="00B63E58">
        <w:t>Avista</w:t>
      </w:r>
      <w:r w:rsidRPr="00B63E58">
        <w:t xml:space="preserve"> would retain </w:t>
      </w:r>
      <w:r w:rsidR="00D225A3" w:rsidRPr="00B63E58">
        <w:t xml:space="preserve">the </w:t>
      </w:r>
      <w:r w:rsidRPr="00B63E58">
        <w:t>benefits</w:t>
      </w:r>
      <w:r w:rsidR="00D225A3" w:rsidRPr="00B63E58">
        <w:t>.</w:t>
      </w:r>
      <w:r w:rsidR="00D40025" w:rsidRPr="00B63E58">
        <w:rPr>
          <w:rStyle w:val="FootnoteReference"/>
        </w:rPr>
        <w:footnoteReference w:id="36"/>
      </w:r>
      <w:r w:rsidR="00371C9A" w:rsidRPr="00B63E58">
        <w:t xml:space="preserve">  </w:t>
      </w:r>
    </w:p>
    <w:p w:rsidR="00617FB7" w:rsidRPr="00B63E58" w:rsidRDefault="00617FB7" w:rsidP="00617FB7"/>
    <w:p w:rsidR="00284257" w:rsidRPr="00B63E58" w:rsidDel="00284257" w:rsidRDefault="00617FB7" w:rsidP="00E53711">
      <w:pPr>
        <w:pStyle w:val="Heading3"/>
      </w:pPr>
      <w:r w:rsidRPr="00B63E58">
        <w:t>Q.</w:t>
      </w:r>
      <w:r w:rsidRPr="00B63E58">
        <w:tab/>
      </w:r>
      <w:r w:rsidR="00114823" w:rsidRPr="00B63E58">
        <w:t xml:space="preserve">Is it </w:t>
      </w:r>
      <w:r w:rsidR="00167359" w:rsidRPr="00B63E58">
        <w:t xml:space="preserve">consistent with the Decoupling Policy Statement to </w:t>
      </w:r>
      <w:r w:rsidR="00284257" w:rsidRPr="00B63E58">
        <w:t xml:space="preserve">allow decoupling </w:t>
      </w:r>
      <w:r w:rsidR="006C6715" w:rsidRPr="00B63E58">
        <w:t xml:space="preserve">while also </w:t>
      </w:r>
      <w:r w:rsidR="00284257" w:rsidRPr="00B63E58">
        <w:t>maintain</w:t>
      </w:r>
      <w:r w:rsidR="006C6715" w:rsidRPr="00B63E58">
        <w:t>ing</w:t>
      </w:r>
      <w:r w:rsidR="00284257" w:rsidRPr="00B63E58">
        <w:t xml:space="preserve"> </w:t>
      </w:r>
      <w:r w:rsidR="00442040" w:rsidRPr="00B63E58">
        <w:t>Avista’s</w:t>
      </w:r>
      <w:r w:rsidR="00284257" w:rsidRPr="00B63E58">
        <w:t xml:space="preserve"> </w:t>
      </w:r>
      <w:r w:rsidR="00167359" w:rsidRPr="00B63E58">
        <w:t xml:space="preserve">current </w:t>
      </w:r>
      <w:r w:rsidR="002748A5" w:rsidRPr="00B63E58">
        <w:t>ERM</w:t>
      </w:r>
      <w:r w:rsidR="00167359" w:rsidRPr="00B63E58">
        <w:t>?</w:t>
      </w:r>
    </w:p>
    <w:p w:rsidR="009E549A" w:rsidRPr="00B63E58" w:rsidRDefault="00617FB7" w:rsidP="00DC5950">
      <w:r w:rsidRPr="00B63E58">
        <w:t>A.</w:t>
      </w:r>
      <w:r w:rsidRPr="00B63E58">
        <w:tab/>
        <w:t xml:space="preserve">No.  The current structure of the </w:t>
      </w:r>
      <w:r w:rsidR="002748A5" w:rsidRPr="00B63E58">
        <w:t>ERM</w:t>
      </w:r>
      <w:r w:rsidRPr="00B63E58">
        <w:t xml:space="preserve"> and the Commission’s decoupling policy on enhanced wholesale sales are not compatible.  If the Commission wishes to implement full decoupling for </w:t>
      </w:r>
      <w:r w:rsidR="005B2107" w:rsidRPr="00B63E58">
        <w:t>Avista</w:t>
      </w:r>
      <w:r w:rsidRPr="00B63E58">
        <w:t xml:space="preserve">, there are two choices: </w:t>
      </w:r>
      <w:r w:rsidR="00A20CE0" w:rsidRPr="00B63E58">
        <w:t xml:space="preserve"> </w:t>
      </w:r>
      <w:r w:rsidRPr="00B63E58">
        <w:t xml:space="preserve">change the </w:t>
      </w:r>
      <w:r w:rsidR="002748A5" w:rsidRPr="00B63E58">
        <w:t>ERM</w:t>
      </w:r>
      <w:r w:rsidRPr="00B63E58">
        <w:t>,</w:t>
      </w:r>
      <w:r w:rsidR="00BE656D" w:rsidRPr="00B63E58">
        <w:t xml:space="preserve"> </w:t>
      </w:r>
      <w:r w:rsidRPr="00B63E58">
        <w:t xml:space="preserve">or do not apply the Commission’s decoupling policy on wholesale sales.    </w:t>
      </w:r>
    </w:p>
    <w:p w:rsidR="00617FB7" w:rsidRPr="00B63E58" w:rsidRDefault="00617FB7" w:rsidP="00617FB7"/>
    <w:p w:rsidR="009E549A" w:rsidRPr="00B63E58" w:rsidRDefault="00617FB7" w:rsidP="003F7147">
      <w:pPr>
        <w:pStyle w:val="Heading3"/>
        <w:keepNext/>
      </w:pPr>
      <w:r w:rsidRPr="00B63E58">
        <w:lastRenderedPageBreak/>
        <w:t>Q.</w:t>
      </w:r>
      <w:r w:rsidRPr="00B63E58">
        <w:tab/>
        <w:t>What choice should the Commission make and why?</w:t>
      </w:r>
    </w:p>
    <w:p w:rsidR="00A20CE0" w:rsidRPr="00B63E58" w:rsidRDefault="00617FB7" w:rsidP="00617FB7">
      <w:r w:rsidRPr="00B63E58">
        <w:t>A.</w:t>
      </w:r>
      <w:r w:rsidRPr="00B63E58">
        <w:tab/>
      </w:r>
      <w:r w:rsidR="00A20CE0" w:rsidRPr="00B63E58">
        <w:t xml:space="preserve">Should the Commission choose to implement full decoupling for </w:t>
      </w:r>
      <w:r w:rsidR="005B2107" w:rsidRPr="00B63E58">
        <w:t>Avista</w:t>
      </w:r>
      <w:r w:rsidR="00A20CE0" w:rsidRPr="00B63E58">
        <w:t xml:space="preserve">, it should maintain its policy regarding wholesale sales.  </w:t>
      </w:r>
      <w:r w:rsidR="004971F8" w:rsidRPr="00B63E58">
        <w:t xml:space="preserve">However, </w:t>
      </w:r>
      <w:r w:rsidR="00EC125F" w:rsidRPr="00B63E58">
        <w:t xml:space="preserve">Staff believes the Commission does not have </w:t>
      </w:r>
      <w:r w:rsidR="00D225A3" w:rsidRPr="00B63E58">
        <w:t xml:space="preserve">a </w:t>
      </w:r>
      <w:r w:rsidR="00EC125F" w:rsidRPr="00B63E58">
        <w:t xml:space="preserve">sufficient record in this </w:t>
      </w:r>
      <w:r w:rsidR="004971F8" w:rsidRPr="00B63E58">
        <w:t>docket</w:t>
      </w:r>
      <w:r w:rsidR="00EC125F" w:rsidRPr="00B63E58">
        <w:t xml:space="preserve"> to both address full decoupling and </w:t>
      </w:r>
      <w:r w:rsidR="004971F8" w:rsidRPr="00B63E58">
        <w:t xml:space="preserve">appropriately </w:t>
      </w:r>
      <w:r w:rsidR="00EC125F" w:rsidRPr="00B63E58">
        <w:t xml:space="preserve">revise the </w:t>
      </w:r>
      <w:r w:rsidR="002748A5" w:rsidRPr="00B63E58">
        <w:t>ERM</w:t>
      </w:r>
      <w:r w:rsidR="00EC125F" w:rsidRPr="00B63E58">
        <w:t xml:space="preserve">.  </w:t>
      </w:r>
      <w:r w:rsidR="00A20CE0" w:rsidRPr="00B63E58">
        <w:t xml:space="preserve">Therefore, </w:t>
      </w:r>
      <w:r w:rsidR="00735B87" w:rsidRPr="00B63E58">
        <w:t xml:space="preserve">any decision to adopt full decoupling should await full examination of any required revisions to the </w:t>
      </w:r>
      <w:r w:rsidR="002748A5" w:rsidRPr="00B63E58">
        <w:t>ERM</w:t>
      </w:r>
      <w:r w:rsidR="00735B87" w:rsidRPr="00B63E58">
        <w:t>.</w:t>
      </w:r>
      <w:r w:rsidR="00A20CE0" w:rsidRPr="00B63E58">
        <w:t xml:space="preserve">  </w:t>
      </w:r>
    </w:p>
    <w:p w:rsidR="00617FB7" w:rsidRDefault="00617FB7" w:rsidP="00617FB7"/>
    <w:p w:rsidR="00830679" w:rsidRDefault="00830679" w:rsidP="00830679">
      <w:pPr>
        <w:pStyle w:val="Heading1"/>
      </w:pPr>
      <w:r>
        <w:t>CONCLUSION</w:t>
      </w:r>
    </w:p>
    <w:p w:rsidR="00830679" w:rsidRPr="00B63E58" w:rsidRDefault="00830679" w:rsidP="00617FB7"/>
    <w:p w:rsidR="00E56E17" w:rsidRPr="00B63E58" w:rsidRDefault="00E56E17" w:rsidP="00617FB7">
      <w:pPr>
        <w:rPr>
          <w:b/>
        </w:rPr>
      </w:pPr>
      <w:r w:rsidRPr="00B63E58">
        <w:rPr>
          <w:b/>
        </w:rPr>
        <w:t>Q.</w:t>
      </w:r>
      <w:r w:rsidRPr="00B63E58">
        <w:rPr>
          <w:b/>
        </w:rPr>
        <w:tab/>
        <w:t>Please summarize your position on the full decoupling proposal offered by NWEC.</w:t>
      </w:r>
    </w:p>
    <w:p w:rsidR="00E56E17" w:rsidRPr="00B63E58" w:rsidRDefault="00E56E17" w:rsidP="00617FB7">
      <w:r w:rsidRPr="00B63E58">
        <w:t>A.</w:t>
      </w:r>
      <w:r w:rsidRPr="00B63E58">
        <w:tab/>
      </w:r>
      <w:r w:rsidR="00246AAB" w:rsidRPr="00B63E58">
        <w:t xml:space="preserve">The Commission should reject in its entirety </w:t>
      </w:r>
      <w:r w:rsidR="002748A5" w:rsidRPr="00B63E58">
        <w:t xml:space="preserve">NWEC’s </w:t>
      </w:r>
      <w:r w:rsidR="00246AAB" w:rsidRPr="00B63E58">
        <w:t xml:space="preserve">full decoupling proposal as inconsistent with the </w:t>
      </w:r>
      <w:r w:rsidR="004971F8" w:rsidRPr="00B63E58">
        <w:t xml:space="preserve">several </w:t>
      </w:r>
      <w:r w:rsidR="00246AAB" w:rsidRPr="00B63E58">
        <w:t xml:space="preserve">elements </w:t>
      </w:r>
      <w:r w:rsidR="004971F8" w:rsidRPr="00B63E58">
        <w:t xml:space="preserve">I have </w:t>
      </w:r>
      <w:r w:rsidR="00246AAB" w:rsidRPr="00B63E58">
        <w:t xml:space="preserve">identified </w:t>
      </w:r>
      <w:r w:rsidR="004971F8" w:rsidRPr="00B63E58">
        <w:t>from</w:t>
      </w:r>
      <w:r w:rsidR="00246AAB" w:rsidRPr="00B63E58">
        <w:t xml:space="preserve"> the Commission</w:t>
      </w:r>
      <w:r w:rsidR="004971F8" w:rsidRPr="00B63E58">
        <w:t>’s</w:t>
      </w:r>
      <w:r w:rsidR="00246AAB" w:rsidRPr="00B63E58">
        <w:t xml:space="preserve"> </w:t>
      </w:r>
      <w:r w:rsidR="008308F1" w:rsidRPr="00B63E58">
        <w:t xml:space="preserve">Decoupling </w:t>
      </w:r>
      <w:r w:rsidR="00246AAB" w:rsidRPr="00B63E58">
        <w:t>Policy Statement.</w:t>
      </w:r>
    </w:p>
    <w:p w:rsidR="0007020D" w:rsidRPr="00B63E58" w:rsidRDefault="0007020D" w:rsidP="00617FB7"/>
    <w:p w:rsidR="0007020D" w:rsidRPr="00B63E58" w:rsidRDefault="0007020D" w:rsidP="00E53711">
      <w:pPr>
        <w:pStyle w:val="Heading3"/>
      </w:pPr>
      <w:r w:rsidRPr="00B63E58">
        <w:t>Q.</w:t>
      </w:r>
      <w:r w:rsidRPr="00B63E58">
        <w:tab/>
        <w:t xml:space="preserve">Should the Commission </w:t>
      </w:r>
      <w:r w:rsidR="009C19C7" w:rsidRPr="00B63E58">
        <w:t xml:space="preserve">nevertheless </w:t>
      </w:r>
      <w:r w:rsidRPr="00B63E58">
        <w:t>decide to implement full decoupling</w:t>
      </w:r>
      <w:r w:rsidR="00D225A3" w:rsidRPr="00B63E58">
        <w:t xml:space="preserve"> at this time</w:t>
      </w:r>
      <w:r w:rsidRPr="00B63E58">
        <w:t xml:space="preserve">, what </w:t>
      </w:r>
      <w:r w:rsidR="009C19C7" w:rsidRPr="00B63E58">
        <w:t xml:space="preserve">issues </w:t>
      </w:r>
      <w:r w:rsidRPr="00B63E58">
        <w:t xml:space="preserve">should be </w:t>
      </w:r>
      <w:r w:rsidR="009C19C7" w:rsidRPr="00B63E58">
        <w:t xml:space="preserve">addressed </w:t>
      </w:r>
      <w:r w:rsidRPr="00B63E58">
        <w:t>prior to implementation?</w:t>
      </w:r>
    </w:p>
    <w:p w:rsidR="0007020D" w:rsidRPr="00B63E58" w:rsidRDefault="0007020D" w:rsidP="00617FB7">
      <w:r w:rsidRPr="00B63E58">
        <w:t>A.</w:t>
      </w:r>
      <w:r w:rsidRPr="00B63E58">
        <w:tab/>
      </w:r>
      <w:r w:rsidR="00B41609" w:rsidRPr="00B63E58">
        <w:t xml:space="preserve">The Commission </w:t>
      </w:r>
      <w:r w:rsidRPr="00B63E58">
        <w:t>should:</w:t>
      </w:r>
    </w:p>
    <w:p w:rsidR="00AD64DE" w:rsidRDefault="00B41609" w:rsidP="00B30A97">
      <w:pPr>
        <w:pStyle w:val="ListParagraph"/>
        <w:numPr>
          <w:ilvl w:val="0"/>
          <w:numId w:val="13"/>
        </w:numPr>
        <w:spacing w:line="480" w:lineRule="auto"/>
        <w:rPr>
          <w:szCs w:val="24"/>
        </w:rPr>
      </w:pPr>
      <w:r w:rsidRPr="00B63E58">
        <w:rPr>
          <w:szCs w:val="24"/>
        </w:rPr>
        <w:t xml:space="preserve">Require additional evidence quantifying </w:t>
      </w:r>
      <w:r w:rsidR="00AC1C21" w:rsidRPr="00B63E58">
        <w:rPr>
          <w:szCs w:val="24"/>
        </w:rPr>
        <w:t xml:space="preserve">the </w:t>
      </w:r>
      <w:r w:rsidR="006565DA" w:rsidRPr="00B63E58">
        <w:rPr>
          <w:szCs w:val="24"/>
        </w:rPr>
        <w:t>change</w:t>
      </w:r>
      <w:r w:rsidR="00D94ACC" w:rsidRPr="00B63E58">
        <w:rPr>
          <w:szCs w:val="24"/>
        </w:rPr>
        <w:t xml:space="preserve"> in the </w:t>
      </w:r>
      <w:r w:rsidR="00AC1C21" w:rsidRPr="00B63E58">
        <w:rPr>
          <w:szCs w:val="24"/>
        </w:rPr>
        <w:t xml:space="preserve">overall rate of return </w:t>
      </w:r>
      <w:r w:rsidR="00D94ACC" w:rsidRPr="00B63E58">
        <w:rPr>
          <w:szCs w:val="24"/>
        </w:rPr>
        <w:t xml:space="preserve">occasioned by </w:t>
      </w:r>
      <w:r w:rsidR="00D225A3" w:rsidRPr="00B63E58">
        <w:rPr>
          <w:szCs w:val="24"/>
        </w:rPr>
        <w:t xml:space="preserve">the specific </w:t>
      </w:r>
      <w:r w:rsidR="00D94ACC" w:rsidRPr="00B63E58">
        <w:rPr>
          <w:szCs w:val="24"/>
        </w:rPr>
        <w:t>decoupling</w:t>
      </w:r>
      <w:r w:rsidR="006565DA" w:rsidRPr="00B63E58">
        <w:rPr>
          <w:szCs w:val="24"/>
        </w:rPr>
        <w:t xml:space="preserve"> mechanism</w:t>
      </w:r>
      <w:r w:rsidR="00D225A3" w:rsidRPr="00B63E58">
        <w:rPr>
          <w:szCs w:val="24"/>
        </w:rPr>
        <w:t xml:space="preserve"> adopted by the Commission</w:t>
      </w:r>
      <w:r w:rsidR="00FC3AB6" w:rsidRPr="00B63E58">
        <w:rPr>
          <w:szCs w:val="24"/>
        </w:rPr>
        <w:t>,</w:t>
      </w:r>
      <w:r w:rsidR="003E66ED" w:rsidRPr="00B63E58">
        <w:rPr>
          <w:szCs w:val="24"/>
        </w:rPr>
        <w:t xml:space="preserve"> </w:t>
      </w:r>
      <w:r w:rsidR="00AC1C21" w:rsidRPr="00B63E58">
        <w:rPr>
          <w:szCs w:val="24"/>
        </w:rPr>
        <w:t xml:space="preserve">or </w:t>
      </w:r>
      <w:r w:rsidR="00D225A3" w:rsidRPr="00B63E58">
        <w:rPr>
          <w:szCs w:val="24"/>
        </w:rPr>
        <w:t xml:space="preserve">the </w:t>
      </w:r>
      <w:r w:rsidR="00AC1C21" w:rsidRPr="00B63E58">
        <w:rPr>
          <w:szCs w:val="24"/>
        </w:rPr>
        <w:t xml:space="preserve">amount of equity in the </w:t>
      </w:r>
      <w:r w:rsidR="00D94ACC" w:rsidRPr="00B63E58">
        <w:rPr>
          <w:szCs w:val="24"/>
        </w:rPr>
        <w:t xml:space="preserve">ratemaking </w:t>
      </w:r>
      <w:r w:rsidR="00AC1C21" w:rsidRPr="00B63E58">
        <w:rPr>
          <w:szCs w:val="24"/>
        </w:rPr>
        <w:t>capital structure</w:t>
      </w:r>
      <w:r w:rsidR="00D94ACC" w:rsidRPr="00B63E58">
        <w:rPr>
          <w:szCs w:val="24"/>
        </w:rPr>
        <w:t xml:space="preserve"> the Commission deems appropriate</w:t>
      </w:r>
      <w:r w:rsidR="00FC3AB6" w:rsidRPr="00B63E58">
        <w:rPr>
          <w:szCs w:val="24"/>
        </w:rPr>
        <w:t xml:space="preserve">, </w:t>
      </w:r>
      <w:r w:rsidR="00AC1C21" w:rsidRPr="00B63E58">
        <w:rPr>
          <w:rStyle w:val="FootnoteReference"/>
          <w:szCs w:val="24"/>
        </w:rPr>
        <w:t xml:space="preserve"> </w:t>
      </w:r>
      <w:r w:rsidR="00AC1C21" w:rsidRPr="00B63E58">
        <w:rPr>
          <w:szCs w:val="24"/>
        </w:rPr>
        <w:t>or both.</w:t>
      </w:r>
    </w:p>
    <w:p w:rsidR="00474436" w:rsidRPr="00B63E58" w:rsidRDefault="00474436" w:rsidP="00B30A97">
      <w:pPr>
        <w:pStyle w:val="ListParagraph"/>
        <w:numPr>
          <w:ilvl w:val="0"/>
          <w:numId w:val="13"/>
        </w:numPr>
        <w:spacing w:line="480" w:lineRule="auto"/>
        <w:rPr>
          <w:szCs w:val="24"/>
        </w:rPr>
      </w:pPr>
      <w:r w:rsidRPr="00B63E58">
        <w:rPr>
          <w:szCs w:val="24"/>
        </w:rPr>
        <w:lastRenderedPageBreak/>
        <w:t xml:space="preserve">Adopt the Earnings Test </w:t>
      </w:r>
      <w:r w:rsidR="00A80BB4" w:rsidRPr="00B63E58">
        <w:rPr>
          <w:szCs w:val="24"/>
        </w:rPr>
        <w:t xml:space="preserve">as </w:t>
      </w:r>
      <w:r w:rsidRPr="00B63E58">
        <w:rPr>
          <w:szCs w:val="24"/>
        </w:rPr>
        <w:t xml:space="preserve">outlined in </w:t>
      </w:r>
      <w:r w:rsidR="003A1692" w:rsidRPr="00B63E58">
        <w:rPr>
          <w:szCs w:val="24"/>
        </w:rPr>
        <w:t xml:space="preserve">Exhibit No. ___ </w:t>
      </w:r>
      <w:r w:rsidR="006565DA" w:rsidRPr="00B63E58">
        <w:rPr>
          <w:szCs w:val="24"/>
        </w:rPr>
        <w:t>(</w:t>
      </w:r>
      <w:r w:rsidR="003A1692" w:rsidRPr="00B63E58">
        <w:rPr>
          <w:szCs w:val="24"/>
        </w:rPr>
        <w:t>DJR-2</w:t>
      </w:r>
      <w:r w:rsidR="006565DA" w:rsidRPr="00B63E58">
        <w:rPr>
          <w:szCs w:val="24"/>
        </w:rPr>
        <w:t>)</w:t>
      </w:r>
      <w:r w:rsidR="00B30A97" w:rsidRPr="00B63E58">
        <w:rPr>
          <w:szCs w:val="24"/>
        </w:rPr>
        <w:t>, modifying the</w:t>
      </w:r>
      <w:r w:rsidR="006565DA" w:rsidRPr="00B63E58">
        <w:rPr>
          <w:szCs w:val="24"/>
        </w:rPr>
        <w:t xml:space="preserve"> Earnings Test</w:t>
      </w:r>
      <w:r w:rsidR="00B30A97" w:rsidRPr="00B63E58">
        <w:rPr>
          <w:szCs w:val="24"/>
        </w:rPr>
        <w:t xml:space="preserve"> dead</w:t>
      </w:r>
      <w:r w:rsidR="006565DA" w:rsidRPr="00B63E58">
        <w:rPr>
          <w:szCs w:val="24"/>
        </w:rPr>
        <w:t xml:space="preserve"> </w:t>
      </w:r>
      <w:r w:rsidR="00B30A97" w:rsidRPr="00B63E58">
        <w:rPr>
          <w:szCs w:val="24"/>
        </w:rPr>
        <w:t>band</w:t>
      </w:r>
      <w:r w:rsidR="00277F8D" w:rsidRPr="00B63E58">
        <w:rPr>
          <w:szCs w:val="24"/>
        </w:rPr>
        <w:t xml:space="preserve"> </w:t>
      </w:r>
      <w:r w:rsidR="00B30A97" w:rsidRPr="00B63E58">
        <w:rPr>
          <w:szCs w:val="24"/>
        </w:rPr>
        <w:t>as appropriate</w:t>
      </w:r>
      <w:r w:rsidRPr="00B63E58">
        <w:rPr>
          <w:szCs w:val="24"/>
        </w:rPr>
        <w:t>.</w:t>
      </w:r>
      <w:r w:rsidR="00471AFC" w:rsidRPr="00B63E58">
        <w:rPr>
          <w:rStyle w:val="FootnoteReference"/>
          <w:szCs w:val="24"/>
        </w:rPr>
        <w:footnoteReference w:id="37"/>
      </w:r>
    </w:p>
    <w:p w:rsidR="0007020D" w:rsidRPr="00B63E58" w:rsidRDefault="0007020D" w:rsidP="00B30A97">
      <w:pPr>
        <w:pStyle w:val="ListParagraph"/>
        <w:numPr>
          <w:ilvl w:val="0"/>
          <w:numId w:val="13"/>
        </w:numPr>
        <w:spacing w:line="480" w:lineRule="auto"/>
        <w:rPr>
          <w:szCs w:val="24"/>
        </w:rPr>
      </w:pPr>
      <w:r w:rsidRPr="00B63E58">
        <w:rPr>
          <w:szCs w:val="24"/>
        </w:rPr>
        <w:t xml:space="preserve">Adopt the Conservation Test </w:t>
      </w:r>
      <w:r w:rsidR="00A80BB4" w:rsidRPr="00B63E58">
        <w:rPr>
          <w:szCs w:val="24"/>
        </w:rPr>
        <w:t xml:space="preserve">as </w:t>
      </w:r>
      <w:r w:rsidRPr="00B63E58">
        <w:rPr>
          <w:szCs w:val="24"/>
        </w:rPr>
        <w:t xml:space="preserve">outlined in </w:t>
      </w:r>
      <w:r w:rsidR="003A1692" w:rsidRPr="00B63E58">
        <w:rPr>
          <w:szCs w:val="24"/>
        </w:rPr>
        <w:t xml:space="preserve">Exhibit No. ___ </w:t>
      </w:r>
      <w:r w:rsidR="0063721D" w:rsidRPr="00B63E58">
        <w:rPr>
          <w:szCs w:val="24"/>
        </w:rPr>
        <w:t>(</w:t>
      </w:r>
      <w:r w:rsidR="003A1692" w:rsidRPr="00B63E58">
        <w:rPr>
          <w:szCs w:val="24"/>
        </w:rPr>
        <w:t>DJR-2</w:t>
      </w:r>
      <w:r w:rsidR="0063721D" w:rsidRPr="00B63E58">
        <w:rPr>
          <w:szCs w:val="24"/>
        </w:rPr>
        <w:t>)</w:t>
      </w:r>
      <w:r w:rsidRPr="00B63E58">
        <w:rPr>
          <w:szCs w:val="24"/>
        </w:rPr>
        <w:t>.</w:t>
      </w:r>
      <w:r w:rsidR="00471AFC" w:rsidRPr="00B63E58">
        <w:rPr>
          <w:rStyle w:val="FootnoteReference"/>
          <w:szCs w:val="24"/>
        </w:rPr>
        <w:footnoteReference w:id="38"/>
      </w:r>
    </w:p>
    <w:p w:rsidR="0007020D" w:rsidRPr="00B63E58" w:rsidRDefault="0007020D" w:rsidP="00B30A97">
      <w:pPr>
        <w:pStyle w:val="ListParagraph"/>
        <w:numPr>
          <w:ilvl w:val="0"/>
          <w:numId w:val="13"/>
        </w:numPr>
        <w:spacing w:line="480" w:lineRule="auto"/>
        <w:rPr>
          <w:szCs w:val="24"/>
        </w:rPr>
      </w:pPr>
      <w:r w:rsidRPr="00B63E58">
        <w:rPr>
          <w:szCs w:val="24"/>
        </w:rPr>
        <w:t xml:space="preserve">Require third party evaluation of conservation achievement, </w:t>
      </w:r>
      <w:r w:rsidR="00474436" w:rsidRPr="00B63E58">
        <w:rPr>
          <w:szCs w:val="24"/>
        </w:rPr>
        <w:t>which will also identify any</w:t>
      </w:r>
      <w:r w:rsidRPr="00B63E58">
        <w:rPr>
          <w:szCs w:val="24"/>
        </w:rPr>
        <w:t xml:space="preserve"> incremental conservation.</w:t>
      </w:r>
      <w:r w:rsidR="005D0776" w:rsidRPr="00B63E58" w:rsidDel="005D0776">
        <w:rPr>
          <w:rStyle w:val="FootnoteReference"/>
          <w:szCs w:val="24"/>
        </w:rPr>
        <w:t xml:space="preserve"> </w:t>
      </w:r>
    </w:p>
    <w:p w:rsidR="0007020D" w:rsidRPr="00B63E58" w:rsidRDefault="0007020D" w:rsidP="00B30A97">
      <w:pPr>
        <w:pStyle w:val="ListParagraph"/>
        <w:numPr>
          <w:ilvl w:val="0"/>
          <w:numId w:val="13"/>
        </w:numPr>
        <w:spacing w:line="480" w:lineRule="auto"/>
        <w:rPr>
          <w:szCs w:val="24"/>
        </w:rPr>
      </w:pPr>
      <w:r w:rsidRPr="00B63E58">
        <w:rPr>
          <w:szCs w:val="24"/>
        </w:rPr>
        <w:t xml:space="preserve">Require third party evaluation </w:t>
      </w:r>
      <w:r w:rsidR="00B5420A" w:rsidRPr="00B63E58">
        <w:rPr>
          <w:szCs w:val="24"/>
        </w:rPr>
        <w:t>of comparable benefits for</w:t>
      </w:r>
      <w:r w:rsidRPr="00B63E58">
        <w:rPr>
          <w:szCs w:val="24"/>
        </w:rPr>
        <w:t xml:space="preserve"> low-income customers.</w:t>
      </w:r>
    </w:p>
    <w:p w:rsidR="0007020D" w:rsidRPr="00B63E58" w:rsidRDefault="0007020D" w:rsidP="00617FB7">
      <w:pPr>
        <w:pStyle w:val="ListParagraph"/>
        <w:numPr>
          <w:ilvl w:val="0"/>
          <w:numId w:val="13"/>
        </w:numPr>
        <w:spacing w:line="480" w:lineRule="auto"/>
        <w:rPr>
          <w:szCs w:val="24"/>
        </w:rPr>
      </w:pPr>
      <w:r w:rsidRPr="00B63E58">
        <w:rPr>
          <w:szCs w:val="24"/>
        </w:rPr>
        <w:t xml:space="preserve">Require revision of the </w:t>
      </w:r>
      <w:r w:rsidR="002748A5" w:rsidRPr="00B63E58">
        <w:rPr>
          <w:szCs w:val="24"/>
        </w:rPr>
        <w:t>ERM</w:t>
      </w:r>
      <w:r w:rsidRPr="00B63E58">
        <w:rPr>
          <w:szCs w:val="24"/>
        </w:rPr>
        <w:t>.</w:t>
      </w:r>
    </w:p>
    <w:p w:rsidR="003A4B39" w:rsidRPr="00B63E58" w:rsidRDefault="00E175DD" w:rsidP="00E56E17">
      <w:r w:rsidRPr="00B63E58">
        <w:t xml:space="preserve"> </w:t>
      </w:r>
    </w:p>
    <w:p w:rsidR="00617FB7" w:rsidRPr="00B63E58" w:rsidRDefault="00617FB7" w:rsidP="00E53711">
      <w:pPr>
        <w:pStyle w:val="Heading3"/>
      </w:pPr>
      <w:r w:rsidRPr="00B63E58">
        <w:t>Q.</w:t>
      </w:r>
      <w:r w:rsidRPr="00B63E58">
        <w:tab/>
        <w:t>Does this conclude your testimony?</w:t>
      </w:r>
    </w:p>
    <w:p w:rsidR="00617FB7" w:rsidRPr="00B63E58" w:rsidRDefault="00617FB7" w:rsidP="00617FB7">
      <w:r w:rsidRPr="00B63E58">
        <w:t>A.</w:t>
      </w:r>
      <w:r w:rsidRPr="00B63E58">
        <w:tab/>
        <w:t>Yes.</w:t>
      </w:r>
    </w:p>
    <w:p w:rsidR="00617FB7" w:rsidRPr="00B63E58" w:rsidRDefault="00617FB7" w:rsidP="00617FB7"/>
    <w:p w:rsidR="009E549A" w:rsidRPr="00B63E58" w:rsidRDefault="009E549A" w:rsidP="00F33615"/>
    <w:sectPr w:rsidR="009E549A" w:rsidRPr="00B63E58" w:rsidSect="00503B1B">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1C" w:rsidRDefault="007C4C1C" w:rsidP="00A84518">
      <w:pPr>
        <w:spacing w:line="240" w:lineRule="auto"/>
      </w:pPr>
      <w:r>
        <w:separator/>
      </w:r>
    </w:p>
  </w:endnote>
  <w:endnote w:type="continuationSeparator" w:id="0">
    <w:p w:rsidR="007C4C1C" w:rsidRDefault="007C4C1C" w:rsidP="00A84518">
      <w:pPr>
        <w:spacing w:line="240" w:lineRule="auto"/>
      </w:pPr>
      <w:r>
        <w:continuationSeparator/>
      </w:r>
    </w:p>
  </w:endnote>
  <w:endnote w:type="continuationNotice" w:id="1">
    <w:p w:rsidR="007C4C1C" w:rsidRDefault="007C4C1C"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1C" w:rsidRPr="000F025A" w:rsidRDefault="007C4C1C" w:rsidP="000F025A">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1C" w:rsidRDefault="007C4C1C"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w:t>
    </w:r>
    <w:r>
      <w:rPr>
        <w:sz w:val="20"/>
        <w:szCs w:val="20"/>
      </w:rPr>
      <w:t>1</w:t>
    </w:r>
    <w:r w:rsidRPr="000F025A">
      <w:rPr>
        <w:sz w:val="20"/>
        <w:szCs w:val="20"/>
      </w:rPr>
      <w:t>T)</w:t>
    </w:r>
  </w:p>
  <w:p w:rsidR="007C4C1C" w:rsidRPr="000F025A" w:rsidRDefault="007C4C1C" w:rsidP="000F025A">
    <w:pPr>
      <w:pStyle w:val="Footer"/>
      <w:rPr>
        <w:sz w:val="20"/>
        <w:szCs w:val="20"/>
        <w:lang w:val="fr-FR"/>
      </w:rPr>
    </w:pPr>
    <w:r w:rsidRPr="000F025A">
      <w:rPr>
        <w:sz w:val="20"/>
        <w:szCs w:val="20"/>
      </w:rPr>
      <w:t>Dockets</w:t>
    </w:r>
    <w:r w:rsidRPr="000F025A">
      <w:rPr>
        <w:sz w:val="20"/>
        <w:szCs w:val="20"/>
        <w:lang w:val="fr-FR"/>
      </w:rPr>
      <w:t xml:space="preserve"> UE-11</w:t>
    </w:r>
    <w:r>
      <w:rPr>
        <w:sz w:val="20"/>
        <w:szCs w:val="20"/>
        <w:lang w:val="fr-FR"/>
      </w:rPr>
      <w:t>0876</w:t>
    </w:r>
    <w:r w:rsidRPr="000F025A">
      <w:rPr>
        <w:sz w:val="20"/>
        <w:szCs w:val="20"/>
        <w:lang w:val="fr-FR"/>
      </w:rPr>
      <w:t xml:space="preserve"> and UG-11</w:t>
    </w:r>
    <w:r>
      <w:rPr>
        <w:sz w:val="20"/>
        <w:szCs w:val="20"/>
        <w:lang w:val="fr-FR"/>
      </w:rPr>
      <w:t>0877</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6001BC">
      <w:rPr>
        <w:rStyle w:val="PageNumber"/>
        <w:noProof/>
        <w:sz w:val="20"/>
        <w:szCs w:val="20"/>
        <w:lang w:val="fr-FR"/>
      </w:rPr>
      <w:t>i</w:t>
    </w:r>
    <w:r w:rsidRPr="000F025A">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1C" w:rsidRDefault="007C4C1C"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w:t>
    </w:r>
    <w:r>
      <w:rPr>
        <w:sz w:val="20"/>
        <w:szCs w:val="20"/>
      </w:rPr>
      <w:t>1</w:t>
    </w:r>
    <w:r w:rsidRPr="000F025A">
      <w:rPr>
        <w:sz w:val="20"/>
        <w:szCs w:val="20"/>
      </w:rPr>
      <w:t>T)</w:t>
    </w:r>
  </w:p>
  <w:p w:rsidR="007C4C1C" w:rsidRPr="000F025A" w:rsidRDefault="007C4C1C" w:rsidP="000F025A">
    <w:pPr>
      <w:pStyle w:val="Footer"/>
      <w:rPr>
        <w:sz w:val="20"/>
        <w:szCs w:val="20"/>
        <w:lang w:val="fr-FR"/>
      </w:rPr>
    </w:pPr>
    <w:r w:rsidRPr="000F025A">
      <w:rPr>
        <w:sz w:val="20"/>
        <w:szCs w:val="20"/>
      </w:rPr>
      <w:t>Dockets</w:t>
    </w:r>
    <w:r w:rsidRPr="000F025A">
      <w:rPr>
        <w:sz w:val="20"/>
        <w:szCs w:val="20"/>
        <w:lang w:val="fr-FR"/>
      </w:rPr>
      <w:t xml:space="preserve"> UE-1108</w:t>
    </w:r>
    <w:r>
      <w:rPr>
        <w:sz w:val="20"/>
        <w:szCs w:val="20"/>
        <w:lang w:val="fr-FR"/>
      </w:rPr>
      <w:t>76</w:t>
    </w:r>
    <w:r w:rsidRPr="000F025A">
      <w:rPr>
        <w:sz w:val="20"/>
        <w:szCs w:val="20"/>
        <w:lang w:val="fr-FR"/>
      </w:rPr>
      <w:t xml:space="preserve"> and UG-110</w:t>
    </w:r>
    <w:r>
      <w:rPr>
        <w:sz w:val="20"/>
        <w:szCs w:val="20"/>
        <w:lang w:val="fr-FR"/>
      </w:rPr>
      <w:t>877</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6001BC">
      <w:rPr>
        <w:rStyle w:val="PageNumber"/>
        <w:noProof/>
        <w:sz w:val="20"/>
        <w:szCs w:val="20"/>
        <w:lang w:val="fr-FR"/>
      </w:rPr>
      <w:t>8</w:t>
    </w:r>
    <w:r w:rsidRPr="000F02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1C" w:rsidRDefault="007C4C1C" w:rsidP="00A84518">
      <w:pPr>
        <w:spacing w:line="240" w:lineRule="auto"/>
      </w:pPr>
      <w:r>
        <w:separator/>
      </w:r>
    </w:p>
  </w:footnote>
  <w:footnote w:type="continuationSeparator" w:id="0">
    <w:p w:rsidR="007C4C1C" w:rsidRDefault="007C4C1C" w:rsidP="00A84518">
      <w:pPr>
        <w:spacing w:line="240" w:lineRule="auto"/>
      </w:pPr>
      <w:r>
        <w:continuationSeparator/>
      </w:r>
    </w:p>
  </w:footnote>
  <w:footnote w:type="continuationNotice" w:id="1">
    <w:p w:rsidR="007C4C1C" w:rsidRDefault="007C4C1C" w:rsidP="00A84518">
      <w:pPr>
        <w:spacing w:line="240" w:lineRule="auto"/>
      </w:pPr>
    </w:p>
  </w:footnote>
  <w:footnote w:id="2">
    <w:p w:rsidR="007C4C1C" w:rsidRDefault="007C4C1C">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3">
    <w:p w:rsidR="007C4C1C" w:rsidRPr="00D46889" w:rsidRDefault="007C4C1C" w:rsidP="009B0896">
      <w:pPr>
        <w:pStyle w:val="FootnoteText"/>
      </w:pPr>
      <w:r>
        <w:rPr>
          <w:rStyle w:val="FootnoteReference"/>
        </w:rPr>
        <w:footnoteRef/>
      </w:r>
      <w:r>
        <w:t xml:space="preserve"> The Stipulation states that consideration of any ROE adjustment related to decoupling would be at issue with any decoupling proposal.  </w:t>
      </w:r>
      <w:r>
        <w:rPr>
          <w:i/>
        </w:rPr>
        <w:t xml:space="preserve">See </w:t>
      </w:r>
      <w:r>
        <w:t>fn. 3 of Exhibit No. 1, Settlement Stipulation.</w:t>
      </w:r>
    </w:p>
  </w:footnote>
  <w:footnote w:id="4">
    <w:p w:rsidR="007C4C1C" w:rsidRDefault="007C4C1C">
      <w:pPr>
        <w:pStyle w:val="FootnoteText"/>
      </w:pPr>
      <w:r>
        <w:rPr>
          <w:rStyle w:val="FootnoteReference"/>
        </w:rPr>
        <w:footnoteRef/>
      </w:r>
      <w:r>
        <w:t xml:space="preserve"> Exhibit No. 2, Joint Testimony at 16:13-19.</w:t>
      </w:r>
    </w:p>
  </w:footnote>
  <w:footnote w:id="5">
    <w:p w:rsidR="007C4C1C" w:rsidRDefault="007C4C1C">
      <w:pPr>
        <w:pStyle w:val="FootnoteText"/>
      </w:pPr>
      <w:r>
        <w:rPr>
          <w:rStyle w:val="FootnoteReference"/>
        </w:rPr>
        <w:footnoteRef/>
      </w:r>
      <w:r>
        <w:t xml:space="preserve"> Schedules 1 (Residential), 11/12 (General), 21/22 (Large General), 31/32 (Pumping), 41-49 (Street and Area Lighting).</w:t>
      </w:r>
    </w:p>
  </w:footnote>
  <w:footnote w:id="6">
    <w:p w:rsidR="007C4C1C" w:rsidRDefault="007C4C1C">
      <w:pPr>
        <w:pStyle w:val="FootnoteText"/>
      </w:pPr>
      <w:r>
        <w:rPr>
          <w:rStyle w:val="FootnoteReference"/>
        </w:rPr>
        <w:footnoteRef/>
      </w:r>
      <w:r>
        <w:t xml:space="preserve"> The Commission requires Avista to file similar reports per Docket UE-100176.</w:t>
      </w:r>
    </w:p>
  </w:footnote>
  <w:footnote w:id="7">
    <w:p w:rsidR="007C4C1C" w:rsidRDefault="007C4C1C">
      <w:pPr>
        <w:pStyle w:val="FootnoteText"/>
      </w:pPr>
      <w:r>
        <w:rPr>
          <w:rStyle w:val="FootnoteReference"/>
        </w:rPr>
        <w:footnoteRef/>
      </w:r>
      <w:r>
        <w:t xml:space="preserve"> Exhibit No. ___ (MTT-1T) at 9:12-15.</w:t>
      </w:r>
    </w:p>
  </w:footnote>
  <w:footnote w:id="8">
    <w:p w:rsidR="007C4C1C" w:rsidRDefault="007C4C1C">
      <w:pPr>
        <w:pStyle w:val="FootnoteText"/>
      </w:pPr>
      <w:r>
        <w:rPr>
          <w:rStyle w:val="FootnoteReference"/>
        </w:rPr>
        <w:footnoteRef/>
      </w:r>
      <w:r>
        <w:t xml:space="preserve"> PSE Dockets UE-111048 &amp; UG-111049, Elgin, Exhibit No. ___ (KLE-1T) at 80:5-9.</w:t>
      </w:r>
    </w:p>
  </w:footnote>
  <w:footnote w:id="9">
    <w:p w:rsidR="007C4C1C" w:rsidRDefault="007C4C1C">
      <w:pPr>
        <w:pStyle w:val="FootnoteText"/>
      </w:pPr>
      <w:r>
        <w:rPr>
          <w:rStyle w:val="FootnoteReference"/>
        </w:rPr>
        <w:footnoteRef/>
      </w:r>
      <w:r>
        <w:t xml:space="preserve"> PSE Dockets UE-111048 &amp; UG-111049, Cavanagh, Exhibit No. ___ (RCC-1T) at 10:14.</w:t>
      </w:r>
    </w:p>
  </w:footnote>
  <w:footnote w:id="10">
    <w:p w:rsidR="007C4C1C" w:rsidRDefault="007C4C1C" w:rsidP="00942516">
      <w:pPr>
        <w:pStyle w:val="FootnoteText"/>
      </w:pPr>
      <w:r>
        <w:rPr>
          <w:rStyle w:val="FootnoteReference"/>
        </w:rPr>
        <w:footnoteRef/>
      </w:r>
      <w:r w:rsidRPr="008E73F2">
        <w:t xml:space="preserve"> </w:t>
      </w:r>
      <w:r>
        <w:t>Cavanagh, Exhibit No. ___ (RCC-1T) at 2:12-15 and at 5:20 to 6:20.</w:t>
      </w:r>
    </w:p>
  </w:footnote>
  <w:footnote w:id="11">
    <w:p w:rsidR="007C4C1C" w:rsidRPr="003416B0" w:rsidRDefault="007C4C1C" w:rsidP="003416B0">
      <w:pPr>
        <w:spacing w:line="240" w:lineRule="auto"/>
        <w:ind w:left="0" w:firstLine="0"/>
        <w:rPr>
          <w:sz w:val="20"/>
          <w:szCs w:val="20"/>
        </w:rPr>
      </w:pPr>
      <w:r w:rsidRPr="003416B0">
        <w:rPr>
          <w:rStyle w:val="FootnoteReference"/>
          <w:sz w:val="20"/>
          <w:szCs w:val="20"/>
        </w:rPr>
        <w:footnoteRef/>
      </w:r>
      <w:r w:rsidRPr="003416B0">
        <w:rPr>
          <w:sz w:val="20"/>
          <w:szCs w:val="20"/>
        </w:rPr>
        <w:t xml:space="preserve"> According to his testimony Exhibit No. ___ (RCC-1T) at 5:21 to 6:5</w:t>
      </w:r>
      <w:r>
        <w:rPr>
          <w:sz w:val="20"/>
          <w:szCs w:val="20"/>
        </w:rPr>
        <w:t xml:space="preserve">, </w:t>
      </w:r>
      <w:r w:rsidRPr="003416B0">
        <w:rPr>
          <w:sz w:val="20"/>
          <w:szCs w:val="20"/>
        </w:rPr>
        <w:t xml:space="preserve">Mr. Cavanagh relies on the Company’s </w:t>
      </w:r>
      <w:r>
        <w:rPr>
          <w:sz w:val="20"/>
          <w:szCs w:val="20"/>
        </w:rPr>
        <w:t>response to NWEC Data Request 2.</w:t>
      </w:r>
      <w:r w:rsidRPr="003416B0">
        <w:rPr>
          <w:sz w:val="20"/>
          <w:szCs w:val="20"/>
        </w:rPr>
        <w:t xml:space="preserve">  In </w:t>
      </w:r>
      <w:r>
        <w:rPr>
          <w:sz w:val="20"/>
          <w:szCs w:val="20"/>
        </w:rPr>
        <w:t xml:space="preserve">NWEC Data Request 2, which I have included as my Exhibit No. ___ (DJR-3), </w:t>
      </w:r>
      <w:r w:rsidRPr="003416B0">
        <w:rPr>
          <w:sz w:val="20"/>
          <w:szCs w:val="20"/>
        </w:rPr>
        <w:t>NWEC instructed Avista to use the following definition of “fixed costs”:</w:t>
      </w:r>
    </w:p>
    <w:p w:rsidR="007C4C1C" w:rsidRDefault="007C4C1C" w:rsidP="003416B0">
      <w:pPr>
        <w:spacing w:line="240" w:lineRule="auto"/>
        <w:ind w:left="1440"/>
        <w:rPr>
          <w:sz w:val="20"/>
          <w:szCs w:val="20"/>
        </w:rPr>
      </w:pPr>
    </w:p>
    <w:p w:rsidR="007C4C1C" w:rsidRDefault="007C4C1C" w:rsidP="00F47E21">
      <w:pPr>
        <w:spacing w:line="240" w:lineRule="auto"/>
        <w:ind w:firstLine="0"/>
        <w:rPr>
          <w:sz w:val="20"/>
          <w:szCs w:val="20"/>
        </w:rPr>
      </w:pPr>
      <w:r w:rsidRPr="003416B0">
        <w:rPr>
          <w:sz w:val="20"/>
          <w:szCs w:val="20"/>
        </w:rPr>
        <w:t>please define “fixed costs” as the company’s revenue requirement excluding production costs, which “are those that vary more or less directly with energy consumption in the short run”, including “fuel, purchased power”, and “transmission by others”.</w:t>
      </w:r>
    </w:p>
    <w:p w:rsidR="007C4C1C" w:rsidRPr="003F7147" w:rsidRDefault="007C4C1C" w:rsidP="003F7147">
      <w:pPr>
        <w:spacing w:line="240" w:lineRule="auto"/>
        <w:ind w:left="0" w:firstLine="0"/>
        <w:rPr>
          <w:sz w:val="20"/>
          <w:szCs w:val="20"/>
        </w:rPr>
      </w:pPr>
    </w:p>
    <w:p w:rsidR="007C4C1C" w:rsidRPr="003416B0" w:rsidRDefault="007C4C1C" w:rsidP="003416B0">
      <w:pPr>
        <w:pStyle w:val="FootnoteText"/>
      </w:pPr>
      <w:r w:rsidRPr="003416B0">
        <w:t xml:space="preserve">According to those same NWEC data request instructions, these definitions are from: “Regulatory Assistance Project, </w:t>
      </w:r>
      <w:r w:rsidRPr="003416B0">
        <w:rPr>
          <w:i/>
        </w:rPr>
        <w:t xml:space="preserve">Revenue Regulation and Decoupling </w:t>
      </w:r>
      <w:r w:rsidRPr="003416B0">
        <w:t>(June 2011, p. 4).”</w:t>
      </w:r>
    </w:p>
  </w:footnote>
  <w:footnote w:id="12">
    <w:p w:rsidR="007C4C1C" w:rsidRDefault="007C4C1C" w:rsidP="00942516">
      <w:pPr>
        <w:pStyle w:val="FootnoteText"/>
      </w:pPr>
      <w:r>
        <w:rPr>
          <w:rStyle w:val="FootnoteReference"/>
        </w:rPr>
        <w:footnoteRef/>
      </w:r>
      <w:r>
        <w:t xml:space="preserve"> The accounting definition of a “fixed cost” is a cost that remains unchanged despite changes in volume or other units of production.</w:t>
      </w:r>
    </w:p>
  </w:footnote>
  <w:footnote w:id="13">
    <w:p w:rsidR="007C4C1C" w:rsidRDefault="007C4C1C" w:rsidP="00942516">
      <w:pPr>
        <w:pStyle w:val="FootnoteText"/>
      </w:pPr>
      <w:r>
        <w:rPr>
          <w:rStyle w:val="FootnoteReference"/>
        </w:rPr>
        <w:footnoteRef/>
      </w:r>
      <w:r>
        <w:t xml:space="preserve"> In the current low natural gas price environment, Avista would probably not recover all of its power supply costs through wholesale sales.</w:t>
      </w:r>
    </w:p>
  </w:footnote>
  <w:footnote w:id="14">
    <w:p w:rsidR="007C4C1C" w:rsidRDefault="007C4C1C" w:rsidP="00617FB7">
      <w:pPr>
        <w:pStyle w:val="FootnoteText"/>
      </w:pPr>
      <w:r>
        <w:rPr>
          <w:rStyle w:val="FootnoteReference"/>
        </w:rPr>
        <w:footnoteRef/>
      </w:r>
      <w:r>
        <w:t xml:space="preserve"> </w:t>
      </w:r>
      <w:r w:rsidRPr="00B566D0">
        <w:t>Decoupling Policy Statement at 18, Criterion 1, ¶ 28.</w:t>
      </w:r>
    </w:p>
  </w:footnote>
  <w:footnote w:id="15">
    <w:p w:rsidR="007C4C1C" w:rsidRDefault="007C4C1C">
      <w:pPr>
        <w:pStyle w:val="FootnoteText"/>
      </w:pPr>
      <w:r>
        <w:rPr>
          <w:rStyle w:val="FootnoteReference"/>
        </w:rPr>
        <w:footnoteRef/>
      </w:r>
      <w:r>
        <w:t xml:space="preserve"> Cavanagh, Exhibit No. ___ (RCC-1T) at 10:3.</w:t>
      </w:r>
    </w:p>
  </w:footnote>
  <w:footnote w:id="16">
    <w:p w:rsidR="007C4C1C" w:rsidRDefault="007C4C1C" w:rsidP="00617FB7">
      <w:pPr>
        <w:pStyle w:val="FootnoteText"/>
      </w:pPr>
      <w:r>
        <w:rPr>
          <w:rStyle w:val="FootnoteReference"/>
        </w:rPr>
        <w:footnoteRef/>
      </w:r>
      <w:r>
        <w:t xml:space="preserve"> Cavanagh, Exhibit No. ___ (RCC-1T) at 10:3-6.</w:t>
      </w:r>
    </w:p>
  </w:footnote>
  <w:footnote w:id="17">
    <w:p w:rsidR="007C4C1C" w:rsidRDefault="007C4C1C">
      <w:pPr>
        <w:pStyle w:val="FootnoteText"/>
      </w:pPr>
      <w:r>
        <w:rPr>
          <w:rStyle w:val="FootnoteReference"/>
        </w:rPr>
        <w:footnoteRef/>
      </w:r>
      <w:r>
        <w:t xml:space="preserve"> See Exhibit No. ___ (DJR-2), at 8 and 9, and Appendix 1 Workpapers, Electric, at 1c.</w:t>
      </w:r>
    </w:p>
  </w:footnote>
  <w:footnote w:id="18">
    <w:p w:rsidR="007C4C1C" w:rsidRDefault="007C4C1C" w:rsidP="00617FB7">
      <w:pPr>
        <w:pStyle w:val="FootnoteText"/>
      </w:pPr>
      <w:r>
        <w:rPr>
          <w:rStyle w:val="FootnoteReference"/>
        </w:rPr>
        <w:footnoteRef/>
      </w:r>
      <w:r>
        <w:t xml:space="preserve"> Decoupling Policy Statement</w:t>
      </w:r>
      <w:r w:rsidRPr="00B566D0">
        <w:t xml:space="preserve"> at 16-17, ¶ 27</w:t>
      </w:r>
      <w:r>
        <w:t>.</w:t>
      </w:r>
    </w:p>
  </w:footnote>
  <w:footnote w:id="19">
    <w:p w:rsidR="007C4C1C" w:rsidRDefault="007C4C1C" w:rsidP="00617FB7">
      <w:pPr>
        <w:pStyle w:val="FootnoteText"/>
      </w:pPr>
      <w:r>
        <w:rPr>
          <w:rStyle w:val="FootnoteReference"/>
        </w:rPr>
        <w:footnoteRef/>
      </w:r>
      <w:r>
        <w:t xml:space="preserve"> Id. at 17, Element 2, ¶ 28.</w:t>
      </w:r>
    </w:p>
  </w:footnote>
  <w:footnote w:id="20">
    <w:p w:rsidR="007C4C1C" w:rsidRDefault="007C4C1C" w:rsidP="00E84BCE">
      <w:pPr>
        <w:pStyle w:val="FootnoteText"/>
      </w:pPr>
      <w:r>
        <w:rPr>
          <w:rStyle w:val="FootnoteReference"/>
        </w:rPr>
        <w:footnoteRef/>
      </w:r>
      <w:r>
        <w:t xml:space="preserve"> Cavanagh, Exhibit No. ___ (RCC-1T) at 16:13-19.</w:t>
      </w:r>
    </w:p>
  </w:footnote>
  <w:footnote w:id="21">
    <w:p w:rsidR="007C4C1C" w:rsidRDefault="007C4C1C" w:rsidP="00617FB7">
      <w:pPr>
        <w:pStyle w:val="FootnoteText"/>
      </w:pPr>
      <w:r>
        <w:rPr>
          <w:rStyle w:val="FootnoteReference"/>
        </w:rPr>
        <w:footnoteRef/>
      </w:r>
      <w:r>
        <w:t xml:space="preserve"> Id. at 17:1-3.</w:t>
      </w:r>
    </w:p>
  </w:footnote>
  <w:footnote w:id="22">
    <w:p w:rsidR="007C4C1C" w:rsidRDefault="007C4C1C">
      <w:pPr>
        <w:pStyle w:val="FootnoteText"/>
      </w:pPr>
      <w:r>
        <w:rPr>
          <w:rStyle w:val="FootnoteReference"/>
        </w:rPr>
        <w:footnoteRef/>
      </w:r>
      <w:r>
        <w:t xml:space="preserve"> See Exhibit No. ___ (DJR-4) Regulatory Assistance Project, </w:t>
      </w:r>
      <w:r w:rsidRPr="00B300D2">
        <w:rPr>
          <w:i/>
        </w:rPr>
        <w:t>Revenue Regulation and Decoupling: A Guide to Theory and Application</w:t>
      </w:r>
      <w:r>
        <w:t xml:space="preserve"> (June 2011), at 38, section 10.2. “If the risk mitigation measure is put in place only for a limited period, or the regulatory commission has a record of changing its regulatory principles frequently, the ratings agency may not recognize the measure.”</w:t>
      </w:r>
    </w:p>
  </w:footnote>
  <w:footnote w:id="23">
    <w:p w:rsidR="007C4C1C" w:rsidRDefault="007C4C1C" w:rsidP="00617FB7">
      <w:pPr>
        <w:pStyle w:val="FootnoteText"/>
      </w:pPr>
      <w:r>
        <w:rPr>
          <w:rStyle w:val="FootnoteReference"/>
        </w:rPr>
        <w:footnoteRef/>
      </w:r>
      <w:r>
        <w:t xml:space="preserve"> Id. at 38, first paragraph.</w:t>
      </w:r>
    </w:p>
  </w:footnote>
  <w:footnote w:id="24">
    <w:p w:rsidR="007C4C1C" w:rsidRDefault="007C4C1C">
      <w:pPr>
        <w:pStyle w:val="FootnoteText"/>
      </w:pPr>
      <w:r>
        <w:rPr>
          <w:rStyle w:val="FootnoteReference"/>
        </w:rPr>
        <w:footnoteRef/>
      </w:r>
      <w:r>
        <w:t xml:space="preserve"> Id. at 39, first paragraph.</w:t>
      </w:r>
    </w:p>
  </w:footnote>
  <w:footnote w:id="25">
    <w:p w:rsidR="007C4C1C" w:rsidRDefault="007C4C1C" w:rsidP="00617FB7">
      <w:pPr>
        <w:pStyle w:val="FootnoteText"/>
      </w:pPr>
      <w:r>
        <w:rPr>
          <w:rStyle w:val="FootnoteReference"/>
        </w:rPr>
        <w:footnoteRef/>
      </w:r>
      <w:r>
        <w:t xml:space="preserve"> Id. at 39, last paragraph.</w:t>
      </w:r>
    </w:p>
  </w:footnote>
  <w:footnote w:id="26">
    <w:p w:rsidR="007C4C1C" w:rsidRDefault="007C4C1C">
      <w:pPr>
        <w:pStyle w:val="FootnoteText"/>
      </w:pPr>
      <w:r>
        <w:rPr>
          <w:rStyle w:val="FootnoteReference"/>
        </w:rPr>
        <w:footnoteRef/>
      </w:r>
      <w:r>
        <w:t xml:space="preserve"> Decoupling Policy Statement, Appendix 6, at 3.</w:t>
      </w:r>
    </w:p>
  </w:footnote>
  <w:footnote w:id="27">
    <w:p w:rsidR="007C4C1C" w:rsidRDefault="007C4C1C" w:rsidP="00617FB7">
      <w:pPr>
        <w:pStyle w:val="FootnoteText"/>
      </w:pPr>
      <w:r>
        <w:rPr>
          <w:rStyle w:val="FootnoteReference"/>
        </w:rPr>
        <w:footnoteRef/>
      </w:r>
      <w:r>
        <w:t xml:space="preserve"> Id. at 17, Description of Mechanism, ¶ 28.</w:t>
      </w:r>
    </w:p>
  </w:footnote>
  <w:footnote w:id="28">
    <w:p w:rsidR="007C4C1C" w:rsidRDefault="007C4C1C" w:rsidP="00617FB7">
      <w:pPr>
        <w:pStyle w:val="FootnoteText"/>
      </w:pPr>
      <w:r>
        <w:rPr>
          <w:rStyle w:val="FootnoteReference"/>
        </w:rPr>
        <w:footnoteRef/>
      </w:r>
      <w:r>
        <w:t xml:space="preserve"> Id. at 20, ¶ 31, 32.</w:t>
      </w:r>
    </w:p>
  </w:footnote>
  <w:footnote w:id="29">
    <w:p w:rsidR="007C4C1C" w:rsidRDefault="007C4C1C">
      <w:pPr>
        <w:pStyle w:val="FootnoteText"/>
      </w:pPr>
      <w:r>
        <w:rPr>
          <w:rStyle w:val="FootnoteReference"/>
        </w:rPr>
        <w:footnoteRef/>
      </w:r>
      <w:r>
        <w:t xml:space="preserve"> Id. at 19, Criterion 4, ¶ 28.</w:t>
      </w:r>
    </w:p>
  </w:footnote>
  <w:footnote w:id="30">
    <w:p w:rsidR="007C4C1C" w:rsidRDefault="007C4C1C">
      <w:pPr>
        <w:pStyle w:val="FootnoteText"/>
      </w:pPr>
      <w:r>
        <w:rPr>
          <w:rStyle w:val="FootnoteReference"/>
        </w:rPr>
        <w:footnoteRef/>
      </w:r>
      <w:r>
        <w:t xml:space="preserve"> Id. at 19, Criterion 3, ¶ 28.</w:t>
      </w:r>
    </w:p>
  </w:footnote>
  <w:footnote w:id="31">
    <w:p w:rsidR="007C4C1C" w:rsidRDefault="007C4C1C">
      <w:pPr>
        <w:pStyle w:val="FootnoteText"/>
      </w:pPr>
      <w:r>
        <w:rPr>
          <w:rStyle w:val="FootnoteReference"/>
        </w:rPr>
        <w:footnoteRef/>
      </w:r>
      <w:r>
        <w:t xml:space="preserve"> Cavanagh, Exhibit No. __ (RCC-1T) at 7:1-13.</w:t>
      </w:r>
    </w:p>
  </w:footnote>
  <w:footnote w:id="32">
    <w:p w:rsidR="007C4C1C" w:rsidRDefault="007C4C1C" w:rsidP="00617FB7">
      <w:pPr>
        <w:pStyle w:val="FootnoteText"/>
      </w:pPr>
      <w:r>
        <w:rPr>
          <w:rStyle w:val="FootnoteReference"/>
        </w:rPr>
        <w:footnoteRef/>
      </w:r>
      <w:r>
        <w:t xml:space="preserve"> Decoupling Policy Statement at </w:t>
      </w:r>
      <w:r w:rsidRPr="00B566D0">
        <w:t>17, Element 4, ¶ 28.</w:t>
      </w:r>
    </w:p>
  </w:footnote>
  <w:footnote w:id="33">
    <w:p w:rsidR="007C4C1C" w:rsidRDefault="007C4C1C" w:rsidP="00617FB7">
      <w:pPr>
        <w:pStyle w:val="FootnoteText"/>
      </w:pPr>
      <w:r>
        <w:rPr>
          <w:rStyle w:val="FootnoteReference"/>
        </w:rPr>
        <w:footnoteRef/>
      </w:r>
      <w:r>
        <w:t xml:space="preserve"> Id. at n. 45.</w:t>
      </w:r>
    </w:p>
  </w:footnote>
  <w:footnote w:id="34">
    <w:p w:rsidR="007C4C1C" w:rsidRDefault="007C4C1C">
      <w:pPr>
        <w:pStyle w:val="FootnoteText"/>
      </w:pPr>
      <w:r>
        <w:rPr>
          <w:rStyle w:val="FootnoteReference"/>
        </w:rPr>
        <w:footnoteRef/>
      </w:r>
      <w:r>
        <w:t xml:space="preserve"> In the absence of an energy cost adjustment clause, this part of the decoupling policy would be very difficult and administratively burdensome to apply.</w:t>
      </w:r>
    </w:p>
  </w:footnote>
  <w:footnote w:id="35">
    <w:p w:rsidR="007C4C1C" w:rsidRDefault="007C4C1C" w:rsidP="00617FB7">
      <w:pPr>
        <w:pStyle w:val="FootnoteText"/>
      </w:pPr>
      <w:r>
        <w:rPr>
          <w:rStyle w:val="FootnoteReference"/>
        </w:rPr>
        <w:footnoteRef/>
      </w:r>
      <w:r>
        <w:t xml:space="preserve"> Cavanagh, Exhibit No. ___ (RCC-1T) at 12:7-13.</w:t>
      </w:r>
    </w:p>
  </w:footnote>
  <w:footnote w:id="36">
    <w:p w:rsidR="007C4C1C" w:rsidRDefault="007C4C1C">
      <w:pPr>
        <w:pStyle w:val="FootnoteText"/>
      </w:pPr>
      <w:r>
        <w:rPr>
          <w:rStyle w:val="FootnoteReference"/>
        </w:rPr>
        <w:footnoteRef/>
      </w:r>
      <w:r>
        <w:t xml:space="preserve"> Exhibit No. ___ (DJR-2), at 18.</w:t>
      </w:r>
    </w:p>
  </w:footnote>
  <w:footnote w:id="37">
    <w:p w:rsidR="007C4C1C" w:rsidRDefault="007C4C1C" w:rsidP="00471AFC">
      <w:pPr>
        <w:pStyle w:val="FootnoteText"/>
      </w:pPr>
      <w:r>
        <w:rPr>
          <w:rStyle w:val="FootnoteReference"/>
        </w:rPr>
        <w:footnoteRef/>
      </w:r>
      <w:r>
        <w:t xml:space="preserve"> Exhibit No. ___ (DJR-2) includes an earnings test for discussion purposes that was essentially the same as that addressed by Mr. Cavanagh.  It is also very similar to the earnings test in Avista’s gas decoupling mechanism, although Avista’s gas mechanism does not contemplate the 25 basis point dead band.  I would clarify, however, that whatever dead band is chosen by the Commission, it should be based on a rate of return set in the general rate case that implements decoupling.  In addition, the dead band should be carefully crafted to provide upside earnings only if the Company can demonstrate a connection between achieved efficiencies beyond those required by statute and its earnings at the high end of any range determined to be fair.</w:t>
      </w:r>
    </w:p>
  </w:footnote>
  <w:footnote w:id="38">
    <w:p w:rsidR="007C4C1C" w:rsidRDefault="007C4C1C">
      <w:pPr>
        <w:pStyle w:val="FootnoteText"/>
      </w:pPr>
      <w:r>
        <w:rPr>
          <w:rStyle w:val="FootnoteReference"/>
        </w:rPr>
        <w:footnoteRef/>
      </w:r>
      <w:r>
        <w:t xml:space="preserve"> Exhibit No. ___ (DJR-2), at 13-14, and Appendix 1 Workpapers, Electric, at 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2C2D76D5"/>
    <w:multiLevelType w:val="hybridMultilevel"/>
    <w:tmpl w:val="261C5CB4"/>
    <w:lvl w:ilvl="0" w:tplc="B4745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5AA6066"/>
    <w:multiLevelType w:val="hybridMultilevel"/>
    <w:tmpl w:val="BE2639DA"/>
    <w:lvl w:ilvl="0" w:tplc="B8C0421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3"/>
  </w:num>
  <w:num w:numId="6">
    <w:abstractNumId w:val="6"/>
    <w:lvlOverride w:ilvl="0">
      <w:startOverride w:val="1"/>
    </w:lvlOverride>
  </w:num>
  <w:num w:numId="7">
    <w:abstractNumId w:val="0"/>
  </w:num>
  <w:num w:numId="8">
    <w:abstractNumId w:val="11"/>
  </w:num>
  <w:num w:numId="9">
    <w:abstractNumId w:val="6"/>
  </w:num>
  <w:num w:numId="10">
    <w:abstractNumId w:val="10"/>
  </w:num>
  <w:num w:numId="11">
    <w:abstractNumId w:val="12"/>
  </w:num>
  <w:num w:numId="12">
    <w:abstractNumId w:val="9"/>
  </w:num>
  <w:num w:numId="13">
    <w:abstractNumId w:val="5"/>
  </w:num>
  <w:num w:numId="14">
    <w:abstractNumId w:val="8"/>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04CFA"/>
    <w:rsid w:val="00007075"/>
    <w:rsid w:val="00012CB6"/>
    <w:rsid w:val="00042186"/>
    <w:rsid w:val="000463A0"/>
    <w:rsid w:val="00054A44"/>
    <w:rsid w:val="0006130D"/>
    <w:rsid w:val="000679D6"/>
    <w:rsid w:val="0007020D"/>
    <w:rsid w:val="000704BF"/>
    <w:rsid w:val="00081BA2"/>
    <w:rsid w:val="000935EF"/>
    <w:rsid w:val="00094CA0"/>
    <w:rsid w:val="000A5963"/>
    <w:rsid w:val="000D275A"/>
    <w:rsid w:val="000D4363"/>
    <w:rsid w:val="000D4851"/>
    <w:rsid w:val="000D6770"/>
    <w:rsid w:val="000E1B39"/>
    <w:rsid w:val="000E640C"/>
    <w:rsid w:val="000F025A"/>
    <w:rsid w:val="000F3CE1"/>
    <w:rsid w:val="000F5581"/>
    <w:rsid w:val="00100077"/>
    <w:rsid w:val="001102D2"/>
    <w:rsid w:val="00111BFB"/>
    <w:rsid w:val="00112861"/>
    <w:rsid w:val="00112E75"/>
    <w:rsid w:val="00113E2D"/>
    <w:rsid w:val="00114697"/>
    <w:rsid w:val="00114823"/>
    <w:rsid w:val="00114F78"/>
    <w:rsid w:val="001206C9"/>
    <w:rsid w:val="001321CB"/>
    <w:rsid w:val="00136BB7"/>
    <w:rsid w:val="001603F9"/>
    <w:rsid w:val="0016191E"/>
    <w:rsid w:val="00167359"/>
    <w:rsid w:val="0017202C"/>
    <w:rsid w:val="00177F6E"/>
    <w:rsid w:val="00181989"/>
    <w:rsid w:val="001A5508"/>
    <w:rsid w:val="001A6E46"/>
    <w:rsid w:val="001A7E9C"/>
    <w:rsid w:val="001B3F5A"/>
    <w:rsid w:val="001B53CA"/>
    <w:rsid w:val="001C1453"/>
    <w:rsid w:val="001C1CB0"/>
    <w:rsid w:val="001C59A2"/>
    <w:rsid w:val="001C5AB1"/>
    <w:rsid w:val="001D475C"/>
    <w:rsid w:val="001D766B"/>
    <w:rsid w:val="001E1D7A"/>
    <w:rsid w:val="001E2B14"/>
    <w:rsid w:val="001F688A"/>
    <w:rsid w:val="002060C4"/>
    <w:rsid w:val="002104A9"/>
    <w:rsid w:val="0021376B"/>
    <w:rsid w:val="00213C95"/>
    <w:rsid w:val="00222B75"/>
    <w:rsid w:val="00225257"/>
    <w:rsid w:val="0023063E"/>
    <w:rsid w:val="00234904"/>
    <w:rsid w:val="002353CA"/>
    <w:rsid w:val="002366EF"/>
    <w:rsid w:val="002406B2"/>
    <w:rsid w:val="00246AAB"/>
    <w:rsid w:val="00253ED0"/>
    <w:rsid w:val="002540E1"/>
    <w:rsid w:val="002646D5"/>
    <w:rsid w:val="002748A5"/>
    <w:rsid w:val="00277F8D"/>
    <w:rsid w:val="00284257"/>
    <w:rsid w:val="00290B02"/>
    <w:rsid w:val="00291A68"/>
    <w:rsid w:val="00292EAA"/>
    <w:rsid w:val="00296766"/>
    <w:rsid w:val="00297341"/>
    <w:rsid w:val="002A6A88"/>
    <w:rsid w:val="002B0F6A"/>
    <w:rsid w:val="002B2E41"/>
    <w:rsid w:val="002C039A"/>
    <w:rsid w:val="002C67E3"/>
    <w:rsid w:val="002C7EB3"/>
    <w:rsid w:val="002D1E41"/>
    <w:rsid w:val="002E3ECB"/>
    <w:rsid w:val="002E4258"/>
    <w:rsid w:val="002F0871"/>
    <w:rsid w:val="002F09C6"/>
    <w:rsid w:val="002F3C7A"/>
    <w:rsid w:val="002F42C2"/>
    <w:rsid w:val="002F725A"/>
    <w:rsid w:val="003038D6"/>
    <w:rsid w:val="00311974"/>
    <w:rsid w:val="00315C94"/>
    <w:rsid w:val="00325302"/>
    <w:rsid w:val="00330F9D"/>
    <w:rsid w:val="003416B0"/>
    <w:rsid w:val="00343D20"/>
    <w:rsid w:val="00344870"/>
    <w:rsid w:val="003470F7"/>
    <w:rsid w:val="00351C7E"/>
    <w:rsid w:val="003666D3"/>
    <w:rsid w:val="00371C9A"/>
    <w:rsid w:val="003819E0"/>
    <w:rsid w:val="00396F9D"/>
    <w:rsid w:val="003A1692"/>
    <w:rsid w:val="003A2633"/>
    <w:rsid w:val="003A2DBF"/>
    <w:rsid w:val="003A4B39"/>
    <w:rsid w:val="003B01D4"/>
    <w:rsid w:val="003B07DA"/>
    <w:rsid w:val="003B3D07"/>
    <w:rsid w:val="003C4E16"/>
    <w:rsid w:val="003C5737"/>
    <w:rsid w:val="003C58AA"/>
    <w:rsid w:val="003D4879"/>
    <w:rsid w:val="003E0487"/>
    <w:rsid w:val="003E66ED"/>
    <w:rsid w:val="003F48DD"/>
    <w:rsid w:val="003F678D"/>
    <w:rsid w:val="003F6AF0"/>
    <w:rsid w:val="003F7147"/>
    <w:rsid w:val="00415995"/>
    <w:rsid w:val="004161DE"/>
    <w:rsid w:val="00441E00"/>
    <w:rsid w:val="00442040"/>
    <w:rsid w:val="00446C14"/>
    <w:rsid w:val="00464600"/>
    <w:rsid w:val="00465115"/>
    <w:rsid w:val="00471AFC"/>
    <w:rsid w:val="00473B72"/>
    <w:rsid w:val="00474436"/>
    <w:rsid w:val="0047510B"/>
    <w:rsid w:val="004764D7"/>
    <w:rsid w:val="00476BF9"/>
    <w:rsid w:val="00490E74"/>
    <w:rsid w:val="004971F8"/>
    <w:rsid w:val="004A44B6"/>
    <w:rsid w:val="004A70F2"/>
    <w:rsid w:val="004C46D9"/>
    <w:rsid w:val="004C4CB3"/>
    <w:rsid w:val="004D055B"/>
    <w:rsid w:val="004D1E64"/>
    <w:rsid w:val="004D3301"/>
    <w:rsid w:val="004D6132"/>
    <w:rsid w:val="004F5E27"/>
    <w:rsid w:val="00503B1B"/>
    <w:rsid w:val="00510E81"/>
    <w:rsid w:val="00516C71"/>
    <w:rsid w:val="00516E1D"/>
    <w:rsid w:val="00530B98"/>
    <w:rsid w:val="005336C3"/>
    <w:rsid w:val="00547916"/>
    <w:rsid w:val="00552600"/>
    <w:rsid w:val="00554432"/>
    <w:rsid w:val="00554DB5"/>
    <w:rsid w:val="00556E2F"/>
    <w:rsid w:val="00561F39"/>
    <w:rsid w:val="005779A8"/>
    <w:rsid w:val="005824CD"/>
    <w:rsid w:val="0058735E"/>
    <w:rsid w:val="00592218"/>
    <w:rsid w:val="005936D4"/>
    <w:rsid w:val="005946ED"/>
    <w:rsid w:val="00596CB9"/>
    <w:rsid w:val="00596E8D"/>
    <w:rsid w:val="005A01C5"/>
    <w:rsid w:val="005A6C74"/>
    <w:rsid w:val="005B2107"/>
    <w:rsid w:val="005B30DB"/>
    <w:rsid w:val="005B37A2"/>
    <w:rsid w:val="005C3CE3"/>
    <w:rsid w:val="005D0776"/>
    <w:rsid w:val="005D2B05"/>
    <w:rsid w:val="005E01AE"/>
    <w:rsid w:val="005E1C96"/>
    <w:rsid w:val="005E25E5"/>
    <w:rsid w:val="005E769A"/>
    <w:rsid w:val="005F4E66"/>
    <w:rsid w:val="005F7FD2"/>
    <w:rsid w:val="006001BC"/>
    <w:rsid w:val="006008EB"/>
    <w:rsid w:val="00610A23"/>
    <w:rsid w:val="00617FB7"/>
    <w:rsid w:val="00636D17"/>
    <w:rsid w:val="0063721D"/>
    <w:rsid w:val="00640822"/>
    <w:rsid w:val="006472B4"/>
    <w:rsid w:val="006565DA"/>
    <w:rsid w:val="00660497"/>
    <w:rsid w:val="00663DCD"/>
    <w:rsid w:val="006721E8"/>
    <w:rsid w:val="00672F7B"/>
    <w:rsid w:val="00673AF0"/>
    <w:rsid w:val="006741D6"/>
    <w:rsid w:val="00682E2B"/>
    <w:rsid w:val="00685697"/>
    <w:rsid w:val="00690061"/>
    <w:rsid w:val="006911E2"/>
    <w:rsid w:val="00696FCF"/>
    <w:rsid w:val="006A122C"/>
    <w:rsid w:val="006A41EE"/>
    <w:rsid w:val="006B3E43"/>
    <w:rsid w:val="006C1D8C"/>
    <w:rsid w:val="006C2120"/>
    <w:rsid w:val="006C29D0"/>
    <w:rsid w:val="006C6715"/>
    <w:rsid w:val="006C789B"/>
    <w:rsid w:val="006D7286"/>
    <w:rsid w:val="006E42D0"/>
    <w:rsid w:val="006E4A04"/>
    <w:rsid w:val="006F41CA"/>
    <w:rsid w:val="006F4A1C"/>
    <w:rsid w:val="006F6866"/>
    <w:rsid w:val="00702379"/>
    <w:rsid w:val="00710447"/>
    <w:rsid w:val="00724773"/>
    <w:rsid w:val="00731383"/>
    <w:rsid w:val="00732F9C"/>
    <w:rsid w:val="00733FAF"/>
    <w:rsid w:val="00735B87"/>
    <w:rsid w:val="0073643B"/>
    <w:rsid w:val="00736791"/>
    <w:rsid w:val="007374E0"/>
    <w:rsid w:val="0074020D"/>
    <w:rsid w:val="007545DB"/>
    <w:rsid w:val="0076172D"/>
    <w:rsid w:val="0076422C"/>
    <w:rsid w:val="007713F7"/>
    <w:rsid w:val="007A6824"/>
    <w:rsid w:val="007B02E0"/>
    <w:rsid w:val="007B39D9"/>
    <w:rsid w:val="007B520C"/>
    <w:rsid w:val="007C3BFB"/>
    <w:rsid w:val="007C4C1C"/>
    <w:rsid w:val="007D3A17"/>
    <w:rsid w:val="007D66BC"/>
    <w:rsid w:val="007E150E"/>
    <w:rsid w:val="007F129F"/>
    <w:rsid w:val="007F60F1"/>
    <w:rsid w:val="00811DF2"/>
    <w:rsid w:val="00812039"/>
    <w:rsid w:val="008218CB"/>
    <w:rsid w:val="00821A71"/>
    <w:rsid w:val="00821F50"/>
    <w:rsid w:val="0082286A"/>
    <w:rsid w:val="00830679"/>
    <w:rsid w:val="008308F1"/>
    <w:rsid w:val="00831ECF"/>
    <w:rsid w:val="008324B6"/>
    <w:rsid w:val="008544F1"/>
    <w:rsid w:val="00857518"/>
    <w:rsid w:val="00864D9E"/>
    <w:rsid w:val="00880CD3"/>
    <w:rsid w:val="008864B5"/>
    <w:rsid w:val="008879CA"/>
    <w:rsid w:val="0089190E"/>
    <w:rsid w:val="008A2F38"/>
    <w:rsid w:val="008A3975"/>
    <w:rsid w:val="008B100D"/>
    <w:rsid w:val="008B66AC"/>
    <w:rsid w:val="008C3E2A"/>
    <w:rsid w:val="008C60B2"/>
    <w:rsid w:val="008D2E05"/>
    <w:rsid w:val="008E1D6C"/>
    <w:rsid w:val="008E2200"/>
    <w:rsid w:val="008E2346"/>
    <w:rsid w:val="008E585B"/>
    <w:rsid w:val="008E5ACA"/>
    <w:rsid w:val="008E73F2"/>
    <w:rsid w:val="008E7D71"/>
    <w:rsid w:val="008F305C"/>
    <w:rsid w:val="00914414"/>
    <w:rsid w:val="0091448E"/>
    <w:rsid w:val="00920E1C"/>
    <w:rsid w:val="00942516"/>
    <w:rsid w:val="00945865"/>
    <w:rsid w:val="0095015C"/>
    <w:rsid w:val="00954FFD"/>
    <w:rsid w:val="00955740"/>
    <w:rsid w:val="009679EC"/>
    <w:rsid w:val="0097377D"/>
    <w:rsid w:val="00973824"/>
    <w:rsid w:val="00973ADF"/>
    <w:rsid w:val="00981154"/>
    <w:rsid w:val="00983628"/>
    <w:rsid w:val="0098401F"/>
    <w:rsid w:val="00984EA0"/>
    <w:rsid w:val="00987BA7"/>
    <w:rsid w:val="00997F29"/>
    <w:rsid w:val="009A0554"/>
    <w:rsid w:val="009B0896"/>
    <w:rsid w:val="009B1C9D"/>
    <w:rsid w:val="009B281C"/>
    <w:rsid w:val="009C1910"/>
    <w:rsid w:val="009C19C7"/>
    <w:rsid w:val="009D4F75"/>
    <w:rsid w:val="009E549A"/>
    <w:rsid w:val="009E6C88"/>
    <w:rsid w:val="00A004B0"/>
    <w:rsid w:val="00A01E8D"/>
    <w:rsid w:val="00A149D4"/>
    <w:rsid w:val="00A20CE0"/>
    <w:rsid w:val="00A270A1"/>
    <w:rsid w:val="00A27CF4"/>
    <w:rsid w:val="00A3019D"/>
    <w:rsid w:val="00A306AD"/>
    <w:rsid w:val="00A30810"/>
    <w:rsid w:val="00A30EB7"/>
    <w:rsid w:val="00A4292E"/>
    <w:rsid w:val="00A43A6B"/>
    <w:rsid w:val="00A44191"/>
    <w:rsid w:val="00A63D82"/>
    <w:rsid w:val="00A653E9"/>
    <w:rsid w:val="00A722EF"/>
    <w:rsid w:val="00A72878"/>
    <w:rsid w:val="00A7685A"/>
    <w:rsid w:val="00A80BB4"/>
    <w:rsid w:val="00A831B7"/>
    <w:rsid w:val="00A84518"/>
    <w:rsid w:val="00A84C2A"/>
    <w:rsid w:val="00A91CF2"/>
    <w:rsid w:val="00A94537"/>
    <w:rsid w:val="00A96666"/>
    <w:rsid w:val="00A978EB"/>
    <w:rsid w:val="00A979BD"/>
    <w:rsid w:val="00AA0A52"/>
    <w:rsid w:val="00AA2F25"/>
    <w:rsid w:val="00AA640D"/>
    <w:rsid w:val="00AB30F9"/>
    <w:rsid w:val="00AC1C21"/>
    <w:rsid w:val="00AD040E"/>
    <w:rsid w:val="00AD1DF5"/>
    <w:rsid w:val="00AD3312"/>
    <w:rsid w:val="00AD64DE"/>
    <w:rsid w:val="00AE21E3"/>
    <w:rsid w:val="00AE273E"/>
    <w:rsid w:val="00AE3B2F"/>
    <w:rsid w:val="00B010CD"/>
    <w:rsid w:val="00B01A11"/>
    <w:rsid w:val="00B13041"/>
    <w:rsid w:val="00B134B6"/>
    <w:rsid w:val="00B138B7"/>
    <w:rsid w:val="00B13E4D"/>
    <w:rsid w:val="00B1407F"/>
    <w:rsid w:val="00B15324"/>
    <w:rsid w:val="00B16137"/>
    <w:rsid w:val="00B2591D"/>
    <w:rsid w:val="00B300D2"/>
    <w:rsid w:val="00B30A97"/>
    <w:rsid w:val="00B33C04"/>
    <w:rsid w:val="00B41609"/>
    <w:rsid w:val="00B43593"/>
    <w:rsid w:val="00B46C8F"/>
    <w:rsid w:val="00B5420A"/>
    <w:rsid w:val="00B63E58"/>
    <w:rsid w:val="00B65840"/>
    <w:rsid w:val="00B66CF4"/>
    <w:rsid w:val="00B73B9D"/>
    <w:rsid w:val="00B825DC"/>
    <w:rsid w:val="00B831CD"/>
    <w:rsid w:val="00B91784"/>
    <w:rsid w:val="00B95756"/>
    <w:rsid w:val="00BA007D"/>
    <w:rsid w:val="00BA38D8"/>
    <w:rsid w:val="00BB0E8F"/>
    <w:rsid w:val="00BC0C12"/>
    <w:rsid w:val="00BD70F7"/>
    <w:rsid w:val="00BE1DBA"/>
    <w:rsid w:val="00BE656D"/>
    <w:rsid w:val="00BE7E8D"/>
    <w:rsid w:val="00BF50A1"/>
    <w:rsid w:val="00BF620B"/>
    <w:rsid w:val="00BF7468"/>
    <w:rsid w:val="00C00C9F"/>
    <w:rsid w:val="00C258B3"/>
    <w:rsid w:val="00C278B3"/>
    <w:rsid w:val="00C310AE"/>
    <w:rsid w:val="00C31919"/>
    <w:rsid w:val="00C328C8"/>
    <w:rsid w:val="00C411A1"/>
    <w:rsid w:val="00C43E87"/>
    <w:rsid w:val="00C463B0"/>
    <w:rsid w:val="00C51A9F"/>
    <w:rsid w:val="00C53D3E"/>
    <w:rsid w:val="00C5557F"/>
    <w:rsid w:val="00C6599B"/>
    <w:rsid w:val="00C664DB"/>
    <w:rsid w:val="00C67A22"/>
    <w:rsid w:val="00C97ED8"/>
    <w:rsid w:val="00CA4CA2"/>
    <w:rsid w:val="00CB0EB4"/>
    <w:rsid w:val="00CB2203"/>
    <w:rsid w:val="00CB7FAC"/>
    <w:rsid w:val="00CC0444"/>
    <w:rsid w:val="00CC141D"/>
    <w:rsid w:val="00CC5995"/>
    <w:rsid w:val="00CD54E2"/>
    <w:rsid w:val="00CE1914"/>
    <w:rsid w:val="00CE236E"/>
    <w:rsid w:val="00CE278E"/>
    <w:rsid w:val="00CE3576"/>
    <w:rsid w:val="00CE798F"/>
    <w:rsid w:val="00CE7BE8"/>
    <w:rsid w:val="00CF357C"/>
    <w:rsid w:val="00CF5817"/>
    <w:rsid w:val="00D01A15"/>
    <w:rsid w:val="00D04702"/>
    <w:rsid w:val="00D1596A"/>
    <w:rsid w:val="00D225A3"/>
    <w:rsid w:val="00D237D4"/>
    <w:rsid w:val="00D31489"/>
    <w:rsid w:val="00D31A6A"/>
    <w:rsid w:val="00D40025"/>
    <w:rsid w:val="00D436E5"/>
    <w:rsid w:val="00D46259"/>
    <w:rsid w:val="00D539BE"/>
    <w:rsid w:val="00D551D4"/>
    <w:rsid w:val="00D741C3"/>
    <w:rsid w:val="00D76141"/>
    <w:rsid w:val="00D81441"/>
    <w:rsid w:val="00D93D67"/>
    <w:rsid w:val="00D94ACC"/>
    <w:rsid w:val="00DA1B86"/>
    <w:rsid w:val="00DA2A67"/>
    <w:rsid w:val="00DB2A12"/>
    <w:rsid w:val="00DB7104"/>
    <w:rsid w:val="00DC5950"/>
    <w:rsid w:val="00DD2A47"/>
    <w:rsid w:val="00DD7C06"/>
    <w:rsid w:val="00DD7EE8"/>
    <w:rsid w:val="00DE51DB"/>
    <w:rsid w:val="00DF34FA"/>
    <w:rsid w:val="00DF4B26"/>
    <w:rsid w:val="00DF5D03"/>
    <w:rsid w:val="00E07C71"/>
    <w:rsid w:val="00E10504"/>
    <w:rsid w:val="00E15D15"/>
    <w:rsid w:val="00E175DD"/>
    <w:rsid w:val="00E21DEE"/>
    <w:rsid w:val="00E23D8D"/>
    <w:rsid w:val="00E3238D"/>
    <w:rsid w:val="00E347E0"/>
    <w:rsid w:val="00E36EA2"/>
    <w:rsid w:val="00E45A13"/>
    <w:rsid w:val="00E47B62"/>
    <w:rsid w:val="00E53711"/>
    <w:rsid w:val="00E56E17"/>
    <w:rsid w:val="00E65070"/>
    <w:rsid w:val="00E6599B"/>
    <w:rsid w:val="00E7042A"/>
    <w:rsid w:val="00E70478"/>
    <w:rsid w:val="00E770AA"/>
    <w:rsid w:val="00E84BCE"/>
    <w:rsid w:val="00E86D10"/>
    <w:rsid w:val="00EA17DD"/>
    <w:rsid w:val="00EA2524"/>
    <w:rsid w:val="00EA7939"/>
    <w:rsid w:val="00EC125F"/>
    <w:rsid w:val="00EC1326"/>
    <w:rsid w:val="00EC45FD"/>
    <w:rsid w:val="00ED1DE0"/>
    <w:rsid w:val="00ED2025"/>
    <w:rsid w:val="00ED713C"/>
    <w:rsid w:val="00EE0598"/>
    <w:rsid w:val="00EF0C1F"/>
    <w:rsid w:val="00EF46EB"/>
    <w:rsid w:val="00EF60DE"/>
    <w:rsid w:val="00F10BE1"/>
    <w:rsid w:val="00F21B68"/>
    <w:rsid w:val="00F25ED2"/>
    <w:rsid w:val="00F26464"/>
    <w:rsid w:val="00F33615"/>
    <w:rsid w:val="00F339FC"/>
    <w:rsid w:val="00F343AD"/>
    <w:rsid w:val="00F46975"/>
    <w:rsid w:val="00F46D6D"/>
    <w:rsid w:val="00F47E21"/>
    <w:rsid w:val="00F5062B"/>
    <w:rsid w:val="00F53422"/>
    <w:rsid w:val="00F57F94"/>
    <w:rsid w:val="00F65613"/>
    <w:rsid w:val="00F83AD8"/>
    <w:rsid w:val="00F86E60"/>
    <w:rsid w:val="00F90CBF"/>
    <w:rsid w:val="00F94773"/>
    <w:rsid w:val="00F94EB8"/>
    <w:rsid w:val="00FB2784"/>
    <w:rsid w:val="00FC3AB6"/>
    <w:rsid w:val="00FD2C45"/>
    <w:rsid w:val="00FD6AD8"/>
    <w:rsid w:val="00FE0A2C"/>
    <w:rsid w:val="00FE7E3B"/>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3711"/>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E53711"/>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71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53711"/>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uiPriority w:val="99"/>
    <w:qFormat/>
    <w:rsid w:val="00A91CF2"/>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91CF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F025A"/>
    <w:pPr>
      <w:tabs>
        <w:tab w:val="clear" w:pos="-1440"/>
        <w:tab w:val="left" w:pos="720"/>
        <w:tab w:val="left" w:pos="1440"/>
        <w:tab w:val="left" w:pos="2160"/>
        <w:tab w:val="right" w:leader="dot" w:pos="8910"/>
      </w:tabs>
      <w:spacing w:after="100" w:line="240" w:lineRule="auto"/>
      <w:ind w:left="0" w:firstLine="0"/>
      <w:jc w:val="center"/>
    </w:pPr>
    <w:rPr>
      <w:b/>
    </w:rPr>
  </w:style>
  <w:style w:type="paragraph" w:styleId="TOC2">
    <w:name w:val="toc 2"/>
    <w:basedOn w:val="Normal"/>
    <w:next w:val="Normal"/>
    <w:autoRedefine/>
    <w:uiPriority w:val="39"/>
    <w:unhideWhenUsed/>
    <w:rsid w:val="000704BF"/>
    <w:pPr>
      <w:tabs>
        <w:tab w:val="clear" w:pos="-1440"/>
      </w:tabs>
      <w:spacing w:after="100"/>
      <w:ind w:left="240"/>
    </w:pPr>
  </w:style>
  <w:style w:type="character" w:styleId="Hyperlink">
    <w:name w:val="Hyperlink"/>
    <w:basedOn w:val="DefaultParagraphFont"/>
    <w:uiPriority w:val="99"/>
    <w:unhideWhenUsed/>
    <w:rsid w:val="00070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3711"/>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E53711"/>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71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53711"/>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uiPriority w:val="99"/>
    <w:qFormat/>
    <w:rsid w:val="00A91CF2"/>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91CF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F025A"/>
    <w:pPr>
      <w:tabs>
        <w:tab w:val="clear" w:pos="-1440"/>
        <w:tab w:val="left" w:pos="720"/>
        <w:tab w:val="left" w:pos="1440"/>
        <w:tab w:val="left" w:pos="2160"/>
        <w:tab w:val="right" w:leader="dot" w:pos="8910"/>
      </w:tabs>
      <w:spacing w:after="100" w:line="240" w:lineRule="auto"/>
      <w:ind w:left="0" w:firstLine="0"/>
      <w:jc w:val="center"/>
    </w:pPr>
    <w:rPr>
      <w:b/>
    </w:rPr>
  </w:style>
  <w:style w:type="paragraph" w:styleId="TOC2">
    <w:name w:val="toc 2"/>
    <w:basedOn w:val="Normal"/>
    <w:next w:val="Normal"/>
    <w:autoRedefine/>
    <w:uiPriority w:val="39"/>
    <w:unhideWhenUsed/>
    <w:rsid w:val="000704BF"/>
    <w:pPr>
      <w:tabs>
        <w:tab w:val="clear" w:pos="-1440"/>
      </w:tabs>
      <w:spacing w:after="100"/>
      <w:ind w:left="240"/>
    </w:pPr>
  </w:style>
  <w:style w:type="character" w:styleId="Hyperlink">
    <w:name w:val="Hyperlink"/>
    <w:basedOn w:val="DefaultParagraphFont"/>
    <w:uiPriority w:val="99"/>
    <w:unhideWhenUsed/>
    <w:rsid w:val="00070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93E350-43CC-4275-B421-8596B5144D05}"/>
</file>

<file path=customXml/itemProps2.xml><?xml version="1.0" encoding="utf-8"?>
<ds:datastoreItem xmlns:ds="http://schemas.openxmlformats.org/officeDocument/2006/customXml" ds:itemID="{26E0626F-4A77-4A7D-ADA5-E9A8799A8909}"/>
</file>

<file path=customXml/itemProps3.xml><?xml version="1.0" encoding="utf-8"?>
<ds:datastoreItem xmlns:ds="http://schemas.openxmlformats.org/officeDocument/2006/customXml" ds:itemID="{4B292176-8E0F-41D3-8738-A71CB8A95FA1}"/>
</file>

<file path=customXml/itemProps4.xml><?xml version="1.0" encoding="utf-8"?>
<ds:datastoreItem xmlns:ds="http://schemas.openxmlformats.org/officeDocument/2006/customXml" ds:itemID="{24348AE1-8A48-4222-8995-F638B2B6D90E}"/>
</file>

<file path=customXml/itemProps5.xml><?xml version="1.0" encoding="utf-8"?>
<ds:datastoreItem xmlns:ds="http://schemas.openxmlformats.org/officeDocument/2006/customXml" ds:itemID="{69183FCC-FDE4-4D83-8285-B7041C0740A1}"/>
</file>

<file path=docProps/app.xml><?xml version="1.0" encoding="utf-8"?>
<Properties xmlns="http://schemas.openxmlformats.org/officeDocument/2006/extended-properties" xmlns:vt="http://schemas.openxmlformats.org/officeDocument/2006/docPropsVTypes">
  <Template>Normal.dotm</Template>
  <TotalTime>21</TotalTime>
  <Pages>23</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Reynolds</dc:creator>
  <cp:lastModifiedBy>Krista Gross</cp:lastModifiedBy>
  <cp:revision>9</cp:revision>
  <cp:lastPrinted>2012-02-24T17:35:00Z</cp:lastPrinted>
  <dcterms:created xsi:type="dcterms:W3CDTF">2012-02-24T17:24:00Z</dcterms:created>
  <dcterms:modified xsi:type="dcterms:W3CDTF">2012-02-24T18:14:00Z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