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05" w:rsidRDefault="00913105" w:rsidP="00913105">
      <w:pPr>
        <w:ind w:left="720" w:right="600"/>
      </w:pPr>
    </w:p>
    <w:p w:rsidR="00913105" w:rsidRPr="007C301E" w:rsidRDefault="00EB365F" w:rsidP="00CC4BC2">
      <w:pPr>
        <w:ind w:right="600"/>
        <w:rPr>
          <w:sz w:val="22"/>
          <w:szCs w:val="22"/>
        </w:rPr>
      </w:pPr>
      <w:r>
        <w:rPr>
          <w:sz w:val="22"/>
          <w:szCs w:val="22"/>
        </w:rPr>
        <w:t xml:space="preserve">October </w:t>
      </w:r>
      <w:r w:rsidR="00721D96">
        <w:rPr>
          <w:sz w:val="22"/>
          <w:szCs w:val="22"/>
        </w:rPr>
        <w:t>25</w:t>
      </w:r>
      <w:r w:rsidR="004C036C" w:rsidRPr="007C301E">
        <w:rPr>
          <w:sz w:val="22"/>
          <w:szCs w:val="22"/>
        </w:rPr>
        <w:t>, 2018</w:t>
      </w:r>
    </w:p>
    <w:p w:rsidR="004C036C" w:rsidRPr="007C301E" w:rsidRDefault="004C036C" w:rsidP="00913105">
      <w:pPr>
        <w:ind w:left="720" w:right="600"/>
        <w:rPr>
          <w:sz w:val="22"/>
          <w:szCs w:val="22"/>
        </w:rPr>
      </w:pPr>
    </w:p>
    <w:p w:rsidR="004C036C" w:rsidRPr="007C301E" w:rsidRDefault="004C036C" w:rsidP="00CC4BC2">
      <w:pPr>
        <w:ind w:right="600"/>
        <w:rPr>
          <w:sz w:val="22"/>
          <w:szCs w:val="22"/>
        </w:rPr>
      </w:pPr>
      <w:r w:rsidRPr="007C301E">
        <w:rPr>
          <w:sz w:val="22"/>
          <w:szCs w:val="22"/>
        </w:rPr>
        <w:t>Dear C</w:t>
      </w:r>
      <w:r w:rsidR="00EB365F">
        <w:rPr>
          <w:sz w:val="22"/>
          <w:szCs w:val="22"/>
        </w:rPr>
        <w:t>ommercial</w:t>
      </w:r>
      <w:r w:rsidRPr="007C301E">
        <w:rPr>
          <w:sz w:val="22"/>
          <w:szCs w:val="22"/>
        </w:rPr>
        <w:t xml:space="preserve"> Customer</w:t>
      </w:r>
    </w:p>
    <w:p w:rsidR="00913105" w:rsidRPr="007C301E" w:rsidRDefault="00913105" w:rsidP="006451D1">
      <w:pPr>
        <w:ind w:left="720" w:right="600"/>
        <w:jc w:val="both"/>
        <w:rPr>
          <w:sz w:val="22"/>
          <w:szCs w:val="22"/>
        </w:rPr>
      </w:pPr>
    </w:p>
    <w:p w:rsidR="00CC4BC2" w:rsidRPr="007C301E" w:rsidRDefault="00115F5B" w:rsidP="006451D1">
      <w:pPr>
        <w:pStyle w:val="NoSpacing"/>
        <w:jc w:val="both"/>
        <w:rPr>
          <w:rFonts w:ascii="Times New Roman" w:hAnsi="Times New Roman" w:cs="Times New Roman"/>
        </w:rPr>
      </w:pPr>
      <w:r w:rsidRPr="007C301E">
        <w:rPr>
          <w:rFonts w:ascii="Times New Roman" w:hAnsi="Times New Roman" w:cs="Times New Roman"/>
        </w:rPr>
        <w:t>You are likely aware of recent changes by Whatcom County</w:t>
      </w:r>
      <w:r w:rsidR="00960F32" w:rsidRPr="007C301E">
        <w:rPr>
          <w:rFonts w:ascii="Times New Roman" w:hAnsi="Times New Roman" w:cs="Times New Roman"/>
        </w:rPr>
        <w:t xml:space="preserve"> </w:t>
      </w:r>
      <w:r w:rsidR="007C301E" w:rsidRPr="007C301E">
        <w:rPr>
          <w:rFonts w:ascii="Times New Roman" w:hAnsi="Times New Roman" w:cs="Times New Roman"/>
        </w:rPr>
        <w:t>regarding how</w:t>
      </w:r>
      <w:r w:rsidRPr="007C301E">
        <w:rPr>
          <w:rFonts w:ascii="Times New Roman" w:hAnsi="Times New Roman" w:cs="Times New Roman"/>
        </w:rPr>
        <w:t xml:space="preserve"> </w:t>
      </w:r>
      <w:r w:rsidR="00EB365F">
        <w:rPr>
          <w:rFonts w:ascii="Times New Roman" w:hAnsi="Times New Roman" w:cs="Times New Roman"/>
        </w:rPr>
        <w:t xml:space="preserve">residential garbage collection </w:t>
      </w:r>
      <w:r w:rsidR="00EB365F" w:rsidRPr="007C301E">
        <w:rPr>
          <w:rFonts w:ascii="Times New Roman" w:hAnsi="Times New Roman" w:cs="Times New Roman"/>
        </w:rPr>
        <w:t>will</w:t>
      </w:r>
      <w:r w:rsidR="006451D1" w:rsidRPr="007C301E">
        <w:rPr>
          <w:rFonts w:ascii="Times New Roman" w:hAnsi="Times New Roman" w:cs="Times New Roman"/>
        </w:rPr>
        <w:t xml:space="preserve"> be billed for solid waste and </w:t>
      </w:r>
      <w:r w:rsidRPr="007C301E">
        <w:rPr>
          <w:rFonts w:ascii="Times New Roman" w:hAnsi="Times New Roman" w:cs="Times New Roman"/>
        </w:rPr>
        <w:t xml:space="preserve">recycling services beginning in </w:t>
      </w:r>
      <w:r w:rsidR="00CC4BC2" w:rsidRPr="007C301E">
        <w:rPr>
          <w:rFonts w:ascii="Times New Roman" w:hAnsi="Times New Roman" w:cs="Times New Roman"/>
        </w:rPr>
        <w:t xml:space="preserve">January </w:t>
      </w:r>
      <w:r w:rsidRPr="007C301E">
        <w:rPr>
          <w:rFonts w:ascii="Times New Roman" w:hAnsi="Times New Roman" w:cs="Times New Roman"/>
        </w:rPr>
        <w:t xml:space="preserve">2019. </w:t>
      </w:r>
      <w:r w:rsidR="00EB365F">
        <w:rPr>
          <w:rFonts w:ascii="Times New Roman" w:hAnsi="Times New Roman" w:cs="Times New Roman"/>
        </w:rPr>
        <w:t xml:space="preserve">This does not and will </w:t>
      </w:r>
      <w:r w:rsidR="00690A4F">
        <w:rPr>
          <w:rFonts w:ascii="Times New Roman" w:hAnsi="Times New Roman" w:cs="Times New Roman"/>
        </w:rPr>
        <w:t>not affect the manner in which c</w:t>
      </w:r>
      <w:r w:rsidR="00EB365F">
        <w:rPr>
          <w:rFonts w:ascii="Times New Roman" w:hAnsi="Times New Roman" w:cs="Times New Roman"/>
        </w:rPr>
        <w:t xml:space="preserve">ommercial customers will be billed. </w:t>
      </w:r>
    </w:p>
    <w:p w:rsidR="00CC4BC2" w:rsidRPr="007C301E" w:rsidRDefault="00CC4BC2" w:rsidP="006451D1">
      <w:pPr>
        <w:ind w:left="720" w:right="600"/>
        <w:jc w:val="both"/>
        <w:rPr>
          <w:sz w:val="22"/>
          <w:szCs w:val="22"/>
        </w:rPr>
      </w:pPr>
    </w:p>
    <w:p w:rsidR="00115F5B" w:rsidRPr="007C301E" w:rsidRDefault="00CC4BC2" w:rsidP="006451D1">
      <w:pPr>
        <w:pStyle w:val="NoSpacing"/>
        <w:jc w:val="both"/>
      </w:pPr>
      <w:r w:rsidRPr="007C301E">
        <w:rPr>
          <w:rFonts w:ascii="Times New Roman" w:hAnsi="Times New Roman" w:cs="Times New Roman"/>
        </w:rPr>
        <w:t xml:space="preserve">The result of these changes </w:t>
      </w:r>
      <w:r w:rsidR="00EB365F">
        <w:rPr>
          <w:rFonts w:ascii="Times New Roman" w:hAnsi="Times New Roman" w:cs="Times New Roman"/>
        </w:rPr>
        <w:t>has caused us to review our rates and services which include commercial collection services.</w:t>
      </w:r>
      <w:r w:rsidRPr="007C301E">
        <w:rPr>
          <w:rFonts w:ascii="Times New Roman" w:hAnsi="Times New Roman" w:cs="Times New Roman"/>
        </w:rPr>
        <w:t xml:space="preserve"> </w:t>
      </w:r>
      <w:r w:rsidR="00690A4F">
        <w:rPr>
          <w:rFonts w:ascii="Times New Roman" w:hAnsi="Times New Roman" w:cs="Times New Roman"/>
        </w:rPr>
        <w:t>We have not had an increase in</w:t>
      </w:r>
      <w:r w:rsidR="00EB365F">
        <w:rPr>
          <w:rFonts w:ascii="Times New Roman" w:hAnsi="Times New Roman" w:cs="Times New Roman"/>
        </w:rPr>
        <w:t xml:space="preserve"> our rates for any services since the inception of our initial tariff which was filed in 2008. </w:t>
      </w:r>
    </w:p>
    <w:p w:rsidR="00CC4BC2" w:rsidRPr="007C301E" w:rsidRDefault="00CC4BC2" w:rsidP="006451D1">
      <w:pPr>
        <w:ind w:left="720" w:right="600"/>
        <w:jc w:val="both"/>
        <w:rPr>
          <w:sz w:val="22"/>
          <w:szCs w:val="22"/>
        </w:rPr>
      </w:pPr>
    </w:p>
    <w:p w:rsidR="00CC4BC2" w:rsidRDefault="00CC4BC2" w:rsidP="006451D1">
      <w:pPr>
        <w:ind w:right="600"/>
        <w:jc w:val="both"/>
        <w:rPr>
          <w:sz w:val="22"/>
          <w:szCs w:val="22"/>
        </w:rPr>
      </w:pPr>
      <w:r w:rsidRPr="007C301E">
        <w:rPr>
          <w:sz w:val="22"/>
          <w:szCs w:val="22"/>
        </w:rPr>
        <w:t>The company proposes the following rates to be effective January 1, 2019:</w:t>
      </w:r>
    </w:p>
    <w:p w:rsidR="00704327" w:rsidRPr="00FE012A" w:rsidRDefault="00704327" w:rsidP="006451D1">
      <w:pPr>
        <w:ind w:right="600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2070"/>
        <w:gridCol w:w="2250"/>
      </w:tblGrid>
      <w:tr w:rsidR="00704327" w:rsidRPr="00FE012A" w:rsidTr="003B467B">
        <w:tc>
          <w:tcPr>
            <w:tcW w:w="5040" w:type="dxa"/>
          </w:tcPr>
          <w:p w:rsidR="00704327" w:rsidRPr="00FE012A" w:rsidRDefault="0066570B" w:rsidP="00704327">
            <w:pPr>
              <w:ind w:right="600"/>
              <w:jc w:val="center"/>
            </w:pPr>
            <w:r w:rsidRPr="0066570B">
              <w:t>SERVICE</w:t>
            </w:r>
          </w:p>
        </w:tc>
        <w:tc>
          <w:tcPr>
            <w:tcW w:w="2070" w:type="dxa"/>
          </w:tcPr>
          <w:p w:rsidR="00704327" w:rsidRPr="00FE012A" w:rsidRDefault="0066570B" w:rsidP="00704327">
            <w:pPr>
              <w:ind w:right="600"/>
              <w:jc w:val="center"/>
            </w:pPr>
            <w:r w:rsidRPr="0066570B">
              <w:t>EXISTING RATE</w:t>
            </w:r>
          </w:p>
        </w:tc>
        <w:tc>
          <w:tcPr>
            <w:tcW w:w="2250" w:type="dxa"/>
          </w:tcPr>
          <w:p w:rsidR="00704327" w:rsidRPr="00FE012A" w:rsidRDefault="0066570B" w:rsidP="00704327">
            <w:pPr>
              <w:ind w:right="600"/>
              <w:jc w:val="center"/>
            </w:pPr>
            <w:r w:rsidRPr="0066570B">
              <w:t>PROPOSED RATE</w:t>
            </w:r>
          </w:p>
        </w:tc>
      </w:tr>
      <w:tr w:rsidR="00704327" w:rsidRPr="00FE012A" w:rsidTr="00FE012A">
        <w:tc>
          <w:tcPr>
            <w:tcW w:w="5040" w:type="dxa"/>
          </w:tcPr>
          <w:p w:rsidR="00704327" w:rsidRPr="00FE012A" w:rsidRDefault="00FE012A" w:rsidP="006451D1">
            <w:pPr>
              <w:ind w:right="600"/>
              <w:jc w:val="both"/>
            </w:pPr>
            <w:r>
              <w:t>1</w:t>
            </w:r>
            <w:r w:rsidRPr="00FE012A">
              <w:t xml:space="preserve">½ Yard Container </w:t>
            </w:r>
            <w:r w:rsidR="0066570B" w:rsidRPr="0066570B">
              <w:t>Monthly Rent</w:t>
            </w:r>
          </w:p>
        </w:tc>
        <w:tc>
          <w:tcPr>
            <w:tcW w:w="2070" w:type="dxa"/>
          </w:tcPr>
          <w:p w:rsidR="00704327" w:rsidRPr="00FE012A" w:rsidRDefault="0066570B" w:rsidP="00704327">
            <w:pPr>
              <w:ind w:right="600"/>
              <w:jc w:val="center"/>
            </w:pPr>
            <w:r w:rsidRPr="0066570B">
              <w:t>$8.00</w:t>
            </w:r>
          </w:p>
        </w:tc>
        <w:tc>
          <w:tcPr>
            <w:tcW w:w="2250" w:type="dxa"/>
          </w:tcPr>
          <w:p w:rsidR="00704327" w:rsidRPr="00FE012A" w:rsidRDefault="0066570B" w:rsidP="00704327">
            <w:pPr>
              <w:ind w:right="600"/>
              <w:jc w:val="center"/>
            </w:pPr>
            <w:r w:rsidRPr="0066570B">
              <w:t>$8.65</w:t>
            </w:r>
          </w:p>
        </w:tc>
      </w:tr>
      <w:tr w:rsidR="00704327" w:rsidRPr="00FE012A" w:rsidTr="00FE012A">
        <w:tc>
          <w:tcPr>
            <w:tcW w:w="5040" w:type="dxa"/>
          </w:tcPr>
          <w:p w:rsidR="00704327" w:rsidRPr="00FE012A" w:rsidRDefault="00FE012A" w:rsidP="006451D1">
            <w:pPr>
              <w:ind w:right="600"/>
              <w:jc w:val="both"/>
            </w:pPr>
            <w:r w:rsidRPr="00FE012A">
              <w:t xml:space="preserve">1 ½ Yard Container </w:t>
            </w:r>
            <w:r w:rsidR="0066570B" w:rsidRPr="0066570B">
              <w:t>First Pick Up</w:t>
            </w:r>
          </w:p>
        </w:tc>
        <w:tc>
          <w:tcPr>
            <w:tcW w:w="2070" w:type="dxa"/>
          </w:tcPr>
          <w:p w:rsidR="00704327" w:rsidRPr="00FE012A" w:rsidRDefault="0066570B" w:rsidP="00704327">
            <w:pPr>
              <w:tabs>
                <w:tab w:val="center" w:pos="4680"/>
                <w:tab w:val="right" w:pos="9360"/>
              </w:tabs>
              <w:ind w:right="600"/>
              <w:jc w:val="center"/>
            </w:pPr>
            <w:r w:rsidRPr="0066570B">
              <w:t>$34.45</w:t>
            </w:r>
          </w:p>
        </w:tc>
        <w:tc>
          <w:tcPr>
            <w:tcW w:w="2250" w:type="dxa"/>
          </w:tcPr>
          <w:p w:rsidR="00704327" w:rsidRPr="00FE012A" w:rsidRDefault="0066570B" w:rsidP="00704327">
            <w:pPr>
              <w:tabs>
                <w:tab w:val="center" w:pos="4680"/>
                <w:tab w:val="right" w:pos="9360"/>
              </w:tabs>
              <w:ind w:right="600"/>
              <w:jc w:val="center"/>
            </w:pPr>
            <w:r w:rsidRPr="0066570B">
              <w:t>$41.50</w:t>
            </w:r>
          </w:p>
        </w:tc>
      </w:tr>
      <w:tr w:rsidR="00704327" w:rsidRPr="00FE012A" w:rsidTr="00FE012A">
        <w:tc>
          <w:tcPr>
            <w:tcW w:w="5040" w:type="dxa"/>
          </w:tcPr>
          <w:p w:rsidR="00000000" w:rsidRDefault="00FE012A">
            <w:pPr>
              <w:ind w:right="600"/>
            </w:pPr>
            <w:r w:rsidRPr="00FE012A">
              <w:t xml:space="preserve">1 ½ Yard Container </w:t>
            </w:r>
            <w:r w:rsidR="0066570B" w:rsidRPr="0066570B">
              <w:t>Each Additional Pick Up</w:t>
            </w:r>
          </w:p>
        </w:tc>
        <w:tc>
          <w:tcPr>
            <w:tcW w:w="2070" w:type="dxa"/>
          </w:tcPr>
          <w:p w:rsidR="00704327" w:rsidRPr="00FE012A" w:rsidRDefault="0066570B" w:rsidP="00704327">
            <w:pPr>
              <w:tabs>
                <w:tab w:val="center" w:pos="4680"/>
                <w:tab w:val="right" w:pos="9360"/>
              </w:tabs>
              <w:ind w:right="600"/>
              <w:jc w:val="center"/>
            </w:pPr>
            <w:r w:rsidRPr="0066570B">
              <w:t>$39.70</w:t>
            </w:r>
          </w:p>
        </w:tc>
        <w:tc>
          <w:tcPr>
            <w:tcW w:w="2250" w:type="dxa"/>
          </w:tcPr>
          <w:p w:rsidR="00704327" w:rsidRPr="00FE012A" w:rsidRDefault="0066570B" w:rsidP="00704327">
            <w:pPr>
              <w:tabs>
                <w:tab w:val="center" w:pos="4680"/>
                <w:tab w:val="right" w:pos="9360"/>
              </w:tabs>
              <w:ind w:right="600"/>
              <w:jc w:val="center"/>
            </w:pPr>
            <w:r w:rsidRPr="0066570B">
              <w:t>$41.50</w:t>
            </w:r>
          </w:p>
        </w:tc>
      </w:tr>
      <w:tr w:rsidR="003059B6" w:rsidRPr="00FE012A" w:rsidTr="00FE012A">
        <w:tc>
          <w:tcPr>
            <w:tcW w:w="5040" w:type="dxa"/>
          </w:tcPr>
          <w:p w:rsidR="003059B6" w:rsidRPr="00FE012A" w:rsidRDefault="0066570B" w:rsidP="006451D1">
            <w:pPr>
              <w:ind w:right="600"/>
              <w:jc w:val="both"/>
            </w:pPr>
            <w:r w:rsidRPr="0066570B">
              <w:t xml:space="preserve">32 Gallon </w:t>
            </w:r>
            <w:r w:rsidR="00FE012A">
              <w:t xml:space="preserve">Commercial </w:t>
            </w:r>
            <w:r w:rsidRPr="0066570B">
              <w:t xml:space="preserve">Can </w:t>
            </w:r>
            <w:r w:rsidR="00127146">
              <w:t xml:space="preserve">Per </w:t>
            </w:r>
            <w:r w:rsidRPr="0066570B">
              <w:t xml:space="preserve">Pick Up </w:t>
            </w:r>
          </w:p>
        </w:tc>
        <w:tc>
          <w:tcPr>
            <w:tcW w:w="2070" w:type="dxa"/>
          </w:tcPr>
          <w:p w:rsidR="003059B6" w:rsidRPr="00FE012A" w:rsidRDefault="0066570B" w:rsidP="00704327">
            <w:pPr>
              <w:ind w:right="600"/>
              <w:jc w:val="center"/>
            </w:pPr>
            <w:r w:rsidRPr="0066570B">
              <w:t>$6.31</w:t>
            </w:r>
          </w:p>
        </w:tc>
        <w:tc>
          <w:tcPr>
            <w:tcW w:w="2250" w:type="dxa"/>
          </w:tcPr>
          <w:p w:rsidR="003059B6" w:rsidRPr="00FE012A" w:rsidRDefault="0066570B" w:rsidP="00704327">
            <w:pPr>
              <w:ind w:right="600"/>
              <w:jc w:val="center"/>
            </w:pPr>
            <w:r w:rsidRPr="0066570B">
              <w:t>$6.65</w:t>
            </w:r>
          </w:p>
        </w:tc>
      </w:tr>
    </w:tbl>
    <w:p w:rsidR="00CC4BC2" w:rsidRDefault="00CC4BC2" w:rsidP="006451D1">
      <w:pPr>
        <w:ind w:right="600"/>
        <w:jc w:val="both"/>
        <w:rPr>
          <w:sz w:val="22"/>
          <w:szCs w:val="22"/>
        </w:rPr>
      </w:pPr>
    </w:p>
    <w:p w:rsidR="003059B6" w:rsidRDefault="003059B6" w:rsidP="003059B6">
      <w:pPr>
        <w:jc w:val="both"/>
        <w:rPr>
          <w:sz w:val="22"/>
          <w:szCs w:val="22"/>
        </w:rPr>
      </w:pPr>
      <w:r>
        <w:rPr>
          <w:sz w:val="22"/>
          <w:szCs w:val="22"/>
        </w:rPr>
        <w:t>Other rates not listed on this table are proposed to increase as well, from a range of 4 to 21 percent. Residential customers have been issued a separate notice containing the proposed residential rates. These rates will be billed monthly.</w:t>
      </w:r>
    </w:p>
    <w:p w:rsidR="006451D1" w:rsidRPr="007C301E" w:rsidRDefault="006451D1" w:rsidP="006451D1">
      <w:pPr>
        <w:ind w:right="600"/>
        <w:jc w:val="both"/>
        <w:rPr>
          <w:sz w:val="22"/>
          <w:szCs w:val="22"/>
        </w:rPr>
      </w:pPr>
    </w:p>
    <w:p w:rsidR="006451D1" w:rsidRPr="007C301E" w:rsidRDefault="006451D1" w:rsidP="006451D1">
      <w:pPr>
        <w:jc w:val="both"/>
        <w:rPr>
          <w:sz w:val="22"/>
          <w:szCs w:val="22"/>
        </w:rPr>
      </w:pPr>
      <w:r w:rsidRPr="007C301E">
        <w:rPr>
          <w:sz w:val="22"/>
          <w:szCs w:val="22"/>
        </w:rPr>
        <w:t>If you have questions about the proposed rates and how this may affect you, please call Cando Recycling and Disposal at (360) 945-2636</w:t>
      </w:r>
    </w:p>
    <w:p w:rsidR="006451D1" w:rsidRPr="007C301E" w:rsidRDefault="006451D1" w:rsidP="006451D1">
      <w:pPr>
        <w:jc w:val="both"/>
        <w:rPr>
          <w:sz w:val="22"/>
          <w:szCs w:val="22"/>
        </w:rPr>
      </w:pPr>
    </w:p>
    <w:p w:rsidR="006451D1" w:rsidRPr="007C301E" w:rsidRDefault="007C301E" w:rsidP="006451D1">
      <w:pPr>
        <w:jc w:val="both"/>
        <w:rPr>
          <w:sz w:val="22"/>
          <w:szCs w:val="22"/>
        </w:rPr>
      </w:pPr>
      <w:r>
        <w:rPr>
          <w:sz w:val="22"/>
          <w:szCs w:val="22"/>
        </w:rPr>
        <w:t>The C</w:t>
      </w:r>
      <w:r w:rsidR="006451D1" w:rsidRPr="007C301E">
        <w:rPr>
          <w:sz w:val="22"/>
          <w:szCs w:val="22"/>
        </w:rPr>
        <w:t xml:space="preserve">ommission has the authority to set final rates that may be either lower or higher from the company’s request, depending on the results of its investigation. Commission staff will make a recommendation to the commissioners at an open meeting in Olympia, which is scheduled for 9:30 a.m. on </w:t>
      </w:r>
      <w:r w:rsidR="003A1B47">
        <w:rPr>
          <w:sz w:val="22"/>
          <w:szCs w:val="22"/>
        </w:rPr>
        <w:t>November 30</w:t>
      </w:r>
      <w:r w:rsidR="006451D1" w:rsidRPr="007C301E">
        <w:rPr>
          <w:sz w:val="22"/>
          <w:szCs w:val="22"/>
        </w:rPr>
        <w:t>, 2018. You will have an opportunity to comment in person at this meeting.</w:t>
      </w:r>
    </w:p>
    <w:p w:rsidR="006451D1" w:rsidRPr="007C301E" w:rsidRDefault="006451D1" w:rsidP="006451D1">
      <w:pPr>
        <w:jc w:val="both"/>
        <w:rPr>
          <w:sz w:val="22"/>
          <w:szCs w:val="22"/>
        </w:rPr>
      </w:pPr>
    </w:p>
    <w:p w:rsidR="006451D1" w:rsidRPr="007C301E" w:rsidRDefault="006451D1" w:rsidP="006451D1">
      <w:pPr>
        <w:jc w:val="both"/>
        <w:rPr>
          <w:sz w:val="22"/>
          <w:szCs w:val="22"/>
        </w:rPr>
      </w:pPr>
      <w:r w:rsidRPr="007C301E">
        <w:rPr>
          <w:sz w:val="22"/>
          <w:szCs w:val="22"/>
        </w:rPr>
        <w:t>If you are unable t</w:t>
      </w:r>
      <w:r w:rsidR="007C301E">
        <w:rPr>
          <w:sz w:val="22"/>
          <w:szCs w:val="22"/>
        </w:rPr>
        <w:t>o attend the open meeting, the C</w:t>
      </w:r>
      <w:r w:rsidRPr="007C301E">
        <w:rPr>
          <w:sz w:val="22"/>
          <w:szCs w:val="22"/>
        </w:rPr>
        <w:t>ommission has a bridge line which enables you to participate or listen by telephone. Call 360-664-1234 for instructions the day before the open meeting. You can also comment by using the “</w:t>
      </w:r>
      <w:r w:rsidR="007C301E">
        <w:rPr>
          <w:sz w:val="22"/>
          <w:szCs w:val="22"/>
        </w:rPr>
        <w:t>Public Comment” feature at the C</w:t>
      </w:r>
      <w:r w:rsidRPr="007C301E">
        <w:rPr>
          <w:sz w:val="22"/>
          <w:szCs w:val="22"/>
        </w:rPr>
        <w:t xml:space="preserve">ommission’s Web site at </w:t>
      </w:r>
      <w:hyperlink r:id="rId7" w:history="1">
        <w:r w:rsidRPr="007C301E">
          <w:rPr>
            <w:rStyle w:val="Hyperlink"/>
            <w:sz w:val="22"/>
            <w:szCs w:val="22"/>
          </w:rPr>
          <w:t>utc.wa.gov</w:t>
        </w:r>
      </w:hyperlink>
      <w:r w:rsidRPr="007C301E">
        <w:rPr>
          <w:sz w:val="22"/>
          <w:szCs w:val="22"/>
        </w:rPr>
        <w:t xml:space="preserve"> or by using the contact information below.</w:t>
      </w:r>
    </w:p>
    <w:p w:rsidR="006451D1" w:rsidRPr="007C301E" w:rsidRDefault="006451D1" w:rsidP="006451D1">
      <w:pPr>
        <w:jc w:val="both"/>
        <w:rPr>
          <w:sz w:val="22"/>
          <w:szCs w:val="22"/>
        </w:rPr>
      </w:pPr>
    </w:p>
    <w:p w:rsidR="006451D1" w:rsidRPr="007C301E" w:rsidRDefault="006451D1" w:rsidP="006451D1">
      <w:pPr>
        <w:rPr>
          <w:sz w:val="22"/>
          <w:szCs w:val="22"/>
        </w:rPr>
      </w:pPr>
      <w:r w:rsidRPr="007C301E">
        <w:rPr>
          <w:sz w:val="22"/>
          <w:szCs w:val="22"/>
        </w:rPr>
        <w:t>Washington Utilities and Transportation Commission</w:t>
      </w:r>
    </w:p>
    <w:p w:rsidR="006451D1" w:rsidRPr="007C301E" w:rsidRDefault="006451D1" w:rsidP="006451D1">
      <w:pPr>
        <w:rPr>
          <w:sz w:val="22"/>
          <w:szCs w:val="22"/>
        </w:rPr>
      </w:pPr>
      <w:r w:rsidRPr="007C301E">
        <w:rPr>
          <w:sz w:val="22"/>
          <w:szCs w:val="22"/>
        </w:rPr>
        <w:t>1300 S. Evergreen Park Drive SW</w:t>
      </w:r>
    </w:p>
    <w:p w:rsidR="006451D1" w:rsidRPr="007C301E" w:rsidRDefault="006451D1" w:rsidP="006451D1">
      <w:pPr>
        <w:rPr>
          <w:sz w:val="22"/>
          <w:szCs w:val="22"/>
        </w:rPr>
      </w:pPr>
      <w:r w:rsidRPr="007C301E">
        <w:rPr>
          <w:sz w:val="22"/>
          <w:szCs w:val="22"/>
        </w:rPr>
        <w:t xml:space="preserve">P.O. Box 47250, Olympia, WA  98504-7250  </w:t>
      </w:r>
    </w:p>
    <w:p w:rsidR="006451D1" w:rsidRPr="007C301E" w:rsidRDefault="006451D1" w:rsidP="006451D1">
      <w:pPr>
        <w:rPr>
          <w:color w:val="0000FF"/>
          <w:sz w:val="22"/>
          <w:szCs w:val="22"/>
          <w:u w:val="single"/>
        </w:rPr>
      </w:pPr>
      <w:r w:rsidRPr="007C301E">
        <w:rPr>
          <w:sz w:val="22"/>
          <w:szCs w:val="22"/>
        </w:rPr>
        <w:t xml:space="preserve">E-mail:  </w:t>
      </w:r>
      <w:hyperlink r:id="rId8" w:history="1">
        <w:r w:rsidRPr="007C301E">
          <w:rPr>
            <w:rStyle w:val="Hyperlink"/>
            <w:sz w:val="22"/>
            <w:szCs w:val="22"/>
          </w:rPr>
          <w:t>comments@utc.wa.gov</w:t>
        </w:r>
      </w:hyperlink>
    </w:p>
    <w:p w:rsidR="006451D1" w:rsidRPr="007C301E" w:rsidRDefault="006451D1" w:rsidP="006451D1">
      <w:pPr>
        <w:rPr>
          <w:sz w:val="22"/>
          <w:szCs w:val="22"/>
        </w:rPr>
      </w:pPr>
      <w:r w:rsidRPr="007C301E">
        <w:rPr>
          <w:sz w:val="22"/>
          <w:szCs w:val="22"/>
        </w:rPr>
        <w:t>Telephone:  1-888-333-WUTC (9882)</w:t>
      </w:r>
    </w:p>
    <w:p w:rsidR="006451D1" w:rsidRPr="007C301E" w:rsidRDefault="006451D1" w:rsidP="006451D1">
      <w:pPr>
        <w:rPr>
          <w:sz w:val="22"/>
          <w:szCs w:val="22"/>
        </w:rPr>
      </w:pPr>
    </w:p>
    <w:sectPr w:rsidR="006451D1" w:rsidRPr="007C301E" w:rsidSect="007C301E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DA" w:rsidRDefault="00B637DA" w:rsidP="004C036C">
      <w:r>
        <w:separator/>
      </w:r>
    </w:p>
  </w:endnote>
  <w:endnote w:type="continuationSeparator" w:id="0">
    <w:p w:rsidR="00B637DA" w:rsidRDefault="00B637DA" w:rsidP="004C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DA" w:rsidRDefault="00B637DA" w:rsidP="004C036C">
      <w:r>
        <w:separator/>
      </w:r>
    </w:p>
  </w:footnote>
  <w:footnote w:type="continuationSeparator" w:id="0">
    <w:p w:rsidR="00B637DA" w:rsidRDefault="00B637DA" w:rsidP="004C0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6C" w:rsidRDefault="004C036C" w:rsidP="004C036C">
    <w:pPr>
      <w:pStyle w:val="NoSpacing"/>
      <w:jc w:val="center"/>
      <w:rPr>
        <w:sz w:val="32"/>
        <w:szCs w:val="32"/>
      </w:rPr>
    </w:pPr>
    <w:r w:rsidRPr="003715F9">
      <w:rPr>
        <w:sz w:val="32"/>
        <w:szCs w:val="32"/>
      </w:rPr>
      <w:t>Freedom 2000, LLC</w:t>
    </w:r>
  </w:p>
  <w:p w:rsidR="004C036C" w:rsidRDefault="004C036C" w:rsidP="004C036C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DBA Cando Recycling and Disposal</w:t>
    </w:r>
  </w:p>
  <w:p w:rsidR="004C036C" w:rsidRDefault="004C036C" w:rsidP="004C036C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2005 Johnson Road, PO Box 865</w:t>
    </w:r>
  </w:p>
  <w:p w:rsidR="004C036C" w:rsidRPr="003715F9" w:rsidRDefault="004C036C" w:rsidP="004C036C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Point Roberts, WA 98281</w:t>
    </w:r>
  </w:p>
  <w:p w:rsidR="004C036C" w:rsidRDefault="004C036C" w:rsidP="004C036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35C"/>
    <w:multiLevelType w:val="hybridMultilevel"/>
    <w:tmpl w:val="AE86D8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856C11"/>
    <w:multiLevelType w:val="hybridMultilevel"/>
    <w:tmpl w:val="0E32E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E7CDE"/>
    <w:multiLevelType w:val="hybridMultilevel"/>
    <w:tmpl w:val="29D2C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mmond, Greg (UTC)">
    <w15:presenceInfo w15:providerId="AD" w15:userId="S-1-5-21-1844237615-1844823847-839522115-46383"/>
  </w15:person>
  <w15:person w15:author="Young, Mike (UTC)">
    <w15:presenceInfo w15:providerId="AD" w15:userId="S-1-5-21-1844237615-1844823847-839522115-1199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105"/>
    <w:rsid w:val="0002613B"/>
    <w:rsid w:val="0004581C"/>
    <w:rsid w:val="00055186"/>
    <w:rsid w:val="00055C66"/>
    <w:rsid w:val="000B6CAC"/>
    <w:rsid w:val="000E0EE3"/>
    <w:rsid w:val="00115F5B"/>
    <w:rsid w:val="00127146"/>
    <w:rsid w:val="00162831"/>
    <w:rsid w:val="00193340"/>
    <w:rsid w:val="003059B6"/>
    <w:rsid w:val="003602B7"/>
    <w:rsid w:val="003A1B47"/>
    <w:rsid w:val="003B467B"/>
    <w:rsid w:val="003C145E"/>
    <w:rsid w:val="003F6742"/>
    <w:rsid w:val="004C036C"/>
    <w:rsid w:val="004D1083"/>
    <w:rsid w:val="00512510"/>
    <w:rsid w:val="006363B1"/>
    <w:rsid w:val="006451D1"/>
    <w:rsid w:val="0066570B"/>
    <w:rsid w:val="00690A4F"/>
    <w:rsid w:val="006A4DB5"/>
    <w:rsid w:val="006D284F"/>
    <w:rsid w:val="00704327"/>
    <w:rsid w:val="00721D96"/>
    <w:rsid w:val="00795DD5"/>
    <w:rsid w:val="0079770B"/>
    <w:rsid w:val="007A4A1C"/>
    <w:rsid w:val="007C301E"/>
    <w:rsid w:val="00913105"/>
    <w:rsid w:val="00915CB5"/>
    <w:rsid w:val="00960F32"/>
    <w:rsid w:val="00A17279"/>
    <w:rsid w:val="00A31AA0"/>
    <w:rsid w:val="00A80D1A"/>
    <w:rsid w:val="00B04225"/>
    <w:rsid w:val="00B637DA"/>
    <w:rsid w:val="00BC0638"/>
    <w:rsid w:val="00C13D88"/>
    <w:rsid w:val="00CC4BC2"/>
    <w:rsid w:val="00D60D3C"/>
    <w:rsid w:val="00D85C95"/>
    <w:rsid w:val="00EB365F"/>
    <w:rsid w:val="00F210C0"/>
    <w:rsid w:val="00FE012A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13105"/>
    <w:pPr>
      <w:tabs>
        <w:tab w:val="left" w:pos="360"/>
      </w:tabs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131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9131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0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C0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C03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4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3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0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99DA38EAF13C4C9ECCD5992B8BCAE8" ma:contentTypeVersion="76" ma:contentTypeDescription="" ma:contentTypeScope="" ma:versionID="6d86b80ee1df0f851e89b6912d52be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2018-09-14T07:00:00+00:00</OpenedDate>
    <SignificantOrder xmlns="dc463f71-b30c-4ab2-9473-d307f9d35888">false</SignificantOrder>
    <Date1 xmlns="dc463f71-b30c-4ab2-9473-d307f9d35888">2018-10-26T07:00:00+00:00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Freedom 2000, LLC</CaseCompanyNames>
    <Nickname xmlns="http://schemas.microsoft.com/sharepoint/v3" xsi:nil="true"/>
    <DocketNumber xmlns="dc463f71-b30c-4ab2-9473-d307f9d35888">180782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95358A-5AAD-4D94-92AC-34CB2ACBAEE4}"/>
</file>

<file path=customXml/itemProps2.xml><?xml version="1.0" encoding="utf-8"?>
<ds:datastoreItem xmlns:ds="http://schemas.openxmlformats.org/officeDocument/2006/customXml" ds:itemID="{32850BE6-CB65-48FD-BDF7-8880F02B2B93}"/>
</file>

<file path=customXml/itemProps3.xml><?xml version="1.0" encoding="utf-8"?>
<ds:datastoreItem xmlns:ds="http://schemas.openxmlformats.org/officeDocument/2006/customXml" ds:itemID="{4A4D3BA6-0C6C-45F5-93A7-9D536AADF8A9}"/>
</file>

<file path=customXml/itemProps4.xml><?xml version="1.0" encoding="utf-8"?>
<ds:datastoreItem xmlns:ds="http://schemas.openxmlformats.org/officeDocument/2006/customXml" ds:itemID="{2E618D5E-04AA-466B-B0D1-AAF1F79BD9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2018-09-10T16:39:00Z</cp:lastPrinted>
  <dcterms:created xsi:type="dcterms:W3CDTF">2018-10-25T21:40:00Z</dcterms:created>
  <dcterms:modified xsi:type="dcterms:W3CDTF">2018-10-25T21:40:00Z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0x0101006E56B4D1795A2E4DB2F0B01679ED314A00FA99DA38EAF13C4C9ECCD5992B8BCAE8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