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C38F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76A8">
        <w:rPr>
          <w:rFonts w:ascii="Times New Roman" w:hAnsi="Times New Roman" w:cs="Times New Roman"/>
          <w:b/>
          <w:sz w:val="24"/>
          <w:szCs w:val="24"/>
        </w:rPr>
        <w:t>Attachment</w:t>
      </w:r>
    </w:p>
    <w:p w14:paraId="2F6FFEB8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BB467" w14:textId="77777777" w:rsidR="008376A8" w:rsidRP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735D9" w14:textId="6F3565D2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 xml:space="preserve">pool and </w:t>
      </w:r>
      <w:r w:rsidR="00E836E2">
        <w:rPr>
          <w:rFonts w:ascii="Times New Roman" w:hAnsi="Times New Roman" w:cs="Times New Roman"/>
          <w:sz w:val="24"/>
          <w:szCs w:val="24"/>
        </w:rPr>
        <w:t xml:space="preserve">annualized </w:t>
      </w:r>
      <w:r w:rsidR="00A52EF6">
        <w:rPr>
          <w:rFonts w:ascii="Times New Roman" w:hAnsi="Times New Roman" w:cs="Times New Roman"/>
          <w:sz w:val="24"/>
          <w:szCs w:val="24"/>
        </w:rPr>
        <w:t xml:space="preserve">cumulative reduction in support received from the federal Connect America Fund </w:t>
      </w:r>
      <w:r w:rsidR="00E836E2">
        <w:rPr>
          <w:rFonts w:ascii="Times New Roman" w:hAnsi="Times New Roman" w:cs="Times New Roman"/>
          <w:sz w:val="24"/>
          <w:szCs w:val="24"/>
        </w:rPr>
        <w:t xml:space="preserve">Intercarrier Compensation </w:t>
      </w:r>
      <w:r w:rsidR="00A52EF6">
        <w:rPr>
          <w:rFonts w:ascii="Times New Roman" w:hAnsi="Times New Roman" w:cs="Times New Roman"/>
          <w:sz w:val="24"/>
          <w:szCs w:val="24"/>
        </w:rPr>
        <w:t>(CAF</w:t>
      </w:r>
      <w:r w:rsidR="00E836E2">
        <w:rPr>
          <w:rFonts w:ascii="Times New Roman" w:hAnsi="Times New Roman" w:cs="Times New Roman"/>
          <w:sz w:val="24"/>
          <w:szCs w:val="24"/>
        </w:rPr>
        <w:t>-ICC</w:t>
      </w:r>
      <w:r w:rsidR="00A52EF6">
        <w:rPr>
          <w:rFonts w:ascii="Times New Roman" w:hAnsi="Times New Roman" w:cs="Times New Roman"/>
          <w:sz w:val="24"/>
          <w:szCs w:val="24"/>
        </w:rPr>
        <w:t>)</w:t>
      </w:r>
      <w:r w:rsidR="00E836E2">
        <w:rPr>
          <w:rFonts w:ascii="Times New Roman" w:hAnsi="Times New Roman" w:cs="Times New Roman"/>
          <w:sz w:val="24"/>
          <w:szCs w:val="24"/>
        </w:rPr>
        <w:t xml:space="preserve"> mechanism</w:t>
      </w:r>
      <w:r w:rsidR="00A52EF6">
        <w:rPr>
          <w:rFonts w:ascii="Times New Roman" w:hAnsi="Times New Roman" w:cs="Times New Roman"/>
          <w:sz w:val="24"/>
          <w:szCs w:val="24"/>
        </w:rPr>
        <w:t xml:space="preserve"> </w:t>
      </w:r>
      <w:r w:rsidR="00E836E2">
        <w:rPr>
          <w:rFonts w:ascii="Times New Roman" w:hAnsi="Times New Roman" w:cs="Times New Roman"/>
          <w:sz w:val="24"/>
          <w:szCs w:val="24"/>
        </w:rPr>
        <w:t>(</w:t>
      </w:r>
      <w:r w:rsidR="00A52EF6" w:rsidRPr="00840B8D">
        <w:rPr>
          <w:rFonts w:ascii="Times New Roman" w:hAnsi="Times New Roman" w:cs="Times New Roman"/>
          <w:i/>
          <w:sz w:val="24"/>
          <w:szCs w:val="24"/>
        </w:rPr>
        <w:t>up through and including the year for which program support is distributed</w:t>
      </w:r>
      <w:r w:rsidR="00E836E2">
        <w:rPr>
          <w:rFonts w:ascii="Times New Roman" w:hAnsi="Times New Roman" w:cs="Times New Roman"/>
          <w:sz w:val="24"/>
          <w:szCs w:val="24"/>
        </w:rPr>
        <w:t>)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559739F" w14:textId="77777777" w:rsidR="00A84042" w:rsidRDefault="00A84042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26"/>
        <w:gridCol w:w="1464"/>
        <w:gridCol w:w="1350"/>
        <w:gridCol w:w="1435"/>
        <w:gridCol w:w="1440"/>
        <w:gridCol w:w="1625"/>
      </w:tblGrid>
      <w:tr w:rsidR="00E624CC" w14:paraId="420B3966" w14:textId="77777777" w:rsidTr="001B733B">
        <w:tc>
          <w:tcPr>
            <w:tcW w:w="2226" w:type="dxa"/>
            <w:tcBorders>
              <w:bottom w:val="nil"/>
            </w:tcBorders>
            <w:shd w:val="clear" w:color="auto" w:fill="D9D9D9" w:themeFill="background1" w:themeFillShade="D9"/>
          </w:tcPr>
          <w:p w14:paraId="107A7FE0" w14:textId="0C81C3F4" w:rsidR="00E624CC" w:rsidRPr="00F71E76" w:rsidRDefault="00E624CC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464" w:type="dxa"/>
            <w:tcBorders>
              <w:bottom w:val="nil"/>
            </w:tcBorders>
          </w:tcPr>
          <w:p w14:paraId="46885B6A" w14:textId="2CEC6F56" w:rsidR="00E624CC" w:rsidRPr="00F71E76" w:rsidRDefault="00E624CC" w:rsidP="0084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</w:t>
            </w:r>
          </w:p>
        </w:tc>
        <w:tc>
          <w:tcPr>
            <w:tcW w:w="1350" w:type="dxa"/>
            <w:tcBorders>
              <w:bottom w:val="nil"/>
            </w:tcBorders>
          </w:tcPr>
          <w:p w14:paraId="7827BD5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435" w:type="dxa"/>
            <w:tcBorders>
              <w:bottom w:val="nil"/>
            </w:tcBorders>
          </w:tcPr>
          <w:p w14:paraId="27975F31" w14:textId="4EBEE374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40" w:type="dxa"/>
            <w:tcBorders>
              <w:bottom w:val="nil"/>
            </w:tcBorders>
          </w:tcPr>
          <w:p w14:paraId="752B9145" w14:textId="7B6905E2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-ICC</w:t>
            </w:r>
          </w:p>
        </w:tc>
        <w:tc>
          <w:tcPr>
            <w:tcW w:w="1625" w:type="dxa"/>
            <w:tcBorders>
              <w:bottom w:val="nil"/>
            </w:tcBorders>
            <w:shd w:val="clear" w:color="auto" w:fill="D9D9D9" w:themeFill="background1" w:themeFillShade="D9"/>
          </w:tcPr>
          <w:p w14:paraId="2371064B" w14:textId="77777777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624CC" w14:paraId="12A14236" w14:textId="77777777" w:rsidTr="001B733B">
        <w:tc>
          <w:tcPr>
            <w:tcW w:w="2226" w:type="dxa"/>
            <w:tcBorders>
              <w:top w:val="nil"/>
            </w:tcBorders>
            <w:shd w:val="clear" w:color="auto" w:fill="D9D9D9" w:themeFill="background1" w:themeFillShade="D9"/>
          </w:tcPr>
          <w:p w14:paraId="43A5C2D7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14:paraId="49308234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64FFE56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435" w:type="dxa"/>
            <w:tcBorders>
              <w:top w:val="nil"/>
            </w:tcBorders>
          </w:tcPr>
          <w:p w14:paraId="48105218" w14:textId="138ED48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352A4CF8" w14:textId="347002C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</w:tcBorders>
            <w:shd w:val="clear" w:color="auto" w:fill="D9D9D9" w:themeFill="background1" w:themeFillShade="D9"/>
          </w:tcPr>
          <w:p w14:paraId="32D78F4D" w14:textId="77777777" w:rsidR="00E624CC" w:rsidRPr="00AC4861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CC" w14:paraId="62D78DEC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5142F1B" w14:textId="537F825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Inland </w:t>
            </w:r>
          </w:p>
        </w:tc>
        <w:tc>
          <w:tcPr>
            <w:tcW w:w="1464" w:type="dxa"/>
          </w:tcPr>
          <w:p w14:paraId="025FFDAC" w14:textId="1B8A70B4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60927</w:t>
            </w:r>
          </w:p>
        </w:tc>
        <w:tc>
          <w:tcPr>
            <w:tcW w:w="1350" w:type="dxa"/>
          </w:tcPr>
          <w:p w14:paraId="37936150" w14:textId="5D27EFA7" w:rsidR="00E624CC" w:rsidRDefault="00CD2BA0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C090BE3" w14:textId="4671DB7B" w:rsidR="00E624CC" w:rsidRDefault="00E624CC" w:rsidP="00D304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40" w:type="dxa"/>
          </w:tcPr>
          <w:p w14:paraId="7219DB6E" w14:textId="3D48E516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503EE3D" w14:textId="6DC5D427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624CC" w14:paraId="5A1F76E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26C88EE" w14:textId="6D44B57A" w:rsidR="00E624CC" w:rsidRDefault="00CD2BA0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</w:t>
            </w:r>
          </w:p>
        </w:tc>
        <w:tc>
          <w:tcPr>
            <w:tcW w:w="1464" w:type="dxa"/>
          </w:tcPr>
          <w:p w14:paraId="18CDBF0C" w14:textId="5D58A4CA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60939</w:t>
            </w:r>
          </w:p>
        </w:tc>
        <w:tc>
          <w:tcPr>
            <w:tcW w:w="1350" w:type="dxa"/>
          </w:tcPr>
          <w:p w14:paraId="2826E5C3" w14:textId="1CC676CB" w:rsidR="00E624CC" w:rsidRDefault="00E624CC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77492F5F" w14:textId="50117152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15,582</w:t>
            </w:r>
          </w:p>
        </w:tc>
        <w:tc>
          <w:tcPr>
            <w:tcW w:w="1440" w:type="dxa"/>
          </w:tcPr>
          <w:p w14:paraId="4DAB3EEE" w14:textId="3D8829FF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D9A0E32" w14:textId="06BDB308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E624CC" w14:paraId="7F3FE45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421FEA6" w14:textId="7442ECC0" w:rsidR="00E624CC" w:rsidRDefault="00CD2BA0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Pend Oreille </w:t>
            </w:r>
          </w:p>
        </w:tc>
        <w:tc>
          <w:tcPr>
            <w:tcW w:w="1464" w:type="dxa"/>
          </w:tcPr>
          <w:p w14:paraId="2732E1A6" w14:textId="69E27CFB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60942</w:t>
            </w:r>
          </w:p>
        </w:tc>
        <w:tc>
          <w:tcPr>
            <w:tcW w:w="1350" w:type="dxa"/>
          </w:tcPr>
          <w:p w14:paraId="660771BF" w14:textId="2BF90AA6" w:rsidR="00E624CC" w:rsidRDefault="00CD2BA0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6A3A16D" w14:textId="5B2474D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0E74A1CD" w14:textId="662EF84C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B6FE8BA" w14:textId="7259470C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,21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624CC" w14:paraId="63C2C212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1279CFE" w14:textId="5F770BF9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John </w:t>
            </w:r>
          </w:p>
        </w:tc>
        <w:tc>
          <w:tcPr>
            <w:tcW w:w="1464" w:type="dxa"/>
          </w:tcPr>
          <w:p w14:paraId="77BEAFE2" w14:textId="468F676A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60945</w:t>
            </w:r>
          </w:p>
        </w:tc>
        <w:tc>
          <w:tcPr>
            <w:tcW w:w="1350" w:type="dxa"/>
          </w:tcPr>
          <w:p w14:paraId="696E7BB7" w14:textId="56A5380C" w:rsidR="00E624CC" w:rsidRDefault="00E624CC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E8D1D2E" w14:textId="22465CA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4,575</w:t>
            </w:r>
          </w:p>
        </w:tc>
        <w:tc>
          <w:tcPr>
            <w:tcW w:w="1440" w:type="dxa"/>
          </w:tcPr>
          <w:p w14:paraId="16A557AA" w14:textId="01049A79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020C216" w14:textId="553162DF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787</w:t>
            </w:r>
          </w:p>
        </w:tc>
      </w:tr>
      <w:tr w:rsidR="00E624CC" w14:paraId="1EB5B6B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19C24F3" w14:textId="0BFF9949" w:rsidR="00E624CC" w:rsidRDefault="00CD2BA0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Toledo</w:t>
            </w:r>
          </w:p>
        </w:tc>
        <w:tc>
          <w:tcPr>
            <w:tcW w:w="1464" w:type="dxa"/>
          </w:tcPr>
          <w:p w14:paraId="1E425426" w14:textId="1D9F86B5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60947</w:t>
            </w:r>
          </w:p>
        </w:tc>
        <w:tc>
          <w:tcPr>
            <w:tcW w:w="1350" w:type="dxa"/>
          </w:tcPr>
          <w:p w14:paraId="71A2EF6C" w14:textId="55799A50" w:rsidR="00E624CC" w:rsidRDefault="00CD2BA0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12C7F63A" w14:textId="1F2FB6A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115,181</w:t>
            </w:r>
          </w:p>
        </w:tc>
        <w:tc>
          <w:tcPr>
            <w:tcW w:w="1440" w:type="dxa"/>
          </w:tcPr>
          <w:p w14:paraId="1C3DC971" w14:textId="66C7BBA8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965BAA3" w14:textId="3D127565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593</w:t>
            </w:r>
          </w:p>
        </w:tc>
      </w:tr>
      <w:tr w:rsidR="00E624CC" w14:paraId="5B27674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F36F6D3" w14:textId="61E6893E" w:rsidR="00E624CC" w:rsidRDefault="00CD2BA0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3AA7CED9" w14:textId="1C1178C5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60953</w:t>
            </w:r>
          </w:p>
        </w:tc>
        <w:tc>
          <w:tcPr>
            <w:tcW w:w="1350" w:type="dxa"/>
          </w:tcPr>
          <w:p w14:paraId="52B73EA3" w14:textId="42A736E4" w:rsidR="00E624CC" w:rsidRDefault="00E624CC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5AEACAF4" w14:textId="4D27853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440" w:type="dxa"/>
          </w:tcPr>
          <w:p w14:paraId="7C78E760" w14:textId="4AFFE1B2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5514DED" w14:textId="277D0C93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</w:p>
        </w:tc>
      </w:tr>
      <w:tr w:rsidR="00E624CC" w14:paraId="4B57A054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11B1AAAB" w14:textId="1DC2749A" w:rsidR="00E624CC" w:rsidRDefault="00CD2BA0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Asotin - TDS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67ED2B79" w14:textId="22A366AE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60956</w:t>
            </w:r>
          </w:p>
        </w:tc>
        <w:tc>
          <w:tcPr>
            <w:tcW w:w="1350" w:type="dxa"/>
          </w:tcPr>
          <w:p w14:paraId="10A9BA7E" w14:textId="12C15E0C" w:rsidR="00E624CC" w:rsidRDefault="004A0512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5A643F13" w14:textId="37678461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40" w:type="dxa"/>
          </w:tcPr>
          <w:p w14:paraId="52D4AACC" w14:textId="193C5030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3A9275B" w14:textId="1B10FEE5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,86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624CC" w14:paraId="440E0451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BAEA149" w14:textId="18B34C56" w:rsidR="00E624CC" w:rsidRDefault="004A0512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McDaniel - TDS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756E6780" w14:textId="4DA1AD22" w:rsidR="00E624CC" w:rsidRDefault="00E624CC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60957</w:t>
            </w:r>
          </w:p>
        </w:tc>
        <w:tc>
          <w:tcPr>
            <w:tcW w:w="1350" w:type="dxa"/>
          </w:tcPr>
          <w:p w14:paraId="27858E9D" w14:textId="57E3C742" w:rsidR="00E624CC" w:rsidRDefault="004A0512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9BCF347" w14:textId="0DFA22FA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440" w:type="dxa"/>
          </w:tcPr>
          <w:p w14:paraId="70CDC740" w14:textId="7055B471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161E800" w14:textId="2E0F4889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582</w:t>
            </w:r>
          </w:p>
        </w:tc>
      </w:tr>
      <w:tr w:rsidR="00E624CC" w14:paraId="2688897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68C879BB" w14:textId="50F1E8B6" w:rsidR="00E624CC" w:rsidRDefault="004A0512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 Island</w:t>
            </w:r>
          </w:p>
        </w:tc>
        <w:tc>
          <w:tcPr>
            <w:tcW w:w="1464" w:type="dxa"/>
          </w:tcPr>
          <w:p w14:paraId="6DF2E0C2" w14:textId="3025E930" w:rsidR="00E624CC" w:rsidRDefault="00E624CC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60962</w:t>
            </w:r>
          </w:p>
        </w:tc>
        <w:tc>
          <w:tcPr>
            <w:tcW w:w="1350" w:type="dxa"/>
          </w:tcPr>
          <w:p w14:paraId="19A56CE9" w14:textId="50EB01C4" w:rsidR="00E624CC" w:rsidRDefault="004A0512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7A4FF8FD" w14:textId="75EC1859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1440" w:type="dxa"/>
          </w:tcPr>
          <w:p w14:paraId="690FF3A6" w14:textId="70CC8C64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4031D52" w14:textId="3291BCAF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624CC" w14:paraId="4637189F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F0F4AD0" w14:textId="66094B3B" w:rsidR="00E624CC" w:rsidRDefault="00267CCB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Telecom</w:t>
            </w:r>
          </w:p>
        </w:tc>
        <w:tc>
          <w:tcPr>
            <w:tcW w:w="1464" w:type="dxa"/>
          </w:tcPr>
          <w:p w14:paraId="68B5F590" w14:textId="05ABAF35" w:rsidR="00E624CC" w:rsidRDefault="00E624CC" w:rsidP="0026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14:paraId="279A73A6" w14:textId="2A8A05CE" w:rsidR="00E624CC" w:rsidRDefault="004A0512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.6%</w:t>
            </w:r>
          </w:p>
        </w:tc>
        <w:tc>
          <w:tcPr>
            <w:tcW w:w="1435" w:type="dxa"/>
          </w:tcPr>
          <w:p w14:paraId="6B537514" w14:textId="2971B186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7BBF6EEE" w14:textId="3A2DA233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A0FAB99" w14:textId="0DC5581A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423</w:t>
            </w:r>
          </w:p>
        </w:tc>
      </w:tr>
      <w:tr w:rsidR="00E624CC" w14:paraId="7DA7BAE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AB87855" w14:textId="67FD0C8C" w:rsidR="00E624CC" w:rsidRDefault="00267CCB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Tenino</w:t>
            </w:r>
          </w:p>
        </w:tc>
        <w:tc>
          <w:tcPr>
            <w:tcW w:w="1464" w:type="dxa"/>
          </w:tcPr>
          <w:p w14:paraId="21ED364A" w14:textId="7D4DD031" w:rsidR="00E624CC" w:rsidRDefault="00E624CC" w:rsidP="0026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14:paraId="24486D75" w14:textId="39CC8DC6" w:rsidR="00E624CC" w:rsidRDefault="00267CCB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-16.6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099BDA4E" w14:textId="0129A015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0" w:type="dxa"/>
          </w:tcPr>
          <w:p w14:paraId="3B1289AD" w14:textId="13292609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5138732F" w14:textId="17A48EDF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057</w:t>
            </w:r>
          </w:p>
        </w:tc>
      </w:tr>
      <w:tr w:rsidR="00E624CC" w14:paraId="0ACA1C0A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26B9E7D1" w14:textId="0C735526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 River - TDS</w:t>
            </w:r>
          </w:p>
        </w:tc>
        <w:tc>
          <w:tcPr>
            <w:tcW w:w="1464" w:type="dxa"/>
          </w:tcPr>
          <w:p w14:paraId="44FF03E2" w14:textId="4338E589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14:paraId="0644CF78" w14:textId="56031B10" w:rsidR="00E624CC" w:rsidRDefault="00D177A8" w:rsidP="00D177A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18D7E452" w14:textId="389E6661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40" w:type="dxa"/>
          </w:tcPr>
          <w:p w14:paraId="2D5EDA55" w14:textId="25BD57B7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AEABFBA" w14:textId="531A3626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866</w:t>
            </w:r>
          </w:p>
        </w:tc>
      </w:tr>
      <w:tr w:rsidR="00E624CC" w14:paraId="297A8868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6A25A78" w14:textId="3A3CA230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Kalama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1D754EDD" w14:textId="503849E2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50" w:type="dxa"/>
          </w:tcPr>
          <w:p w14:paraId="385F40A3" w14:textId="0D8F879C" w:rsidR="00E624CC" w:rsidRDefault="00A948B9" w:rsidP="00D177A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393F8A94" w14:textId="241BE844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440" w:type="dxa"/>
          </w:tcPr>
          <w:p w14:paraId="55B40FAE" w14:textId="118CFF2B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168,924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7CA5DB9" w14:textId="661743B5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</w:tr>
      <w:tr w:rsidR="00E624CC" w14:paraId="04B61107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CCFBD8B" w14:textId="1B2B7B78" w:rsidR="00E624CC" w:rsidRDefault="00D177A8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Whidbey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28A76D71" w14:textId="6819F0EE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50" w:type="dxa"/>
          </w:tcPr>
          <w:p w14:paraId="3A1E49C3" w14:textId="38C83733" w:rsidR="00E624CC" w:rsidRDefault="00D177A8" w:rsidP="008F02B4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5A87">
              <w:rPr>
                <w:rFonts w:ascii="Times New Roman" w:hAnsi="Times New Roman" w:cs="Times New Roman"/>
                <w:sz w:val="24"/>
                <w:szCs w:val="24"/>
              </w:rPr>
              <w:t>.2%</w:t>
            </w:r>
          </w:p>
        </w:tc>
        <w:tc>
          <w:tcPr>
            <w:tcW w:w="1435" w:type="dxa"/>
          </w:tcPr>
          <w:p w14:paraId="3700A325" w14:textId="05DFCB1F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440" w:type="dxa"/>
          </w:tcPr>
          <w:p w14:paraId="2E7F8C19" w14:textId="27293683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E2E63C3" w14:textId="3A175D0C" w:rsidR="00E624CC" w:rsidRPr="00840B8D" w:rsidRDefault="00E624CC" w:rsidP="003142EE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142EE">
              <w:rPr>
                <w:rFonts w:ascii="Times New Roman" w:hAnsi="Times New Roman" w:cs="Times New Roman"/>
                <w:b/>
                <w:sz w:val="24"/>
                <w:szCs w:val="24"/>
              </w:rPr>
              <w:t>845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  <w:r w:rsidR="003142E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E624CC" w14:paraId="479E7E0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27D7115" w14:textId="1B8CC7C2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="00331E38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 xml:space="preserve"> Wahkiakum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64" w:type="dxa"/>
          </w:tcPr>
          <w:p w14:paraId="1167F05F" w14:textId="50486B60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60982</w:t>
            </w:r>
          </w:p>
        </w:tc>
        <w:tc>
          <w:tcPr>
            <w:tcW w:w="1350" w:type="dxa"/>
          </w:tcPr>
          <w:p w14:paraId="5B7D39C3" w14:textId="25439B58" w:rsidR="00E624CC" w:rsidRDefault="00D177A8" w:rsidP="00D177A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6E1DD217" w14:textId="0B10E779" w:rsidR="00E624CC" w:rsidRDefault="00E624CC" w:rsidP="007861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,007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40" w:type="dxa"/>
          </w:tcPr>
          <w:p w14:paraId="0911BDE9" w14:textId="5B9B4521" w:rsidR="00E624CC" w:rsidRDefault="00E624CC" w:rsidP="009678F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78FB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8AF495F" w14:textId="6E2F097E" w:rsidR="00E624CC" w:rsidRPr="00840B8D" w:rsidRDefault="00E624CC" w:rsidP="009678F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$      </w:t>
            </w:r>
            <w:r w:rsidR="009678F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7861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678FB">
              <w:rPr>
                <w:rFonts w:ascii="Times New Roman" w:hAnsi="Times New Roman" w:cs="Times New Roman"/>
                <w:b/>
                <w:sz w:val="24"/>
                <w:szCs w:val="24"/>
              </w:rPr>
              <w:t>562</w:t>
            </w:r>
          </w:p>
        </w:tc>
      </w:tr>
      <w:tr w:rsidR="00E624CC" w14:paraId="26DD22A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A0297F7" w14:textId="20137F0A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Westgate</w:t>
            </w:r>
          </w:p>
        </w:tc>
        <w:tc>
          <w:tcPr>
            <w:tcW w:w="1464" w:type="dxa"/>
          </w:tcPr>
          <w:p w14:paraId="508CD14C" w14:textId="2DAB4F71" w:rsidR="00E624CC" w:rsidRDefault="00D177A8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UT-160987</w:t>
            </w:r>
          </w:p>
        </w:tc>
        <w:tc>
          <w:tcPr>
            <w:tcW w:w="1350" w:type="dxa"/>
          </w:tcPr>
          <w:p w14:paraId="4546201C" w14:textId="26FD6612" w:rsidR="00E624CC" w:rsidRDefault="00D177A8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1.7%</w:t>
            </w:r>
          </w:p>
        </w:tc>
        <w:tc>
          <w:tcPr>
            <w:tcW w:w="1435" w:type="dxa"/>
          </w:tcPr>
          <w:p w14:paraId="2E4AA14C" w14:textId="5748D486" w:rsidR="00E624CC" w:rsidRDefault="003142EE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      0</w:t>
            </w:r>
          </w:p>
        </w:tc>
        <w:tc>
          <w:tcPr>
            <w:tcW w:w="1440" w:type="dxa"/>
          </w:tcPr>
          <w:p w14:paraId="001AB342" w14:textId="51F84BAB" w:rsidR="00E624CC" w:rsidRDefault="003142EE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71,089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1B5BABDE" w14:textId="03912D4A" w:rsidR="00E624CC" w:rsidRPr="00840B8D" w:rsidRDefault="003142EE" w:rsidP="003142EE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71,089</w:t>
            </w:r>
          </w:p>
        </w:tc>
      </w:tr>
      <w:tr w:rsidR="00E624CC" w14:paraId="64DD7CA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F45F37F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64" w:type="dxa"/>
          </w:tcPr>
          <w:p w14:paraId="499B2262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82DBDF" w14:textId="77777777" w:rsidR="00E624CC" w:rsidRDefault="00E624CC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A39E4C9" w14:textId="50A9CD90" w:rsidR="00E624CC" w:rsidRDefault="00E624CC" w:rsidP="003142EE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14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440" w:type="dxa"/>
          </w:tcPr>
          <w:p w14:paraId="5A0AC6A3" w14:textId="7EC619E1" w:rsidR="00E624CC" w:rsidRDefault="00E624CC" w:rsidP="0035777D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</w:t>
            </w:r>
            <w:r w:rsidR="006450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777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77D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735053" w14:textId="18928114" w:rsidR="00E624CC" w:rsidRPr="00840B8D" w:rsidRDefault="00E624CC" w:rsidP="0035777D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</w:t>
            </w:r>
            <w:r w:rsidR="00B20A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5777D">
              <w:rPr>
                <w:rFonts w:ascii="Times New Roman" w:hAnsi="Times New Roman" w:cs="Times New Roman"/>
                <w:b/>
                <w:sz w:val="24"/>
                <w:szCs w:val="24"/>
              </w:rPr>
              <w:t>612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5777D">
              <w:rPr>
                <w:rFonts w:ascii="Times New Roman" w:hAnsi="Times New Roman" w:cs="Times New Roman"/>
                <w:b/>
                <w:sz w:val="24"/>
                <w:szCs w:val="24"/>
              </w:rPr>
              <w:t>980</w:t>
            </w:r>
          </w:p>
        </w:tc>
      </w:tr>
    </w:tbl>
    <w:p w14:paraId="55EF6CBD" w14:textId="77777777" w:rsidR="00805745" w:rsidRDefault="00805745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666FE2E" w14:textId="6F6B235B" w:rsidR="007861E1" w:rsidRPr="007861E1" w:rsidRDefault="007861E1" w:rsidP="007861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CAF-ICC amount of $1</w:t>
      </w:r>
      <w:r w:rsidR="009678F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2,</w:t>
      </w:r>
      <w:r w:rsidR="009678FB">
        <w:rPr>
          <w:rFonts w:ascii="Times New Roman" w:hAnsi="Times New Roman" w:cs="Times New Roman"/>
          <w:sz w:val="24"/>
          <w:szCs w:val="24"/>
        </w:rPr>
        <w:t>555</w:t>
      </w:r>
      <w:r>
        <w:rPr>
          <w:rFonts w:ascii="Times New Roman" w:hAnsi="Times New Roman" w:cs="Times New Roman"/>
          <w:sz w:val="24"/>
          <w:szCs w:val="24"/>
        </w:rPr>
        <w:t xml:space="preserve"> for West Wahkiakum includes an additional $20,455 to reflect a NECA prior period adjustment.</w:t>
      </w:r>
    </w:p>
    <w:sectPr w:rsidR="007861E1" w:rsidRPr="007861E1" w:rsidSect="003175C4">
      <w:headerReference w:type="default" r:id="rId11"/>
      <w:pgSz w:w="12240" w:h="15840" w:code="1"/>
      <w:pgMar w:top="1800" w:right="1440" w:bottom="180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217B2" w14:textId="77777777" w:rsidR="0063756C" w:rsidRDefault="0063756C" w:rsidP="002354C5">
      <w:r>
        <w:separator/>
      </w:r>
    </w:p>
  </w:endnote>
  <w:endnote w:type="continuationSeparator" w:id="0">
    <w:p w14:paraId="0787A442" w14:textId="77777777" w:rsidR="0063756C" w:rsidRDefault="0063756C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CC617" w14:textId="77777777" w:rsidR="0063756C" w:rsidRDefault="0063756C" w:rsidP="002354C5">
      <w:r>
        <w:separator/>
      </w:r>
    </w:p>
  </w:footnote>
  <w:footnote w:type="continuationSeparator" w:id="0">
    <w:p w14:paraId="7D180DFE" w14:textId="77777777" w:rsidR="0063756C" w:rsidRDefault="0063756C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089F8ADA" w:rsidR="007D45FB" w:rsidRPr="008376A8" w:rsidRDefault="007D45FB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Docket UT-1</w:t>
    </w:r>
    <w:r w:rsidR="00EC5E02">
      <w:rPr>
        <w:rFonts w:ascii="Times New Roman" w:hAnsi="Times New Roman" w:cs="Times New Roman"/>
        <w:sz w:val="20"/>
        <w:szCs w:val="20"/>
      </w:rPr>
      <w:t>60927</w:t>
    </w:r>
    <w:r w:rsidRPr="008376A8">
      <w:rPr>
        <w:rFonts w:ascii="Times New Roman" w:hAnsi="Times New Roman" w:cs="Times New Roman"/>
        <w:sz w:val="20"/>
        <w:szCs w:val="20"/>
      </w:rPr>
      <w:t>, et al.</w:t>
    </w:r>
  </w:p>
  <w:p w14:paraId="36B10F03" w14:textId="642E467B" w:rsidR="007D45FB" w:rsidRPr="008376A8" w:rsidRDefault="00B11112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November</w:t>
    </w:r>
    <w:r w:rsidR="007D45FB" w:rsidRPr="008376A8">
      <w:rPr>
        <w:rFonts w:ascii="Times New Roman" w:hAnsi="Times New Roman" w:cs="Times New Roman"/>
        <w:sz w:val="20"/>
        <w:szCs w:val="20"/>
      </w:rPr>
      <w:t xml:space="preserve"> 1</w:t>
    </w:r>
    <w:r w:rsidR="009E4FA2">
      <w:rPr>
        <w:rFonts w:ascii="Times New Roman" w:hAnsi="Times New Roman" w:cs="Times New Roman"/>
        <w:sz w:val="20"/>
        <w:szCs w:val="20"/>
      </w:rPr>
      <w:t>0</w:t>
    </w:r>
    <w:r w:rsidR="007D45FB" w:rsidRPr="008376A8">
      <w:rPr>
        <w:rFonts w:ascii="Times New Roman" w:hAnsi="Times New Roman" w:cs="Times New Roman"/>
        <w:sz w:val="20"/>
        <w:szCs w:val="20"/>
      </w:rPr>
      <w:t>, 201</w:t>
    </w:r>
    <w:r w:rsidR="00EC5E02">
      <w:rPr>
        <w:rFonts w:ascii="Times New Roman" w:hAnsi="Times New Roman" w:cs="Times New Roman"/>
        <w:sz w:val="20"/>
        <w:szCs w:val="20"/>
      </w:rPr>
      <w:t>6</w:t>
    </w:r>
  </w:p>
  <w:p w14:paraId="400EFA08" w14:textId="77777777" w:rsidR="00821042" w:rsidRDefault="00821042">
    <w:pPr>
      <w:pStyle w:val="Header"/>
      <w:rPr>
        <w:rFonts w:ascii="Times New Roman" w:hAnsi="Times New Roman" w:cs="Times New Roman"/>
        <w:sz w:val="24"/>
        <w:szCs w:val="24"/>
      </w:rPr>
    </w:pPr>
  </w:p>
  <w:p w14:paraId="43B8F9AC" w14:textId="77777777" w:rsidR="00E836E2" w:rsidRPr="00840B8D" w:rsidRDefault="00E836E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E3891"/>
    <w:multiLevelType w:val="hybridMultilevel"/>
    <w:tmpl w:val="B322AA6E"/>
    <w:lvl w:ilvl="0" w:tplc="0C5C779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07940"/>
    <w:rsid w:val="0004746C"/>
    <w:rsid w:val="00067892"/>
    <w:rsid w:val="0007067F"/>
    <w:rsid w:val="000B276C"/>
    <w:rsid w:val="000D099C"/>
    <w:rsid w:val="000E640C"/>
    <w:rsid w:val="00101CDF"/>
    <w:rsid w:val="00161DB3"/>
    <w:rsid w:val="00170466"/>
    <w:rsid w:val="001A0C12"/>
    <w:rsid w:val="001B733B"/>
    <w:rsid w:val="001C5AB1"/>
    <w:rsid w:val="001E1D7A"/>
    <w:rsid w:val="001F753C"/>
    <w:rsid w:val="002354C5"/>
    <w:rsid w:val="002519C5"/>
    <w:rsid w:val="00267CCB"/>
    <w:rsid w:val="0029585E"/>
    <w:rsid w:val="002C039A"/>
    <w:rsid w:val="003142EE"/>
    <w:rsid w:val="003175C4"/>
    <w:rsid w:val="00331E38"/>
    <w:rsid w:val="00344366"/>
    <w:rsid w:val="0035777D"/>
    <w:rsid w:val="00376DBE"/>
    <w:rsid w:val="00392D10"/>
    <w:rsid w:val="003959AF"/>
    <w:rsid w:val="003D02C8"/>
    <w:rsid w:val="003E023F"/>
    <w:rsid w:val="003E4556"/>
    <w:rsid w:val="00445C7B"/>
    <w:rsid w:val="004554EB"/>
    <w:rsid w:val="0046127D"/>
    <w:rsid w:val="004667FF"/>
    <w:rsid w:val="004802F4"/>
    <w:rsid w:val="00494B71"/>
    <w:rsid w:val="004A0512"/>
    <w:rsid w:val="00513527"/>
    <w:rsid w:val="00552600"/>
    <w:rsid w:val="0055321C"/>
    <w:rsid w:val="00576D49"/>
    <w:rsid w:val="005800DE"/>
    <w:rsid w:val="005A6C74"/>
    <w:rsid w:val="005B2472"/>
    <w:rsid w:val="005D7B78"/>
    <w:rsid w:val="006202CC"/>
    <w:rsid w:val="0063756C"/>
    <w:rsid w:val="00645096"/>
    <w:rsid w:val="00664B7E"/>
    <w:rsid w:val="00672F7B"/>
    <w:rsid w:val="00697D54"/>
    <w:rsid w:val="006A41EE"/>
    <w:rsid w:val="006B6356"/>
    <w:rsid w:val="006D12E1"/>
    <w:rsid w:val="006D25FC"/>
    <w:rsid w:val="00723DDF"/>
    <w:rsid w:val="00727A13"/>
    <w:rsid w:val="00784C4B"/>
    <w:rsid w:val="007861E1"/>
    <w:rsid w:val="007D0C35"/>
    <w:rsid w:val="007D45FB"/>
    <w:rsid w:val="007D5E61"/>
    <w:rsid w:val="00805745"/>
    <w:rsid w:val="00821042"/>
    <w:rsid w:val="008376A8"/>
    <w:rsid w:val="00840B8D"/>
    <w:rsid w:val="008410AE"/>
    <w:rsid w:val="008455E1"/>
    <w:rsid w:val="00855A87"/>
    <w:rsid w:val="00861880"/>
    <w:rsid w:val="00865F01"/>
    <w:rsid w:val="008A6C5B"/>
    <w:rsid w:val="008F02B4"/>
    <w:rsid w:val="00900B9B"/>
    <w:rsid w:val="00926D7D"/>
    <w:rsid w:val="00965DD8"/>
    <w:rsid w:val="009678FB"/>
    <w:rsid w:val="00970C99"/>
    <w:rsid w:val="0098105F"/>
    <w:rsid w:val="009B2E22"/>
    <w:rsid w:val="009C0A53"/>
    <w:rsid w:val="009C5DB8"/>
    <w:rsid w:val="009D0FA5"/>
    <w:rsid w:val="009E4FA2"/>
    <w:rsid w:val="009E56B2"/>
    <w:rsid w:val="00A14EC2"/>
    <w:rsid w:val="00A1767B"/>
    <w:rsid w:val="00A52EF6"/>
    <w:rsid w:val="00A740E6"/>
    <w:rsid w:val="00A84042"/>
    <w:rsid w:val="00A84C2A"/>
    <w:rsid w:val="00A948B9"/>
    <w:rsid w:val="00AA5736"/>
    <w:rsid w:val="00AC4861"/>
    <w:rsid w:val="00AC4D5A"/>
    <w:rsid w:val="00AD114B"/>
    <w:rsid w:val="00AD3312"/>
    <w:rsid w:val="00AD71A6"/>
    <w:rsid w:val="00AE126F"/>
    <w:rsid w:val="00AE273E"/>
    <w:rsid w:val="00AE6F43"/>
    <w:rsid w:val="00AF50C2"/>
    <w:rsid w:val="00B11112"/>
    <w:rsid w:val="00B13041"/>
    <w:rsid w:val="00B20A5C"/>
    <w:rsid w:val="00B44C96"/>
    <w:rsid w:val="00B4575B"/>
    <w:rsid w:val="00B91AC6"/>
    <w:rsid w:val="00BA1662"/>
    <w:rsid w:val="00BC3DE1"/>
    <w:rsid w:val="00BF2682"/>
    <w:rsid w:val="00BF5B4C"/>
    <w:rsid w:val="00C74E18"/>
    <w:rsid w:val="00C823F6"/>
    <w:rsid w:val="00CD2BA0"/>
    <w:rsid w:val="00CF26FC"/>
    <w:rsid w:val="00D177A8"/>
    <w:rsid w:val="00D304E1"/>
    <w:rsid w:val="00D52855"/>
    <w:rsid w:val="00D5299D"/>
    <w:rsid w:val="00D9468E"/>
    <w:rsid w:val="00DA1B86"/>
    <w:rsid w:val="00DA64E7"/>
    <w:rsid w:val="00DC56C2"/>
    <w:rsid w:val="00DD2A47"/>
    <w:rsid w:val="00DF0533"/>
    <w:rsid w:val="00E45C7C"/>
    <w:rsid w:val="00E53FD5"/>
    <w:rsid w:val="00E624CC"/>
    <w:rsid w:val="00E6310F"/>
    <w:rsid w:val="00E63D84"/>
    <w:rsid w:val="00E836E2"/>
    <w:rsid w:val="00EC5E02"/>
    <w:rsid w:val="00EE7C1F"/>
    <w:rsid w:val="00F21B68"/>
    <w:rsid w:val="00F35F0A"/>
    <w:rsid w:val="00F40ADC"/>
    <w:rsid w:val="00F62821"/>
    <w:rsid w:val="00F6442A"/>
    <w:rsid w:val="00F71E76"/>
    <w:rsid w:val="00F8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0530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8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C1E5A71296474EB313FDB9E07C2DAD" ma:contentTypeVersion="104" ma:contentTypeDescription="" ma:contentTypeScope="" ma:versionID="6e6a0b42efb0ffb58dd29bb59a0041b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2016-07-29T07:00:00+00:00</OpenedDate>
    <Date1 xmlns="dc463f71-b30c-4ab2-9473-d307f9d35888">2016-11-08T08:00:00+00:00</Date1>
    <IsDocumentOrder xmlns="dc463f71-b30c-4ab2-9473-d307f9d35888" xsi:nil="true"/>
    <IsHighlyConfidential xmlns="dc463f71-b30c-4ab2-9473-d307f9d35888">false</IsHighlyConfidential>
    <CaseCompanyNames xmlns="dc463f71-b30c-4ab2-9473-d307f9d35888">Kalama Telephone Company</CaseCompanyNames>
    <DocketNumber xmlns="dc463f71-b30c-4ab2-9473-d307f9d35888">160966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D5C7D6116E448BFEB2CC941F1B8FD" ma:contentTypeVersion="8" ma:contentTypeDescription="" ma:contentTypeScope="" ma:versionID="9e3ed4f113050e201966470cfa1c0a4c">
  <xsd:schema xmlns:xsd="http://www.w3.org/2001/XMLSchema" xmlns:xs="http://www.w3.org/2001/XMLSchema" xmlns:p="http://schemas.microsoft.com/office/2006/metadata/properties" xmlns:ns2="dc463f71-b30c-4ab2-9473-d307f9d35888" targetNamespace="http://schemas.microsoft.com/office/2006/metadata/properties" ma:root="true" ma:fieldsID="88e67c6e6dc9a4a746c04bd2fa79be8b" ns2:_=""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8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9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10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11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12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13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14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15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6" nillable="true" ma:displayName="Agenda Order" ma:default="0" ma:internalName="AgendaOrder" ma:readOnly="false">
      <xsd:simpleType>
        <xsd:restriction base="dms:Boolean"/>
      </xsd:simpleType>
    </xsd:element>
    <xsd:element name="DelegatedOrder" ma:index="17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8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9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20" nillable="true" ma:displayName="OpenedDate" ma:format="DateOnly" ma:internalName="OpenedDate">
      <xsd:simpleType>
        <xsd:restriction base="dms:DateTime"/>
      </xsd:simpleType>
    </xsd:element>
    <xsd:element name="Prefix" ma:index="21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4FD61BA-EBEF-445F-AF7C-E323CFEC3399}"/>
</file>

<file path=customXml/itemProps2.xml><?xml version="1.0" encoding="utf-8"?>
<ds:datastoreItem xmlns:ds="http://schemas.openxmlformats.org/officeDocument/2006/customXml" ds:itemID="{8A5E3AF1-E59E-44BE-9057-B0BC1BFF7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A826B-5386-41B2-A7FE-6C3535AEC3AF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dc463f71-b30c-4ab2-9473-d307f9d3588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BA9DAE3-3204-44BD-8CAB-005EF9206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63f71-b30c-4ab2-9473-d307f9d35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8A53E8-E268-46E0-B1A0-42D268FB3C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UT-151501 Attachment</vt:lpstr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UT-160927 et al  Attachment</dc:title>
  <dc:subject/>
  <dc:creator/>
  <cp:keywords/>
  <dc:description/>
  <cp:lastModifiedBy/>
  <cp:revision>1</cp:revision>
  <dcterms:created xsi:type="dcterms:W3CDTF">2016-11-03T16:24:00Z</dcterms:created>
  <dcterms:modified xsi:type="dcterms:W3CDTF">2016-11-03T16:24:00Z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0x0101006E56B4D1795A2E4DB2F0B01679ED314A00B3C1E5A71296474EB313FDB9E07C2DAD</vt:lpwstr>
  </property>
  <property fmtid="{D5CDD505-2E9C-101B-9397-08002B2CF9AE}" pid="3" name="_docset_NoMedatataSyncRequired">
    <vt:lpwstr>False</vt:lpwstr>
  </property>
</Properties>
</file>