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4A1E5" w14:textId="7F288D0C" w:rsidR="00AD5580" w:rsidRPr="005440CF" w:rsidRDefault="00AD5580" w:rsidP="00AD5580">
      <w:bookmarkStart w:id="0" w:name="_GoBack"/>
      <w:bookmarkEnd w:id="0"/>
      <w:r w:rsidRPr="005440CF">
        <w:t>Agenda Date:</w:t>
      </w:r>
      <w:r w:rsidRPr="005440CF">
        <w:tab/>
      </w:r>
      <w:r w:rsidRPr="005440CF">
        <w:tab/>
      </w:r>
      <w:r w:rsidR="009C2209">
        <w:t>January 26,</w:t>
      </w:r>
      <w:r w:rsidRPr="005440CF">
        <w:t xml:space="preserve"> 201</w:t>
      </w:r>
      <w:r w:rsidR="009C2209">
        <w:t>7</w:t>
      </w:r>
    </w:p>
    <w:p w14:paraId="40729B41" w14:textId="77777777" w:rsidR="004571A7" w:rsidRDefault="004571A7" w:rsidP="00AD5580"/>
    <w:p w14:paraId="73C3ADB9" w14:textId="6086554B" w:rsidR="00AD5580" w:rsidRPr="005440CF" w:rsidRDefault="00AD5580" w:rsidP="00AD5580">
      <w:r w:rsidRPr="005440CF">
        <w:t>Item Number</w:t>
      </w:r>
      <w:r>
        <w:t>s</w:t>
      </w:r>
      <w:r w:rsidRPr="005440CF">
        <w:t>:</w:t>
      </w:r>
      <w:r w:rsidRPr="005440CF">
        <w:tab/>
      </w:r>
      <w:r w:rsidR="004571A7">
        <w:t>A3 and A5</w:t>
      </w:r>
      <w:r>
        <w:tab/>
      </w:r>
    </w:p>
    <w:p w14:paraId="34EC82C0" w14:textId="77777777" w:rsidR="00AD5580" w:rsidRPr="005440CF" w:rsidRDefault="00AD5580" w:rsidP="00AD5580"/>
    <w:p w14:paraId="7060D2FE" w14:textId="77777777" w:rsidR="00AD5580" w:rsidRDefault="00AD5580" w:rsidP="00AD5580">
      <w:pPr>
        <w:rPr>
          <w:b/>
        </w:rPr>
      </w:pPr>
      <w:r w:rsidRPr="00204A52">
        <w:rPr>
          <w:b/>
        </w:rPr>
        <w:t>Docket</w:t>
      </w:r>
      <w:r>
        <w:rPr>
          <w:b/>
        </w:rPr>
        <w:t>s:</w:t>
      </w:r>
      <w:r>
        <w:rPr>
          <w:b/>
        </w:rPr>
        <w:tab/>
      </w:r>
      <w:r>
        <w:rPr>
          <w:b/>
        </w:rPr>
        <w:tab/>
      </w:r>
      <w:r w:rsidRPr="00204A52">
        <w:rPr>
          <w:b/>
        </w:rPr>
        <w:t>UE-</w:t>
      </w:r>
      <w:r>
        <w:rPr>
          <w:b/>
        </w:rPr>
        <w:t>152076</w:t>
      </w:r>
    </w:p>
    <w:p w14:paraId="4D8B52E8" w14:textId="77777777" w:rsidR="00AD5580" w:rsidRPr="00204A52" w:rsidRDefault="00AD5580" w:rsidP="00AD5580">
      <w:pPr>
        <w:rPr>
          <w:b/>
        </w:rPr>
      </w:pPr>
      <w:r>
        <w:rPr>
          <w:b/>
        </w:rPr>
        <w:tab/>
      </w:r>
      <w:r>
        <w:rPr>
          <w:b/>
        </w:rPr>
        <w:tab/>
      </w:r>
      <w:r>
        <w:rPr>
          <w:b/>
        </w:rPr>
        <w:tab/>
        <w:t>UG-152077</w:t>
      </w:r>
    </w:p>
    <w:p w14:paraId="74F87933" w14:textId="77777777" w:rsidR="00AD5580" w:rsidRDefault="00AD5580" w:rsidP="00AD5580"/>
    <w:p w14:paraId="7B4EA172" w14:textId="77777777" w:rsidR="00AD5580" w:rsidRPr="005440CF" w:rsidRDefault="00AD5580" w:rsidP="00AD5580">
      <w:r w:rsidRPr="005440CF">
        <w:t>Company:</w:t>
      </w:r>
      <w:r w:rsidRPr="005440CF">
        <w:tab/>
      </w:r>
      <w:r w:rsidRPr="005440CF">
        <w:tab/>
        <w:t>Avista Corporation</w:t>
      </w:r>
    </w:p>
    <w:p w14:paraId="28458820" w14:textId="77777777" w:rsidR="00C42650" w:rsidRDefault="00C42650" w:rsidP="00AD5580"/>
    <w:p w14:paraId="12947F70" w14:textId="77777777" w:rsidR="00AD5580" w:rsidRDefault="00AD5580" w:rsidP="00AD5580">
      <w:r w:rsidRPr="005440CF">
        <w:t>Staff:</w:t>
      </w:r>
      <w:r w:rsidRPr="005440CF">
        <w:tab/>
      </w:r>
      <w:r w:rsidRPr="005440CF">
        <w:tab/>
      </w:r>
      <w:r w:rsidRPr="005440CF">
        <w:tab/>
      </w:r>
      <w:r>
        <w:t>Deborah Reynolds, Assistant Director, Conservation and Energy Planning</w:t>
      </w:r>
    </w:p>
    <w:p w14:paraId="65E9AA40" w14:textId="77777777" w:rsidR="00AD5580" w:rsidRDefault="00AD5580" w:rsidP="00AD5580">
      <w:pPr>
        <w:ind w:left="1440" w:firstLine="720"/>
      </w:pPr>
      <w:r>
        <w:t>E. Cooper Wright</w:t>
      </w:r>
      <w:r w:rsidRPr="005440CF">
        <w:t>, Regulatory Analyst</w:t>
      </w:r>
    </w:p>
    <w:p w14:paraId="1C83129D" w14:textId="1A4B3BCB" w:rsidR="004571A7" w:rsidRPr="005440CF" w:rsidRDefault="004571A7" w:rsidP="00AD5580">
      <w:pPr>
        <w:ind w:left="1440" w:firstLine="720"/>
      </w:pPr>
      <w:r>
        <w:t>Kathi Scanlan, Regulatory Analyst</w:t>
      </w:r>
    </w:p>
    <w:p w14:paraId="50354CCA" w14:textId="77777777" w:rsidR="00AD5580" w:rsidRPr="005440CF" w:rsidRDefault="00AD5580" w:rsidP="00AD5580">
      <w:r>
        <w:tab/>
      </w:r>
      <w:r>
        <w:tab/>
      </w:r>
    </w:p>
    <w:p w14:paraId="27CFBEAC" w14:textId="4576EB65" w:rsidR="00AD5580" w:rsidRPr="007F682C" w:rsidRDefault="00B01635" w:rsidP="00AD5580">
      <w:pPr>
        <w:pStyle w:val="Heading1"/>
        <w:rPr>
          <w:u w:val="single"/>
        </w:rPr>
      </w:pPr>
      <w:r>
        <w:rPr>
          <w:u w:val="single"/>
        </w:rPr>
        <w:t>Recommendations</w:t>
      </w:r>
    </w:p>
    <w:p w14:paraId="67D2856E" w14:textId="365C2778" w:rsidR="00AD5580" w:rsidRPr="005440CF" w:rsidRDefault="00240D3C" w:rsidP="00AD5580">
      <w:pPr>
        <w:rPr>
          <w:color w:val="1F497D"/>
        </w:rPr>
      </w:pPr>
      <w:r>
        <w:t>Take no action, acknowledging</w:t>
      </w:r>
      <w:r w:rsidR="00AD5580" w:rsidRPr="009F1083">
        <w:t xml:space="preserve"> the timely receipt of the 2017 </w:t>
      </w:r>
      <w:r w:rsidR="004A5BBD">
        <w:t>Annual Conservation Plan (</w:t>
      </w:r>
      <w:r w:rsidR="00AD5580" w:rsidRPr="009F1083">
        <w:t>Deman</w:t>
      </w:r>
      <w:r w:rsidR="007B7E1A">
        <w:t>d-Side Management business plan</w:t>
      </w:r>
      <w:r w:rsidR="004A5BBD">
        <w:t>)</w:t>
      </w:r>
      <w:r w:rsidR="00AD5580" w:rsidRPr="009F1083">
        <w:t xml:space="preserve"> submitted on November 15, 2016, in Dockets UE-152076 and UG-152077.</w:t>
      </w:r>
    </w:p>
    <w:p w14:paraId="1255A89A" w14:textId="77777777" w:rsidR="00AD5580" w:rsidRPr="007F682C" w:rsidRDefault="00AD5580" w:rsidP="00AD5580">
      <w:pPr>
        <w:pStyle w:val="Heading1"/>
        <w:rPr>
          <w:u w:val="single"/>
        </w:rPr>
      </w:pPr>
      <w:r w:rsidRPr="007F682C">
        <w:rPr>
          <w:u w:val="single"/>
        </w:rPr>
        <w:t>Background</w:t>
      </w:r>
    </w:p>
    <w:p w14:paraId="7B31D50A" w14:textId="2A1CE9B7" w:rsidR="00AD5580" w:rsidRDefault="00AD5580" w:rsidP="00AD5580">
      <w:r w:rsidRPr="005440CF">
        <w:lastRenderedPageBreak/>
        <w:t xml:space="preserve">Avista </w:t>
      </w:r>
      <w:r>
        <w:t xml:space="preserve">is currently operating its electric energy efficiency programs under conditions approved by the </w:t>
      </w:r>
      <w:r w:rsidRPr="005440CF">
        <w:t>Washington Utilities and Transportation Commission (commission) pursuant to RCW 19.285 and WAC 480-109.</w:t>
      </w:r>
      <w:r>
        <w:rPr>
          <w:rStyle w:val="FootnoteReference"/>
        </w:rPr>
        <w:footnoteReference w:id="1"/>
      </w:r>
      <w:r w:rsidRPr="005440CF">
        <w:t xml:space="preserve"> </w:t>
      </w:r>
      <w:r w:rsidRPr="00E3641A">
        <w:t xml:space="preserve">The company’s biennial </w:t>
      </w:r>
      <w:r>
        <w:t>2016-2017</w:t>
      </w:r>
      <w:r w:rsidRPr="00E3641A">
        <w:t xml:space="preserve"> electric conservation </w:t>
      </w:r>
      <w:r>
        <w:t>commitment</w:t>
      </w:r>
      <w:r w:rsidRPr="00E3641A">
        <w:t xml:space="preserve"> </w:t>
      </w:r>
      <w:r>
        <w:t>is 82,477 MWh. This is comprised of a base 72,626 MWh</w:t>
      </w:r>
      <w:r w:rsidR="00216C79">
        <w:t xml:space="preserve"> in savings</w:t>
      </w:r>
      <w:r>
        <w:t>, Northwest Energy Efficiency Alliance (NEEA) market transformation returns of 6,220 MWh, and a decoupling commitment of 3,631 MWh.</w:t>
      </w:r>
      <w:r>
        <w:rPr>
          <w:rStyle w:val="FootnoteReference"/>
        </w:rPr>
        <w:footnoteReference w:id="2"/>
      </w:r>
      <w:r>
        <w:t xml:space="preserve"> The decoupling commitment stems from the settlement agreement in Docket UE-140188, which adds 5 percent of the base to the company’s biennial conservation commitment.</w:t>
      </w:r>
      <w:r>
        <w:rPr>
          <w:rStyle w:val="FootnoteReference"/>
        </w:rPr>
        <w:footnoteReference w:id="3"/>
      </w:r>
    </w:p>
    <w:p w14:paraId="41C6CA35" w14:textId="77777777" w:rsidR="00AD5580" w:rsidRDefault="00AD5580" w:rsidP="00AD5580"/>
    <w:p w14:paraId="02482A8D" w14:textId="186842F2" w:rsidR="00AD5580" w:rsidRDefault="001C0C4D" w:rsidP="00AD5580">
      <w:r>
        <w:t xml:space="preserve">On November 15, 2016, Avista Corporation (Avista or company) timely filed its 2017 Electric and Natural Gas Demand-Side Management (DSM) Annual Conservation Plans (Business Plan) in Dockets UE-152076 and UG-152077. </w:t>
      </w:r>
      <w:r w:rsidR="00AD5580">
        <w:t xml:space="preserve">Avista concurrently filed their 2017 Natural Gas DSM Business Plan in Docket UG-152077. Avista’s </w:t>
      </w:r>
      <w:r w:rsidR="00AD5580" w:rsidRPr="00E3641A">
        <w:t>201</w:t>
      </w:r>
      <w:r w:rsidR="00AD5580">
        <w:t>6-2017</w:t>
      </w:r>
      <w:r w:rsidR="00AD5580" w:rsidRPr="00E3641A">
        <w:t xml:space="preserve"> natural gas </w:t>
      </w:r>
      <w:r w:rsidR="00AD5580">
        <w:t xml:space="preserve">conservation </w:t>
      </w:r>
      <w:r w:rsidR="00AD5580" w:rsidRPr="00E3641A">
        <w:t>target</w:t>
      </w:r>
      <w:r w:rsidR="00AD5580">
        <w:t xml:space="preserve"> is 1,136,000</w:t>
      </w:r>
      <w:r w:rsidR="00AD5580" w:rsidRPr="00E3641A">
        <w:t xml:space="preserve"> therms</w:t>
      </w:r>
      <w:r w:rsidR="00AD5580">
        <w:t>.</w:t>
      </w:r>
      <w:r w:rsidR="00AD5580">
        <w:rPr>
          <w:rStyle w:val="FootnoteReference"/>
        </w:rPr>
        <w:footnoteReference w:id="4"/>
      </w:r>
      <w:r w:rsidR="00AD5580">
        <w:t xml:space="preserve"> </w:t>
      </w:r>
    </w:p>
    <w:p w14:paraId="259507CA" w14:textId="77777777" w:rsidR="00AD5580" w:rsidRDefault="00AD5580" w:rsidP="00AD5580"/>
    <w:p w14:paraId="108BE332" w14:textId="5E7BDD6F" w:rsidR="00C6205B" w:rsidRDefault="000D607F" w:rsidP="00AD5580">
      <w:r>
        <w:t xml:space="preserve">In 2015, </w:t>
      </w:r>
      <w:r w:rsidR="00BC522E">
        <w:t xml:space="preserve">Avista </w:t>
      </w:r>
      <w:r>
        <w:t>served</w:t>
      </w:r>
      <w:r w:rsidR="00BC522E">
        <w:t xml:space="preserve"> </w:t>
      </w:r>
      <w:r w:rsidR="00E4185C">
        <w:t>245,401</w:t>
      </w:r>
      <w:r w:rsidR="00C4554C">
        <w:t xml:space="preserve"> electric customers and </w:t>
      </w:r>
      <w:r w:rsidR="00E4185C">
        <w:t>154,905</w:t>
      </w:r>
      <w:r w:rsidR="00C4554C">
        <w:t xml:space="preserve"> natural gas customers in eastern Washington</w:t>
      </w:r>
      <w:r w:rsidR="00FE5512">
        <w:t xml:space="preserve">. For electric customers, Avista serves the following counties: </w:t>
      </w:r>
      <w:r>
        <w:t xml:space="preserve">Adams, Asotin, Ferry, Franklin, Grant, Lincoln, Spokane, Stevens, and Whitman </w:t>
      </w:r>
      <w:r w:rsidRPr="005B5A78">
        <w:lastRenderedPageBreak/>
        <w:t>counties</w:t>
      </w:r>
      <w:r w:rsidR="00F82E38">
        <w:t xml:space="preserve">. </w:t>
      </w:r>
      <w:r w:rsidR="00071171">
        <w:t xml:space="preserve">In addition to the counties served for electric service, the </w:t>
      </w:r>
      <w:r w:rsidR="004571A7">
        <w:t>n</w:t>
      </w:r>
      <w:r>
        <w:t>atural gas service</w:t>
      </w:r>
      <w:r w:rsidR="00FE5512">
        <w:t xml:space="preserve"> </w:t>
      </w:r>
      <w:r w:rsidR="004571A7">
        <w:t>territory</w:t>
      </w:r>
      <w:r w:rsidR="00FE5512">
        <w:t xml:space="preserve"> </w:t>
      </w:r>
      <w:r w:rsidR="00071171">
        <w:t xml:space="preserve">also </w:t>
      </w:r>
      <w:r w:rsidR="004571A7">
        <w:t xml:space="preserve">includes </w:t>
      </w:r>
      <w:r>
        <w:t>Klickitat</w:t>
      </w:r>
      <w:r w:rsidR="004571A7">
        <w:t xml:space="preserve"> and </w:t>
      </w:r>
      <w:r>
        <w:t>Skamania</w:t>
      </w:r>
      <w:r w:rsidR="00FE5512">
        <w:t xml:space="preserve"> </w:t>
      </w:r>
      <w:r w:rsidRPr="005B5A78">
        <w:t>counties</w:t>
      </w:r>
      <w:r>
        <w:t>.</w:t>
      </w:r>
    </w:p>
    <w:p w14:paraId="7A38CBB7" w14:textId="77777777" w:rsidR="00FE5512" w:rsidRDefault="00FE5512" w:rsidP="00AD5580"/>
    <w:p w14:paraId="61589C70" w14:textId="77777777" w:rsidR="00AD5580" w:rsidRPr="007F682C" w:rsidRDefault="00AD5580" w:rsidP="00AD5580">
      <w:pPr>
        <w:rPr>
          <w:b/>
          <w:u w:val="single"/>
        </w:rPr>
      </w:pPr>
      <w:r w:rsidRPr="007F682C">
        <w:rPr>
          <w:b/>
          <w:u w:val="single"/>
        </w:rPr>
        <w:t>Discussion</w:t>
      </w:r>
    </w:p>
    <w:p w14:paraId="1F764D2E" w14:textId="77777777" w:rsidR="00AD5580" w:rsidRDefault="00AD5580" w:rsidP="00995621">
      <w:pPr>
        <w:ind w:right="-90"/>
        <w:rPr>
          <w:b/>
        </w:rPr>
      </w:pPr>
    </w:p>
    <w:p w14:paraId="187BA50C" w14:textId="391D52C3" w:rsidR="00AD5580" w:rsidRPr="006104C9" w:rsidRDefault="00AD5580" w:rsidP="00AD5580">
      <w:pPr>
        <w:rPr>
          <w:b/>
          <w:i/>
        </w:rPr>
      </w:pPr>
      <w:r>
        <w:rPr>
          <w:b/>
          <w:i/>
        </w:rPr>
        <w:t xml:space="preserve">Electric DSM Budget. </w:t>
      </w:r>
      <w:r>
        <w:rPr>
          <w:rFonts w:eastAsia="Calibri"/>
        </w:rPr>
        <w:t>Avista is projecting a 3</w:t>
      </w:r>
      <w:r w:rsidRPr="006670A6">
        <w:rPr>
          <w:rFonts w:eastAsia="Calibri"/>
        </w:rPr>
        <w:t xml:space="preserve"> </w:t>
      </w:r>
      <w:r>
        <w:rPr>
          <w:rFonts w:eastAsia="Calibri"/>
        </w:rPr>
        <w:t>percent decrease in its annual</w:t>
      </w:r>
      <w:r w:rsidRPr="006670A6">
        <w:rPr>
          <w:rFonts w:eastAsia="Calibri"/>
        </w:rPr>
        <w:t xml:space="preserve"> electric conservat</w:t>
      </w:r>
      <w:r>
        <w:rPr>
          <w:rFonts w:eastAsia="Calibri"/>
        </w:rPr>
        <w:t xml:space="preserve">ion budget, </w:t>
      </w:r>
      <w:r w:rsidR="00071171">
        <w:rPr>
          <w:rFonts w:eastAsia="Calibri"/>
        </w:rPr>
        <w:t>decreasing</w:t>
      </w:r>
      <w:r>
        <w:rPr>
          <w:rFonts w:eastAsia="Calibri"/>
        </w:rPr>
        <w:t xml:space="preserve"> from $11.3 million to $10.9 million</w:t>
      </w:r>
      <w:r w:rsidRPr="006670A6">
        <w:rPr>
          <w:rFonts w:eastAsia="Calibri"/>
        </w:rPr>
        <w:t xml:space="preserve">. </w:t>
      </w:r>
      <w:r>
        <w:rPr>
          <w:rFonts w:eastAsia="Calibri"/>
        </w:rPr>
        <w:t>The</w:t>
      </w:r>
      <w:r w:rsidR="00FE5512">
        <w:rPr>
          <w:rFonts w:eastAsia="Calibri"/>
        </w:rPr>
        <w:t xml:space="preserve"> table below summarizes the 2016 and 2017</w:t>
      </w:r>
      <w:r>
        <w:rPr>
          <w:rFonts w:eastAsia="Calibri"/>
        </w:rPr>
        <w:t xml:space="preserve"> budgets by expense category</w:t>
      </w:r>
      <w:r w:rsidR="00FE5512">
        <w:rPr>
          <w:rFonts w:eastAsia="Calibri"/>
        </w:rPr>
        <w:t xml:space="preserve"> and also highlights the change in budgets</w:t>
      </w:r>
      <w:r>
        <w:rPr>
          <w:rFonts w:eastAsia="Calibri"/>
        </w:rPr>
        <w:t>.</w:t>
      </w:r>
    </w:p>
    <w:p w14:paraId="32BD9897" w14:textId="77777777" w:rsidR="00AD5580" w:rsidRDefault="00AD5580" w:rsidP="00AD5580">
      <w:pPr>
        <w:rPr>
          <w:rFonts w:eastAsia="Calibri"/>
        </w:rPr>
      </w:pPr>
    </w:p>
    <w:tbl>
      <w:tblPr>
        <w:tblW w:w="9018"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3168"/>
        <w:gridCol w:w="1980"/>
        <w:gridCol w:w="1980"/>
        <w:gridCol w:w="1890"/>
      </w:tblGrid>
      <w:tr w:rsidR="00AD5580" w14:paraId="791DC6D5" w14:textId="77777777" w:rsidTr="001C0C4D">
        <w:trPr>
          <w:trHeight w:val="279"/>
        </w:trPr>
        <w:tc>
          <w:tcPr>
            <w:tcW w:w="3168" w:type="dxa"/>
            <w:tcBorders>
              <w:top w:val="single" w:sz="12" w:space="0" w:color="000000"/>
              <w:left w:val="nil"/>
              <w:bottom w:val="single" w:sz="12" w:space="0" w:color="000000"/>
              <w:right w:val="nil"/>
            </w:tcBorders>
            <w:hideMark/>
          </w:tcPr>
          <w:p w14:paraId="2E939746" w14:textId="77777777" w:rsidR="00AD5580" w:rsidRDefault="00AD5580" w:rsidP="001C0C4D">
            <w:pPr>
              <w:rPr>
                <w:b/>
                <w:bCs/>
                <w:color w:val="000080"/>
              </w:rPr>
            </w:pPr>
            <w:r>
              <w:rPr>
                <w:b/>
                <w:bCs/>
                <w:color w:val="000000" w:themeColor="text1"/>
              </w:rPr>
              <w:t>Electric Program Budgets</w:t>
            </w:r>
          </w:p>
        </w:tc>
        <w:tc>
          <w:tcPr>
            <w:tcW w:w="1980" w:type="dxa"/>
            <w:tcBorders>
              <w:top w:val="single" w:sz="12" w:space="0" w:color="000000"/>
              <w:left w:val="nil"/>
              <w:bottom w:val="single" w:sz="12" w:space="0" w:color="000000"/>
              <w:right w:val="nil"/>
            </w:tcBorders>
            <w:hideMark/>
          </w:tcPr>
          <w:p w14:paraId="6F1F17AB" w14:textId="77777777" w:rsidR="00AD5580" w:rsidRDefault="00AD5580" w:rsidP="001C0C4D">
            <w:pPr>
              <w:jc w:val="right"/>
              <w:rPr>
                <w:b/>
                <w:bCs/>
                <w:color w:val="000000" w:themeColor="text1"/>
              </w:rPr>
            </w:pPr>
            <w:r>
              <w:rPr>
                <w:b/>
                <w:bCs/>
                <w:color w:val="000000" w:themeColor="text1"/>
              </w:rPr>
              <w:t>2016 Budget</w:t>
            </w:r>
            <w:bookmarkStart w:id="1" w:name="_Ref472497607"/>
            <w:r>
              <w:rPr>
                <w:rStyle w:val="FootnoteReference"/>
                <w:b/>
                <w:bCs/>
                <w:color w:val="000000" w:themeColor="text1"/>
              </w:rPr>
              <w:footnoteReference w:id="5"/>
            </w:r>
            <w:bookmarkEnd w:id="1"/>
          </w:p>
        </w:tc>
        <w:tc>
          <w:tcPr>
            <w:tcW w:w="1980" w:type="dxa"/>
            <w:tcBorders>
              <w:top w:val="single" w:sz="12" w:space="0" w:color="000000"/>
              <w:left w:val="nil"/>
              <w:bottom w:val="single" w:sz="12" w:space="0" w:color="000000"/>
              <w:right w:val="nil"/>
            </w:tcBorders>
            <w:hideMark/>
          </w:tcPr>
          <w:p w14:paraId="16DBE0A7" w14:textId="77777777" w:rsidR="00AD5580" w:rsidRDefault="00AD5580" w:rsidP="001C0C4D">
            <w:pPr>
              <w:jc w:val="right"/>
              <w:rPr>
                <w:b/>
                <w:bCs/>
                <w:color w:val="000000" w:themeColor="text1"/>
              </w:rPr>
            </w:pPr>
            <w:r>
              <w:rPr>
                <w:b/>
                <w:bCs/>
                <w:color w:val="000000" w:themeColor="text1"/>
              </w:rPr>
              <w:t>2017 Budget</w:t>
            </w:r>
          </w:p>
        </w:tc>
        <w:tc>
          <w:tcPr>
            <w:tcW w:w="1890" w:type="dxa"/>
            <w:tcBorders>
              <w:top w:val="single" w:sz="12" w:space="0" w:color="000000"/>
              <w:left w:val="nil"/>
              <w:bottom w:val="single" w:sz="12" w:space="0" w:color="000000"/>
              <w:right w:val="nil"/>
            </w:tcBorders>
            <w:hideMark/>
          </w:tcPr>
          <w:p w14:paraId="0C461EF1" w14:textId="77777777" w:rsidR="00AD5580" w:rsidRDefault="00AD5580" w:rsidP="001C0C4D">
            <w:pPr>
              <w:jc w:val="right"/>
              <w:rPr>
                <w:b/>
                <w:bCs/>
                <w:color w:val="000000" w:themeColor="text1"/>
              </w:rPr>
            </w:pPr>
            <w:r>
              <w:rPr>
                <w:b/>
                <w:bCs/>
                <w:color w:val="000000" w:themeColor="text1"/>
              </w:rPr>
              <w:t>2017 Change</w:t>
            </w:r>
          </w:p>
        </w:tc>
      </w:tr>
      <w:tr w:rsidR="00AD5580" w14:paraId="2D9EFFF3" w14:textId="77777777" w:rsidTr="001C0C4D">
        <w:trPr>
          <w:trHeight w:val="291"/>
        </w:trPr>
        <w:tc>
          <w:tcPr>
            <w:tcW w:w="3168" w:type="dxa"/>
            <w:tcBorders>
              <w:top w:val="single" w:sz="6" w:space="0" w:color="000000"/>
              <w:left w:val="nil"/>
              <w:bottom w:val="single" w:sz="6" w:space="0" w:color="000000"/>
              <w:right w:val="nil"/>
            </w:tcBorders>
            <w:vAlign w:val="center"/>
          </w:tcPr>
          <w:p w14:paraId="0661DDEE" w14:textId="77777777" w:rsidR="00AD5580" w:rsidRPr="004A60AC" w:rsidRDefault="00AD5580" w:rsidP="001C0C4D">
            <w:r w:rsidRPr="004A60AC">
              <w:rPr>
                <w:color w:val="000000"/>
              </w:rPr>
              <w:t>Incentive Payments</w:t>
            </w:r>
          </w:p>
        </w:tc>
        <w:tc>
          <w:tcPr>
            <w:tcW w:w="1980" w:type="dxa"/>
            <w:tcBorders>
              <w:top w:val="single" w:sz="6" w:space="0" w:color="000000"/>
              <w:left w:val="nil"/>
              <w:bottom w:val="single" w:sz="6" w:space="0" w:color="000000"/>
              <w:right w:val="nil"/>
            </w:tcBorders>
            <w:vAlign w:val="center"/>
          </w:tcPr>
          <w:p w14:paraId="738BB35F" w14:textId="77777777" w:rsidR="00AD5580" w:rsidRPr="004A60AC" w:rsidRDefault="00AD5580" w:rsidP="001C0C4D">
            <w:pPr>
              <w:jc w:val="right"/>
              <w:rPr>
                <w:highlight w:val="yellow"/>
              </w:rPr>
            </w:pPr>
            <w:r w:rsidRPr="004A60AC">
              <w:rPr>
                <w:color w:val="000000"/>
              </w:rPr>
              <w:t> </w:t>
            </w:r>
          </w:p>
        </w:tc>
        <w:tc>
          <w:tcPr>
            <w:tcW w:w="1980" w:type="dxa"/>
            <w:tcBorders>
              <w:top w:val="single" w:sz="6" w:space="0" w:color="000000"/>
              <w:left w:val="nil"/>
              <w:bottom w:val="single" w:sz="6" w:space="0" w:color="000000"/>
              <w:right w:val="nil"/>
            </w:tcBorders>
            <w:vAlign w:val="center"/>
          </w:tcPr>
          <w:p w14:paraId="516D4164" w14:textId="77777777" w:rsidR="00AD5580" w:rsidRPr="004A60AC" w:rsidRDefault="00AD5580" w:rsidP="001C0C4D">
            <w:pPr>
              <w:jc w:val="right"/>
              <w:rPr>
                <w:highlight w:val="yellow"/>
              </w:rPr>
            </w:pPr>
            <w:r w:rsidRPr="004A60AC">
              <w:rPr>
                <w:color w:val="000000"/>
              </w:rPr>
              <w:t> </w:t>
            </w:r>
          </w:p>
        </w:tc>
        <w:tc>
          <w:tcPr>
            <w:tcW w:w="1890" w:type="dxa"/>
            <w:tcBorders>
              <w:top w:val="single" w:sz="6" w:space="0" w:color="000000"/>
              <w:left w:val="nil"/>
              <w:bottom w:val="single" w:sz="6" w:space="0" w:color="000000"/>
              <w:right w:val="nil"/>
            </w:tcBorders>
            <w:vAlign w:val="center"/>
          </w:tcPr>
          <w:p w14:paraId="67727929" w14:textId="77777777" w:rsidR="00AD5580" w:rsidRPr="004A60AC" w:rsidRDefault="00AD5580" w:rsidP="001C0C4D">
            <w:pPr>
              <w:jc w:val="right"/>
            </w:pPr>
            <w:r w:rsidRPr="004A60AC">
              <w:rPr>
                <w:color w:val="000000"/>
              </w:rPr>
              <w:t> </w:t>
            </w:r>
          </w:p>
        </w:tc>
      </w:tr>
      <w:tr w:rsidR="00AD5580" w14:paraId="536643CD" w14:textId="77777777" w:rsidTr="001C0C4D">
        <w:trPr>
          <w:trHeight w:val="304"/>
        </w:trPr>
        <w:tc>
          <w:tcPr>
            <w:tcW w:w="3168" w:type="dxa"/>
            <w:tcBorders>
              <w:top w:val="single" w:sz="6" w:space="0" w:color="000000"/>
              <w:left w:val="nil"/>
              <w:bottom w:val="single" w:sz="6" w:space="0" w:color="000000"/>
              <w:right w:val="nil"/>
            </w:tcBorders>
            <w:vAlign w:val="center"/>
          </w:tcPr>
          <w:p w14:paraId="47CDCFE3" w14:textId="77777777" w:rsidR="00AD5580" w:rsidRPr="004A60AC" w:rsidRDefault="00AD5580" w:rsidP="001C0C4D">
            <w:pPr>
              <w:rPr>
                <w:i/>
              </w:rPr>
            </w:pPr>
            <w:r w:rsidRPr="004A60AC">
              <w:rPr>
                <w:i/>
                <w:iCs/>
                <w:color w:val="000000"/>
              </w:rPr>
              <w:t xml:space="preserve">       Residential </w:t>
            </w:r>
          </w:p>
        </w:tc>
        <w:tc>
          <w:tcPr>
            <w:tcW w:w="1980" w:type="dxa"/>
            <w:tcBorders>
              <w:top w:val="single" w:sz="6" w:space="0" w:color="000000"/>
              <w:left w:val="nil"/>
              <w:bottom w:val="single" w:sz="6" w:space="0" w:color="000000"/>
              <w:right w:val="nil"/>
            </w:tcBorders>
            <w:vAlign w:val="center"/>
          </w:tcPr>
          <w:p w14:paraId="3DAD23A9" w14:textId="355E7ABE" w:rsidR="00AD5580" w:rsidRPr="004A60AC" w:rsidRDefault="00AD5580" w:rsidP="001C0C4D">
            <w:pPr>
              <w:jc w:val="right"/>
            </w:pPr>
            <w:r w:rsidRPr="004A60AC">
              <w:rPr>
                <w:color w:val="000000"/>
              </w:rPr>
              <w:t xml:space="preserve"> $ </w:t>
            </w:r>
            <w:r w:rsidR="00FC30B8">
              <w:rPr>
                <w:color w:val="000000"/>
              </w:rPr>
              <w:t xml:space="preserve">   </w:t>
            </w:r>
            <w:r w:rsidRPr="004A60AC">
              <w:rPr>
                <w:color w:val="000000"/>
              </w:rPr>
              <w:t xml:space="preserve">         </w:t>
            </w:r>
            <w:r>
              <w:rPr>
                <w:color w:val="000000"/>
              </w:rPr>
              <w:t>722,409</w:t>
            </w:r>
          </w:p>
        </w:tc>
        <w:tc>
          <w:tcPr>
            <w:tcW w:w="1980" w:type="dxa"/>
            <w:tcBorders>
              <w:top w:val="single" w:sz="6" w:space="0" w:color="000000"/>
              <w:left w:val="nil"/>
              <w:bottom w:val="single" w:sz="6" w:space="0" w:color="000000"/>
              <w:right w:val="nil"/>
            </w:tcBorders>
            <w:vAlign w:val="center"/>
          </w:tcPr>
          <w:p w14:paraId="363DEF53" w14:textId="77777777" w:rsidR="00AD5580" w:rsidRPr="004A60AC" w:rsidRDefault="00AD5580" w:rsidP="001C0C4D">
            <w:pPr>
              <w:jc w:val="right"/>
            </w:pPr>
            <w:r w:rsidRPr="004A60AC">
              <w:rPr>
                <w:color w:val="000000"/>
              </w:rPr>
              <w:t xml:space="preserve"> $          885,046 </w:t>
            </w:r>
          </w:p>
        </w:tc>
        <w:tc>
          <w:tcPr>
            <w:tcW w:w="1890" w:type="dxa"/>
            <w:tcBorders>
              <w:top w:val="single" w:sz="6" w:space="0" w:color="000000"/>
              <w:left w:val="nil"/>
              <w:bottom w:val="single" w:sz="6" w:space="0" w:color="000000"/>
              <w:right w:val="nil"/>
            </w:tcBorders>
            <w:vAlign w:val="center"/>
          </w:tcPr>
          <w:p w14:paraId="01131055" w14:textId="77777777" w:rsidR="00AD5580" w:rsidRPr="004A60AC" w:rsidRDefault="00AD5580" w:rsidP="001C0C4D">
            <w:pPr>
              <w:jc w:val="right"/>
            </w:pPr>
            <w:r>
              <w:rPr>
                <w:color w:val="000000"/>
              </w:rPr>
              <w:t>23</w:t>
            </w:r>
            <w:r w:rsidRPr="004A60AC">
              <w:rPr>
                <w:color w:val="000000"/>
              </w:rPr>
              <w:t>%</w:t>
            </w:r>
          </w:p>
        </w:tc>
      </w:tr>
      <w:tr w:rsidR="00AD5580" w14:paraId="7E1E51F8" w14:textId="77777777" w:rsidTr="001C0C4D">
        <w:trPr>
          <w:trHeight w:val="291"/>
        </w:trPr>
        <w:tc>
          <w:tcPr>
            <w:tcW w:w="3168" w:type="dxa"/>
            <w:tcBorders>
              <w:top w:val="single" w:sz="6" w:space="0" w:color="000000"/>
              <w:left w:val="nil"/>
              <w:bottom w:val="single" w:sz="6" w:space="0" w:color="000000"/>
              <w:right w:val="nil"/>
            </w:tcBorders>
            <w:vAlign w:val="center"/>
          </w:tcPr>
          <w:p w14:paraId="1543EEC9" w14:textId="27CF7F71" w:rsidR="00AD5580" w:rsidRPr="004A60AC" w:rsidRDefault="00AD5580" w:rsidP="001C0C4D">
            <w:pPr>
              <w:rPr>
                <w:i/>
              </w:rPr>
            </w:pPr>
            <w:r w:rsidRPr="004A60AC">
              <w:rPr>
                <w:i/>
                <w:iCs/>
                <w:color w:val="000000"/>
              </w:rPr>
              <w:t>       Non</w:t>
            </w:r>
            <w:r w:rsidR="004571A7">
              <w:rPr>
                <w:i/>
                <w:iCs/>
                <w:color w:val="000000"/>
              </w:rPr>
              <w:t>-</w:t>
            </w:r>
            <w:r w:rsidRPr="004A60AC">
              <w:rPr>
                <w:i/>
                <w:iCs/>
                <w:color w:val="000000"/>
              </w:rPr>
              <w:t>residential</w:t>
            </w:r>
          </w:p>
        </w:tc>
        <w:tc>
          <w:tcPr>
            <w:tcW w:w="1980" w:type="dxa"/>
            <w:tcBorders>
              <w:top w:val="single" w:sz="6" w:space="0" w:color="000000"/>
              <w:left w:val="nil"/>
              <w:bottom w:val="single" w:sz="6" w:space="0" w:color="000000"/>
              <w:right w:val="nil"/>
            </w:tcBorders>
            <w:vAlign w:val="center"/>
          </w:tcPr>
          <w:p w14:paraId="6A2C55C1" w14:textId="77777777" w:rsidR="00AD5580" w:rsidRPr="004A60AC" w:rsidRDefault="00AD5580" w:rsidP="001C0C4D">
            <w:pPr>
              <w:jc w:val="right"/>
            </w:pPr>
            <w:r w:rsidRPr="004A60AC">
              <w:rPr>
                <w:color w:val="000000"/>
              </w:rPr>
              <w:t xml:space="preserve"> $          4,083,850 </w:t>
            </w:r>
          </w:p>
        </w:tc>
        <w:tc>
          <w:tcPr>
            <w:tcW w:w="1980" w:type="dxa"/>
            <w:tcBorders>
              <w:top w:val="single" w:sz="6" w:space="0" w:color="000000"/>
              <w:left w:val="nil"/>
              <w:bottom w:val="single" w:sz="6" w:space="0" w:color="000000"/>
              <w:right w:val="nil"/>
            </w:tcBorders>
            <w:vAlign w:val="center"/>
          </w:tcPr>
          <w:p w14:paraId="41E2CAEB" w14:textId="77777777" w:rsidR="00AD5580" w:rsidRPr="004A60AC" w:rsidRDefault="00AD5580" w:rsidP="001C0C4D">
            <w:pPr>
              <w:jc w:val="right"/>
            </w:pPr>
            <w:r w:rsidRPr="004A60AC">
              <w:rPr>
                <w:color w:val="000000"/>
              </w:rPr>
              <w:t xml:space="preserve"> $       3,384,633 </w:t>
            </w:r>
          </w:p>
        </w:tc>
        <w:tc>
          <w:tcPr>
            <w:tcW w:w="1890" w:type="dxa"/>
            <w:tcBorders>
              <w:top w:val="single" w:sz="6" w:space="0" w:color="000000"/>
              <w:left w:val="nil"/>
              <w:bottom w:val="single" w:sz="6" w:space="0" w:color="000000"/>
              <w:right w:val="nil"/>
            </w:tcBorders>
            <w:vAlign w:val="center"/>
          </w:tcPr>
          <w:p w14:paraId="348F723D" w14:textId="77777777" w:rsidR="00AD5580" w:rsidRPr="004A60AC" w:rsidRDefault="00AD5580" w:rsidP="001C0C4D">
            <w:pPr>
              <w:jc w:val="right"/>
            </w:pPr>
            <w:r w:rsidRPr="004A60AC">
              <w:rPr>
                <w:color w:val="000000"/>
              </w:rPr>
              <w:t>-17%</w:t>
            </w:r>
          </w:p>
        </w:tc>
      </w:tr>
      <w:tr w:rsidR="00AD5580" w14:paraId="6CB7D08D" w14:textId="77777777" w:rsidTr="001C0C4D">
        <w:trPr>
          <w:trHeight w:val="291"/>
        </w:trPr>
        <w:tc>
          <w:tcPr>
            <w:tcW w:w="3168" w:type="dxa"/>
            <w:tcBorders>
              <w:top w:val="single" w:sz="6" w:space="0" w:color="000000"/>
              <w:left w:val="nil"/>
              <w:bottom w:val="single" w:sz="6" w:space="0" w:color="000000"/>
              <w:right w:val="nil"/>
            </w:tcBorders>
            <w:vAlign w:val="center"/>
          </w:tcPr>
          <w:p w14:paraId="6C3B7FB1" w14:textId="70B1A726" w:rsidR="00AD5580" w:rsidRPr="004A60AC" w:rsidRDefault="00AD5580" w:rsidP="001C0C4D">
            <w:pPr>
              <w:rPr>
                <w:i/>
              </w:rPr>
            </w:pPr>
            <w:r w:rsidRPr="004A60AC">
              <w:rPr>
                <w:i/>
                <w:iCs/>
                <w:color w:val="000000"/>
              </w:rPr>
              <w:t>       Low</w:t>
            </w:r>
            <w:r w:rsidR="004571A7">
              <w:rPr>
                <w:i/>
                <w:iCs/>
                <w:color w:val="000000"/>
              </w:rPr>
              <w:t>-i</w:t>
            </w:r>
            <w:r w:rsidRPr="004A60AC">
              <w:rPr>
                <w:i/>
                <w:iCs/>
                <w:color w:val="000000"/>
              </w:rPr>
              <w:t>ncome</w:t>
            </w:r>
          </w:p>
        </w:tc>
        <w:tc>
          <w:tcPr>
            <w:tcW w:w="1980" w:type="dxa"/>
            <w:tcBorders>
              <w:top w:val="single" w:sz="6" w:space="0" w:color="000000"/>
              <w:left w:val="nil"/>
              <w:bottom w:val="single" w:sz="6" w:space="0" w:color="000000"/>
              <w:right w:val="nil"/>
            </w:tcBorders>
            <w:vAlign w:val="center"/>
          </w:tcPr>
          <w:p w14:paraId="419E9905" w14:textId="77777777" w:rsidR="00AD5580" w:rsidRPr="004A60AC" w:rsidRDefault="00AD5580" w:rsidP="001C0C4D">
            <w:pPr>
              <w:jc w:val="right"/>
            </w:pPr>
            <w:r w:rsidRPr="004A60AC">
              <w:rPr>
                <w:color w:val="000000"/>
              </w:rPr>
              <w:t xml:space="preserve"> $             </w:t>
            </w:r>
            <w:r>
              <w:rPr>
                <w:color w:val="000000"/>
              </w:rPr>
              <w:t>561,500</w:t>
            </w:r>
            <w:r w:rsidRPr="004A60AC">
              <w:rPr>
                <w:color w:val="000000"/>
              </w:rPr>
              <w:t xml:space="preserve"> </w:t>
            </w:r>
          </w:p>
        </w:tc>
        <w:tc>
          <w:tcPr>
            <w:tcW w:w="1980" w:type="dxa"/>
            <w:tcBorders>
              <w:top w:val="single" w:sz="6" w:space="0" w:color="000000"/>
              <w:left w:val="nil"/>
              <w:bottom w:val="single" w:sz="6" w:space="0" w:color="000000"/>
              <w:right w:val="nil"/>
            </w:tcBorders>
            <w:vAlign w:val="center"/>
          </w:tcPr>
          <w:p w14:paraId="7C61280F" w14:textId="77777777" w:rsidR="00AD5580" w:rsidRPr="004A60AC" w:rsidRDefault="00AD5580" w:rsidP="001C0C4D">
            <w:pPr>
              <w:jc w:val="right"/>
            </w:pPr>
            <w:r w:rsidRPr="004A60AC">
              <w:rPr>
                <w:color w:val="000000"/>
              </w:rPr>
              <w:t xml:space="preserve"> $          435,933 </w:t>
            </w:r>
          </w:p>
        </w:tc>
        <w:tc>
          <w:tcPr>
            <w:tcW w:w="1890" w:type="dxa"/>
            <w:tcBorders>
              <w:top w:val="single" w:sz="6" w:space="0" w:color="000000"/>
              <w:left w:val="nil"/>
              <w:bottom w:val="single" w:sz="6" w:space="0" w:color="000000"/>
              <w:right w:val="nil"/>
            </w:tcBorders>
            <w:vAlign w:val="center"/>
          </w:tcPr>
          <w:p w14:paraId="364AC016" w14:textId="77777777" w:rsidR="00AD5580" w:rsidRPr="004A60AC" w:rsidRDefault="00AD5580" w:rsidP="001C0C4D">
            <w:pPr>
              <w:jc w:val="right"/>
            </w:pPr>
            <w:r w:rsidRPr="004A60AC">
              <w:rPr>
                <w:color w:val="000000"/>
              </w:rPr>
              <w:t>-</w:t>
            </w:r>
            <w:r>
              <w:rPr>
                <w:color w:val="000000"/>
              </w:rPr>
              <w:t>22</w:t>
            </w:r>
            <w:r w:rsidRPr="004A60AC">
              <w:rPr>
                <w:color w:val="000000"/>
              </w:rPr>
              <w:t>%</w:t>
            </w:r>
          </w:p>
        </w:tc>
      </w:tr>
      <w:tr w:rsidR="00AD5580" w14:paraId="11508E2D" w14:textId="77777777" w:rsidTr="001C0C4D">
        <w:trPr>
          <w:trHeight w:val="291"/>
        </w:trPr>
        <w:tc>
          <w:tcPr>
            <w:tcW w:w="3168" w:type="dxa"/>
            <w:tcBorders>
              <w:top w:val="single" w:sz="6" w:space="0" w:color="000000"/>
              <w:left w:val="nil"/>
              <w:bottom w:val="single" w:sz="6" w:space="0" w:color="000000"/>
              <w:right w:val="nil"/>
            </w:tcBorders>
            <w:vAlign w:val="center"/>
            <w:hideMark/>
          </w:tcPr>
          <w:p w14:paraId="62C892C7" w14:textId="77777777" w:rsidR="00AD5580" w:rsidRPr="004A60AC" w:rsidRDefault="00AD5580" w:rsidP="001C0C4D">
            <w:r w:rsidRPr="004A60AC">
              <w:rPr>
                <w:color w:val="000000"/>
              </w:rPr>
              <w:t>Non-Incentive Expenses</w:t>
            </w:r>
          </w:p>
        </w:tc>
        <w:tc>
          <w:tcPr>
            <w:tcW w:w="1980" w:type="dxa"/>
            <w:tcBorders>
              <w:top w:val="single" w:sz="6" w:space="0" w:color="000000"/>
              <w:left w:val="nil"/>
              <w:bottom w:val="single" w:sz="6" w:space="0" w:color="000000"/>
              <w:right w:val="nil"/>
            </w:tcBorders>
            <w:vAlign w:val="center"/>
          </w:tcPr>
          <w:p w14:paraId="43B3C950" w14:textId="77777777" w:rsidR="00AD5580" w:rsidRPr="004A60AC" w:rsidRDefault="00AD5580" w:rsidP="001C0C4D">
            <w:pPr>
              <w:jc w:val="right"/>
            </w:pPr>
            <w:r w:rsidRPr="004A60AC">
              <w:rPr>
                <w:color w:val="000000"/>
              </w:rPr>
              <w:t> </w:t>
            </w:r>
          </w:p>
        </w:tc>
        <w:tc>
          <w:tcPr>
            <w:tcW w:w="1980" w:type="dxa"/>
            <w:tcBorders>
              <w:top w:val="single" w:sz="6" w:space="0" w:color="000000"/>
              <w:left w:val="nil"/>
              <w:bottom w:val="single" w:sz="6" w:space="0" w:color="000000"/>
              <w:right w:val="nil"/>
            </w:tcBorders>
            <w:vAlign w:val="center"/>
          </w:tcPr>
          <w:p w14:paraId="633EE6EA" w14:textId="77777777" w:rsidR="00AD5580" w:rsidRPr="004A60AC" w:rsidRDefault="00AD5580" w:rsidP="001C0C4D">
            <w:pPr>
              <w:jc w:val="right"/>
            </w:pPr>
            <w:r w:rsidRPr="004A60AC">
              <w:rPr>
                <w:color w:val="000000"/>
              </w:rPr>
              <w:t> </w:t>
            </w:r>
          </w:p>
        </w:tc>
        <w:tc>
          <w:tcPr>
            <w:tcW w:w="1890" w:type="dxa"/>
            <w:tcBorders>
              <w:top w:val="single" w:sz="6" w:space="0" w:color="000000"/>
              <w:left w:val="nil"/>
              <w:bottom w:val="single" w:sz="6" w:space="0" w:color="000000"/>
              <w:right w:val="nil"/>
            </w:tcBorders>
            <w:vAlign w:val="center"/>
            <w:hideMark/>
          </w:tcPr>
          <w:p w14:paraId="7F2D8B93" w14:textId="77777777" w:rsidR="00AD5580" w:rsidRPr="004A60AC" w:rsidRDefault="00AD5580" w:rsidP="001C0C4D">
            <w:pPr>
              <w:jc w:val="right"/>
            </w:pPr>
            <w:r w:rsidRPr="004A60AC">
              <w:rPr>
                <w:color w:val="000000"/>
              </w:rPr>
              <w:t> </w:t>
            </w:r>
          </w:p>
        </w:tc>
      </w:tr>
      <w:tr w:rsidR="00AD5580" w14:paraId="7074CC0C" w14:textId="77777777" w:rsidTr="001C0C4D">
        <w:trPr>
          <w:trHeight w:val="291"/>
        </w:trPr>
        <w:tc>
          <w:tcPr>
            <w:tcW w:w="3168" w:type="dxa"/>
            <w:tcBorders>
              <w:top w:val="single" w:sz="6" w:space="0" w:color="000000"/>
              <w:left w:val="nil"/>
              <w:bottom w:val="single" w:sz="6" w:space="0" w:color="000000"/>
              <w:right w:val="nil"/>
            </w:tcBorders>
            <w:vAlign w:val="center"/>
            <w:hideMark/>
          </w:tcPr>
          <w:p w14:paraId="5A6B0CEB" w14:textId="77777777" w:rsidR="00AD5580" w:rsidRPr="004A60AC" w:rsidRDefault="00AD5580" w:rsidP="001C0C4D">
            <w:pPr>
              <w:rPr>
                <w:i/>
              </w:rPr>
            </w:pPr>
            <w:r w:rsidRPr="004A60AC">
              <w:rPr>
                <w:i/>
                <w:iCs/>
                <w:color w:val="000000"/>
              </w:rPr>
              <w:t xml:space="preserve">       Labor </w:t>
            </w:r>
          </w:p>
        </w:tc>
        <w:tc>
          <w:tcPr>
            <w:tcW w:w="1980" w:type="dxa"/>
            <w:tcBorders>
              <w:top w:val="single" w:sz="6" w:space="0" w:color="000000"/>
              <w:left w:val="nil"/>
              <w:bottom w:val="single" w:sz="6" w:space="0" w:color="000000"/>
              <w:right w:val="nil"/>
            </w:tcBorders>
            <w:vAlign w:val="center"/>
            <w:hideMark/>
          </w:tcPr>
          <w:p w14:paraId="57DB7287" w14:textId="77777777" w:rsidR="00AD5580" w:rsidRPr="004A60AC" w:rsidRDefault="00AD5580" w:rsidP="001C0C4D">
            <w:pPr>
              <w:jc w:val="right"/>
            </w:pPr>
            <w:r w:rsidRPr="004A60AC">
              <w:rPr>
                <w:color w:val="000000"/>
              </w:rPr>
              <w:t xml:space="preserve"> $          1,609,565 </w:t>
            </w:r>
          </w:p>
        </w:tc>
        <w:tc>
          <w:tcPr>
            <w:tcW w:w="1980" w:type="dxa"/>
            <w:tcBorders>
              <w:top w:val="single" w:sz="6" w:space="0" w:color="000000"/>
              <w:left w:val="nil"/>
              <w:bottom w:val="single" w:sz="6" w:space="0" w:color="000000"/>
              <w:right w:val="nil"/>
            </w:tcBorders>
            <w:vAlign w:val="center"/>
            <w:hideMark/>
          </w:tcPr>
          <w:p w14:paraId="18C5991C" w14:textId="77777777" w:rsidR="00AD5580" w:rsidRPr="004A60AC" w:rsidRDefault="00AD5580" w:rsidP="001C0C4D">
            <w:pPr>
              <w:jc w:val="right"/>
            </w:pPr>
            <w:r w:rsidRPr="004A60AC">
              <w:rPr>
                <w:color w:val="000000"/>
              </w:rPr>
              <w:t xml:space="preserve"> $       2,261,000 </w:t>
            </w:r>
          </w:p>
        </w:tc>
        <w:tc>
          <w:tcPr>
            <w:tcW w:w="1890" w:type="dxa"/>
            <w:tcBorders>
              <w:top w:val="single" w:sz="6" w:space="0" w:color="000000"/>
              <w:left w:val="nil"/>
              <w:bottom w:val="single" w:sz="6" w:space="0" w:color="000000"/>
              <w:right w:val="nil"/>
            </w:tcBorders>
            <w:vAlign w:val="center"/>
            <w:hideMark/>
          </w:tcPr>
          <w:p w14:paraId="6F8F8882" w14:textId="77777777" w:rsidR="00AD5580" w:rsidRPr="004A60AC" w:rsidRDefault="00AD5580" w:rsidP="001C0C4D">
            <w:pPr>
              <w:jc w:val="right"/>
            </w:pPr>
            <w:r w:rsidRPr="004A60AC">
              <w:rPr>
                <w:color w:val="000000"/>
              </w:rPr>
              <w:t>40%</w:t>
            </w:r>
          </w:p>
        </w:tc>
      </w:tr>
      <w:tr w:rsidR="00AD5580" w14:paraId="20A6E69B" w14:textId="77777777" w:rsidTr="001C0C4D">
        <w:trPr>
          <w:trHeight w:val="291"/>
        </w:trPr>
        <w:tc>
          <w:tcPr>
            <w:tcW w:w="3168" w:type="dxa"/>
            <w:tcBorders>
              <w:top w:val="single" w:sz="6" w:space="0" w:color="000000"/>
              <w:left w:val="nil"/>
              <w:bottom w:val="single" w:sz="6" w:space="0" w:color="000000"/>
              <w:right w:val="nil"/>
            </w:tcBorders>
            <w:vAlign w:val="center"/>
          </w:tcPr>
          <w:p w14:paraId="4BC4ED0F" w14:textId="77777777" w:rsidR="00AD5580" w:rsidRPr="004A60AC" w:rsidRDefault="00AD5580" w:rsidP="001C0C4D">
            <w:pPr>
              <w:rPr>
                <w:i/>
              </w:rPr>
            </w:pPr>
            <w:r w:rsidRPr="004A60AC">
              <w:rPr>
                <w:i/>
                <w:iCs/>
                <w:color w:val="000000"/>
              </w:rPr>
              <w:t>       Outreach</w:t>
            </w:r>
          </w:p>
        </w:tc>
        <w:tc>
          <w:tcPr>
            <w:tcW w:w="1980" w:type="dxa"/>
            <w:tcBorders>
              <w:top w:val="single" w:sz="6" w:space="0" w:color="000000"/>
              <w:left w:val="nil"/>
              <w:bottom w:val="single" w:sz="6" w:space="0" w:color="000000"/>
              <w:right w:val="nil"/>
            </w:tcBorders>
            <w:vAlign w:val="center"/>
          </w:tcPr>
          <w:p w14:paraId="5CC7264C" w14:textId="77777777" w:rsidR="00AD5580" w:rsidRPr="004A60AC" w:rsidRDefault="00AD5580" w:rsidP="001C0C4D">
            <w:pPr>
              <w:jc w:val="right"/>
            </w:pPr>
            <w:r w:rsidRPr="004A60AC">
              <w:rPr>
                <w:color w:val="000000"/>
              </w:rPr>
              <w:t xml:space="preserve"> $             336,000 </w:t>
            </w:r>
          </w:p>
        </w:tc>
        <w:tc>
          <w:tcPr>
            <w:tcW w:w="1980" w:type="dxa"/>
            <w:tcBorders>
              <w:top w:val="single" w:sz="6" w:space="0" w:color="000000"/>
              <w:left w:val="nil"/>
              <w:bottom w:val="single" w:sz="6" w:space="0" w:color="000000"/>
              <w:right w:val="nil"/>
            </w:tcBorders>
            <w:vAlign w:val="center"/>
          </w:tcPr>
          <w:p w14:paraId="5F15273F" w14:textId="77777777" w:rsidR="00AD5580" w:rsidRPr="004A60AC" w:rsidRDefault="00AD5580" w:rsidP="001C0C4D">
            <w:pPr>
              <w:jc w:val="right"/>
            </w:pPr>
            <w:r w:rsidRPr="004A60AC">
              <w:rPr>
                <w:color w:val="000000"/>
              </w:rPr>
              <w:t xml:space="preserve"> $          476,000 </w:t>
            </w:r>
          </w:p>
        </w:tc>
        <w:tc>
          <w:tcPr>
            <w:tcW w:w="1890" w:type="dxa"/>
            <w:tcBorders>
              <w:top w:val="single" w:sz="6" w:space="0" w:color="000000"/>
              <w:left w:val="nil"/>
              <w:bottom w:val="single" w:sz="6" w:space="0" w:color="000000"/>
              <w:right w:val="nil"/>
            </w:tcBorders>
            <w:vAlign w:val="center"/>
          </w:tcPr>
          <w:p w14:paraId="498F7C78" w14:textId="77777777" w:rsidR="00AD5580" w:rsidRPr="004A60AC" w:rsidRDefault="00AD5580" w:rsidP="001C0C4D">
            <w:pPr>
              <w:jc w:val="right"/>
            </w:pPr>
            <w:r w:rsidRPr="004A60AC">
              <w:rPr>
                <w:color w:val="000000"/>
              </w:rPr>
              <w:t>42%</w:t>
            </w:r>
          </w:p>
        </w:tc>
      </w:tr>
      <w:tr w:rsidR="00AD5580" w14:paraId="116A3550" w14:textId="77777777" w:rsidTr="001C0C4D">
        <w:trPr>
          <w:trHeight w:val="291"/>
        </w:trPr>
        <w:tc>
          <w:tcPr>
            <w:tcW w:w="3168" w:type="dxa"/>
            <w:tcBorders>
              <w:top w:val="single" w:sz="6" w:space="0" w:color="000000"/>
              <w:left w:val="nil"/>
              <w:bottom w:val="single" w:sz="6" w:space="0" w:color="000000"/>
              <w:right w:val="nil"/>
            </w:tcBorders>
            <w:vAlign w:val="center"/>
            <w:hideMark/>
          </w:tcPr>
          <w:p w14:paraId="3DE98813" w14:textId="77777777" w:rsidR="00AD5580" w:rsidRPr="004A60AC" w:rsidRDefault="00AD5580" w:rsidP="001C0C4D">
            <w:pPr>
              <w:rPr>
                <w:i/>
              </w:rPr>
            </w:pPr>
            <w:r w:rsidRPr="004A60AC">
              <w:rPr>
                <w:i/>
                <w:iCs/>
                <w:color w:val="000000"/>
              </w:rPr>
              <w:t>       EM&amp;V</w:t>
            </w:r>
          </w:p>
        </w:tc>
        <w:tc>
          <w:tcPr>
            <w:tcW w:w="1980" w:type="dxa"/>
            <w:tcBorders>
              <w:top w:val="single" w:sz="6" w:space="0" w:color="000000"/>
              <w:left w:val="nil"/>
              <w:bottom w:val="single" w:sz="6" w:space="0" w:color="000000"/>
              <w:right w:val="nil"/>
            </w:tcBorders>
            <w:vAlign w:val="center"/>
            <w:hideMark/>
          </w:tcPr>
          <w:p w14:paraId="43160A7B" w14:textId="77777777" w:rsidR="00AD5580" w:rsidRPr="004A60AC" w:rsidRDefault="00AD5580" w:rsidP="001C0C4D">
            <w:pPr>
              <w:jc w:val="right"/>
            </w:pPr>
            <w:r w:rsidRPr="004A60AC">
              <w:rPr>
                <w:color w:val="000000"/>
              </w:rPr>
              <w:t xml:space="preserve"> $             791,781 </w:t>
            </w:r>
          </w:p>
        </w:tc>
        <w:tc>
          <w:tcPr>
            <w:tcW w:w="1980" w:type="dxa"/>
            <w:tcBorders>
              <w:top w:val="single" w:sz="6" w:space="0" w:color="000000"/>
              <w:left w:val="nil"/>
              <w:bottom w:val="single" w:sz="6" w:space="0" w:color="000000"/>
              <w:right w:val="nil"/>
            </w:tcBorders>
            <w:vAlign w:val="center"/>
            <w:hideMark/>
          </w:tcPr>
          <w:p w14:paraId="3F9CF8C2" w14:textId="77777777" w:rsidR="00AD5580" w:rsidRPr="004A60AC" w:rsidRDefault="00AD5580" w:rsidP="001C0C4D">
            <w:pPr>
              <w:jc w:val="right"/>
            </w:pPr>
            <w:r w:rsidRPr="004A60AC">
              <w:rPr>
                <w:color w:val="000000"/>
              </w:rPr>
              <w:t xml:space="preserve"> $          446,250 </w:t>
            </w:r>
          </w:p>
        </w:tc>
        <w:tc>
          <w:tcPr>
            <w:tcW w:w="1890" w:type="dxa"/>
            <w:tcBorders>
              <w:top w:val="single" w:sz="6" w:space="0" w:color="000000"/>
              <w:left w:val="nil"/>
              <w:bottom w:val="single" w:sz="6" w:space="0" w:color="000000"/>
              <w:right w:val="nil"/>
            </w:tcBorders>
            <w:vAlign w:val="center"/>
            <w:hideMark/>
          </w:tcPr>
          <w:p w14:paraId="04000FC9" w14:textId="77777777" w:rsidR="00AD5580" w:rsidRPr="004A60AC" w:rsidRDefault="00AD5580" w:rsidP="001C0C4D">
            <w:pPr>
              <w:jc w:val="right"/>
            </w:pPr>
            <w:r w:rsidRPr="004A60AC">
              <w:rPr>
                <w:color w:val="000000"/>
              </w:rPr>
              <w:t>-44%</w:t>
            </w:r>
          </w:p>
        </w:tc>
      </w:tr>
      <w:tr w:rsidR="00AD5580" w14:paraId="6CD11BC9" w14:textId="77777777" w:rsidTr="001C0C4D">
        <w:trPr>
          <w:trHeight w:val="291"/>
        </w:trPr>
        <w:tc>
          <w:tcPr>
            <w:tcW w:w="3168" w:type="dxa"/>
            <w:tcBorders>
              <w:top w:val="single" w:sz="6" w:space="0" w:color="000000"/>
              <w:left w:val="nil"/>
              <w:bottom w:val="single" w:sz="6" w:space="0" w:color="000000"/>
              <w:right w:val="nil"/>
            </w:tcBorders>
            <w:vAlign w:val="center"/>
            <w:hideMark/>
          </w:tcPr>
          <w:p w14:paraId="328C06BE" w14:textId="77777777" w:rsidR="00AD5580" w:rsidRPr="004A60AC" w:rsidRDefault="00AD5580" w:rsidP="001C0C4D">
            <w:pPr>
              <w:rPr>
                <w:i/>
              </w:rPr>
            </w:pPr>
            <w:r w:rsidRPr="004A60AC">
              <w:rPr>
                <w:i/>
                <w:iCs/>
                <w:color w:val="000000"/>
              </w:rPr>
              <w:t>       NEEA</w:t>
            </w:r>
          </w:p>
        </w:tc>
        <w:tc>
          <w:tcPr>
            <w:tcW w:w="1980" w:type="dxa"/>
            <w:tcBorders>
              <w:top w:val="single" w:sz="6" w:space="0" w:color="000000"/>
              <w:left w:val="nil"/>
              <w:bottom w:val="single" w:sz="6" w:space="0" w:color="000000"/>
              <w:right w:val="nil"/>
            </w:tcBorders>
            <w:vAlign w:val="center"/>
          </w:tcPr>
          <w:p w14:paraId="40EB8835" w14:textId="77777777" w:rsidR="00AD5580" w:rsidRPr="004A60AC" w:rsidRDefault="00AD5580" w:rsidP="001C0C4D">
            <w:pPr>
              <w:jc w:val="right"/>
            </w:pPr>
            <w:r w:rsidRPr="004A60AC">
              <w:rPr>
                <w:color w:val="000000"/>
              </w:rPr>
              <w:t xml:space="preserve"> $          1,400,000 </w:t>
            </w:r>
          </w:p>
        </w:tc>
        <w:tc>
          <w:tcPr>
            <w:tcW w:w="1980" w:type="dxa"/>
            <w:tcBorders>
              <w:top w:val="single" w:sz="6" w:space="0" w:color="000000"/>
              <w:left w:val="nil"/>
              <w:bottom w:val="single" w:sz="6" w:space="0" w:color="000000"/>
              <w:right w:val="nil"/>
            </w:tcBorders>
            <w:vAlign w:val="center"/>
          </w:tcPr>
          <w:p w14:paraId="26D52349" w14:textId="77777777" w:rsidR="00AD5580" w:rsidRPr="004A60AC" w:rsidRDefault="00AD5580" w:rsidP="001C0C4D">
            <w:pPr>
              <w:jc w:val="right"/>
            </w:pPr>
            <w:r w:rsidRPr="004A60AC">
              <w:rPr>
                <w:color w:val="000000"/>
              </w:rPr>
              <w:t xml:space="preserve"> $       1,400,000 </w:t>
            </w:r>
          </w:p>
        </w:tc>
        <w:tc>
          <w:tcPr>
            <w:tcW w:w="1890" w:type="dxa"/>
            <w:tcBorders>
              <w:top w:val="single" w:sz="6" w:space="0" w:color="000000"/>
              <w:left w:val="nil"/>
              <w:bottom w:val="single" w:sz="6" w:space="0" w:color="000000"/>
              <w:right w:val="nil"/>
            </w:tcBorders>
            <w:vAlign w:val="center"/>
          </w:tcPr>
          <w:p w14:paraId="59B76CAD" w14:textId="77777777" w:rsidR="00AD5580" w:rsidRPr="004A60AC" w:rsidRDefault="00AD5580" w:rsidP="001C0C4D">
            <w:pPr>
              <w:jc w:val="right"/>
            </w:pPr>
            <w:r w:rsidRPr="004A60AC">
              <w:rPr>
                <w:color w:val="000000"/>
              </w:rPr>
              <w:t>0%</w:t>
            </w:r>
          </w:p>
        </w:tc>
      </w:tr>
      <w:tr w:rsidR="00AD5580" w14:paraId="5D928FCD" w14:textId="77777777" w:rsidTr="001C0C4D">
        <w:trPr>
          <w:trHeight w:val="291"/>
        </w:trPr>
        <w:tc>
          <w:tcPr>
            <w:tcW w:w="3168" w:type="dxa"/>
            <w:tcBorders>
              <w:top w:val="single" w:sz="6" w:space="0" w:color="000000"/>
              <w:left w:val="nil"/>
              <w:bottom w:val="single" w:sz="6" w:space="0" w:color="000000"/>
              <w:right w:val="nil"/>
            </w:tcBorders>
            <w:vAlign w:val="center"/>
          </w:tcPr>
          <w:p w14:paraId="2D23E049" w14:textId="77777777" w:rsidR="00AD5580" w:rsidRPr="004A60AC" w:rsidRDefault="00AD5580" w:rsidP="001C0C4D">
            <w:pPr>
              <w:rPr>
                <w:i/>
              </w:rPr>
            </w:pPr>
            <w:r w:rsidRPr="004A60AC">
              <w:rPr>
                <w:i/>
                <w:iCs/>
                <w:color w:val="000000"/>
              </w:rPr>
              <w:t>       Third Party</w:t>
            </w:r>
          </w:p>
        </w:tc>
        <w:tc>
          <w:tcPr>
            <w:tcW w:w="1980" w:type="dxa"/>
            <w:tcBorders>
              <w:top w:val="single" w:sz="6" w:space="0" w:color="000000"/>
              <w:left w:val="nil"/>
              <w:bottom w:val="single" w:sz="6" w:space="0" w:color="000000"/>
              <w:right w:val="nil"/>
            </w:tcBorders>
            <w:vAlign w:val="center"/>
          </w:tcPr>
          <w:p w14:paraId="54602A82" w14:textId="77777777" w:rsidR="00AD5580" w:rsidRPr="004A60AC" w:rsidRDefault="00AD5580" w:rsidP="001C0C4D">
            <w:pPr>
              <w:jc w:val="right"/>
            </w:pPr>
            <w:r w:rsidRPr="004A60AC">
              <w:rPr>
                <w:color w:val="000000"/>
              </w:rPr>
              <w:t xml:space="preserve"> $             853,913 </w:t>
            </w:r>
          </w:p>
        </w:tc>
        <w:tc>
          <w:tcPr>
            <w:tcW w:w="1980" w:type="dxa"/>
            <w:tcBorders>
              <w:top w:val="single" w:sz="6" w:space="0" w:color="000000"/>
              <w:left w:val="nil"/>
              <w:bottom w:val="single" w:sz="6" w:space="0" w:color="000000"/>
              <w:right w:val="nil"/>
            </w:tcBorders>
            <w:vAlign w:val="center"/>
          </w:tcPr>
          <w:p w14:paraId="084B9CD7" w14:textId="77777777" w:rsidR="00AD5580" w:rsidRPr="004A60AC" w:rsidRDefault="00AD5580" w:rsidP="001C0C4D">
            <w:pPr>
              <w:jc w:val="right"/>
            </w:pPr>
            <w:r w:rsidRPr="004A60AC">
              <w:rPr>
                <w:color w:val="000000"/>
              </w:rPr>
              <w:t xml:space="preserve"> $       1,249,123 </w:t>
            </w:r>
          </w:p>
        </w:tc>
        <w:tc>
          <w:tcPr>
            <w:tcW w:w="1890" w:type="dxa"/>
            <w:tcBorders>
              <w:top w:val="single" w:sz="6" w:space="0" w:color="000000"/>
              <w:left w:val="nil"/>
              <w:bottom w:val="single" w:sz="6" w:space="0" w:color="000000"/>
              <w:right w:val="nil"/>
            </w:tcBorders>
            <w:vAlign w:val="center"/>
          </w:tcPr>
          <w:p w14:paraId="57CC8EE3" w14:textId="77777777" w:rsidR="00AD5580" w:rsidRPr="004A60AC" w:rsidRDefault="00AD5580" w:rsidP="001C0C4D">
            <w:pPr>
              <w:jc w:val="right"/>
            </w:pPr>
            <w:r w:rsidRPr="004A60AC">
              <w:rPr>
                <w:color w:val="000000"/>
              </w:rPr>
              <w:t>46%</w:t>
            </w:r>
          </w:p>
        </w:tc>
      </w:tr>
      <w:tr w:rsidR="00AD5580" w14:paraId="30F8D3E1" w14:textId="77777777" w:rsidTr="001C0C4D">
        <w:trPr>
          <w:trHeight w:val="291"/>
        </w:trPr>
        <w:tc>
          <w:tcPr>
            <w:tcW w:w="3168" w:type="dxa"/>
            <w:tcBorders>
              <w:top w:val="single" w:sz="6" w:space="0" w:color="000000"/>
              <w:left w:val="nil"/>
              <w:bottom w:val="single" w:sz="12" w:space="0" w:color="auto"/>
              <w:right w:val="nil"/>
            </w:tcBorders>
            <w:vAlign w:val="center"/>
            <w:hideMark/>
          </w:tcPr>
          <w:p w14:paraId="5AA3968B" w14:textId="77777777" w:rsidR="00AD5580" w:rsidRPr="004A60AC" w:rsidRDefault="00AD5580" w:rsidP="001C0C4D">
            <w:pPr>
              <w:rPr>
                <w:i/>
              </w:rPr>
            </w:pPr>
            <w:r w:rsidRPr="004A60AC">
              <w:rPr>
                <w:i/>
                <w:iCs/>
                <w:color w:val="000000"/>
              </w:rPr>
              <w:t>       Other</w:t>
            </w:r>
          </w:p>
        </w:tc>
        <w:tc>
          <w:tcPr>
            <w:tcW w:w="1980" w:type="dxa"/>
            <w:tcBorders>
              <w:top w:val="single" w:sz="6" w:space="0" w:color="000000"/>
              <w:left w:val="nil"/>
              <w:bottom w:val="single" w:sz="12" w:space="0" w:color="auto"/>
              <w:right w:val="nil"/>
            </w:tcBorders>
            <w:vAlign w:val="center"/>
            <w:hideMark/>
          </w:tcPr>
          <w:p w14:paraId="50D341FD" w14:textId="77777777" w:rsidR="00AD5580" w:rsidRPr="004A60AC" w:rsidRDefault="00AD5580" w:rsidP="001C0C4D">
            <w:pPr>
              <w:jc w:val="right"/>
            </w:pPr>
            <w:r w:rsidRPr="004A60AC">
              <w:rPr>
                <w:color w:val="000000"/>
              </w:rPr>
              <w:t xml:space="preserve"> $             208,362 </w:t>
            </w:r>
          </w:p>
        </w:tc>
        <w:tc>
          <w:tcPr>
            <w:tcW w:w="1980" w:type="dxa"/>
            <w:tcBorders>
              <w:top w:val="single" w:sz="6" w:space="0" w:color="000000"/>
              <w:left w:val="nil"/>
              <w:bottom w:val="single" w:sz="12" w:space="0" w:color="auto"/>
              <w:right w:val="nil"/>
            </w:tcBorders>
            <w:vAlign w:val="center"/>
            <w:hideMark/>
          </w:tcPr>
          <w:p w14:paraId="53976B8A" w14:textId="77777777" w:rsidR="00AD5580" w:rsidRPr="004A60AC" w:rsidRDefault="00AD5580" w:rsidP="001C0C4D">
            <w:pPr>
              <w:jc w:val="right"/>
            </w:pPr>
            <w:r w:rsidRPr="004A60AC">
              <w:rPr>
                <w:color w:val="000000"/>
              </w:rPr>
              <w:t xml:space="preserve"> $          351,925 </w:t>
            </w:r>
          </w:p>
        </w:tc>
        <w:tc>
          <w:tcPr>
            <w:tcW w:w="1890" w:type="dxa"/>
            <w:tcBorders>
              <w:top w:val="single" w:sz="6" w:space="0" w:color="000000"/>
              <w:left w:val="nil"/>
              <w:bottom w:val="single" w:sz="12" w:space="0" w:color="auto"/>
              <w:right w:val="nil"/>
            </w:tcBorders>
            <w:vAlign w:val="center"/>
            <w:hideMark/>
          </w:tcPr>
          <w:p w14:paraId="730564CC" w14:textId="77777777" w:rsidR="00AD5580" w:rsidRPr="004A60AC" w:rsidRDefault="00AD5580" w:rsidP="001C0C4D">
            <w:pPr>
              <w:jc w:val="right"/>
            </w:pPr>
            <w:r w:rsidRPr="004A60AC">
              <w:rPr>
                <w:color w:val="000000"/>
              </w:rPr>
              <w:t>69%</w:t>
            </w:r>
          </w:p>
        </w:tc>
      </w:tr>
      <w:tr w:rsidR="00AD5580" w14:paraId="4BAB5952" w14:textId="77777777" w:rsidTr="001C0C4D">
        <w:trPr>
          <w:trHeight w:val="291"/>
        </w:trPr>
        <w:tc>
          <w:tcPr>
            <w:tcW w:w="3168" w:type="dxa"/>
            <w:tcBorders>
              <w:top w:val="single" w:sz="12" w:space="0" w:color="auto"/>
              <w:left w:val="nil"/>
              <w:bottom w:val="single" w:sz="12" w:space="0" w:color="000000"/>
              <w:right w:val="nil"/>
            </w:tcBorders>
            <w:vAlign w:val="center"/>
            <w:hideMark/>
          </w:tcPr>
          <w:p w14:paraId="54E53C9F" w14:textId="77777777" w:rsidR="00AD5580" w:rsidRPr="004A60AC" w:rsidRDefault="00AD5580" w:rsidP="001C0C4D">
            <w:pPr>
              <w:rPr>
                <w:b/>
              </w:rPr>
            </w:pPr>
            <w:r w:rsidRPr="004A60AC">
              <w:rPr>
                <w:b/>
                <w:bCs/>
                <w:color w:val="000000"/>
              </w:rPr>
              <w:lastRenderedPageBreak/>
              <w:t>Total</w:t>
            </w:r>
          </w:p>
        </w:tc>
        <w:tc>
          <w:tcPr>
            <w:tcW w:w="1980" w:type="dxa"/>
            <w:tcBorders>
              <w:top w:val="single" w:sz="12" w:space="0" w:color="auto"/>
              <w:left w:val="nil"/>
              <w:bottom w:val="single" w:sz="12" w:space="0" w:color="000000"/>
              <w:right w:val="nil"/>
            </w:tcBorders>
            <w:vAlign w:val="center"/>
            <w:hideMark/>
          </w:tcPr>
          <w:p w14:paraId="79539073" w14:textId="04978B2A" w:rsidR="00AD5580" w:rsidRPr="004A60AC" w:rsidRDefault="00AD5580" w:rsidP="001C0C4D">
            <w:pPr>
              <w:jc w:val="right"/>
              <w:rPr>
                <w:b/>
              </w:rPr>
            </w:pPr>
            <w:r w:rsidRPr="004A60AC">
              <w:rPr>
                <w:b/>
                <w:bCs/>
                <w:color w:val="000000"/>
              </w:rPr>
              <w:t xml:space="preserve"> $  </w:t>
            </w:r>
            <w:r w:rsidR="00FC30B8">
              <w:rPr>
                <w:b/>
                <w:bCs/>
                <w:color w:val="000000"/>
              </w:rPr>
              <w:t xml:space="preserve"> </w:t>
            </w:r>
            <w:r w:rsidRPr="004A60AC">
              <w:rPr>
                <w:b/>
                <w:bCs/>
                <w:color w:val="000000"/>
              </w:rPr>
              <w:t xml:space="preserve">     11,258,015 </w:t>
            </w:r>
          </w:p>
        </w:tc>
        <w:tc>
          <w:tcPr>
            <w:tcW w:w="1980" w:type="dxa"/>
            <w:tcBorders>
              <w:top w:val="single" w:sz="12" w:space="0" w:color="auto"/>
              <w:left w:val="nil"/>
              <w:bottom w:val="single" w:sz="12" w:space="0" w:color="000000"/>
              <w:right w:val="nil"/>
            </w:tcBorders>
            <w:vAlign w:val="center"/>
            <w:hideMark/>
          </w:tcPr>
          <w:p w14:paraId="15D9932D" w14:textId="44C29051" w:rsidR="00AD5580" w:rsidRPr="004A60AC" w:rsidRDefault="00AD5580" w:rsidP="001C0C4D">
            <w:pPr>
              <w:jc w:val="right"/>
              <w:rPr>
                <w:b/>
              </w:rPr>
            </w:pPr>
            <w:r w:rsidRPr="004A60AC">
              <w:rPr>
                <w:b/>
                <w:bCs/>
                <w:color w:val="000000"/>
              </w:rPr>
              <w:t xml:space="preserve"> $  </w:t>
            </w:r>
            <w:r w:rsidR="00FC30B8">
              <w:rPr>
                <w:b/>
                <w:bCs/>
                <w:color w:val="000000"/>
              </w:rPr>
              <w:t xml:space="preserve"> </w:t>
            </w:r>
            <w:r w:rsidRPr="004A60AC">
              <w:rPr>
                <w:b/>
                <w:bCs/>
                <w:color w:val="000000"/>
              </w:rPr>
              <w:t xml:space="preserve">  10,889,910 </w:t>
            </w:r>
          </w:p>
        </w:tc>
        <w:tc>
          <w:tcPr>
            <w:tcW w:w="1890" w:type="dxa"/>
            <w:tcBorders>
              <w:top w:val="single" w:sz="12" w:space="0" w:color="auto"/>
              <w:left w:val="nil"/>
              <w:bottom w:val="single" w:sz="12" w:space="0" w:color="000000"/>
              <w:right w:val="nil"/>
            </w:tcBorders>
            <w:vAlign w:val="center"/>
            <w:hideMark/>
          </w:tcPr>
          <w:p w14:paraId="56EFE184" w14:textId="77777777" w:rsidR="00AD5580" w:rsidRPr="004A60AC" w:rsidRDefault="00AD5580" w:rsidP="001C0C4D">
            <w:pPr>
              <w:jc w:val="right"/>
              <w:rPr>
                <w:b/>
              </w:rPr>
            </w:pPr>
            <w:r w:rsidRPr="004A60AC">
              <w:rPr>
                <w:color w:val="000000"/>
              </w:rPr>
              <w:t>-3%</w:t>
            </w:r>
          </w:p>
        </w:tc>
      </w:tr>
    </w:tbl>
    <w:p w14:paraId="078E8CDD" w14:textId="77777777" w:rsidR="00AD5580" w:rsidRPr="00501C2C" w:rsidRDefault="00AD5580" w:rsidP="00AD5580">
      <w:pPr>
        <w:rPr>
          <w:rFonts w:eastAsia="Calibri"/>
        </w:rPr>
      </w:pPr>
    </w:p>
    <w:p w14:paraId="02BEA73F" w14:textId="695AD9A7" w:rsidR="00AD5580" w:rsidRDefault="00AD5580" w:rsidP="00AD5580">
      <w:pPr>
        <w:rPr>
          <w:rFonts w:eastAsia="Calibri"/>
        </w:rPr>
      </w:pPr>
      <w:r>
        <w:rPr>
          <w:rFonts w:eastAsia="Calibri"/>
        </w:rPr>
        <w:t xml:space="preserve">Residential </w:t>
      </w:r>
      <w:r w:rsidR="00071171">
        <w:rPr>
          <w:rFonts w:eastAsia="Calibri"/>
        </w:rPr>
        <w:t>incentive payments for Simple Steps, Smart Saving are projected to increase in 2017. Non</w:t>
      </w:r>
      <w:r w:rsidR="00EE451F">
        <w:rPr>
          <w:rFonts w:eastAsia="Calibri"/>
        </w:rPr>
        <w:t>-</w:t>
      </w:r>
      <w:r w:rsidR="000C33C6">
        <w:rPr>
          <w:rFonts w:eastAsia="Calibri"/>
        </w:rPr>
        <w:t xml:space="preserve">residential </w:t>
      </w:r>
      <w:r>
        <w:rPr>
          <w:rFonts w:eastAsia="Calibri"/>
        </w:rPr>
        <w:t xml:space="preserve">and </w:t>
      </w:r>
      <w:r w:rsidR="000C33C6">
        <w:rPr>
          <w:rFonts w:eastAsia="Calibri"/>
        </w:rPr>
        <w:t>low</w:t>
      </w:r>
      <w:r>
        <w:rPr>
          <w:rFonts w:eastAsia="Calibri"/>
        </w:rPr>
        <w:t>-</w:t>
      </w:r>
      <w:r w:rsidR="000C33C6">
        <w:rPr>
          <w:rFonts w:eastAsia="Calibri"/>
        </w:rPr>
        <w:t xml:space="preserve">income </w:t>
      </w:r>
      <w:r w:rsidR="00071171">
        <w:rPr>
          <w:rFonts w:eastAsia="Calibri"/>
        </w:rPr>
        <w:t xml:space="preserve">program </w:t>
      </w:r>
      <w:r w:rsidR="004E26BB">
        <w:rPr>
          <w:rFonts w:eastAsia="Calibri"/>
        </w:rPr>
        <w:t xml:space="preserve">incentive </w:t>
      </w:r>
      <w:r w:rsidR="00071171">
        <w:rPr>
          <w:rFonts w:eastAsia="Calibri"/>
        </w:rPr>
        <w:t xml:space="preserve">payments are projected to be </w:t>
      </w:r>
      <w:r>
        <w:rPr>
          <w:rFonts w:eastAsia="Calibri"/>
        </w:rPr>
        <w:t>reduc</w:t>
      </w:r>
      <w:r w:rsidR="00071171">
        <w:rPr>
          <w:rFonts w:eastAsia="Calibri"/>
        </w:rPr>
        <w:t xml:space="preserve">ed for </w:t>
      </w:r>
      <w:r>
        <w:rPr>
          <w:rFonts w:eastAsia="Calibri"/>
        </w:rPr>
        <w:t xml:space="preserve">LED lighting. </w:t>
      </w:r>
      <w:r w:rsidR="00071171">
        <w:rPr>
          <w:rFonts w:eastAsia="Calibri"/>
        </w:rPr>
        <w:t xml:space="preserve">The </w:t>
      </w:r>
      <w:r w:rsidR="00966B40">
        <w:rPr>
          <w:rFonts w:eastAsia="Calibri"/>
        </w:rPr>
        <w:t>l</w:t>
      </w:r>
      <w:r>
        <w:rPr>
          <w:rFonts w:eastAsia="Calibri"/>
        </w:rPr>
        <w:t>ow-</w:t>
      </w:r>
      <w:r w:rsidR="00966B40">
        <w:rPr>
          <w:rFonts w:eastAsia="Calibri"/>
        </w:rPr>
        <w:t xml:space="preserve">income </w:t>
      </w:r>
      <w:r>
        <w:rPr>
          <w:rFonts w:eastAsia="Calibri"/>
        </w:rPr>
        <w:t xml:space="preserve">program reduction in budget </w:t>
      </w:r>
      <w:r w:rsidR="00071171">
        <w:rPr>
          <w:rFonts w:eastAsia="Calibri"/>
        </w:rPr>
        <w:t xml:space="preserve">is commensurate with </w:t>
      </w:r>
      <w:r>
        <w:rPr>
          <w:rFonts w:eastAsia="Calibri"/>
        </w:rPr>
        <w:t xml:space="preserve">a rise in Avista’s natural gas </w:t>
      </w:r>
      <w:r w:rsidR="00216C79">
        <w:rPr>
          <w:rFonts w:eastAsia="Calibri"/>
        </w:rPr>
        <w:t xml:space="preserve">low-income </w:t>
      </w:r>
      <w:r>
        <w:rPr>
          <w:rFonts w:eastAsia="Calibri"/>
        </w:rPr>
        <w:t>budget.</w:t>
      </w:r>
    </w:p>
    <w:p w14:paraId="6722CEC3" w14:textId="77777777" w:rsidR="00AD5580" w:rsidRDefault="00AD5580" w:rsidP="00AD5580">
      <w:pPr>
        <w:rPr>
          <w:rFonts w:eastAsia="Calibri"/>
        </w:rPr>
      </w:pPr>
    </w:p>
    <w:p w14:paraId="3D62F57F" w14:textId="73C9527A" w:rsidR="00AD5580" w:rsidRDefault="00AD5580" w:rsidP="00AD5580">
      <w:pPr>
        <w:rPr>
          <w:rFonts w:eastAsia="Calibri"/>
        </w:rPr>
      </w:pPr>
      <w:r>
        <w:rPr>
          <w:rFonts w:eastAsia="Calibri"/>
          <w:b/>
          <w:i/>
        </w:rPr>
        <w:t>Electric DSM Savings</w:t>
      </w:r>
      <w:r w:rsidRPr="00E54A05">
        <w:rPr>
          <w:rFonts w:eastAsia="Calibri"/>
          <w:b/>
        </w:rPr>
        <w:t>.</w:t>
      </w:r>
      <w:r>
        <w:rPr>
          <w:rFonts w:eastAsia="Calibri"/>
        </w:rPr>
        <w:t xml:space="preserve"> </w:t>
      </w:r>
      <w:r w:rsidR="00071171">
        <w:rPr>
          <w:rFonts w:eastAsia="Calibri"/>
        </w:rPr>
        <w:t>Although there is a</w:t>
      </w:r>
      <w:r>
        <w:rPr>
          <w:rFonts w:eastAsia="Calibri"/>
        </w:rPr>
        <w:t xml:space="preserve"> 3 percent reduction in budget, </w:t>
      </w:r>
      <w:r w:rsidR="00071171" w:rsidRPr="00071171">
        <w:rPr>
          <w:rFonts w:eastAsia="Calibri"/>
        </w:rPr>
        <w:t xml:space="preserve">Avista plans to meet its biennial target of 82,477 MWh set forth in Docket UE-152076. The total projected electric savings for the 2016-2017 biennium is 100,822 MWh. </w:t>
      </w:r>
      <w:r>
        <w:rPr>
          <w:rFonts w:eastAsia="Calibri"/>
        </w:rPr>
        <w:t>The table below summarizes expected 2016 and 2017 electric savings by program.</w:t>
      </w:r>
    </w:p>
    <w:p w14:paraId="1870CDC6" w14:textId="77777777" w:rsidR="00AD5580" w:rsidRDefault="00AD5580" w:rsidP="00AD5580">
      <w:pPr>
        <w:rPr>
          <w:rFonts w:eastAsia="Calibri"/>
        </w:rPr>
      </w:pPr>
    </w:p>
    <w:tbl>
      <w:tblPr>
        <w:tblW w:w="9018" w:type="dxa"/>
        <w:tblBorders>
          <w:top w:val="single" w:sz="12" w:space="0" w:color="000000"/>
          <w:bottom w:val="single" w:sz="12" w:space="0" w:color="000000"/>
          <w:insideH w:val="single" w:sz="6" w:space="0" w:color="000000"/>
        </w:tblBorders>
        <w:tblCellMar>
          <w:left w:w="115" w:type="dxa"/>
          <w:right w:w="115" w:type="dxa"/>
        </w:tblCellMar>
        <w:tblLook w:val="04A0" w:firstRow="1" w:lastRow="0" w:firstColumn="1" w:lastColumn="0" w:noHBand="0" w:noVBand="1"/>
      </w:tblPr>
      <w:tblGrid>
        <w:gridCol w:w="4140"/>
        <w:gridCol w:w="1350"/>
        <w:gridCol w:w="1800"/>
        <w:gridCol w:w="1728"/>
      </w:tblGrid>
      <w:tr w:rsidR="00AD5580" w14:paraId="1B6DB7EE" w14:textId="77777777" w:rsidTr="00995621">
        <w:trPr>
          <w:cantSplit/>
          <w:trHeight w:val="279"/>
        </w:trPr>
        <w:tc>
          <w:tcPr>
            <w:tcW w:w="4140" w:type="dxa"/>
            <w:tcBorders>
              <w:top w:val="single" w:sz="12" w:space="0" w:color="000000"/>
              <w:left w:val="nil"/>
              <w:bottom w:val="single" w:sz="12" w:space="0" w:color="000000"/>
              <w:right w:val="nil"/>
            </w:tcBorders>
            <w:hideMark/>
          </w:tcPr>
          <w:p w14:paraId="3A92E718" w14:textId="4DDDF3E8" w:rsidR="00AD5580" w:rsidRDefault="00AD5580" w:rsidP="006A6873">
            <w:pPr>
              <w:keepNext/>
              <w:keepLines/>
              <w:rPr>
                <w:b/>
                <w:bCs/>
                <w:color w:val="000080"/>
              </w:rPr>
            </w:pPr>
            <w:r>
              <w:rPr>
                <w:b/>
                <w:bCs/>
                <w:color w:val="000000" w:themeColor="text1"/>
              </w:rPr>
              <w:t>Projected Electric Savings</w:t>
            </w:r>
            <w:r w:rsidR="001715BB">
              <w:rPr>
                <w:b/>
                <w:bCs/>
                <w:color w:val="000000" w:themeColor="text1"/>
              </w:rPr>
              <w:t xml:space="preserve"> Goals</w:t>
            </w:r>
            <w:r>
              <w:rPr>
                <w:b/>
                <w:bCs/>
                <w:color w:val="000000" w:themeColor="text1"/>
              </w:rPr>
              <w:t xml:space="preserve"> (kWh)</w:t>
            </w:r>
          </w:p>
        </w:tc>
        <w:tc>
          <w:tcPr>
            <w:tcW w:w="1350" w:type="dxa"/>
            <w:tcBorders>
              <w:top w:val="single" w:sz="12" w:space="0" w:color="000000"/>
              <w:left w:val="nil"/>
              <w:bottom w:val="single" w:sz="12" w:space="0" w:color="000000"/>
              <w:right w:val="nil"/>
            </w:tcBorders>
            <w:hideMark/>
          </w:tcPr>
          <w:p w14:paraId="30B8461B" w14:textId="42B33BA3" w:rsidR="00AD5580" w:rsidRDefault="00AD5580" w:rsidP="006A6873">
            <w:pPr>
              <w:keepNext/>
              <w:keepLines/>
              <w:jc w:val="right"/>
              <w:rPr>
                <w:b/>
                <w:bCs/>
                <w:color w:val="000000" w:themeColor="text1"/>
              </w:rPr>
            </w:pPr>
            <w:r>
              <w:rPr>
                <w:b/>
                <w:bCs/>
                <w:color w:val="000000" w:themeColor="text1"/>
              </w:rPr>
              <w:t>2016</w:t>
            </w:r>
            <w:r w:rsidR="00816663">
              <w:rPr>
                <w:rStyle w:val="FootnoteReference"/>
                <w:b/>
                <w:bCs/>
                <w:color w:val="000000" w:themeColor="text1"/>
              </w:rPr>
              <w:footnoteReference w:id="6"/>
            </w:r>
          </w:p>
        </w:tc>
        <w:tc>
          <w:tcPr>
            <w:tcW w:w="1800" w:type="dxa"/>
            <w:tcBorders>
              <w:top w:val="single" w:sz="12" w:space="0" w:color="000000"/>
              <w:left w:val="nil"/>
              <w:bottom w:val="single" w:sz="12" w:space="0" w:color="000000"/>
              <w:right w:val="nil"/>
            </w:tcBorders>
            <w:hideMark/>
          </w:tcPr>
          <w:p w14:paraId="2866511A" w14:textId="77777777" w:rsidR="00AD5580" w:rsidRDefault="00AD5580" w:rsidP="006A6873">
            <w:pPr>
              <w:keepNext/>
              <w:keepLines/>
              <w:jc w:val="right"/>
              <w:rPr>
                <w:b/>
                <w:bCs/>
                <w:color w:val="000000" w:themeColor="text1"/>
              </w:rPr>
            </w:pPr>
            <w:r>
              <w:rPr>
                <w:b/>
                <w:bCs/>
                <w:color w:val="000000" w:themeColor="text1"/>
              </w:rPr>
              <w:t>2017</w:t>
            </w:r>
          </w:p>
        </w:tc>
        <w:tc>
          <w:tcPr>
            <w:tcW w:w="1728" w:type="dxa"/>
            <w:tcBorders>
              <w:top w:val="single" w:sz="12" w:space="0" w:color="000000"/>
              <w:left w:val="nil"/>
              <w:bottom w:val="single" w:sz="12" w:space="0" w:color="000000"/>
              <w:right w:val="nil"/>
            </w:tcBorders>
            <w:hideMark/>
          </w:tcPr>
          <w:p w14:paraId="78421D5F" w14:textId="77777777" w:rsidR="00AD5580" w:rsidRDefault="00AD5580" w:rsidP="006A6873">
            <w:pPr>
              <w:keepNext/>
              <w:keepLines/>
              <w:jc w:val="right"/>
              <w:rPr>
                <w:b/>
                <w:bCs/>
                <w:color w:val="000000" w:themeColor="text1"/>
              </w:rPr>
            </w:pPr>
            <w:r>
              <w:rPr>
                <w:b/>
                <w:bCs/>
                <w:color w:val="000000" w:themeColor="text1"/>
              </w:rPr>
              <w:t>2017 Change</w:t>
            </w:r>
          </w:p>
        </w:tc>
      </w:tr>
      <w:tr w:rsidR="00AD5580" w14:paraId="35B12402" w14:textId="77777777" w:rsidTr="00995621">
        <w:trPr>
          <w:cantSplit/>
          <w:trHeight w:val="291"/>
        </w:trPr>
        <w:tc>
          <w:tcPr>
            <w:tcW w:w="4140" w:type="dxa"/>
            <w:tcBorders>
              <w:top w:val="single" w:sz="6" w:space="0" w:color="000000"/>
              <w:left w:val="nil"/>
              <w:bottom w:val="single" w:sz="6" w:space="0" w:color="000000"/>
              <w:right w:val="nil"/>
            </w:tcBorders>
          </w:tcPr>
          <w:p w14:paraId="5B35E706" w14:textId="77777777" w:rsidR="00AD5580" w:rsidRDefault="00AD5580" w:rsidP="006A6873">
            <w:pPr>
              <w:keepNext/>
              <w:keepLines/>
            </w:pPr>
            <w:r>
              <w:t>Residential</w:t>
            </w:r>
          </w:p>
        </w:tc>
        <w:tc>
          <w:tcPr>
            <w:tcW w:w="1350" w:type="dxa"/>
            <w:tcBorders>
              <w:top w:val="single" w:sz="6" w:space="0" w:color="000000"/>
              <w:left w:val="nil"/>
              <w:bottom w:val="single" w:sz="6" w:space="0" w:color="000000"/>
              <w:right w:val="nil"/>
            </w:tcBorders>
            <w:shd w:val="clear" w:color="auto" w:fill="auto"/>
            <w:vAlign w:val="center"/>
          </w:tcPr>
          <w:p w14:paraId="3DECA88C" w14:textId="77777777" w:rsidR="00AD5580" w:rsidRPr="003E512F" w:rsidRDefault="00AD5580" w:rsidP="006A6873">
            <w:pPr>
              <w:keepNext/>
              <w:keepLines/>
              <w:jc w:val="right"/>
              <w:rPr>
                <w:highlight w:val="yellow"/>
              </w:rPr>
            </w:pPr>
            <w:r w:rsidRPr="003E512F">
              <w:rPr>
                <w:color w:val="000000"/>
              </w:rPr>
              <w:t>24,277,723</w:t>
            </w:r>
          </w:p>
        </w:tc>
        <w:tc>
          <w:tcPr>
            <w:tcW w:w="1800" w:type="dxa"/>
            <w:tcBorders>
              <w:top w:val="single" w:sz="6" w:space="0" w:color="000000"/>
              <w:left w:val="nil"/>
              <w:bottom w:val="single" w:sz="6" w:space="0" w:color="000000"/>
              <w:right w:val="nil"/>
            </w:tcBorders>
            <w:vAlign w:val="center"/>
          </w:tcPr>
          <w:p w14:paraId="3B0AD4C2" w14:textId="77777777" w:rsidR="00AD5580" w:rsidRPr="003E512F" w:rsidRDefault="00AD5580" w:rsidP="006A6873">
            <w:pPr>
              <w:keepNext/>
              <w:keepLines/>
              <w:jc w:val="right"/>
            </w:pPr>
            <w:r w:rsidRPr="003E512F">
              <w:rPr>
                <w:color w:val="000000"/>
              </w:rPr>
              <w:t>11,594,496</w:t>
            </w:r>
          </w:p>
        </w:tc>
        <w:tc>
          <w:tcPr>
            <w:tcW w:w="1728" w:type="dxa"/>
            <w:tcBorders>
              <w:top w:val="single" w:sz="6" w:space="0" w:color="000000"/>
              <w:left w:val="nil"/>
              <w:bottom w:val="single" w:sz="6" w:space="0" w:color="000000"/>
              <w:right w:val="nil"/>
            </w:tcBorders>
            <w:vAlign w:val="center"/>
          </w:tcPr>
          <w:p w14:paraId="2990DE69" w14:textId="77777777" w:rsidR="00AD5580" w:rsidRPr="003E512F" w:rsidRDefault="00AD5580" w:rsidP="006A6873">
            <w:pPr>
              <w:keepNext/>
              <w:keepLines/>
              <w:jc w:val="right"/>
            </w:pPr>
            <w:r w:rsidRPr="003E512F">
              <w:rPr>
                <w:color w:val="000000"/>
              </w:rPr>
              <w:t>-52%</w:t>
            </w:r>
          </w:p>
        </w:tc>
      </w:tr>
      <w:tr w:rsidR="00AD5580" w14:paraId="7BF1EB50" w14:textId="77777777" w:rsidTr="00995621">
        <w:trPr>
          <w:cantSplit/>
          <w:trHeight w:val="304"/>
        </w:trPr>
        <w:tc>
          <w:tcPr>
            <w:tcW w:w="4140" w:type="dxa"/>
            <w:tcBorders>
              <w:top w:val="single" w:sz="6" w:space="0" w:color="000000"/>
              <w:left w:val="nil"/>
              <w:bottom w:val="single" w:sz="6" w:space="0" w:color="000000"/>
              <w:right w:val="nil"/>
            </w:tcBorders>
          </w:tcPr>
          <w:p w14:paraId="67BF2D9A" w14:textId="398CC3C4" w:rsidR="00AD5580" w:rsidRPr="00545A58" w:rsidRDefault="00531666" w:rsidP="006A6873">
            <w:pPr>
              <w:keepNext/>
              <w:keepLines/>
            </w:pPr>
            <w:r>
              <w:t>Non-r</w:t>
            </w:r>
            <w:r w:rsidR="00AD5580">
              <w:t>esidential</w:t>
            </w:r>
          </w:p>
        </w:tc>
        <w:tc>
          <w:tcPr>
            <w:tcW w:w="1350" w:type="dxa"/>
            <w:tcBorders>
              <w:top w:val="single" w:sz="6" w:space="0" w:color="000000"/>
              <w:left w:val="nil"/>
              <w:bottom w:val="single" w:sz="6" w:space="0" w:color="000000"/>
              <w:right w:val="nil"/>
            </w:tcBorders>
            <w:vAlign w:val="center"/>
          </w:tcPr>
          <w:p w14:paraId="2C4554B9" w14:textId="77777777" w:rsidR="00AD5580" w:rsidRPr="003E512F" w:rsidRDefault="00AD5580" w:rsidP="006A6873">
            <w:pPr>
              <w:keepNext/>
              <w:keepLines/>
              <w:jc w:val="right"/>
            </w:pPr>
            <w:r w:rsidRPr="003E512F">
              <w:rPr>
                <w:color w:val="000000"/>
              </w:rPr>
              <w:t>22,915,669</w:t>
            </w:r>
          </w:p>
        </w:tc>
        <w:tc>
          <w:tcPr>
            <w:tcW w:w="1800" w:type="dxa"/>
            <w:tcBorders>
              <w:top w:val="single" w:sz="6" w:space="0" w:color="000000"/>
              <w:left w:val="nil"/>
              <w:bottom w:val="single" w:sz="6" w:space="0" w:color="000000"/>
              <w:right w:val="nil"/>
            </w:tcBorders>
            <w:vAlign w:val="center"/>
          </w:tcPr>
          <w:p w14:paraId="7AD006A2" w14:textId="77777777" w:rsidR="00AD5580" w:rsidRPr="003E512F" w:rsidRDefault="00AD5580" w:rsidP="006A6873">
            <w:pPr>
              <w:keepNext/>
              <w:keepLines/>
              <w:jc w:val="right"/>
            </w:pPr>
            <w:r>
              <w:rPr>
                <w:color w:val="000000"/>
              </w:rPr>
              <w:t>21,248,695</w:t>
            </w:r>
          </w:p>
        </w:tc>
        <w:tc>
          <w:tcPr>
            <w:tcW w:w="1728" w:type="dxa"/>
            <w:tcBorders>
              <w:top w:val="single" w:sz="6" w:space="0" w:color="000000"/>
              <w:left w:val="nil"/>
              <w:bottom w:val="single" w:sz="6" w:space="0" w:color="000000"/>
              <w:right w:val="nil"/>
            </w:tcBorders>
            <w:vAlign w:val="center"/>
          </w:tcPr>
          <w:p w14:paraId="199B755B" w14:textId="77777777" w:rsidR="00AD5580" w:rsidRPr="003E512F" w:rsidRDefault="00AD5580" w:rsidP="006A6873">
            <w:pPr>
              <w:keepNext/>
              <w:keepLines/>
              <w:jc w:val="right"/>
            </w:pPr>
            <w:r w:rsidRPr="003E512F">
              <w:rPr>
                <w:color w:val="000000"/>
              </w:rPr>
              <w:t>-</w:t>
            </w:r>
            <w:r>
              <w:rPr>
                <w:color w:val="000000"/>
              </w:rPr>
              <w:t>7</w:t>
            </w:r>
            <w:r w:rsidRPr="003E512F">
              <w:rPr>
                <w:color w:val="000000"/>
              </w:rPr>
              <w:t>%</w:t>
            </w:r>
          </w:p>
        </w:tc>
      </w:tr>
      <w:tr w:rsidR="00AD5580" w14:paraId="2EB4BA8B" w14:textId="77777777" w:rsidTr="00995621">
        <w:trPr>
          <w:cantSplit/>
          <w:trHeight w:val="291"/>
        </w:trPr>
        <w:tc>
          <w:tcPr>
            <w:tcW w:w="4140" w:type="dxa"/>
            <w:tcBorders>
              <w:top w:val="single" w:sz="6" w:space="0" w:color="000000"/>
              <w:left w:val="nil"/>
              <w:bottom w:val="single" w:sz="6" w:space="0" w:color="000000"/>
              <w:right w:val="nil"/>
            </w:tcBorders>
          </w:tcPr>
          <w:p w14:paraId="0ADD524E" w14:textId="4FC6DA2D" w:rsidR="00AD5580" w:rsidRPr="00545A58" w:rsidRDefault="00F6238A" w:rsidP="006A6873">
            <w:pPr>
              <w:keepNext/>
              <w:keepLines/>
            </w:pPr>
            <w:r>
              <w:t>Low-i</w:t>
            </w:r>
            <w:r w:rsidR="00AD5580">
              <w:t>ncome</w:t>
            </w:r>
          </w:p>
        </w:tc>
        <w:tc>
          <w:tcPr>
            <w:tcW w:w="1350" w:type="dxa"/>
            <w:tcBorders>
              <w:top w:val="single" w:sz="6" w:space="0" w:color="000000"/>
              <w:left w:val="nil"/>
              <w:bottom w:val="single" w:sz="6" w:space="0" w:color="000000"/>
              <w:right w:val="nil"/>
            </w:tcBorders>
            <w:vAlign w:val="center"/>
          </w:tcPr>
          <w:p w14:paraId="67AB1FB9" w14:textId="77777777" w:rsidR="00AD5580" w:rsidRPr="003E512F" w:rsidRDefault="00AD5580" w:rsidP="006A6873">
            <w:pPr>
              <w:keepNext/>
              <w:keepLines/>
              <w:jc w:val="right"/>
            </w:pPr>
            <w:r w:rsidRPr="003E512F">
              <w:rPr>
                <w:color w:val="000000"/>
              </w:rPr>
              <w:t>518,673</w:t>
            </w:r>
          </w:p>
        </w:tc>
        <w:tc>
          <w:tcPr>
            <w:tcW w:w="1800" w:type="dxa"/>
            <w:tcBorders>
              <w:top w:val="single" w:sz="6" w:space="0" w:color="000000"/>
              <w:left w:val="nil"/>
              <w:bottom w:val="single" w:sz="6" w:space="0" w:color="000000"/>
              <w:right w:val="nil"/>
            </w:tcBorders>
            <w:vAlign w:val="center"/>
          </w:tcPr>
          <w:p w14:paraId="2AECEE8D" w14:textId="77777777" w:rsidR="00AD5580" w:rsidRPr="003E512F" w:rsidRDefault="00AD5580" w:rsidP="006A6873">
            <w:pPr>
              <w:keepNext/>
              <w:keepLines/>
              <w:jc w:val="right"/>
            </w:pPr>
            <w:r>
              <w:rPr>
                <w:color w:val="000000"/>
              </w:rPr>
              <w:t>280,439</w:t>
            </w:r>
          </w:p>
        </w:tc>
        <w:tc>
          <w:tcPr>
            <w:tcW w:w="1728" w:type="dxa"/>
            <w:tcBorders>
              <w:top w:val="single" w:sz="6" w:space="0" w:color="000000"/>
              <w:left w:val="nil"/>
              <w:bottom w:val="single" w:sz="6" w:space="0" w:color="000000"/>
              <w:right w:val="nil"/>
            </w:tcBorders>
            <w:vAlign w:val="center"/>
          </w:tcPr>
          <w:p w14:paraId="5E8851BD" w14:textId="77777777" w:rsidR="00AD5580" w:rsidRPr="003E512F" w:rsidRDefault="00AD5580" w:rsidP="006A6873">
            <w:pPr>
              <w:keepNext/>
              <w:keepLines/>
              <w:jc w:val="right"/>
            </w:pPr>
            <w:r w:rsidRPr="003E512F">
              <w:rPr>
                <w:color w:val="000000"/>
              </w:rPr>
              <w:t>-</w:t>
            </w:r>
            <w:r>
              <w:rPr>
                <w:color w:val="000000"/>
              </w:rPr>
              <w:t>4</w:t>
            </w:r>
            <w:r w:rsidRPr="003E512F">
              <w:rPr>
                <w:color w:val="000000"/>
              </w:rPr>
              <w:t>6%</w:t>
            </w:r>
          </w:p>
        </w:tc>
      </w:tr>
      <w:tr w:rsidR="00AD5580" w14:paraId="4871523F" w14:textId="77777777" w:rsidTr="00995621">
        <w:trPr>
          <w:cantSplit/>
          <w:trHeight w:val="291"/>
        </w:trPr>
        <w:tc>
          <w:tcPr>
            <w:tcW w:w="4140" w:type="dxa"/>
            <w:tcBorders>
              <w:top w:val="single" w:sz="6" w:space="0" w:color="000000"/>
              <w:left w:val="nil"/>
              <w:bottom w:val="single" w:sz="6" w:space="0" w:color="000000"/>
              <w:right w:val="nil"/>
            </w:tcBorders>
          </w:tcPr>
          <w:p w14:paraId="66653C23" w14:textId="77777777" w:rsidR="00AD5580" w:rsidRDefault="00AD5580" w:rsidP="006A6873">
            <w:pPr>
              <w:keepNext/>
              <w:keepLines/>
            </w:pPr>
            <w:r>
              <w:t>NEEA</w:t>
            </w:r>
          </w:p>
        </w:tc>
        <w:tc>
          <w:tcPr>
            <w:tcW w:w="1350" w:type="dxa"/>
            <w:tcBorders>
              <w:top w:val="single" w:sz="6" w:space="0" w:color="000000"/>
              <w:left w:val="nil"/>
              <w:bottom w:val="single" w:sz="6" w:space="0" w:color="000000"/>
              <w:right w:val="nil"/>
            </w:tcBorders>
            <w:vAlign w:val="center"/>
          </w:tcPr>
          <w:p w14:paraId="54C0FC28" w14:textId="77777777" w:rsidR="00AD5580" w:rsidRPr="003E512F" w:rsidRDefault="00AD5580" w:rsidP="006A6873">
            <w:pPr>
              <w:keepNext/>
              <w:keepLines/>
              <w:jc w:val="right"/>
            </w:pPr>
            <w:r w:rsidRPr="003E512F">
              <w:rPr>
                <w:color w:val="000000"/>
              </w:rPr>
              <w:t>3,110,000</w:t>
            </w:r>
          </w:p>
        </w:tc>
        <w:tc>
          <w:tcPr>
            <w:tcW w:w="1800" w:type="dxa"/>
            <w:tcBorders>
              <w:top w:val="single" w:sz="6" w:space="0" w:color="000000"/>
              <w:left w:val="nil"/>
              <w:bottom w:val="single" w:sz="6" w:space="0" w:color="000000"/>
              <w:right w:val="nil"/>
            </w:tcBorders>
            <w:vAlign w:val="center"/>
          </w:tcPr>
          <w:p w14:paraId="0A966486" w14:textId="77777777" w:rsidR="00AD5580" w:rsidRPr="003E512F" w:rsidRDefault="00AD5580" w:rsidP="006A6873">
            <w:pPr>
              <w:keepNext/>
              <w:keepLines/>
              <w:jc w:val="right"/>
            </w:pPr>
            <w:r w:rsidRPr="003E512F">
              <w:rPr>
                <w:color w:val="000000"/>
              </w:rPr>
              <w:t>3,1</w:t>
            </w:r>
            <w:r>
              <w:rPr>
                <w:color w:val="000000"/>
              </w:rPr>
              <w:t>09</w:t>
            </w:r>
            <w:r w:rsidRPr="003E512F">
              <w:rPr>
                <w:color w:val="000000"/>
              </w:rPr>
              <w:t>,</w:t>
            </w:r>
            <w:r>
              <w:rPr>
                <w:color w:val="000000"/>
              </w:rPr>
              <w:t>8</w:t>
            </w:r>
            <w:r w:rsidRPr="003E512F">
              <w:rPr>
                <w:color w:val="000000"/>
              </w:rPr>
              <w:t>00</w:t>
            </w:r>
          </w:p>
        </w:tc>
        <w:tc>
          <w:tcPr>
            <w:tcW w:w="1728" w:type="dxa"/>
            <w:tcBorders>
              <w:top w:val="single" w:sz="6" w:space="0" w:color="000000"/>
              <w:left w:val="nil"/>
              <w:bottom w:val="single" w:sz="6" w:space="0" w:color="000000"/>
              <w:right w:val="nil"/>
            </w:tcBorders>
            <w:vAlign w:val="center"/>
          </w:tcPr>
          <w:p w14:paraId="469B21ED" w14:textId="77777777" w:rsidR="00AD5580" w:rsidRPr="003E512F" w:rsidRDefault="00AD5580" w:rsidP="006A6873">
            <w:pPr>
              <w:keepNext/>
              <w:keepLines/>
              <w:jc w:val="right"/>
            </w:pPr>
            <w:r w:rsidRPr="003E512F">
              <w:rPr>
                <w:color w:val="000000"/>
              </w:rPr>
              <w:t>0%</w:t>
            </w:r>
          </w:p>
        </w:tc>
      </w:tr>
      <w:tr w:rsidR="00AD5580" w14:paraId="1DDF140C" w14:textId="77777777" w:rsidTr="00995621">
        <w:trPr>
          <w:cantSplit/>
          <w:trHeight w:val="291"/>
        </w:trPr>
        <w:tc>
          <w:tcPr>
            <w:tcW w:w="4140" w:type="dxa"/>
            <w:tcBorders>
              <w:top w:val="single" w:sz="12" w:space="0" w:color="auto"/>
              <w:left w:val="nil"/>
              <w:bottom w:val="single" w:sz="12" w:space="0" w:color="auto"/>
              <w:right w:val="nil"/>
            </w:tcBorders>
            <w:hideMark/>
          </w:tcPr>
          <w:p w14:paraId="3E6D09DD" w14:textId="10A0E5C0" w:rsidR="00AD5580" w:rsidRPr="00A34EE4" w:rsidRDefault="007C1F65" w:rsidP="006A6873">
            <w:pPr>
              <w:keepNext/>
              <w:keepLines/>
            </w:pPr>
            <w:r w:rsidRPr="00A34EE4">
              <w:t>Sub-</w:t>
            </w:r>
            <w:r w:rsidR="00AD5580" w:rsidRPr="00A34EE4">
              <w:t>Total</w:t>
            </w:r>
          </w:p>
        </w:tc>
        <w:tc>
          <w:tcPr>
            <w:tcW w:w="1350" w:type="dxa"/>
            <w:tcBorders>
              <w:top w:val="single" w:sz="12" w:space="0" w:color="auto"/>
              <w:left w:val="nil"/>
              <w:bottom w:val="single" w:sz="12" w:space="0" w:color="auto"/>
              <w:right w:val="nil"/>
            </w:tcBorders>
            <w:vAlign w:val="center"/>
            <w:hideMark/>
          </w:tcPr>
          <w:p w14:paraId="782027FE" w14:textId="77777777" w:rsidR="00AD5580" w:rsidRPr="00A34EE4" w:rsidRDefault="00AD5580" w:rsidP="006A6873">
            <w:pPr>
              <w:keepNext/>
              <w:keepLines/>
              <w:jc w:val="right"/>
            </w:pPr>
            <w:r w:rsidRPr="00A34EE4">
              <w:rPr>
                <w:bCs/>
                <w:color w:val="000000"/>
              </w:rPr>
              <w:t>50,822,065</w:t>
            </w:r>
          </w:p>
        </w:tc>
        <w:tc>
          <w:tcPr>
            <w:tcW w:w="1800" w:type="dxa"/>
            <w:tcBorders>
              <w:top w:val="single" w:sz="12" w:space="0" w:color="auto"/>
              <w:left w:val="nil"/>
              <w:bottom w:val="single" w:sz="12" w:space="0" w:color="auto"/>
              <w:right w:val="nil"/>
            </w:tcBorders>
            <w:vAlign w:val="center"/>
          </w:tcPr>
          <w:p w14:paraId="04AB2AC5" w14:textId="77777777" w:rsidR="00AD5580" w:rsidRPr="00A34EE4" w:rsidRDefault="00AD5580" w:rsidP="006A6873">
            <w:pPr>
              <w:keepNext/>
              <w:keepLines/>
              <w:jc w:val="right"/>
            </w:pPr>
            <w:r w:rsidRPr="00A34EE4">
              <w:rPr>
                <w:bCs/>
                <w:color w:val="000000"/>
              </w:rPr>
              <w:t>36,233,430</w:t>
            </w:r>
          </w:p>
        </w:tc>
        <w:tc>
          <w:tcPr>
            <w:tcW w:w="1728" w:type="dxa"/>
            <w:tcBorders>
              <w:top w:val="single" w:sz="12" w:space="0" w:color="auto"/>
              <w:left w:val="nil"/>
              <w:bottom w:val="single" w:sz="12" w:space="0" w:color="auto"/>
              <w:right w:val="nil"/>
            </w:tcBorders>
            <w:vAlign w:val="center"/>
          </w:tcPr>
          <w:p w14:paraId="359485D5" w14:textId="225FE801" w:rsidR="00AD5580" w:rsidRPr="003E512F" w:rsidRDefault="00AD5580" w:rsidP="006A6873">
            <w:pPr>
              <w:keepNext/>
              <w:keepLines/>
              <w:jc w:val="right"/>
              <w:rPr>
                <w:b/>
              </w:rPr>
            </w:pPr>
          </w:p>
        </w:tc>
      </w:tr>
      <w:tr w:rsidR="007C1F65" w14:paraId="2049619F" w14:textId="77777777" w:rsidTr="00995621">
        <w:trPr>
          <w:cantSplit/>
          <w:trHeight w:val="291"/>
        </w:trPr>
        <w:tc>
          <w:tcPr>
            <w:tcW w:w="4140" w:type="dxa"/>
            <w:tcBorders>
              <w:top w:val="single" w:sz="12" w:space="0" w:color="auto"/>
              <w:left w:val="nil"/>
              <w:bottom w:val="single" w:sz="12" w:space="0" w:color="auto"/>
              <w:right w:val="nil"/>
            </w:tcBorders>
          </w:tcPr>
          <w:p w14:paraId="3F57621A" w14:textId="71C49865" w:rsidR="007C1F65" w:rsidRPr="00112F41" w:rsidRDefault="007C1F65" w:rsidP="006A6873">
            <w:pPr>
              <w:keepNext/>
              <w:keepLines/>
              <w:rPr>
                <w:sz w:val="23"/>
                <w:szCs w:val="23"/>
              </w:rPr>
            </w:pPr>
            <w:r w:rsidRPr="00112F41">
              <w:rPr>
                <w:sz w:val="23"/>
                <w:szCs w:val="23"/>
              </w:rPr>
              <w:t xml:space="preserve">Commitment based on actual </w:t>
            </w:r>
            <w:r w:rsidR="00112F41" w:rsidRPr="00112F41">
              <w:rPr>
                <w:sz w:val="23"/>
                <w:szCs w:val="23"/>
              </w:rPr>
              <w:t xml:space="preserve">vs. </w:t>
            </w:r>
            <w:r w:rsidRPr="00112F41">
              <w:rPr>
                <w:sz w:val="23"/>
                <w:szCs w:val="23"/>
              </w:rPr>
              <w:t>forecast</w:t>
            </w:r>
          </w:p>
        </w:tc>
        <w:tc>
          <w:tcPr>
            <w:tcW w:w="1350" w:type="dxa"/>
            <w:tcBorders>
              <w:top w:val="single" w:sz="12" w:space="0" w:color="auto"/>
              <w:left w:val="nil"/>
              <w:bottom w:val="single" w:sz="12" w:space="0" w:color="auto"/>
              <w:right w:val="nil"/>
            </w:tcBorders>
            <w:vAlign w:val="center"/>
          </w:tcPr>
          <w:p w14:paraId="165B5923" w14:textId="2906EAAE" w:rsidR="007C1F65" w:rsidRPr="00A34EE4" w:rsidRDefault="007C1F65" w:rsidP="006A6873">
            <w:pPr>
              <w:keepNext/>
              <w:keepLines/>
              <w:jc w:val="right"/>
              <w:rPr>
                <w:bCs/>
                <w:color w:val="000000"/>
              </w:rPr>
            </w:pPr>
            <w:r w:rsidRPr="00A34EE4">
              <w:rPr>
                <w:bCs/>
                <w:color w:val="000000"/>
              </w:rPr>
              <w:t>n/a</w:t>
            </w:r>
          </w:p>
        </w:tc>
        <w:tc>
          <w:tcPr>
            <w:tcW w:w="1800" w:type="dxa"/>
            <w:tcBorders>
              <w:top w:val="single" w:sz="12" w:space="0" w:color="auto"/>
              <w:left w:val="nil"/>
              <w:bottom w:val="single" w:sz="12" w:space="0" w:color="auto"/>
              <w:right w:val="nil"/>
            </w:tcBorders>
            <w:vAlign w:val="center"/>
          </w:tcPr>
          <w:p w14:paraId="49775773" w14:textId="6AB04562" w:rsidR="007C1F65" w:rsidRPr="00A34EE4" w:rsidRDefault="007C1F65" w:rsidP="006A6873">
            <w:pPr>
              <w:keepNext/>
              <w:keepLines/>
              <w:jc w:val="right"/>
              <w:rPr>
                <w:bCs/>
                <w:color w:val="000000"/>
              </w:rPr>
            </w:pPr>
            <w:r w:rsidRPr="00A34EE4">
              <w:rPr>
                <w:bCs/>
                <w:color w:val="000000"/>
              </w:rPr>
              <w:t>13,766,570</w:t>
            </w:r>
          </w:p>
        </w:tc>
        <w:tc>
          <w:tcPr>
            <w:tcW w:w="1728" w:type="dxa"/>
            <w:tcBorders>
              <w:top w:val="single" w:sz="12" w:space="0" w:color="auto"/>
              <w:left w:val="nil"/>
              <w:bottom w:val="single" w:sz="12" w:space="0" w:color="auto"/>
              <w:right w:val="nil"/>
            </w:tcBorders>
            <w:vAlign w:val="center"/>
          </w:tcPr>
          <w:p w14:paraId="0262B86A" w14:textId="0BE4D9A2" w:rsidR="007C1F65" w:rsidRPr="003E512F" w:rsidRDefault="007C1F65" w:rsidP="006A6873">
            <w:pPr>
              <w:keepNext/>
              <w:keepLines/>
              <w:jc w:val="right"/>
              <w:rPr>
                <w:color w:val="000000"/>
              </w:rPr>
            </w:pPr>
          </w:p>
        </w:tc>
      </w:tr>
      <w:tr w:rsidR="007C1F65" w14:paraId="3EA32CC2" w14:textId="77777777" w:rsidTr="00995621">
        <w:trPr>
          <w:cantSplit/>
          <w:trHeight w:val="291"/>
        </w:trPr>
        <w:tc>
          <w:tcPr>
            <w:tcW w:w="4140" w:type="dxa"/>
            <w:tcBorders>
              <w:top w:val="single" w:sz="12" w:space="0" w:color="auto"/>
              <w:left w:val="nil"/>
              <w:bottom w:val="single" w:sz="12" w:space="0" w:color="000000"/>
              <w:right w:val="nil"/>
            </w:tcBorders>
          </w:tcPr>
          <w:p w14:paraId="68F75029" w14:textId="04F5CB02" w:rsidR="007C1F65" w:rsidRDefault="007C1F65" w:rsidP="006A6873">
            <w:pPr>
              <w:keepNext/>
              <w:keepLines/>
              <w:rPr>
                <w:b/>
              </w:rPr>
            </w:pPr>
            <w:r>
              <w:rPr>
                <w:b/>
              </w:rPr>
              <w:t>Total</w:t>
            </w:r>
          </w:p>
        </w:tc>
        <w:tc>
          <w:tcPr>
            <w:tcW w:w="1350" w:type="dxa"/>
            <w:tcBorders>
              <w:top w:val="single" w:sz="12" w:space="0" w:color="auto"/>
              <w:left w:val="nil"/>
              <w:bottom w:val="single" w:sz="12" w:space="0" w:color="000000"/>
              <w:right w:val="nil"/>
            </w:tcBorders>
            <w:vAlign w:val="center"/>
          </w:tcPr>
          <w:p w14:paraId="72CB34F2" w14:textId="3DA95AA1" w:rsidR="007C1F65" w:rsidRPr="003E512F" w:rsidRDefault="007C1F65" w:rsidP="006A6873">
            <w:pPr>
              <w:keepNext/>
              <w:keepLines/>
              <w:jc w:val="right"/>
              <w:rPr>
                <w:b/>
                <w:bCs/>
                <w:color w:val="000000"/>
              </w:rPr>
            </w:pPr>
            <w:r w:rsidRPr="007C1F65">
              <w:rPr>
                <w:b/>
                <w:bCs/>
                <w:color w:val="000000"/>
              </w:rPr>
              <w:t>50,822,065</w:t>
            </w:r>
          </w:p>
        </w:tc>
        <w:tc>
          <w:tcPr>
            <w:tcW w:w="1800" w:type="dxa"/>
            <w:tcBorders>
              <w:top w:val="single" w:sz="12" w:space="0" w:color="auto"/>
              <w:left w:val="nil"/>
              <w:bottom w:val="single" w:sz="12" w:space="0" w:color="000000"/>
              <w:right w:val="nil"/>
            </w:tcBorders>
            <w:vAlign w:val="center"/>
          </w:tcPr>
          <w:p w14:paraId="78BB1202" w14:textId="787A51EE" w:rsidR="007C1F65" w:rsidRDefault="007C1F65" w:rsidP="006A6873">
            <w:pPr>
              <w:keepNext/>
              <w:keepLines/>
              <w:jc w:val="right"/>
              <w:rPr>
                <w:b/>
                <w:bCs/>
                <w:color w:val="000000"/>
              </w:rPr>
            </w:pPr>
            <w:r>
              <w:rPr>
                <w:b/>
                <w:bCs/>
                <w:color w:val="000000"/>
              </w:rPr>
              <w:t>50,000,000</w:t>
            </w:r>
          </w:p>
        </w:tc>
        <w:tc>
          <w:tcPr>
            <w:tcW w:w="1728" w:type="dxa"/>
            <w:tcBorders>
              <w:top w:val="single" w:sz="12" w:space="0" w:color="auto"/>
              <w:left w:val="nil"/>
              <w:bottom w:val="single" w:sz="12" w:space="0" w:color="000000"/>
              <w:right w:val="nil"/>
            </w:tcBorders>
            <w:vAlign w:val="center"/>
          </w:tcPr>
          <w:p w14:paraId="3BAEDEB9" w14:textId="42B31516" w:rsidR="007C1F65" w:rsidRDefault="007C1F65" w:rsidP="006A6873">
            <w:pPr>
              <w:keepNext/>
              <w:keepLines/>
              <w:jc w:val="right"/>
              <w:rPr>
                <w:color w:val="000000"/>
              </w:rPr>
            </w:pPr>
            <w:r>
              <w:rPr>
                <w:color w:val="000000"/>
              </w:rPr>
              <w:t>-2%</w:t>
            </w:r>
          </w:p>
        </w:tc>
      </w:tr>
    </w:tbl>
    <w:p w14:paraId="1210D7C5" w14:textId="77777777" w:rsidR="00AD5580" w:rsidRDefault="00AD5580" w:rsidP="00AD5580"/>
    <w:p w14:paraId="2B325804" w14:textId="2E0B959A" w:rsidR="00AD5580" w:rsidRDefault="00AD5580" w:rsidP="00AD5580">
      <w:r>
        <w:lastRenderedPageBreak/>
        <w:t xml:space="preserve">Avista </w:t>
      </w:r>
      <w:r w:rsidR="007C1F65">
        <w:t xml:space="preserve">is currently tracking above originally forecasted energy savings and has </w:t>
      </w:r>
      <w:r w:rsidR="001715BB">
        <w:t xml:space="preserve">increased </w:t>
      </w:r>
      <w:r w:rsidR="007C1F65">
        <w:t>the</w:t>
      </w:r>
      <w:r w:rsidR="00E92B20">
        <w:t xml:space="preserve"> 2017 goal by 13,766 MWh, forecasting </w:t>
      </w:r>
      <w:r w:rsidR="008C19D4">
        <w:t xml:space="preserve">combined </w:t>
      </w:r>
      <w:r w:rsidR="00E92B20">
        <w:t xml:space="preserve">increases in residential </w:t>
      </w:r>
      <w:r w:rsidR="00BD231C">
        <w:t xml:space="preserve">and non-residential </w:t>
      </w:r>
      <w:r w:rsidR="00E92B20">
        <w:t>programs</w:t>
      </w:r>
      <w:r w:rsidR="001715BB">
        <w:t xml:space="preserve">. </w:t>
      </w:r>
      <w:r w:rsidR="00071171" w:rsidRPr="00071171">
        <w:t xml:space="preserve">Avista is projecting a 2017 savings total goal of 50,000 MWh, similar to their 50,822 MWh goal in 2016. </w:t>
      </w:r>
      <w:r w:rsidR="001715BB" w:rsidRPr="001715BB">
        <w:t>The year-to-date energy savings for Washington electric is significantly above the target and can be attributed to greater than expected LED lighting energy savings.</w:t>
      </w:r>
      <w:r w:rsidR="001715BB">
        <w:t xml:space="preserve"> </w:t>
      </w:r>
      <w:r>
        <w:t>The</w:t>
      </w:r>
      <w:r w:rsidR="00777AE0">
        <w:t xml:space="preserve"> Total Resource Cost test</w:t>
      </w:r>
      <w:r>
        <w:t xml:space="preserve"> benefit-to-cost ratio for Avista’s Washington electric portfolio is projected to be 1.8 for 2017.</w:t>
      </w:r>
    </w:p>
    <w:p w14:paraId="456754D0" w14:textId="77777777" w:rsidR="00AD5580" w:rsidRDefault="00AD5580" w:rsidP="00AD5580"/>
    <w:p w14:paraId="1267EF3D" w14:textId="77777777" w:rsidR="00AD5580" w:rsidRDefault="00AD5580" w:rsidP="00AD5580">
      <w:r>
        <w:t>It should be noted that these savings only represent those that are claimable toward EIA compliance. Avista projects to achieve an additional 6,855 MWh of savings in 2017 for electric-to-gas fuel conversions which may not be claimed in the 2016-2017 biennium toward meeting the biennial target.</w:t>
      </w:r>
    </w:p>
    <w:tbl>
      <w:tblPr>
        <w:tblpPr w:leftFromText="180" w:rightFromText="180" w:vertAnchor="text" w:horzAnchor="margin" w:tblpY="391"/>
        <w:tblW w:w="9018"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3420"/>
        <w:gridCol w:w="1728"/>
        <w:gridCol w:w="1980"/>
        <w:gridCol w:w="1890"/>
      </w:tblGrid>
      <w:tr w:rsidR="00995621" w14:paraId="04CA2543" w14:textId="77777777" w:rsidTr="00995621">
        <w:trPr>
          <w:trHeight w:val="279"/>
        </w:trPr>
        <w:tc>
          <w:tcPr>
            <w:tcW w:w="3420" w:type="dxa"/>
            <w:tcBorders>
              <w:top w:val="single" w:sz="12" w:space="0" w:color="000000"/>
              <w:left w:val="nil"/>
              <w:bottom w:val="single" w:sz="12" w:space="0" w:color="000000"/>
              <w:right w:val="nil"/>
            </w:tcBorders>
            <w:hideMark/>
          </w:tcPr>
          <w:p w14:paraId="34A0D8AA" w14:textId="77777777" w:rsidR="00995621" w:rsidRDefault="00995621" w:rsidP="00995621">
            <w:pPr>
              <w:keepNext/>
              <w:keepLines/>
              <w:rPr>
                <w:b/>
                <w:bCs/>
                <w:color w:val="000080"/>
              </w:rPr>
            </w:pPr>
            <w:r>
              <w:rPr>
                <w:b/>
                <w:bCs/>
                <w:color w:val="000000" w:themeColor="text1"/>
              </w:rPr>
              <w:t>Natural Gas Program Budgets</w:t>
            </w:r>
          </w:p>
        </w:tc>
        <w:tc>
          <w:tcPr>
            <w:tcW w:w="1728" w:type="dxa"/>
            <w:tcBorders>
              <w:top w:val="single" w:sz="12" w:space="0" w:color="000000"/>
              <w:left w:val="nil"/>
              <w:bottom w:val="single" w:sz="12" w:space="0" w:color="000000"/>
              <w:right w:val="nil"/>
            </w:tcBorders>
            <w:hideMark/>
          </w:tcPr>
          <w:p w14:paraId="19A4C29C" w14:textId="77777777" w:rsidR="00995621" w:rsidRDefault="00995621" w:rsidP="00995621">
            <w:pPr>
              <w:keepNext/>
              <w:keepLines/>
              <w:jc w:val="right"/>
              <w:rPr>
                <w:b/>
                <w:bCs/>
                <w:color w:val="000000" w:themeColor="text1"/>
              </w:rPr>
            </w:pPr>
            <w:r>
              <w:rPr>
                <w:b/>
                <w:bCs/>
                <w:color w:val="000000" w:themeColor="text1"/>
              </w:rPr>
              <w:t>2016 Budget</w:t>
            </w:r>
            <w:r>
              <w:rPr>
                <w:rStyle w:val="FootnoteReference"/>
                <w:b/>
                <w:bCs/>
                <w:color w:val="000000" w:themeColor="text1"/>
              </w:rPr>
              <w:footnoteReference w:id="7"/>
            </w:r>
          </w:p>
        </w:tc>
        <w:tc>
          <w:tcPr>
            <w:tcW w:w="1980" w:type="dxa"/>
            <w:tcBorders>
              <w:top w:val="single" w:sz="12" w:space="0" w:color="000000"/>
              <w:left w:val="nil"/>
              <w:bottom w:val="single" w:sz="12" w:space="0" w:color="000000"/>
              <w:right w:val="nil"/>
            </w:tcBorders>
            <w:hideMark/>
          </w:tcPr>
          <w:p w14:paraId="60CA8DC5" w14:textId="77777777" w:rsidR="00995621" w:rsidRDefault="00995621" w:rsidP="00995621">
            <w:pPr>
              <w:keepNext/>
              <w:keepLines/>
              <w:jc w:val="right"/>
              <w:rPr>
                <w:b/>
                <w:bCs/>
                <w:color w:val="000000" w:themeColor="text1"/>
              </w:rPr>
            </w:pPr>
            <w:r>
              <w:rPr>
                <w:b/>
                <w:bCs/>
                <w:color w:val="000000" w:themeColor="text1"/>
              </w:rPr>
              <w:t>2017 Budget</w:t>
            </w:r>
          </w:p>
        </w:tc>
        <w:tc>
          <w:tcPr>
            <w:tcW w:w="1890" w:type="dxa"/>
            <w:tcBorders>
              <w:top w:val="single" w:sz="12" w:space="0" w:color="000000"/>
              <w:left w:val="nil"/>
              <w:bottom w:val="single" w:sz="12" w:space="0" w:color="000000"/>
              <w:right w:val="nil"/>
            </w:tcBorders>
            <w:hideMark/>
          </w:tcPr>
          <w:p w14:paraId="55ADBA1F" w14:textId="77777777" w:rsidR="00995621" w:rsidRDefault="00995621" w:rsidP="00995621">
            <w:pPr>
              <w:keepNext/>
              <w:keepLines/>
              <w:jc w:val="right"/>
              <w:rPr>
                <w:b/>
                <w:bCs/>
                <w:color w:val="000000" w:themeColor="text1"/>
              </w:rPr>
            </w:pPr>
            <w:r>
              <w:rPr>
                <w:b/>
                <w:bCs/>
                <w:color w:val="000000" w:themeColor="text1"/>
              </w:rPr>
              <w:t>2017 Change</w:t>
            </w:r>
          </w:p>
        </w:tc>
      </w:tr>
      <w:tr w:rsidR="00995621" w14:paraId="7E200FC6" w14:textId="77777777" w:rsidTr="00995621">
        <w:trPr>
          <w:trHeight w:val="291"/>
        </w:trPr>
        <w:tc>
          <w:tcPr>
            <w:tcW w:w="3420" w:type="dxa"/>
            <w:tcBorders>
              <w:top w:val="single" w:sz="6" w:space="0" w:color="000000"/>
              <w:left w:val="nil"/>
              <w:bottom w:val="single" w:sz="6" w:space="0" w:color="000000"/>
              <w:right w:val="nil"/>
            </w:tcBorders>
          </w:tcPr>
          <w:p w14:paraId="5A042154" w14:textId="77777777" w:rsidR="00995621" w:rsidRDefault="00995621" w:rsidP="00995621">
            <w:pPr>
              <w:keepNext/>
              <w:keepLines/>
            </w:pPr>
            <w:r>
              <w:t>Incentive Payments</w:t>
            </w:r>
          </w:p>
        </w:tc>
        <w:tc>
          <w:tcPr>
            <w:tcW w:w="1728" w:type="dxa"/>
            <w:tcBorders>
              <w:top w:val="single" w:sz="6" w:space="0" w:color="000000"/>
              <w:left w:val="nil"/>
              <w:bottom w:val="single" w:sz="6" w:space="0" w:color="000000"/>
              <w:right w:val="nil"/>
            </w:tcBorders>
          </w:tcPr>
          <w:p w14:paraId="6B7F70E0" w14:textId="77777777" w:rsidR="00995621" w:rsidRDefault="00995621" w:rsidP="00995621">
            <w:pPr>
              <w:keepNext/>
              <w:keepLines/>
              <w:jc w:val="right"/>
              <w:rPr>
                <w:highlight w:val="yellow"/>
              </w:rPr>
            </w:pPr>
          </w:p>
        </w:tc>
        <w:tc>
          <w:tcPr>
            <w:tcW w:w="1980" w:type="dxa"/>
            <w:tcBorders>
              <w:top w:val="single" w:sz="6" w:space="0" w:color="000000"/>
              <w:left w:val="nil"/>
              <w:bottom w:val="single" w:sz="6" w:space="0" w:color="000000"/>
              <w:right w:val="nil"/>
            </w:tcBorders>
          </w:tcPr>
          <w:p w14:paraId="131A27A8" w14:textId="77777777" w:rsidR="00995621" w:rsidRDefault="00995621" w:rsidP="00995621">
            <w:pPr>
              <w:keepNext/>
              <w:keepLines/>
              <w:jc w:val="right"/>
            </w:pPr>
          </w:p>
        </w:tc>
        <w:tc>
          <w:tcPr>
            <w:tcW w:w="1890" w:type="dxa"/>
            <w:tcBorders>
              <w:top w:val="single" w:sz="6" w:space="0" w:color="000000"/>
              <w:left w:val="nil"/>
              <w:bottom w:val="single" w:sz="6" w:space="0" w:color="000000"/>
              <w:right w:val="nil"/>
            </w:tcBorders>
          </w:tcPr>
          <w:p w14:paraId="6D700942" w14:textId="77777777" w:rsidR="00995621" w:rsidRDefault="00995621" w:rsidP="00995621">
            <w:pPr>
              <w:keepNext/>
              <w:keepLines/>
              <w:jc w:val="right"/>
            </w:pPr>
          </w:p>
        </w:tc>
      </w:tr>
      <w:tr w:rsidR="00995621" w14:paraId="0E859383" w14:textId="77777777" w:rsidTr="00995621">
        <w:trPr>
          <w:trHeight w:val="304"/>
        </w:trPr>
        <w:tc>
          <w:tcPr>
            <w:tcW w:w="3420" w:type="dxa"/>
            <w:tcBorders>
              <w:top w:val="single" w:sz="6" w:space="0" w:color="000000"/>
              <w:left w:val="nil"/>
              <w:bottom w:val="single" w:sz="6" w:space="0" w:color="000000"/>
              <w:right w:val="nil"/>
            </w:tcBorders>
          </w:tcPr>
          <w:p w14:paraId="2F0A273A" w14:textId="77777777" w:rsidR="00995621" w:rsidRPr="00AB040F" w:rsidRDefault="00995621" w:rsidP="00995621">
            <w:pPr>
              <w:keepNext/>
              <w:keepLines/>
              <w:rPr>
                <w:i/>
              </w:rPr>
            </w:pPr>
            <w:r w:rsidRPr="00AB040F">
              <w:rPr>
                <w:i/>
              </w:rPr>
              <w:t xml:space="preserve">       Residential </w:t>
            </w:r>
          </w:p>
        </w:tc>
        <w:tc>
          <w:tcPr>
            <w:tcW w:w="1728" w:type="dxa"/>
            <w:tcBorders>
              <w:top w:val="single" w:sz="6" w:space="0" w:color="000000"/>
              <w:left w:val="nil"/>
              <w:bottom w:val="single" w:sz="6" w:space="0" w:color="000000"/>
              <w:right w:val="nil"/>
            </w:tcBorders>
            <w:vAlign w:val="center"/>
          </w:tcPr>
          <w:p w14:paraId="338F9F22" w14:textId="77777777" w:rsidR="00995621" w:rsidRPr="0083795A" w:rsidRDefault="00995621" w:rsidP="00995621">
            <w:pPr>
              <w:keepNext/>
              <w:keepLines/>
              <w:jc w:val="right"/>
            </w:pPr>
            <w:r>
              <w:rPr>
                <w:color w:val="000000"/>
              </w:rPr>
              <w:t>$          790,368</w:t>
            </w:r>
          </w:p>
        </w:tc>
        <w:tc>
          <w:tcPr>
            <w:tcW w:w="1980" w:type="dxa"/>
            <w:tcBorders>
              <w:top w:val="single" w:sz="6" w:space="0" w:color="000000"/>
              <w:left w:val="nil"/>
              <w:bottom w:val="single" w:sz="6" w:space="0" w:color="000000"/>
              <w:right w:val="nil"/>
            </w:tcBorders>
            <w:vAlign w:val="center"/>
          </w:tcPr>
          <w:p w14:paraId="27D8A4A2" w14:textId="77777777" w:rsidR="00995621" w:rsidRPr="0083795A" w:rsidRDefault="00995621" w:rsidP="00995621">
            <w:pPr>
              <w:keepNext/>
              <w:keepLines/>
              <w:jc w:val="right"/>
            </w:pPr>
            <w:r w:rsidRPr="0083795A">
              <w:rPr>
                <w:color w:val="000000"/>
              </w:rPr>
              <w:t>$       1,108,862</w:t>
            </w:r>
          </w:p>
        </w:tc>
        <w:tc>
          <w:tcPr>
            <w:tcW w:w="1890" w:type="dxa"/>
            <w:tcBorders>
              <w:top w:val="single" w:sz="6" w:space="0" w:color="000000"/>
              <w:left w:val="nil"/>
              <w:bottom w:val="single" w:sz="6" w:space="0" w:color="000000"/>
              <w:right w:val="nil"/>
            </w:tcBorders>
            <w:vAlign w:val="center"/>
          </w:tcPr>
          <w:p w14:paraId="3D30A70E" w14:textId="77777777" w:rsidR="00995621" w:rsidRPr="0083795A" w:rsidRDefault="00995621" w:rsidP="00995621">
            <w:pPr>
              <w:keepNext/>
              <w:keepLines/>
              <w:jc w:val="right"/>
            </w:pPr>
            <w:r>
              <w:rPr>
                <w:color w:val="000000"/>
              </w:rPr>
              <w:t>40</w:t>
            </w:r>
            <w:r w:rsidRPr="0083795A">
              <w:rPr>
                <w:color w:val="000000"/>
              </w:rPr>
              <w:t>%</w:t>
            </w:r>
          </w:p>
        </w:tc>
      </w:tr>
      <w:tr w:rsidR="00995621" w14:paraId="239BC15E" w14:textId="77777777" w:rsidTr="00995621">
        <w:trPr>
          <w:trHeight w:val="291"/>
        </w:trPr>
        <w:tc>
          <w:tcPr>
            <w:tcW w:w="3420" w:type="dxa"/>
            <w:tcBorders>
              <w:top w:val="single" w:sz="6" w:space="0" w:color="000000"/>
              <w:left w:val="nil"/>
              <w:bottom w:val="single" w:sz="6" w:space="0" w:color="000000"/>
              <w:right w:val="nil"/>
            </w:tcBorders>
          </w:tcPr>
          <w:p w14:paraId="3578D0BF" w14:textId="77777777" w:rsidR="00995621" w:rsidRPr="00AB040F" w:rsidRDefault="00995621" w:rsidP="00995621">
            <w:pPr>
              <w:keepNext/>
              <w:keepLines/>
              <w:rPr>
                <w:i/>
              </w:rPr>
            </w:pPr>
            <w:r w:rsidRPr="00AB040F">
              <w:rPr>
                <w:i/>
              </w:rPr>
              <w:t xml:space="preserve">       Non</w:t>
            </w:r>
            <w:r>
              <w:rPr>
                <w:i/>
              </w:rPr>
              <w:t>-</w:t>
            </w:r>
            <w:r w:rsidRPr="00AB040F">
              <w:rPr>
                <w:i/>
              </w:rPr>
              <w:t>residential</w:t>
            </w:r>
          </w:p>
        </w:tc>
        <w:tc>
          <w:tcPr>
            <w:tcW w:w="1728" w:type="dxa"/>
            <w:tcBorders>
              <w:top w:val="single" w:sz="6" w:space="0" w:color="000000"/>
              <w:left w:val="nil"/>
              <w:bottom w:val="single" w:sz="6" w:space="0" w:color="000000"/>
              <w:right w:val="nil"/>
            </w:tcBorders>
            <w:vAlign w:val="center"/>
          </w:tcPr>
          <w:p w14:paraId="76ED0627" w14:textId="77777777" w:rsidR="00995621" w:rsidRPr="0083795A" w:rsidRDefault="00995621" w:rsidP="00995621">
            <w:pPr>
              <w:keepNext/>
              <w:keepLines/>
              <w:jc w:val="right"/>
            </w:pPr>
            <w:r>
              <w:rPr>
                <w:color w:val="000000"/>
              </w:rPr>
              <w:t xml:space="preserve">$          </w:t>
            </w:r>
            <w:r w:rsidRPr="0083795A">
              <w:rPr>
                <w:color w:val="000000"/>
              </w:rPr>
              <w:t>685,4</w:t>
            </w:r>
            <w:r>
              <w:rPr>
                <w:color w:val="000000"/>
              </w:rPr>
              <w:t>70</w:t>
            </w:r>
          </w:p>
        </w:tc>
        <w:tc>
          <w:tcPr>
            <w:tcW w:w="1980" w:type="dxa"/>
            <w:tcBorders>
              <w:top w:val="single" w:sz="6" w:space="0" w:color="000000"/>
              <w:left w:val="nil"/>
              <w:bottom w:val="single" w:sz="6" w:space="0" w:color="000000"/>
              <w:right w:val="nil"/>
            </w:tcBorders>
            <w:vAlign w:val="center"/>
          </w:tcPr>
          <w:p w14:paraId="7E11ED0B" w14:textId="77777777" w:rsidR="00995621" w:rsidRPr="0083795A" w:rsidRDefault="00995621" w:rsidP="00995621">
            <w:pPr>
              <w:keepNext/>
              <w:keepLines/>
              <w:jc w:val="right"/>
            </w:pPr>
            <w:r w:rsidRPr="0083795A">
              <w:rPr>
                <w:color w:val="000000"/>
              </w:rPr>
              <w:t>$          444,639</w:t>
            </w:r>
          </w:p>
        </w:tc>
        <w:tc>
          <w:tcPr>
            <w:tcW w:w="1890" w:type="dxa"/>
            <w:tcBorders>
              <w:top w:val="single" w:sz="6" w:space="0" w:color="000000"/>
              <w:left w:val="nil"/>
              <w:bottom w:val="single" w:sz="6" w:space="0" w:color="000000"/>
              <w:right w:val="nil"/>
            </w:tcBorders>
            <w:vAlign w:val="center"/>
          </w:tcPr>
          <w:p w14:paraId="10BFA7F9" w14:textId="77777777" w:rsidR="00995621" w:rsidRPr="0083795A" w:rsidRDefault="00995621" w:rsidP="00995621">
            <w:pPr>
              <w:keepNext/>
              <w:keepLines/>
              <w:jc w:val="right"/>
            </w:pPr>
            <w:r w:rsidRPr="0083795A">
              <w:rPr>
                <w:color w:val="000000"/>
              </w:rPr>
              <w:t>-35%</w:t>
            </w:r>
          </w:p>
        </w:tc>
      </w:tr>
      <w:tr w:rsidR="00995621" w14:paraId="50AAB740" w14:textId="77777777" w:rsidTr="00995621">
        <w:trPr>
          <w:trHeight w:val="291"/>
        </w:trPr>
        <w:tc>
          <w:tcPr>
            <w:tcW w:w="3420" w:type="dxa"/>
            <w:tcBorders>
              <w:top w:val="single" w:sz="6" w:space="0" w:color="000000"/>
              <w:left w:val="nil"/>
              <w:bottom w:val="single" w:sz="6" w:space="0" w:color="000000"/>
              <w:right w:val="nil"/>
            </w:tcBorders>
          </w:tcPr>
          <w:p w14:paraId="2955F8AF" w14:textId="77777777" w:rsidR="00995621" w:rsidRPr="00AB040F" w:rsidRDefault="00995621" w:rsidP="00995621">
            <w:pPr>
              <w:keepNext/>
              <w:keepLines/>
              <w:rPr>
                <w:i/>
              </w:rPr>
            </w:pPr>
            <w:r w:rsidRPr="00AB040F">
              <w:rPr>
                <w:i/>
              </w:rPr>
              <w:t xml:space="preserve">       Low Income</w:t>
            </w:r>
          </w:p>
        </w:tc>
        <w:tc>
          <w:tcPr>
            <w:tcW w:w="1728" w:type="dxa"/>
            <w:tcBorders>
              <w:top w:val="single" w:sz="6" w:space="0" w:color="000000"/>
              <w:left w:val="nil"/>
              <w:bottom w:val="single" w:sz="6" w:space="0" w:color="000000"/>
              <w:right w:val="nil"/>
            </w:tcBorders>
            <w:vAlign w:val="center"/>
          </w:tcPr>
          <w:p w14:paraId="62321AA1" w14:textId="77777777" w:rsidR="00995621" w:rsidRPr="0083795A" w:rsidRDefault="00995621" w:rsidP="00995621">
            <w:pPr>
              <w:keepNext/>
              <w:keepLines/>
              <w:jc w:val="right"/>
            </w:pPr>
            <w:r>
              <w:rPr>
                <w:color w:val="000000"/>
              </w:rPr>
              <w:t>$          253,339</w:t>
            </w:r>
          </w:p>
        </w:tc>
        <w:tc>
          <w:tcPr>
            <w:tcW w:w="1980" w:type="dxa"/>
            <w:tcBorders>
              <w:top w:val="single" w:sz="6" w:space="0" w:color="000000"/>
              <w:left w:val="nil"/>
              <w:bottom w:val="single" w:sz="6" w:space="0" w:color="000000"/>
              <w:right w:val="nil"/>
            </w:tcBorders>
            <w:vAlign w:val="center"/>
          </w:tcPr>
          <w:p w14:paraId="37347026" w14:textId="77777777" w:rsidR="00995621" w:rsidRPr="0083795A" w:rsidRDefault="00995621" w:rsidP="00995621">
            <w:pPr>
              <w:keepNext/>
              <w:keepLines/>
              <w:jc w:val="right"/>
            </w:pPr>
            <w:r w:rsidRPr="0083795A">
              <w:rPr>
                <w:color w:val="000000"/>
              </w:rPr>
              <w:t>$          582,068</w:t>
            </w:r>
          </w:p>
        </w:tc>
        <w:tc>
          <w:tcPr>
            <w:tcW w:w="1890" w:type="dxa"/>
            <w:tcBorders>
              <w:top w:val="single" w:sz="6" w:space="0" w:color="000000"/>
              <w:left w:val="nil"/>
              <w:bottom w:val="single" w:sz="6" w:space="0" w:color="000000"/>
              <w:right w:val="nil"/>
            </w:tcBorders>
            <w:vAlign w:val="center"/>
          </w:tcPr>
          <w:p w14:paraId="71BF3D97" w14:textId="77777777" w:rsidR="00995621" w:rsidRPr="0083795A" w:rsidRDefault="00995621" w:rsidP="00995621">
            <w:pPr>
              <w:keepNext/>
              <w:keepLines/>
              <w:jc w:val="right"/>
            </w:pPr>
            <w:r>
              <w:rPr>
                <w:color w:val="000000"/>
              </w:rPr>
              <w:t>130</w:t>
            </w:r>
            <w:r w:rsidRPr="0083795A">
              <w:rPr>
                <w:color w:val="000000"/>
              </w:rPr>
              <w:t>%</w:t>
            </w:r>
          </w:p>
        </w:tc>
      </w:tr>
      <w:tr w:rsidR="00995621" w14:paraId="20CA6F61" w14:textId="77777777" w:rsidTr="00995621">
        <w:trPr>
          <w:trHeight w:val="291"/>
        </w:trPr>
        <w:tc>
          <w:tcPr>
            <w:tcW w:w="3420" w:type="dxa"/>
            <w:tcBorders>
              <w:top w:val="single" w:sz="6" w:space="0" w:color="000000"/>
              <w:left w:val="nil"/>
              <w:bottom w:val="single" w:sz="6" w:space="0" w:color="000000"/>
              <w:right w:val="nil"/>
            </w:tcBorders>
            <w:hideMark/>
          </w:tcPr>
          <w:p w14:paraId="4044F395" w14:textId="77777777" w:rsidR="00995621" w:rsidRDefault="00995621" w:rsidP="00995621">
            <w:pPr>
              <w:keepNext/>
              <w:keepLines/>
            </w:pPr>
            <w:r>
              <w:t>Non-Incentive Expenses</w:t>
            </w:r>
          </w:p>
        </w:tc>
        <w:tc>
          <w:tcPr>
            <w:tcW w:w="1728" w:type="dxa"/>
            <w:tcBorders>
              <w:top w:val="single" w:sz="6" w:space="0" w:color="000000"/>
              <w:left w:val="nil"/>
              <w:bottom w:val="single" w:sz="6" w:space="0" w:color="000000"/>
              <w:right w:val="nil"/>
            </w:tcBorders>
            <w:vAlign w:val="center"/>
          </w:tcPr>
          <w:p w14:paraId="30417319" w14:textId="77777777" w:rsidR="00995621" w:rsidRPr="0083795A" w:rsidRDefault="00995621" w:rsidP="00995621">
            <w:pPr>
              <w:keepNext/>
              <w:keepLines/>
              <w:jc w:val="right"/>
            </w:pPr>
          </w:p>
        </w:tc>
        <w:tc>
          <w:tcPr>
            <w:tcW w:w="1980" w:type="dxa"/>
            <w:tcBorders>
              <w:top w:val="single" w:sz="6" w:space="0" w:color="000000"/>
              <w:left w:val="nil"/>
              <w:bottom w:val="single" w:sz="6" w:space="0" w:color="000000"/>
              <w:right w:val="nil"/>
            </w:tcBorders>
            <w:vAlign w:val="center"/>
          </w:tcPr>
          <w:p w14:paraId="59E942FF" w14:textId="77777777" w:rsidR="00995621" w:rsidRPr="0083795A" w:rsidRDefault="00995621" w:rsidP="00995621">
            <w:pPr>
              <w:keepNext/>
              <w:keepLines/>
              <w:jc w:val="right"/>
            </w:pPr>
          </w:p>
        </w:tc>
        <w:tc>
          <w:tcPr>
            <w:tcW w:w="1890" w:type="dxa"/>
            <w:tcBorders>
              <w:top w:val="single" w:sz="6" w:space="0" w:color="000000"/>
              <w:left w:val="nil"/>
              <w:bottom w:val="single" w:sz="6" w:space="0" w:color="000000"/>
              <w:right w:val="nil"/>
            </w:tcBorders>
            <w:vAlign w:val="center"/>
            <w:hideMark/>
          </w:tcPr>
          <w:p w14:paraId="64BC2453" w14:textId="77777777" w:rsidR="00995621" w:rsidRPr="0083795A" w:rsidRDefault="00995621" w:rsidP="00995621">
            <w:pPr>
              <w:keepNext/>
              <w:keepLines/>
              <w:jc w:val="right"/>
            </w:pPr>
          </w:p>
        </w:tc>
      </w:tr>
      <w:tr w:rsidR="00995621" w14:paraId="530C3A73" w14:textId="77777777" w:rsidTr="00995621">
        <w:trPr>
          <w:trHeight w:val="291"/>
        </w:trPr>
        <w:tc>
          <w:tcPr>
            <w:tcW w:w="3420" w:type="dxa"/>
            <w:tcBorders>
              <w:top w:val="single" w:sz="6" w:space="0" w:color="000000"/>
              <w:left w:val="nil"/>
              <w:bottom w:val="single" w:sz="6" w:space="0" w:color="000000"/>
              <w:right w:val="nil"/>
            </w:tcBorders>
            <w:hideMark/>
          </w:tcPr>
          <w:p w14:paraId="111F8CF2" w14:textId="77777777" w:rsidR="00995621" w:rsidRPr="00AB040F" w:rsidRDefault="00995621" w:rsidP="00995621">
            <w:pPr>
              <w:keepNext/>
              <w:keepLines/>
              <w:rPr>
                <w:i/>
              </w:rPr>
            </w:pPr>
            <w:r w:rsidRPr="00AB040F">
              <w:rPr>
                <w:i/>
              </w:rPr>
              <w:t xml:space="preserve">       Labor </w:t>
            </w:r>
          </w:p>
        </w:tc>
        <w:tc>
          <w:tcPr>
            <w:tcW w:w="1728" w:type="dxa"/>
            <w:tcBorders>
              <w:top w:val="single" w:sz="6" w:space="0" w:color="000000"/>
              <w:left w:val="nil"/>
              <w:bottom w:val="single" w:sz="6" w:space="0" w:color="000000"/>
              <w:right w:val="nil"/>
            </w:tcBorders>
            <w:vAlign w:val="center"/>
            <w:hideMark/>
          </w:tcPr>
          <w:p w14:paraId="026ED5F1" w14:textId="77777777" w:rsidR="00995621" w:rsidRPr="0083795A" w:rsidRDefault="00995621" w:rsidP="00995621">
            <w:pPr>
              <w:keepNext/>
              <w:keepLines/>
              <w:jc w:val="right"/>
            </w:pPr>
            <w:r>
              <w:rPr>
                <w:color w:val="000000"/>
              </w:rPr>
              <w:t xml:space="preserve">$          </w:t>
            </w:r>
            <w:r w:rsidRPr="0083795A">
              <w:rPr>
                <w:color w:val="000000"/>
              </w:rPr>
              <w:t>787,114</w:t>
            </w:r>
          </w:p>
        </w:tc>
        <w:tc>
          <w:tcPr>
            <w:tcW w:w="1980" w:type="dxa"/>
            <w:tcBorders>
              <w:top w:val="single" w:sz="6" w:space="0" w:color="000000"/>
              <w:left w:val="nil"/>
              <w:bottom w:val="single" w:sz="6" w:space="0" w:color="000000"/>
              <w:right w:val="nil"/>
            </w:tcBorders>
            <w:vAlign w:val="center"/>
            <w:hideMark/>
          </w:tcPr>
          <w:p w14:paraId="7112309A" w14:textId="77777777" w:rsidR="00995621" w:rsidRPr="0083795A" w:rsidRDefault="00995621" w:rsidP="00995621">
            <w:pPr>
              <w:keepNext/>
              <w:keepLines/>
              <w:jc w:val="right"/>
            </w:pPr>
            <w:r w:rsidRPr="0083795A">
              <w:rPr>
                <w:color w:val="000000"/>
              </w:rPr>
              <w:t>$          399,000</w:t>
            </w:r>
          </w:p>
        </w:tc>
        <w:tc>
          <w:tcPr>
            <w:tcW w:w="1890" w:type="dxa"/>
            <w:tcBorders>
              <w:top w:val="single" w:sz="6" w:space="0" w:color="000000"/>
              <w:left w:val="nil"/>
              <w:bottom w:val="single" w:sz="6" w:space="0" w:color="000000"/>
              <w:right w:val="nil"/>
            </w:tcBorders>
            <w:vAlign w:val="center"/>
            <w:hideMark/>
          </w:tcPr>
          <w:p w14:paraId="61DF6AAC" w14:textId="77777777" w:rsidR="00995621" w:rsidRPr="0083795A" w:rsidRDefault="00995621" w:rsidP="00995621">
            <w:pPr>
              <w:keepNext/>
              <w:keepLines/>
              <w:jc w:val="right"/>
            </w:pPr>
            <w:r w:rsidRPr="0083795A">
              <w:rPr>
                <w:color w:val="000000"/>
              </w:rPr>
              <w:t>-49%</w:t>
            </w:r>
          </w:p>
        </w:tc>
      </w:tr>
      <w:tr w:rsidR="00995621" w14:paraId="20DC9776" w14:textId="77777777" w:rsidTr="00995621">
        <w:trPr>
          <w:trHeight w:val="291"/>
        </w:trPr>
        <w:tc>
          <w:tcPr>
            <w:tcW w:w="3420" w:type="dxa"/>
            <w:tcBorders>
              <w:top w:val="single" w:sz="6" w:space="0" w:color="000000"/>
              <w:left w:val="nil"/>
              <w:bottom w:val="single" w:sz="6" w:space="0" w:color="000000"/>
              <w:right w:val="nil"/>
            </w:tcBorders>
          </w:tcPr>
          <w:p w14:paraId="172B322F" w14:textId="77777777" w:rsidR="00995621" w:rsidRPr="00AB040F" w:rsidRDefault="00995621" w:rsidP="00995621">
            <w:pPr>
              <w:keepNext/>
              <w:keepLines/>
              <w:rPr>
                <w:i/>
              </w:rPr>
            </w:pPr>
            <w:r w:rsidRPr="00AB040F">
              <w:rPr>
                <w:i/>
              </w:rPr>
              <w:t xml:space="preserve">       Outreach</w:t>
            </w:r>
          </w:p>
        </w:tc>
        <w:tc>
          <w:tcPr>
            <w:tcW w:w="1728" w:type="dxa"/>
            <w:tcBorders>
              <w:top w:val="single" w:sz="6" w:space="0" w:color="000000"/>
              <w:left w:val="nil"/>
              <w:bottom w:val="single" w:sz="6" w:space="0" w:color="000000"/>
              <w:right w:val="nil"/>
            </w:tcBorders>
            <w:vAlign w:val="center"/>
          </w:tcPr>
          <w:p w14:paraId="6F30F7D5" w14:textId="77777777" w:rsidR="00995621" w:rsidRPr="0083795A" w:rsidRDefault="00995621" w:rsidP="00995621">
            <w:pPr>
              <w:keepNext/>
              <w:keepLines/>
              <w:jc w:val="right"/>
            </w:pPr>
            <w:r>
              <w:rPr>
                <w:color w:val="000000"/>
              </w:rPr>
              <w:t xml:space="preserve">$          </w:t>
            </w:r>
            <w:r w:rsidRPr="0083795A">
              <w:rPr>
                <w:color w:val="000000"/>
              </w:rPr>
              <w:t>250,000</w:t>
            </w:r>
          </w:p>
        </w:tc>
        <w:tc>
          <w:tcPr>
            <w:tcW w:w="1980" w:type="dxa"/>
            <w:tcBorders>
              <w:top w:val="single" w:sz="6" w:space="0" w:color="000000"/>
              <w:left w:val="nil"/>
              <w:bottom w:val="single" w:sz="6" w:space="0" w:color="000000"/>
              <w:right w:val="nil"/>
            </w:tcBorders>
            <w:vAlign w:val="center"/>
          </w:tcPr>
          <w:p w14:paraId="44A0A083" w14:textId="77777777" w:rsidR="00995621" w:rsidRPr="0083795A" w:rsidRDefault="00995621" w:rsidP="00995621">
            <w:pPr>
              <w:keepNext/>
              <w:keepLines/>
              <w:jc w:val="right"/>
            </w:pPr>
            <w:r w:rsidRPr="0083795A">
              <w:rPr>
                <w:color w:val="000000"/>
              </w:rPr>
              <w:t>$            84,000</w:t>
            </w:r>
          </w:p>
        </w:tc>
        <w:tc>
          <w:tcPr>
            <w:tcW w:w="1890" w:type="dxa"/>
            <w:tcBorders>
              <w:top w:val="single" w:sz="6" w:space="0" w:color="000000"/>
              <w:left w:val="nil"/>
              <w:bottom w:val="single" w:sz="6" w:space="0" w:color="000000"/>
              <w:right w:val="nil"/>
            </w:tcBorders>
            <w:vAlign w:val="center"/>
          </w:tcPr>
          <w:p w14:paraId="613A9E6D" w14:textId="77777777" w:rsidR="00995621" w:rsidRPr="0083795A" w:rsidRDefault="00995621" w:rsidP="00995621">
            <w:pPr>
              <w:keepNext/>
              <w:keepLines/>
              <w:jc w:val="right"/>
            </w:pPr>
            <w:r w:rsidRPr="0083795A">
              <w:rPr>
                <w:color w:val="000000"/>
              </w:rPr>
              <w:t>-66%</w:t>
            </w:r>
          </w:p>
        </w:tc>
      </w:tr>
      <w:tr w:rsidR="00995621" w14:paraId="6C399C2A" w14:textId="77777777" w:rsidTr="00995621">
        <w:trPr>
          <w:trHeight w:val="291"/>
        </w:trPr>
        <w:tc>
          <w:tcPr>
            <w:tcW w:w="3420" w:type="dxa"/>
            <w:tcBorders>
              <w:top w:val="single" w:sz="6" w:space="0" w:color="000000"/>
              <w:left w:val="nil"/>
              <w:bottom w:val="single" w:sz="6" w:space="0" w:color="000000"/>
              <w:right w:val="nil"/>
            </w:tcBorders>
            <w:hideMark/>
          </w:tcPr>
          <w:p w14:paraId="49AB57DE" w14:textId="77777777" w:rsidR="00995621" w:rsidRPr="00AB040F" w:rsidRDefault="00995621" w:rsidP="00995621">
            <w:pPr>
              <w:keepNext/>
              <w:keepLines/>
              <w:rPr>
                <w:i/>
              </w:rPr>
            </w:pPr>
            <w:r w:rsidRPr="00AB040F">
              <w:rPr>
                <w:i/>
              </w:rPr>
              <w:t xml:space="preserve">       EM&amp;V</w:t>
            </w:r>
          </w:p>
        </w:tc>
        <w:tc>
          <w:tcPr>
            <w:tcW w:w="1728" w:type="dxa"/>
            <w:tcBorders>
              <w:top w:val="single" w:sz="6" w:space="0" w:color="000000"/>
              <w:left w:val="nil"/>
              <w:bottom w:val="single" w:sz="6" w:space="0" w:color="000000"/>
              <w:right w:val="nil"/>
            </w:tcBorders>
            <w:vAlign w:val="center"/>
            <w:hideMark/>
          </w:tcPr>
          <w:p w14:paraId="4D56BCDC" w14:textId="77777777" w:rsidR="00995621" w:rsidRPr="0083795A" w:rsidRDefault="00995621" w:rsidP="00995621">
            <w:pPr>
              <w:keepNext/>
              <w:keepLines/>
              <w:jc w:val="right"/>
            </w:pPr>
            <w:r>
              <w:rPr>
                <w:color w:val="000000"/>
              </w:rPr>
              <w:t xml:space="preserve">$          </w:t>
            </w:r>
            <w:r w:rsidRPr="0083795A">
              <w:rPr>
                <w:color w:val="000000"/>
              </w:rPr>
              <w:t>173,870</w:t>
            </w:r>
          </w:p>
        </w:tc>
        <w:tc>
          <w:tcPr>
            <w:tcW w:w="1980" w:type="dxa"/>
            <w:tcBorders>
              <w:top w:val="single" w:sz="6" w:space="0" w:color="000000"/>
              <w:left w:val="nil"/>
              <w:bottom w:val="single" w:sz="6" w:space="0" w:color="000000"/>
              <w:right w:val="nil"/>
            </w:tcBorders>
            <w:vAlign w:val="center"/>
            <w:hideMark/>
          </w:tcPr>
          <w:p w14:paraId="13981C44" w14:textId="77777777" w:rsidR="00995621" w:rsidRPr="0083795A" w:rsidRDefault="00995621" w:rsidP="00995621">
            <w:pPr>
              <w:keepNext/>
              <w:keepLines/>
              <w:jc w:val="right"/>
            </w:pPr>
            <w:r w:rsidRPr="0083795A">
              <w:rPr>
                <w:color w:val="000000"/>
              </w:rPr>
              <w:t>$            78,750</w:t>
            </w:r>
          </w:p>
        </w:tc>
        <w:tc>
          <w:tcPr>
            <w:tcW w:w="1890" w:type="dxa"/>
            <w:tcBorders>
              <w:top w:val="single" w:sz="6" w:space="0" w:color="000000"/>
              <w:left w:val="nil"/>
              <w:bottom w:val="single" w:sz="6" w:space="0" w:color="000000"/>
              <w:right w:val="nil"/>
            </w:tcBorders>
            <w:vAlign w:val="center"/>
            <w:hideMark/>
          </w:tcPr>
          <w:p w14:paraId="4D811619" w14:textId="77777777" w:rsidR="00995621" w:rsidRPr="0083795A" w:rsidRDefault="00995621" w:rsidP="00995621">
            <w:pPr>
              <w:keepNext/>
              <w:keepLines/>
              <w:jc w:val="right"/>
            </w:pPr>
            <w:r w:rsidRPr="0083795A">
              <w:rPr>
                <w:color w:val="000000"/>
              </w:rPr>
              <w:t>-55%</w:t>
            </w:r>
          </w:p>
        </w:tc>
      </w:tr>
      <w:tr w:rsidR="00995621" w14:paraId="1426B2D5" w14:textId="77777777" w:rsidTr="00995621">
        <w:trPr>
          <w:trHeight w:val="291"/>
        </w:trPr>
        <w:tc>
          <w:tcPr>
            <w:tcW w:w="3420" w:type="dxa"/>
            <w:tcBorders>
              <w:top w:val="single" w:sz="6" w:space="0" w:color="000000"/>
              <w:left w:val="nil"/>
              <w:bottom w:val="single" w:sz="6" w:space="0" w:color="000000"/>
              <w:right w:val="nil"/>
            </w:tcBorders>
            <w:hideMark/>
          </w:tcPr>
          <w:p w14:paraId="7928E45A" w14:textId="77777777" w:rsidR="00995621" w:rsidRPr="00AB040F" w:rsidRDefault="00995621" w:rsidP="00995621">
            <w:pPr>
              <w:keepNext/>
              <w:keepLines/>
              <w:rPr>
                <w:i/>
              </w:rPr>
            </w:pPr>
            <w:r w:rsidRPr="00AB040F">
              <w:rPr>
                <w:i/>
              </w:rPr>
              <w:t xml:space="preserve">       NEEA</w:t>
            </w:r>
          </w:p>
        </w:tc>
        <w:tc>
          <w:tcPr>
            <w:tcW w:w="1728" w:type="dxa"/>
            <w:tcBorders>
              <w:top w:val="single" w:sz="6" w:space="0" w:color="000000"/>
              <w:left w:val="nil"/>
              <w:bottom w:val="single" w:sz="6" w:space="0" w:color="000000"/>
              <w:right w:val="nil"/>
            </w:tcBorders>
            <w:vAlign w:val="center"/>
          </w:tcPr>
          <w:p w14:paraId="30CD3C85" w14:textId="77777777" w:rsidR="00995621" w:rsidRPr="0083795A" w:rsidRDefault="00995621" w:rsidP="00995621">
            <w:pPr>
              <w:keepNext/>
              <w:keepLines/>
              <w:jc w:val="right"/>
            </w:pPr>
            <w:r>
              <w:rPr>
                <w:color w:val="000000"/>
              </w:rPr>
              <w:t xml:space="preserve">$          </w:t>
            </w:r>
            <w:r w:rsidRPr="0083795A">
              <w:rPr>
                <w:color w:val="000000"/>
              </w:rPr>
              <w:t>395,939</w:t>
            </w:r>
          </w:p>
        </w:tc>
        <w:tc>
          <w:tcPr>
            <w:tcW w:w="1980" w:type="dxa"/>
            <w:tcBorders>
              <w:top w:val="single" w:sz="6" w:space="0" w:color="000000"/>
              <w:left w:val="nil"/>
              <w:bottom w:val="single" w:sz="6" w:space="0" w:color="000000"/>
              <w:right w:val="nil"/>
            </w:tcBorders>
            <w:vAlign w:val="center"/>
          </w:tcPr>
          <w:p w14:paraId="4C977C7A" w14:textId="77777777" w:rsidR="00995621" w:rsidRPr="0083795A" w:rsidRDefault="00995621" w:rsidP="00995621">
            <w:pPr>
              <w:keepNext/>
              <w:keepLines/>
              <w:jc w:val="right"/>
            </w:pPr>
            <w:r w:rsidRPr="0083795A">
              <w:rPr>
                <w:color w:val="000000"/>
              </w:rPr>
              <w:t>$          395,939</w:t>
            </w:r>
          </w:p>
        </w:tc>
        <w:tc>
          <w:tcPr>
            <w:tcW w:w="1890" w:type="dxa"/>
            <w:tcBorders>
              <w:top w:val="single" w:sz="6" w:space="0" w:color="000000"/>
              <w:left w:val="nil"/>
              <w:bottom w:val="single" w:sz="6" w:space="0" w:color="000000"/>
              <w:right w:val="nil"/>
            </w:tcBorders>
            <w:vAlign w:val="center"/>
          </w:tcPr>
          <w:p w14:paraId="6A8F3D11" w14:textId="77777777" w:rsidR="00995621" w:rsidRPr="0083795A" w:rsidRDefault="00995621" w:rsidP="00995621">
            <w:pPr>
              <w:keepNext/>
              <w:keepLines/>
              <w:jc w:val="right"/>
            </w:pPr>
            <w:r w:rsidRPr="0083795A">
              <w:rPr>
                <w:color w:val="000000"/>
              </w:rPr>
              <w:t>0%</w:t>
            </w:r>
          </w:p>
        </w:tc>
      </w:tr>
      <w:tr w:rsidR="00995621" w14:paraId="3DBE38FD" w14:textId="77777777" w:rsidTr="00995621">
        <w:trPr>
          <w:trHeight w:val="291"/>
        </w:trPr>
        <w:tc>
          <w:tcPr>
            <w:tcW w:w="3420" w:type="dxa"/>
            <w:tcBorders>
              <w:top w:val="single" w:sz="6" w:space="0" w:color="000000"/>
              <w:left w:val="nil"/>
              <w:bottom w:val="single" w:sz="6" w:space="0" w:color="000000"/>
              <w:right w:val="nil"/>
            </w:tcBorders>
          </w:tcPr>
          <w:p w14:paraId="2BA7604F" w14:textId="77777777" w:rsidR="00995621" w:rsidRPr="00AB040F" w:rsidRDefault="00995621" w:rsidP="00995621">
            <w:pPr>
              <w:keepNext/>
              <w:keepLines/>
              <w:rPr>
                <w:i/>
              </w:rPr>
            </w:pPr>
            <w:r w:rsidRPr="00AB040F">
              <w:rPr>
                <w:i/>
              </w:rPr>
              <w:lastRenderedPageBreak/>
              <w:t xml:space="preserve">       Third Party</w:t>
            </w:r>
            <w:r>
              <w:rPr>
                <w:rStyle w:val="FootnoteReference"/>
                <w:i/>
              </w:rPr>
              <w:footnoteReference w:id="8"/>
            </w:r>
          </w:p>
        </w:tc>
        <w:tc>
          <w:tcPr>
            <w:tcW w:w="1728" w:type="dxa"/>
            <w:tcBorders>
              <w:top w:val="single" w:sz="6" w:space="0" w:color="000000"/>
              <w:left w:val="nil"/>
              <w:bottom w:val="single" w:sz="6" w:space="0" w:color="000000"/>
              <w:right w:val="nil"/>
            </w:tcBorders>
            <w:vAlign w:val="center"/>
          </w:tcPr>
          <w:p w14:paraId="4F2682C0" w14:textId="77777777" w:rsidR="00995621" w:rsidRPr="0083795A" w:rsidRDefault="00995621" w:rsidP="00995621">
            <w:pPr>
              <w:keepNext/>
              <w:keepLines/>
              <w:jc w:val="right"/>
            </w:pPr>
            <w:r>
              <w:rPr>
                <w:color w:val="000000"/>
              </w:rPr>
              <w:t xml:space="preserve">$            </w:t>
            </w:r>
            <w:r w:rsidRPr="0083795A">
              <w:rPr>
                <w:color w:val="000000"/>
              </w:rPr>
              <w:t>27,157</w:t>
            </w:r>
          </w:p>
        </w:tc>
        <w:tc>
          <w:tcPr>
            <w:tcW w:w="1980" w:type="dxa"/>
            <w:tcBorders>
              <w:top w:val="single" w:sz="6" w:space="0" w:color="000000"/>
              <w:left w:val="nil"/>
              <w:bottom w:val="single" w:sz="6" w:space="0" w:color="000000"/>
              <w:right w:val="nil"/>
            </w:tcBorders>
            <w:vAlign w:val="center"/>
          </w:tcPr>
          <w:p w14:paraId="1372E79B" w14:textId="77777777" w:rsidR="00995621" w:rsidRPr="0083795A" w:rsidRDefault="00995621" w:rsidP="00995621">
            <w:pPr>
              <w:keepNext/>
              <w:keepLines/>
              <w:jc w:val="right"/>
            </w:pPr>
            <w:r w:rsidRPr="0083795A">
              <w:rPr>
                <w:color w:val="000000"/>
              </w:rPr>
              <w:t xml:space="preserve">$          </w:t>
            </w:r>
            <w:r>
              <w:rPr>
                <w:color w:val="000000"/>
              </w:rPr>
              <w:t>1</w:t>
            </w:r>
            <w:r w:rsidRPr="0083795A">
              <w:rPr>
                <w:color w:val="000000"/>
              </w:rPr>
              <w:t>15,748</w:t>
            </w:r>
          </w:p>
        </w:tc>
        <w:tc>
          <w:tcPr>
            <w:tcW w:w="1890" w:type="dxa"/>
            <w:tcBorders>
              <w:top w:val="single" w:sz="6" w:space="0" w:color="000000"/>
              <w:left w:val="nil"/>
              <w:bottom w:val="single" w:sz="6" w:space="0" w:color="000000"/>
              <w:right w:val="nil"/>
            </w:tcBorders>
            <w:vAlign w:val="center"/>
          </w:tcPr>
          <w:p w14:paraId="3A2BCF58" w14:textId="77777777" w:rsidR="00995621" w:rsidRPr="0083795A" w:rsidRDefault="00995621" w:rsidP="00995621">
            <w:pPr>
              <w:keepNext/>
              <w:keepLines/>
              <w:jc w:val="right"/>
            </w:pPr>
            <w:r>
              <w:rPr>
                <w:color w:val="000000"/>
              </w:rPr>
              <w:t>326</w:t>
            </w:r>
            <w:r w:rsidRPr="0083795A">
              <w:rPr>
                <w:color w:val="000000"/>
              </w:rPr>
              <w:t>%</w:t>
            </w:r>
          </w:p>
        </w:tc>
      </w:tr>
      <w:tr w:rsidR="00995621" w14:paraId="3274F06A" w14:textId="77777777" w:rsidTr="00995621">
        <w:trPr>
          <w:trHeight w:val="291"/>
        </w:trPr>
        <w:tc>
          <w:tcPr>
            <w:tcW w:w="3420" w:type="dxa"/>
            <w:tcBorders>
              <w:top w:val="single" w:sz="6" w:space="0" w:color="000000"/>
              <w:left w:val="nil"/>
              <w:bottom w:val="single" w:sz="12" w:space="0" w:color="auto"/>
              <w:right w:val="nil"/>
            </w:tcBorders>
            <w:hideMark/>
          </w:tcPr>
          <w:p w14:paraId="459D0977" w14:textId="77777777" w:rsidR="00995621" w:rsidRPr="00AB040F" w:rsidRDefault="00995621" w:rsidP="00995621">
            <w:pPr>
              <w:keepNext/>
              <w:keepLines/>
              <w:rPr>
                <w:i/>
              </w:rPr>
            </w:pPr>
            <w:r w:rsidRPr="00AB040F">
              <w:rPr>
                <w:i/>
              </w:rPr>
              <w:t xml:space="preserve">       Other</w:t>
            </w:r>
          </w:p>
        </w:tc>
        <w:tc>
          <w:tcPr>
            <w:tcW w:w="1728" w:type="dxa"/>
            <w:tcBorders>
              <w:top w:val="single" w:sz="6" w:space="0" w:color="000000"/>
              <w:left w:val="nil"/>
              <w:bottom w:val="single" w:sz="12" w:space="0" w:color="auto"/>
              <w:right w:val="nil"/>
            </w:tcBorders>
            <w:vAlign w:val="center"/>
            <w:hideMark/>
          </w:tcPr>
          <w:p w14:paraId="348105FA" w14:textId="77777777" w:rsidR="00995621" w:rsidRPr="0083795A" w:rsidRDefault="00995621" w:rsidP="00995621">
            <w:pPr>
              <w:keepNext/>
              <w:keepLines/>
              <w:jc w:val="right"/>
            </w:pPr>
            <w:r>
              <w:rPr>
                <w:color w:val="000000"/>
              </w:rPr>
              <w:t xml:space="preserve">$          </w:t>
            </w:r>
            <w:r w:rsidRPr="0083795A">
              <w:rPr>
                <w:color w:val="000000"/>
              </w:rPr>
              <w:t>171,900</w:t>
            </w:r>
          </w:p>
        </w:tc>
        <w:tc>
          <w:tcPr>
            <w:tcW w:w="1980" w:type="dxa"/>
            <w:tcBorders>
              <w:top w:val="single" w:sz="6" w:space="0" w:color="000000"/>
              <w:left w:val="nil"/>
              <w:bottom w:val="single" w:sz="12" w:space="0" w:color="auto"/>
              <w:right w:val="nil"/>
            </w:tcBorders>
            <w:vAlign w:val="center"/>
            <w:hideMark/>
          </w:tcPr>
          <w:p w14:paraId="54CF294D" w14:textId="77777777" w:rsidR="00995621" w:rsidRPr="0083795A" w:rsidRDefault="00995621" w:rsidP="00995621">
            <w:pPr>
              <w:keepNext/>
              <w:keepLines/>
              <w:jc w:val="right"/>
            </w:pPr>
            <w:r w:rsidRPr="0083795A">
              <w:rPr>
                <w:color w:val="000000"/>
              </w:rPr>
              <w:t>$            50,575</w:t>
            </w:r>
          </w:p>
        </w:tc>
        <w:tc>
          <w:tcPr>
            <w:tcW w:w="1890" w:type="dxa"/>
            <w:tcBorders>
              <w:top w:val="single" w:sz="6" w:space="0" w:color="000000"/>
              <w:left w:val="nil"/>
              <w:bottom w:val="single" w:sz="12" w:space="0" w:color="auto"/>
              <w:right w:val="nil"/>
            </w:tcBorders>
            <w:vAlign w:val="center"/>
            <w:hideMark/>
          </w:tcPr>
          <w:p w14:paraId="2A7054E0" w14:textId="77777777" w:rsidR="00995621" w:rsidRPr="0083795A" w:rsidRDefault="00995621" w:rsidP="00995621">
            <w:pPr>
              <w:keepNext/>
              <w:keepLines/>
              <w:jc w:val="right"/>
            </w:pPr>
            <w:r w:rsidRPr="0083795A">
              <w:rPr>
                <w:color w:val="000000"/>
              </w:rPr>
              <w:t>-71%</w:t>
            </w:r>
          </w:p>
        </w:tc>
      </w:tr>
      <w:tr w:rsidR="00995621" w14:paraId="080FFD6E" w14:textId="77777777" w:rsidTr="00995621">
        <w:trPr>
          <w:trHeight w:val="291"/>
        </w:trPr>
        <w:tc>
          <w:tcPr>
            <w:tcW w:w="3420" w:type="dxa"/>
            <w:tcBorders>
              <w:top w:val="single" w:sz="12" w:space="0" w:color="auto"/>
              <w:left w:val="nil"/>
              <w:bottom w:val="single" w:sz="12" w:space="0" w:color="000000"/>
              <w:right w:val="nil"/>
            </w:tcBorders>
            <w:hideMark/>
          </w:tcPr>
          <w:p w14:paraId="4B37E095" w14:textId="77777777" w:rsidR="00995621" w:rsidRDefault="00995621" w:rsidP="00995621">
            <w:pPr>
              <w:keepNext/>
              <w:keepLines/>
              <w:rPr>
                <w:b/>
              </w:rPr>
            </w:pPr>
            <w:r>
              <w:rPr>
                <w:b/>
              </w:rPr>
              <w:t>Total</w:t>
            </w:r>
          </w:p>
        </w:tc>
        <w:tc>
          <w:tcPr>
            <w:tcW w:w="1728" w:type="dxa"/>
            <w:tcBorders>
              <w:top w:val="single" w:sz="12" w:space="0" w:color="auto"/>
              <w:left w:val="nil"/>
              <w:bottom w:val="single" w:sz="12" w:space="0" w:color="000000"/>
              <w:right w:val="nil"/>
            </w:tcBorders>
            <w:vAlign w:val="center"/>
            <w:hideMark/>
          </w:tcPr>
          <w:p w14:paraId="39AF984F" w14:textId="77777777" w:rsidR="00995621" w:rsidRPr="0083795A" w:rsidRDefault="00995621" w:rsidP="00995621">
            <w:pPr>
              <w:keepNext/>
              <w:keepLines/>
              <w:jc w:val="right"/>
              <w:rPr>
                <w:b/>
              </w:rPr>
            </w:pPr>
            <w:r>
              <w:rPr>
                <w:b/>
                <w:bCs/>
                <w:color w:val="000000"/>
              </w:rPr>
              <w:t xml:space="preserve">$       </w:t>
            </w:r>
            <w:r w:rsidRPr="0083795A">
              <w:rPr>
                <w:b/>
                <w:bCs/>
                <w:color w:val="000000"/>
              </w:rPr>
              <w:t>3,</w:t>
            </w:r>
            <w:r>
              <w:rPr>
                <w:b/>
                <w:bCs/>
                <w:color w:val="000000"/>
              </w:rPr>
              <w:t>535,157</w:t>
            </w:r>
          </w:p>
        </w:tc>
        <w:tc>
          <w:tcPr>
            <w:tcW w:w="1980" w:type="dxa"/>
            <w:tcBorders>
              <w:top w:val="single" w:sz="12" w:space="0" w:color="auto"/>
              <w:left w:val="nil"/>
              <w:bottom w:val="single" w:sz="12" w:space="0" w:color="000000"/>
              <w:right w:val="nil"/>
            </w:tcBorders>
            <w:vAlign w:val="center"/>
            <w:hideMark/>
          </w:tcPr>
          <w:p w14:paraId="2072E2EC" w14:textId="77777777" w:rsidR="00995621" w:rsidRPr="0083795A" w:rsidRDefault="00995621" w:rsidP="00995621">
            <w:pPr>
              <w:keepNext/>
              <w:keepLines/>
              <w:jc w:val="right"/>
              <w:rPr>
                <w:b/>
              </w:rPr>
            </w:pPr>
            <w:r w:rsidRPr="0083795A">
              <w:rPr>
                <w:b/>
                <w:bCs/>
                <w:color w:val="000000"/>
              </w:rPr>
              <w:t>$       3,</w:t>
            </w:r>
            <w:r>
              <w:rPr>
                <w:b/>
                <w:bCs/>
                <w:color w:val="000000"/>
              </w:rPr>
              <w:t>2</w:t>
            </w:r>
            <w:r w:rsidRPr="0083795A">
              <w:rPr>
                <w:b/>
                <w:bCs/>
                <w:color w:val="000000"/>
              </w:rPr>
              <w:t>59,581</w:t>
            </w:r>
          </w:p>
        </w:tc>
        <w:tc>
          <w:tcPr>
            <w:tcW w:w="1890" w:type="dxa"/>
            <w:tcBorders>
              <w:top w:val="single" w:sz="12" w:space="0" w:color="auto"/>
              <w:left w:val="nil"/>
              <w:bottom w:val="single" w:sz="12" w:space="0" w:color="000000"/>
              <w:right w:val="nil"/>
            </w:tcBorders>
            <w:vAlign w:val="center"/>
            <w:hideMark/>
          </w:tcPr>
          <w:p w14:paraId="72783180" w14:textId="77777777" w:rsidR="00995621" w:rsidRPr="0083795A" w:rsidRDefault="00995621" w:rsidP="00995621">
            <w:pPr>
              <w:keepNext/>
              <w:keepLines/>
              <w:jc w:val="right"/>
              <w:rPr>
                <w:b/>
              </w:rPr>
            </w:pPr>
            <w:r w:rsidRPr="0083795A">
              <w:rPr>
                <w:color w:val="000000"/>
              </w:rPr>
              <w:t>-</w:t>
            </w:r>
            <w:r>
              <w:rPr>
                <w:color w:val="000000"/>
              </w:rPr>
              <w:t>8</w:t>
            </w:r>
            <w:r w:rsidRPr="0083795A">
              <w:rPr>
                <w:color w:val="000000"/>
              </w:rPr>
              <w:t>%</w:t>
            </w:r>
          </w:p>
        </w:tc>
      </w:tr>
    </w:tbl>
    <w:p w14:paraId="3851B13B" w14:textId="77777777" w:rsidR="00AD5580" w:rsidRDefault="00AD5580" w:rsidP="00AD5580"/>
    <w:p w14:paraId="3108F582" w14:textId="77777777" w:rsidR="00AD5580" w:rsidRPr="00AA4B6A" w:rsidRDefault="00AD5580" w:rsidP="00AD5580">
      <w:pPr>
        <w:rPr>
          <w:b/>
          <w:i/>
        </w:rPr>
      </w:pPr>
      <w:r>
        <w:rPr>
          <w:b/>
          <w:i/>
        </w:rPr>
        <w:t xml:space="preserve">Natural Gas DSM Budget. </w:t>
      </w:r>
      <w:r>
        <w:rPr>
          <w:rFonts w:eastAsia="Calibri"/>
        </w:rPr>
        <w:t>Avista is projecting a 8</w:t>
      </w:r>
      <w:r w:rsidRPr="006670A6">
        <w:rPr>
          <w:rFonts w:eastAsia="Calibri"/>
        </w:rPr>
        <w:t xml:space="preserve"> </w:t>
      </w:r>
      <w:r>
        <w:rPr>
          <w:rFonts w:eastAsia="Calibri"/>
        </w:rPr>
        <w:t>percent decrease in its annual natural gas</w:t>
      </w:r>
      <w:r w:rsidRPr="006670A6">
        <w:rPr>
          <w:rFonts w:eastAsia="Calibri"/>
        </w:rPr>
        <w:t xml:space="preserve"> conservat</w:t>
      </w:r>
      <w:r>
        <w:rPr>
          <w:rFonts w:eastAsia="Calibri"/>
        </w:rPr>
        <w:t>ion budget, decreasing from $3.5 million to $3.3 million</w:t>
      </w:r>
      <w:r w:rsidRPr="006670A6">
        <w:rPr>
          <w:rFonts w:eastAsia="Calibri"/>
        </w:rPr>
        <w:t xml:space="preserve">. </w:t>
      </w:r>
      <w:r>
        <w:rPr>
          <w:rFonts w:eastAsia="Calibri"/>
        </w:rPr>
        <w:t>The table below summarizes the 2016 and 2017 budgets by expense category.</w:t>
      </w:r>
    </w:p>
    <w:p w14:paraId="0AA4863E" w14:textId="77777777" w:rsidR="006A6873" w:rsidRDefault="006A6873" w:rsidP="00AD5580">
      <w:pPr>
        <w:rPr>
          <w:rFonts w:eastAsia="Calibri"/>
        </w:rPr>
      </w:pPr>
    </w:p>
    <w:p w14:paraId="4BF3C5E6" w14:textId="77777777" w:rsidR="00353548" w:rsidRDefault="00AD5580" w:rsidP="00AD5580">
      <w:pPr>
        <w:rPr>
          <w:rFonts w:eastAsia="Calibri"/>
        </w:rPr>
      </w:pPr>
      <w:r>
        <w:rPr>
          <w:rFonts w:eastAsia="Calibri"/>
        </w:rPr>
        <w:t xml:space="preserve">Residential incentive payments are expected to </w:t>
      </w:r>
      <w:r w:rsidR="004F5CB4">
        <w:rPr>
          <w:rFonts w:eastAsia="Calibri"/>
        </w:rPr>
        <w:t>increase from</w:t>
      </w:r>
      <w:r>
        <w:rPr>
          <w:rFonts w:eastAsia="Calibri"/>
        </w:rPr>
        <w:t xml:space="preserve"> 2016 to 2017, </w:t>
      </w:r>
      <w:r w:rsidR="004F5CB4">
        <w:rPr>
          <w:rFonts w:eastAsia="Calibri"/>
        </w:rPr>
        <w:t xml:space="preserve">mostly </w:t>
      </w:r>
      <w:r>
        <w:rPr>
          <w:rFonts w:eastAsia="Calibri"/>
        </w:rPr>
        <w:t>driven by high efficiency furnace measures</w:t>
      </w:r>
      <w:r w:rsidR="004F5CB4">
        <w:rPr>
          <w:rFonts w:eastAsia="Calibri"/>
        </w:rPr>
        <w:t xml:space="preserve">. With rebates increasing for high efficiency furnaces, Avista expects more program participation and increased energy savings. </w:t>
      </w:r>
    </w:p>
    <w:p w14:paraId="15576351" w14:textId="77777777" w:rsidR="00353548" w:rsidRDefault="00353548" w:rsidP="00AD5580">
      <w:pPr>
        <w:rPr>
          <w:rFonts w:eastAsia="Calibri"/>
        </w:rPr>
      </w:pPr>
    </w:p>
    <w:p w14:paraId="3BC2A6C0" w14:textId="6ED42F70" w:rsidR="00AD5580" w:rsidRDefault="00AD5580" w:rsidP="00AD5580">
      <w:pPr>
        <w:rPr>
          <w:rFonts w:eastAsia="Calibri"/>
        </w:rPr>
      </w:pPr>
      <w:r>
        <w:rPr>
          <w:rFonts w:eastAsia="Calibri"/>
        </w:rPr>
        <w:t xml:space="preserve">Avista is shifting expenditures from electric to natural gas </w:t>
      </w:r>
      <w:r w:rsidR="00216C79">
        <w:rPr>
          <w:rFonts w:eastAsia="Calibri"/>
        </w:rPr>
        <w:t>low-income programs</w:t>
      </w:r>
      <w:r>
        <w:rPr>
          <w:rFonts w:eastAsia="Calibri"/>
        </w:rPr>
        <w:t xml:space="preserve">, and that is reflected in the 130 percent rise in that part of the budget. The community action partner (CAP) </w:t>
      </w:r>
      <w:r w:rsidR="004F5CB4">
        <w:rPr>
          <w:rFonts w:eastAsia="Calibri"/>
        </w:rPr>
        <w:t>agencies</w:t>
      </w:r>
      <w:r>
        <w:rPr>
          <w:rFonts w:eastAsia="Calibri"/>
        </w:rPr>
        <w:t xml:space="preserve"> </w:t>
      </w:r>
      <w:r w:rsidR="004F5CB4">
        <w:rPr>
          <w:rFonts w:eastAsia="Calibri"/>
        </w:rPr>
        <w:t xml:space="preserve">that implement </w:t>
      </w:r>
      <w:r>
        <w:rPr>
          <w:rFonts w:eastAsia="Calibri"/>
        </w:rPr>
        <w:t xml:space="preserve">the </w:t>
      </w:r>
      <w:r w:rsidR="00216C79">
        <w:rPr>
          <w:rFonts w:eastAsia="Calibri"/>
        </w:rPr>
        <w:t>low-</w:t>
      </w:r>
      <w:r w:rsidR="004F5CB4">
        <w:rPr>
          <w:rFonts w:eastAsia="Calibri"/>
        </w:rPr>
        <w:t>income programs</w:t>
      </w:r>
      <w:r>
        <w:rPr>
          <w:rFonts w:eastAsia="Calibri"/>
        </w:rPr>
        <w:t xml:space="preserve"> may spend their annual allocated funds on either electric or natural gas efficiency measures at their discretion.</w:t>
      </w:r>
      <w:r w:rsidR="006642BD">
        <w:rPr>
          <w:rFonts w:eastAsia="Calibri"/>
        </w:rPr>
        <w:t xml:space="preserve"> T</w:t>
      </w:r>
      <w:r>
        <w:rPr>
          <w:rFonts w:eastAsia="Calibri"/>
        </w:rPr>
        <w:t xml:space="preserve">he company plans on a 24 percent increase in </w:t>
      </w:r>
      <w:r w:rsidR="00C66330">
        <w:rPr>
          <w:rFonts w:eastAsia="Calibri"/>
        </w:rPr>
        <w:t>natural g</w:t>
      </w:r>
      <w:r>
        <w:rPr>
          <w:rFonts w:eastAsia="Calibri"/>
        </w:rPr>
        <w:t>as program incentive payments.</w:t>
      </w:r>
    </w:p>
    <w:p w14:paraId="3583E220" w14:textId="77777777" w:rsidR="00AD5580" w:rsidRDefault="00AD5580" w:rsidP="00AD5580">
      <w:pPr>
        <w:rPr>
          <w:rFonts w:eastAsia="Calibri"/>
        </w:rPr>
      </w:pPr>
    </w:p>
    <w:p w14:paraId="1F86BF51" w14:textId="77777777" w:rsidR="00AD5580" w:rsidRPr="00F06331" w:rsidRDefault="00AD5580" w:rsidP="00AD5580">
      <w:pPr>
        <w:rPr>
          <w:rFonts w:eastAsia="Calibri"/>
        </w:rPr>
      </w:pPr>
      <w:r>
        <w:rPr>
          <w:rFonts w:eastAsia="Calibri"/>
          <w:b/>
          <w:i/>
        </w:rPr>
        <w:t xml:space="preserve">Natural Gas DSM Savings. </w:t>
      </w:r>
      <w:r>
        <w:rPr>
          <w:rFonts w:eastAsia="Calibri"/>
        </w:rPr>
        <w:t>Avista is projecting a 9</w:t>
      </w:r>
      <w:r w:rsidRPr="006670A6">
        <w:rPr>
          <w:rFonts w:eastAsia="Calibri"/>
        </w:rPr>
        <w:t xml:space="preserve"> </w:t>
      </w:r>
      <w:r>
        <w:rPr>
          <w:rFonts w:eastAsia="Calibri"/>
        </w:rPr>
        <w:t>percent increase in its projected year-over-year savings acquisition, increasing from 567,653 therms to 620,310 therms</w:t>
      </w:r>
      <w:r w:rsidRPr="006670A6">
        <w:rPr>
          <w:rFonts w:eastAsia="Calibri"/>
        </w:rPr>
        <w:t xml:space="preserve">. </w:t>
      </w:r>
      <w:r>
        <w:rPr>
          <w:rFonts w:eastAsia="Calibri"/>
        </w:rPr>
        <w:t>The table below summarizes projected 2016 and 2017 natural gas savings by program.</w:t>
      </w:r>
    </w:p>
    <w:p w14:paraId="0F664A2A" w14:textId="77777777" w:rsidR="00AD5580" w:rsidRDefault="00AD5580" w:rsidP="00AD5580"/>
    <w:tbl>
      <w:tblPr>
        <w:tblW w:w="9018"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3780"/>
        <w:gridCol w:w="1710"/>
        <w:gridCol w:w="1638"/>
        <w:gridCol w:w="1890"/>
      </w:tblGrid>
      <w:tr w:rsidR="00AD5580" w14:paraId="1235EA90" w14:textId="77777777" w:rsidTr="001C0C4D">
        <w:trPr>
          <w:trHeight w:val="279"/>
        </w:trPr>
        <w:tc>
          <w:tcPr>
            <w:tcW w:w="3780" w:type="dxa"/>
            <w:tcBorders>
              <w:top w:val="single" w:sz="12" w:space="0" w:color="000000"/>
              <w:left w:val="nil"/>
              <w:bottom w:val="single" w:sz="12" w:space="0" w:color="000000"/>
              <w:right w:val="nil"/>
            </w:tcBorders>
            <w:hideMark/>
          </w:tcPr>
          <w:p w14:paraId="6237E886" w14:textId="77777777" w:rsidR="00AD5580" w:rsidRDefault="00AD5580" w:rsidP="001C0C4D">
            <w:pPr>
              <w:rPr>
                <w:b/>
                <w:bCs/>
                <w:color w:val="000080"/>
              </w:rPr>
            </w:pPr>
            <w:r>
              <w:rPr>
                <w:b/>
                <w:bCs/>
                <w:color w:val="000000" w:themeColor="text1"/>
              </w:rPr>
              <w:lastRenderedPageBreak/>
              <w:t>Projected Gas Savings (therms)</w:t>
            </w:r>
          </w:p>
        </w:tc>
        <w:tc>
          <w:tcPr>
            <w:tcW w:w="1710" w:type="dxa"/>
            <w:tcBorders>
              <w:top w:val="single" w:sz="12" w:space="0" w:color="000000"/>
              <w:left w:val="nil"/>
              <w:bottom w:val="single" w:sz="12" w:space="0" w:color="000000"/>
              <w:right w:val="nil"/>
            </w:tcBorders>
            <w:hideMark/>
          </w:tcPr>
          <w:p w14:paraId="15E05086" w14:textId="77777777" w:rsidR="00AD5580" w:rsidRDefault="00AD5580" w:rsidP="001C0C4D">
            <w:pPr>
              <w:jc w:val="right"/>
              <w:rPr>
                <w:b/>
                <w:bCs/>
                <w:color w:val="000000" w:themeColor="text1"/>
              </w:rPr>
            </w:pPr>
            <w:r>
              <w:rPr>
                <w:b/>
                <w:bCs/>
                <w:color w:val="000000" w:themeColor="text1"/>
              </w:rPr>
              <w:t>2016</w:t>
            </w:r>
          </w:p>
        </w:tc>
        <w:tc>
          <w:tcPr>
            <w:tcW w:w="1638" w:type="dxa"/>
            <w:tcBorders>
              <w:top w:val="single" w:sz="12" w:space="0" w:color="000000"/>
              <w:left w:val="nil"/>
              <w:bottom w:val="single" w:sz="12" w:space="0" w:color="000000"/>
              <w:right w:val="nil"/>
            </w:tcBorders>
            <w:hideMark/>
          </w:tcPr>
          <w:p w14:paraId="597DD11C" w14:textId="77777777" w:rsidR="00AD5580" w:rsidRDefault="00AD5580" w:rsidP="001C0C4D">
            <w:pPr>
              <w:jc w:val="right"/>
              <w:rPr>
                <w:b/>
                <w:bCs/>
                <w:color w:val="000000" w:themeColor="text1"/>
              </w:rPr>
            </w:pPr>
            <w:r>
              <w:rPr>
                <w:b/>
                <w:bCs/>
                <w:color w:val="000000" w:themeColor="text1"/>
              </w:rPr>
              <w:t>2017</w:t>
            </w:r>
          </w:p>
        </w:tc>
        <w:tc>
          <w:tcPr>
            <w:tcW w:w="1890" w:type="dxa"/>
            <w:tcBorders>
              <w:top w:val="single" w:sz="12" w:space="0" w:color="000000"/>
              <w:left w:val="nil"/>
              <w:bottom w:val="single" w:sz="12" w:space="0" w:color="000000"/>
              <w:right w:val="nil"/>
            </w:tcBorders>
            <w:hideMark/>
          </w:tcPr>
          <w:p w14:paraId="4ACC145C" w14:textId="77777777" w:rsidR="00AD5580" w:rsidRDefault="00AD5580" w:rsidP="001C0C4D">
            <w:pPr>
              <w:jc w:val="right"/>
              <w:rPr>
                <w:b/>
                <w:bCs/>
                <w:color w:val="000000" w:themeColor="text1"/>
              </w:rPr>
            </w:pPr>
            <w:r>
              <w:rPr>
                <w:b/>
                <w:bCs/>
                <w:color w:val="000000" w:themeColor="text1"/>
              </w:rPr>
              <w:t>2017 Change</w:t>
            </w:r>
          </w:p>
        </w:tc>
      </w:tr>
      <w:tr w:rsidR="00AD5580" w14:paraId="7335C1EA" w14:textId="77777777" w:rsidTr="001C0C4D">
        <w:trPr>
          <w:trHeight w:val="291"/>
        </w:trPr>
        <w:tc>
          <w:tcPr>
            <w:tcW w:w="3780" w:type="dxa"/>
            <w:tcBorders>
              <w:top w:val="single" w:sz="6" w:space="0" w:color="000000"/>
              <w:left w:val="nil"/>
              <w:bottom w:val="single" w:sz="6" w:space="0" w:color="000000"/>
              <w:right w:val="nil"/>
            </w:tcBorders>
          </w:tcPr>
          <w:p w14:paraId="39744152" w14:textId="77777777" w:rsidR="00AD5580" w:rsidRPr="00125755" w:rsidRDefault="00AD5580" w:rsidP="001C0C4D">
            <w:r w:rsidRPr="00125755">
              <w:t>Residential</w:t>
            </w:r>
          </w:p>
        </w:tc>
        <w:tc>
          <w:tcPr>
            <w:tcW w:w="1710" w:type="dxa"/>
            <w:tcBorders>
              <w:top w:val="single" w:sz="6" w:space="0" w:color="000000"/>
              <w:left w:val="nil"/>
              <w:bottom w:val="single" w:sz="6" w:space="0" w:color="000000"/>
              <w:right w:val="nil"/>
            </w:tcBorders>
            <w:vAlign w:val="center"/>
          </w:tcPr>
          <w:p w14:paraId="3BFACAAB" w14:textId="77777777" w:rsidR="00AD5580" w:rsidRPr="00125755" w:rsidRDefault="00AD5580" w:rsidP="001C0C4D">
            <w:pPr>
              <w:jc w:val="right"/>
            </w:pPr>
            <w:r w:rsidRPr="00125755">
              <w:rPr>
                <w:color w:val="000000"/>
              </w:rPr>
              <w:t>269</w:t>
            </w:r>
            <w:r>
              <w:rPr>
                <w:color w:val="000000"/>
              </w:rPr>
              <w:t>,</w:t>
            </w:r>
            <w:r w:rsidRPr="00125755">
              <w:rPr>
                <w:color w:val="000000"/>
              </w:rPr>
              <w:t>342</w:t>
            </w:r>
          </w:p>
        </w:tc>
        <w:tc>
          <w:tcPr>
            <w:tcW w:w="1638" w:type="dxa"/>
            <w:tcBorders>
              <w:top w:val="single" w:sz="6" w:space="0" w:color="000000"/>
              <w:left w:val="nil"/>
              <w:bottom w:val="single" w:sz="6" w:space="0" w:color="000000"/>
              <w:right w:val="nil"/>
            </w:tcBorders>
            <w:vAlign w:val="center"/>
          </w:tcPr>
          <w:p w14:paraId="1F3DE0D5" w14:textId="77777777" w:rsidR="00AD5580" w:rsidRPr="00125755" w:rsidRDefault="00AD5580" w:rsidP="001C0C4D">
            <w:pPr>
              <w:jc w:val="right"/>
            </w:pPr>
            <w:r>
              <w:rPr>
                <w:color w:val="000000"/>
              </w:rPr>
              <w:t xml:space="preserve">          </w:t>
            </w:r>
            <w:r w:rsidRPr="00125755">
              <w:rPr>
                <w:color w:val="000000"/>
              </w:rPr>
              <w:t xml:space="preserve">398,801 </w:t>
            </w:r>
          </w:p>
        </w:tc>
        <w:tc>
          <w:tcPr>
            <w:tcW w:w="1890" w:type="dxa"/>
            <w:tcBorders>
              <w:top w:val="single" w:sz="6" w:space="0" w:color="000000"/>
              <w:left w:val="nil"/>
              <w:bottom w:val="single" w:sz="6" w:space="0" w:color="000000"/>
              <w:right w:val="nil"/>
            </w:tcBorders>
            <w:vAlign w:val="center"/>
          </w:tcPr>
          <w:p w14:paraId="23E715A3" w14:textId="77777777" w:rsidR="00AD5580" w:rsidRPr="00125755" w:rsidRDefault="00AD5580" w:rsidP="001C0C4D">
            <w:pPr>
              <w:jc w:val="right"/>
            </w:pPr>
            <w:r w:rsidRPr="00125755">
              <w:rPr>
                <w:color w:val="000000"/>
              </w:rPr>
              <w:t>48%</w:t>
            </w:r>
          </w:p>
        </w:tc>
      </w:tr>
      <w:tr w:rsidR="00AD5580" w14:paraId="6271C4AE" w14:textId="77777777" w:rsidTr="001C0C4D">
        <w:trPr>
          <w:trHeight w:val="304"/>
        </w:trPr>
        <w:tc>
          <w:tcPr>
            <w:tcW w:w="3780" w:type="dxa"/>
            <w:tcBorders>
              <w:top w:val="single" w:sz="6" w:space="0" w:color="000000"/>
              <w:left w:val="nil"/>
              <w:bottom w:val="single" w:sz="6" w:space="0" w:color="000000"/>
              <w:right w:val="nil"/>
            </w:tcBorders>
          </w:tcPr>
          <w:p w14:paraId="705D1495" w14:textId="0301AB3F" w:rsidR="00AD5580" w:rsidRPr="00125755" w:rsidRDefault="009B2FBA" w:rsidP="001C0C4D">
            <w:r>
              <w:t>Non-r</w:t>
            </w:r>
            <w:r w:rsidR="00AD5580" w:rsidRPr="00125755">
              <w:t>esidential</w:t>
            </w:r>
          </w:p>
        </w:tc>
        <w:tc>
          <w:tcPr>
            <w:tcW w:w="1710" w:type="dxa"/>
            <w:tcBorders>
              <w:top w:val="single" w:sz="6" w:space="0" w:color="000000"/>
              <w:left w:val="nil"/>
              <w:bottom w:val="single" w:sz="6" w:space="0" w:color="000000"/>
              <w:right w:val="nil"/>
            </w:tcBorders>
            <w:vAlign w:val="center"/>
          </w:tcPr>
          <w:p w14:paraId="3DEB8B98" w14:textId="77777777" w:rsidR="00AD5580" w:rsidRPr="00125755" w:rsidRDefault="00AD5580" w:rsidP="001C0C4D">
            <w:pPr>
              <w:jc w:val="right"/>
            </w:pPr>
            <w:r w:rsidRPr="00125755">
              <w:rPr>
                <w:color w:val="000000"/>
              </w:rPr>
              <w:t>275</w:t>
            </w:r>
            <w:r>
              <w:rPr>
                <w:color w:val="000000"/>
              </w:rPr>
              <w:t>,</w:t>
            </w:r>
            <w:r w:rsidRPr="00125755">
              <w:rPr>
                <w:color w:val="000000"/>
              </w:rPr>
              <w:t>299</w:t>
            </w:r>
          </w:p>
        </w:tc>
        <w:tc>
          <w:tcPr>
            <w:tcW w:w="1638" w:type="dxa"/>
            <w:tcBorders>
              <w:top w:val="single" w:sz="6" w:space="0" w:color="000000"/>
              <w:left w:val="nil"/>
              <w:bottom w:val="single" w:sz="6" w:space="0" w:color="000000"/>
              <w:right w:val="nil"/>
            </w:tcBorders>
            <w:vAlign w:val="center"/>
          </w:tcPr>
          <w:p w14:paraId="10571C9D" w14:textId="77777777" w:rsidR="00AD5580" w:rsidRPr="00125755" w:rsidRDefault="00AD5580" w:rsidP="001C0C4D">
            <w:pPr>
              <w:jc w:val="right"/>
            </w:pPr>
            <w:r>
              <w:rPr>
                <w:color w:val="000000"/>
              </w:rPr>
              <w:t xml:space="preserve">          </w:t>
            </w:r>
            <w:r w:rsidRPr="00125755">
              <w:rPr>
                <w:color w:val="000000"/>
              </w:rPr>
              <w:t xml:space="preserve">206,916 </w:t>
            </w:r>
          </w:p>
        </w:tc>
        <w:tc>
          <w:tcPr>
            <w:tcW w:w="1890" w:type="dxa"/>
            <w:tcBorders>
              <w:top w:val="single" w:sz="6" w:space="0" w:color="000000"/>
              <w:left w:val="nil"/>
              <w:bottom w:val="single" w:sz="6" w:space="0" w:color="000000"/>
              <w:right w:val="nil"/>
            </w:tcBorders>
            <w:vAlign w:val="center"/>
          </w:tcPr>
          <w:p w14:paraId="78F17711" w14:textId="77777777" w:rsidR="00AD5580" w:rsidRPr="00125755" w:rsidRDefault="00AD5580" w:rsidP="001C0C4D">
            <w:pPr>
              <w:jc w:val="right"/>
            </w:pPr>
            <w:r w:rsidRPr="00125755">
              <w:rPr>
                <w:color w:val="000000"/>
              </w:rPr>
              <w:t>-25%</w:t>
            </w:r>
          </w:p>
        </w:tc>
      </w:tr>
      <w:tr w:rsidR="00AD5580" w14:paraId="0C4A348C" w14:textId="77777777" w:rsidTr="001C0C4D">
        <w:trPr>
          <w:trHeight w:val="291"/>
        </w:trPr>
        <w:tc>
          <w:tcPr>
            <w:tcW w:w="3780" w:type="dxa"/>
            <w:tcBorders>
              <w:top w:val="single" w:sz="6" w:space="0" w:color="000000"/>
              <w:left w:val="nil"/>
              <w:bottom w:val="single" w:sz="6" w:space="0" w:color="000000"/>
              <w:right w:val="nil"/>
            </w:tcBorders>
          </w:tcPr>
          <w:p w14:paraId="41932AA4" w14:textId="3227FE71" w:rsidR="00AD5580" w:rsidRPr="00125755" w:rsidRDefault="0040003B" w:rsidP="001C0C4D">
            <w:r>
              <w:t>Low-i</w:t>
            </w:r>
            <w:r w:rsidR="00AD5580" w:rsidRPr="00125755">
              <w:t>ncome</w:t>
            </w:r>
          </w:p>
        </w:tc>
        <w:tc>
          <w:tcPr>
            <w:tcW w:w="1710" w:type="dxa"/>
            <w:tcBorders>
              <w:top w:val="single" w:sz="6" w:space="0" w:color="000000"/>
              <w:left w:val="nil"/>
              <w:bottom w:val="single" w:sz="6" w:space="0" w:color="000000"/>
              <w:right w:val="nil"/>
            </w:tcBorders>
            <w:vAlign w:val="center"/>
          </w:tcPr>
          <w:p w14:paraId="45D7B0D7" w14:textId="77777777" w:rsidR="00AD5580" w:rsidRPr="00125755" w:rsidRDefault="00AD5580" w:rsidP="001C0C4D">
            <w:pPr>
              <w:jc w:val="right"/>
            </w:pPr>
            <w:r w:rsidRPr="00125755">
              <w:rPr>
                <w:color w:val="000000"/>
              </w:rPr>
              <w:t>23</w:t>
            </w:r>
            <w:r>
              <w:rPr>
                <w:color w:val="000000"/>
              </w:rPr>
              <w:t>,</w:t>
            </w:r>
            <w:r w:rsidRPr="00125755">
              <w:rPr>
                <w:color w:val="000000"/>
              </w:rPr>
              <w:t>012</w:t>
            </w:r>
          </w:p>
        </w:tc>
        <w:tc>
          <w:tcPr>
            <w:tcW w:w="1638" w:type="dxa"/>
            <w:tcBorders>
              <w:top w:val="single" w:sz="6" w:space="0" w:color="000000"/>
              <w:left w:val="nil"/>
              <w:bottom w:val="single" w:sz="6" w:space="0" w:color="000000"/>
              <w:right w:val="nil"/>
            </w:tcBorders>
            <w:vAlign w:val="center"/>
          </w:tcPr>
          <w:p w14:paraId="7EA80B15" w14:textId="77777777" w:rsidR="00AD5580" w:rsidRPr="00125755" w:rsidRDefault="00AD5580" w:rsidP="001C0C4D">
            <w:pPr>
              <w:jc w:val="right"/>
            </w:pPr>
            <w:r>
              <w:rPr>
                <w:color w:val="000000"/>
              </w:rPr>
              <w:t xml:space="preserve">            </w:t>
            </w:r>
            <w:r w:rsidRPr="00125755">
              <w:rPr>
                <w:color w:val="000000"/>
              </w:rPr>
              <w:t xml:space="preserve">14,593 </w:t>
            </w:r>
          </w:p>
        </w:tc>
        <w:tc>
          <w:tcPr>
            <w:tcW w:w="1890" w:type="dxa"/>
            <w:tcBorders>
              <w:top w:val="single" w:sz="6" w:space="0" w:color="000000"/>
              <w:left w:val="nil"/>
              <w:bottom w:val="single" w:sz="6" w:space="0" w:color="000000"/>
              <w:right w:val="nil"/>
            </w:tcBorders>
            <w:vAlign w:val="center"/>
          </w:tcPr>
          <w:p w14:paraId="0FBE22D0" w14:textId="77777777" w:rsidR="00AD5580" w:rsidRPr="00125755" w:rsidRDefault="00AD5580" w:rsidP="001C0C4D">
            <w:pPr>
              <w:jc w:val="right"/>
            </w:pPr>
            <w:r w:rsidRPr="00125755">
              <w:rPr>
                <w:color w:val="000000"/>
              </w:rPr>
              <w:t>-37%</w:t>
            </w:r>
          </w:p>
        </w:tc>
      </w:tr>
      <w:tr w:rsidR="00AD5580" w14:paraId="16CA6CE1" w14:textId="77777777" w:rsidTr="001C0C4D">
        <w:trPr>
          <w:trHeight w:val="291"/>
        </w:trPr>
        <w:tc>
          <w:tcPr>
            <w:tcW w:w="3780" w:type="dxa"/>
            <w:tcBorders>
              <w:top w:val="single" w:sz="12" w:space="0" w:color="auto"/>
              <w:left w:val="nil"/>
              <w:bottom w:val="single" w:sz="12" w:space="0" w:color="000000"/>
              <w:right w:val="nil"/>
            </w:tcBorders>
            <w:hideMark/>
          </w:tcPr>
          <w:p w14:paraId="15CE8E11" w14:textId="77777777" w:rsidR="00AD5580" w:rsidRPr="00125755" w:rsidRDefault="00AD5580" w:rsidP="001C0C4D">
            <w:pPr>
              <w:rPr>
                <w:b/>
              </w:rPr>
            </w:pPr>
            <w:r w:rsidRPr="00125755">
              <w:rPr>
                <w:b/>
              </w:rPr>
              <w:t>Total</w:t>
            </w:r>
          </w:p>
        </w:tc>
        <w:tc>
          <w:tcPr>
            <w:tcW w:w="1710" w:type="dxa"/>
            <w:tcBorders>
              <w:top w:val="single" w:sz="12" w:space="0" w:color="auto"/>
              <w:left w:val="nil"/>
              <w:bottom w:val="single" w:sz="12" w:space="0" w:color="000000"/>
              <w:right w:val="nil"/>
            </w:tcBorders>
            <w:vAlign w:val="center"/>
            <w:hideMark/>
          </w:tcPr>
          <w:p w14:paraId="302CE649" w14:textId="77777777" w:rsidR="00AD5580" w:rsidRPr="00125755" w:rsidRDefault="00AD5580" w:rsidP="001C0C4D">
            <w:pPr>
              <w:jc w:val="right"/>
              <w:rPr>
                <w:b/>
              </w:rPr>
            </w:pPr>
            <w:r>
              <w:rPr>
                <w:b/>
                <w:bCs/>
                <w:color w:val="000000"/>
              </w:rPr>
              <w:t xml:space="preserve">           </w:t>
            </w:r>
            <w:r w:rsidRPr="00125755">
              <w:rPr>
                <w:b/>
                <w:bCs/>
                <w:color w:val="000000"/>
              </w:rPr>
              <w:t xml:space="preserve">567,653 </w:t>
            </w:r>
          </w:p>
        </w:tc>
        <w:tc>
          <w:tcPr>
            <w:tcW w:w="1638" w:type="dxa"/>
            <w:tcBorders>
              <w:top w:val="single" w:sz="12" w:space="0" w:color="auto"/>
              <w:left w:val="nil"/>
              <w:bottom w:val="single" w:sz="12" w:space="0" w:color="000000"/>
              <w:right w:val="nil"/>
            </w:tcBorders>
            <w:vAlign w:val="center"/>
          </w:tcPr>
          <w:p w14:paraId="458B5CA1" w14:textId="77777777" w:rsidR="00AD5580" w:rsidRPr="00125755" w:rsidRDefault="00AD5580" w:rsidP="001C0C4D">
            <w:pPr>
              <w:jc w:val="right"/>
              <w:rPr>
                <w:b/>
              </w:rPr>
            </w:pPr>
            <w:r>
              <w:rPr>
                <w:b/>
                <w:bCs/>
                <w:color w:val="000000"/>
              </w:rPr>
              <w:t xml:space="preserve">         </w:t>
            </w:r>
            <w:r w:rsidRPr="00125755">
              <w:rPr>
                <w:b/>
                <w:bCs/>
                <w:color w:val="000000"/>
              </w:rPr>
              <w:t xml:space="preserve">620,310 </w:t>
            </w:r>
          </w:p>
        </w:tc>
        <w:tc>
          <w:tcPr>
            <w:tcW w:w="1890" w:type="dxa"/>
            <w:tcBorders>
              <w:top w:val="single" w:sz="12" w:space="0" w:color="auto"/>
              <w:left w:val="nil"/>
              <w:bottom w:val="single" w:sz="12" w:space="0" w:color="000000"/>
              <w:right w:val="nil"/>
            </w:tcBorders>
            <w:vAlign w:val="center"/>
          </w:tcPr>
          <w:p w14:paraId="0E6D6BBA" w14:textId="77777777" w:rsidR="00AD5580" w:rsidRPr="00125755" w:rsidRDefault="00AD5580" w:rsidP="001C0C4D">
            <w:pPr>
              <w:jc w:val="right"/>
              <w:rPr>
                <w:b/>
              </w:rPr>
            </w:pPr>
            <w:r w:rsidRPr="00125755">
              <w:rPr>
                <w:color w:val="000000"/>
              </w:rPr>
              <w:t>9%</w:t>
            </w:r>
          </w:p>
        </w:tc>
      </w:tr>
    </w:tbl>
    <w:p w14:paraId="6EBFB0F4" w14:textId="77777777" w:rsidR="00AD5580" w:rsidRDefault="00AD5580" w:rsidP="00AD5580">
      <w:pPr>
        <w:rPr>
          <w:rFonts w:eastAsia="Calibri"/>
        </w:rPr>
      </w:pPr>
    </w:p>
    <w:p w14:paraId="4AF469D7" w14:textId="5B43C309" w:rsidR="00AD5580" w:rsidRDefault="00AD5580" w:rsidP="00AD5580">
      <w:r>
        <w:t>Unlike Avista’s electric target which is established by order on a biennial basis, Avista’s natural gas target is an annual, non-binding target that is established in the company’s most re</w:t>
      </w:r>
      <w:r w:rsidRPr="005416D8">
        <w:t xml:space="preserve">cent IRP. Avista’s 2017 </w:t>
      </w:r>
      <w:r>
        <w:t xml:space="preserve">IRP </w:t>
      </w:r>
      <w:r w:rsidRPr="005416D8">
        <w:t>natural gas conservation target is 489,110 therms</w:t>
      </w:r>
      <w:r>
        <w:t>.</w:t>
      </w:r>
      <w:r>
        <w:rPr>
          <w:rStyle w:val="FootnoteReference"/>
        </w:rPr>
        <w:footnoteReference w:id="9"/>
      </w:r>
      <w:r w:rsidRPr="005416D8">
        <w:t xml:space="preserve"> Given Avista’s projected acquisition of 620,310 therms in 2017, the company </w:t>
      </w:r>
      <w:r>
        <w:t>should</w:t>
      </w:r>
      <w:r w:rsidRPr="005416D8">
        <w:t xml:space="preserve"> meet its target.</w:t>
      </w:r>
    </w:p>
    <w:p w14:paraId="1D8D37D9" w14:textId="77777777" w:rsidR="00AD5580" w:rsidRDefault="00AD5580" w:rsidP="00AD5580"/>
    <w:p w14:paraId="4DA43209" w14:textId="48878EDE" w:rsidR="00AD5580" w:rsidRDefault="00AD5580" w:rsidP="00AD5580">
      <w:r>
        <w:t xml:space="preserve">The changes in year-over-year savings expectations are relatively minor, and the </w:t>
      </w:r>
      <w:r w:rsidR="000C33C6">
        <w:t>u</w:t>
      </w:r>
      <w:r w:rsidR="00777AE0">
        <w:t xml:space="preserve">tility </w:t>
      </w:r>
      <w:r w:rsidR="000C33C6">
        <w:t>cost test</w:t>
      </w:r>
      <w:r>
        <w:t xml:space="preserve"> benefit-to-cost ratio for Avista’s Washington natural gas portfolio is projected to be </w:t>
      </w:r>
      <w:r w:rsidRPr="00A74008">
        <w:t>1.</w:t>
      </w:r>
      <w:r>
        <w:t xml:space="preserve">7 for 2017. </w:t>
      </w:r>
      <w:r w:rsidRPr="000D37EA">
        <w:t xml:space="preserve">The </w:t>
      </w:r>
      <w:r w:rsidR="00216C79">
        <w:t>ratio for the total resource cost test</w:t>
      </w:r>
      <w:r w:rsidR="00216C79" w:rsidRPr="000D37EA">
        <w:t xml:space="preserve"> </w:t>
      </w:r>
      <w:r w:rsidRPr="000D37EA">
        <w:t>is 0.9.</w:t>
      </w:r>
    </w:p>
    <w:p w14:paraId="2F205192" w14:textId="77777777" w:rsidR="00AD5580" w:rsidRDefault="00AD5580" w:rsidP="00AD5580"/>
    <w:p w14:paraId="05E620C4" w14:textId="77777777" w:rsidR="00AD5580" w:rsidRPr="0045454E" w:rsidRDefault="00AD5580" w:rsidP="00AD5580">
      <w:pPr>
        <w:rPr>
          <w:b/>
        </w:rPr>
      </w:pPr>
      <w:r w:rsidRPr="0045454E">
        <w:rPr>
          <w:b/>
        </w:rPr>
        <w:t>Supplemental Budget Analysis</w:t>
      </w:r>
    </w:p>
    <w:p w14:paraId="6883A0B2" w14:textId="77777777" w:rsidR="00AD5580" w:rsidRDefault="00AD5580" w:rsidP="00AD5580"/>
    <w:p w14:paraId="72E169F0" w14:textId="77777777" w:rsidR="00DE3013" w:rsidRDefault="00DE3013" w:rsidP="00DE3013">
      <w:r>
        <w:t xml:space="preserve">During the 2017 Annual Conservation Plan cycle, staff identified a need to analyze </w:t>
      </w:r>
      <w:r w:rsidRPr="006D4131">
        <w:t xml:space="preserve">each utility’s budget </w:t>
      </w:r>
      <w:r>
        <w:t>allocations as an additional metric of program success. Each company was asked to provide data on the programs 2017 Direct Benefit to Customers</w:t>
      </w:r>
      <w:r w:rsidRPr="00AB470E">
        <w:rPr>
          <w:vertAlign w:val="superscript"/>
        </w:rPr>
        <w:footnoteReference w:id="10"/>
      </w:r>
      <w:r>
        <w:t xml:space="preserve"> (DBtC) ratio along with an explanation of why the ratio was appropriate for the 2017 conservation program. </w:t>
      </w:r>
    </w:p>
    <w:p w14:paraId="73F507BB" w14:textId="77777777" w:rsidR="00AD5580" w:rsidRDefault="00AD5580" w:rsidP="00AD5580">
      <w:pPr>
        <w:rPr>
          <w:b/>
        </w:rPr>
      </w:pPr>
    </w:p>
    <w:p w14:paraId="1A367856" w14:textId="00C3E891" w:rsidR="00AD5580" w:rsidRDefault="00DE3013" w:rsidP="00AD5580">
      <w:pPr>
        <w:rPr>
          <w:color w:val="1F497D"/>
          <w:sz w:val="22"/>
          <w:szCs w:val="22"/>
        </w:rPr>
      </w:pPr>
      <w:r>
        <w:t xml:space="preserve">In the requested supplemental filing, </w:t>
      </w:r>
      <w:r w:rsidR="00AD5580">
        <w:t xml:space="preserve">Avista </w:t>
      </w:r>
      <w:r>
        <w:t xml:space="preserve">presented </w:t>
      </w:r>
      <w:r w:rsidR="00AD5580">
        <w:t xml:space="preserve">a </w:t>
      </w:r>
      <w:r w:rsidR="00966B40">
        <w:t>DBtC</w:t>
      </w:r>
      <w:r w:rsidR="00AD5580">
        <w:t xml:space="preserve"> ratio of 59 percent for the electric program, and 79 percent for the natural gas program. Unfortunately, 59 percent does not meet the 60 percent threshold. </w:t>
      </w:r>
      <w:r w:rsidR="00AD5580" w:rsidRPr="00056915">
        <w:t xml:space="preserve">The company believes that it has been conservative </w:t>
      </w:r>
      <w:r w:rsidR="00153434">
        <w:t xml:space="preserve">in </w:t>
      </w:r>
      <w:r w:rsidR="00AD5580" w:rsidRPr="00056915">
        <w:t xml:space="preserve">defining </w:t>
      </w:r>
      <w:r w:rsidR="0024075B">
        <w:t>DBtC</w:t>
      </w:r>
      <w:r w:rsidR="00153434">
        <w:t xml:space="preserve"> </w:t>
      </w:r>
      <w:r w:rsidR="00AD5580" w:rsidRPr="00056915">
        <w:t>within the programs</w:t>
      </w:r>
      <w:r w:rsidR="00FE5512">
        <w:t>,</w:t>
      </w:r>
      <w:r w:rsidR="00AD5580" w:rsidRPr="00056915">
        <w:t xml:space="preserve"> and while the planned electric conservation ratio is currently at 59</w:t>
      </w:r>
      <w:r>
        <w:t xml:space="preserve"> </w:t>
      </w:r>
      <w:r w:rsidR="00EE451F">
        <w:t>percent</w:t>
      </w:r>
      <w:r w:rsidR="00FE5512">
        <w:t xml:space="preserve">, </w:t>
      </w:r>
      <w:r w:rsidR="00EE451F" w:rsidRPr="00056915">
        <w:t xml:space="preserve"> </w:t>
      </w:r>
      <w:r w:rsidR="00AD5580" w:rsidRPr="00056915">
        <w:t>the company is confident that in the future it will exceed the expected 60</w:t>
      </w:r>
      <w:r>
        <w:t xml:space="preserve"> </w:t>
      </w:r>
      <w:r w:rsidR="00EE451F">
        <w:t>percent</w:t>
      </w:r>
      <w:r w:rsidR="00EE451F" w:rsidRPr="00056915">
        <w:t xml:space="preserve"> </w:t>
      </w:r>
      <w:r w:rsidR="00AD5580" w:rsidRPr="00056915">
        <w:t>threshold.</w:t>
      </w:r>
      <w:r>
        <w:rPr>
          <w:rStyle w:val="FootnoteReference"/>
        </w:rPr>
        <w:footnoteReference w:id="11"/>
      </w:r>
      <w:r w:rsidR="00AD5580" w:rsidRPr="00056915">
        <w:t xml:space="preserve"> </w:t>
      </w:r>
    </w:p>
    <w:p w14:paraId="36B34832" w14:textId="77777777" w:rsidR="00AD5580" w:rsidRDefault="00AD5580" w:rsidP="00AD5580">
      <w:pPr>
        <w:rPr>
          <w:b/>
        </w:rPr>
      </w:pPr>
    </w:p>
    <w:p w14:paraId="00D50B74" w14:textId="3FC45BD5" w:rsidR="001C51AA" w:rsidRDefault="001C51AA" w:rsidP="00AD5580">
      <w:pPr>
        <w:rPr>
          <w:b/>
        </w:rPr>
      </w:pPr>
      <w:r>
        <w:rPr>
          <w:b/>
        </w:rPr>
        <w:t>Stakeholder Comments</w:t>
      </w:r>
    </w:p>
    <w:p w14:paraId="6B03CE39" w14:textId="77777777" w:rsidR="001C51AA" w:rsidRDefault="001C51AA" w:rsidP="00AD5580">
      <w:pPr>
        <w:rPr>
          <w:b/>
        </w:rPr>
      </w:pPr>
    </w:p>
    <w:p w14:paraId="3B6376F1" w14:textId="77777777" w:rsidR="00CF3047" w:rsidRDefault="001C51AA" w:rsidP="00AD5580">
      <w:r w:rsidRPr="001C51AA">
        <w:t>In comments filed on January 20, 2017, Utility Conservation Services, LLC (UCONS) supported efforts to acquire conservation in hard-to-reach markets, specifically manufactured homes. In addition to urging the Commission to reinforce these efforts, UCONS suggests requiring reporting savings by sector alongside the conservation potential for each sector. UCONS also submitted a detailed proposal of a pilot program designed to reach manufactured homes customers in Pierce and Thurston counties.</w:t>
      </w:r>
      <w:r>
        <w:t xml:space="preserve"> </w:t>
      </w:r>
    </w:p>
    <w:p w14:paraId="5732EC9D" w14:textId="77777777" w:rsidR="00CF3047" w:rsidRDefault="00CF3047" w:rsidP="00AD5580"/>
    <w:p w14:paraId="6BF42EC6" w14:textId="46C0F121" w:rsidR="001C51AA" w:rsidRPr="001C51AA" w:rsidRDefault="001C51AA" w:rsidP="00AD5580">
      <w:r>
        <w:t xml:space="preserve">Staff </w:t>
      </w:r>
      <w:r w:rsidR="003A03B7">
        <w:t xml:space="preserve">encourages Avista </w:t>
      </w:r>
      <w:r w:rsidR="00D96BF6">
        <w:t>to evaluate the merits of the proposed pilot and explore</w:t>
      </w:r>
      <w:r w:rsidR="003A03B7">
        <w:t xml:space="preserve"> </w:t>
      </w:r>
      <w:r>
        <w:t>opportunities in the manufactured homes sector</w:t>
      </w:r>
      <w:r w:rsidR="003A03B7">
        <w:t xml:space="preserve"> </w:t>
      </w:r>
      <w:r w:rsidR="007933BF">
        <w:t>for inclusion</w:t>
      </w:r>
      <w:r w:rsidR="003A03B7">
        <w:t xml:space="preserve"> in their energy efficiency program</w:t>
      </w:r>
      <w:r>
        <w:t>.</w:t>
      </w:r>
    </w:p>
    <w:p w14:paraId="082519CA" w14:textId="77777777" w:rsidR="001C51AA" w:rsidRDefault="001C51AA" w:rsidP="00AD5580">
      <w:pPr>
        <w:rPr>
          <w:b/>
        </w:rPr>
      </w:pPr>
    </w:p>
    <w:p w14:paraId="7ACEB62A" w14:textId="0A850CC2" w:rsidR="00AD5580" w:rsidRPr="00995621" w:rsidRDefault="00AD5580" w:rsidP="00AD5580">
      <w:pPr>
        <w:rPr>
          <w:b/>
          <w:u w:val="single"/>
        </w:rPr>
      </w:pPr>
      <w:r w:rsidRPr="00995621">
        <w:rPr>
          <w:b/>
          <w:u w:val="single"/>
        </w:rPr>
        <w:t>Conclusion</w:t>
      </w:r>
    </w:p>
    <w:p w14:paraId="766F4CBA" w14:textId="77777777" w:rsidR="00AD5580" w:rsidRDefault="00AD5580" w:rsidP="00AD5580"/>
    <w:p w14:paraId="15BA21A2" w14:textId="41EA765F" w:rsidR="00701CC9" w:rsidRDefault="00AD5580" w:rsidP="00701CC9">
      <w:r w:rsidRPr="009F1083">
        <w:t>Avista has developed its electric and natural gas portfolios to cost effectively meet its biennial conservation targets. Therefore staff recommends that the commission</w:t>
      </w:r>
      <w:r w:rsidR="007E0B5F">
        <w:t xml:space="preserve"> take no action and</w:t>
      </w:r>
      <w:r w:rsidRPr="009F1083">
        <w:t xml:space="preserve"> acknowledge </w:t>
      </w:r>
      <w:r w:rsidR="007E0B5F">
        <w:t xml:space="preserve">the </w:t>
      </w:r>
      <w:r w:rsidRPr="009F1083">
        <w:t>timely receipt of the 2017 Demand-Side Management business plans on November 15, 2016, in Docket UE-152076 and UG-152077.</w:t>
      </w:r>
    </w:p>
    <w:sectPr w:rsidR="00701CC9" w:rsidSect="00995621">
      <w:headerReference w:type="default" r:id="rId12"/>
      <w:footerReference w:type="default" r:id="rId13"/>
      <w:pgSz w:w="12240" w:h="15840"/>
      <w:pgMar w:top="1440" w:right="1440" w:bottom="1440" w:left="1440" w:header="81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BE542" w14:textId="77777777" w:rsidR="001C0C4D" w:rsidRDefault="001C0C4D" w:rsidP="00FF75F4">
      <w:r>
        <w:separator/>
      </w:r>
    </w:p>
  </w:endnote>
  <w:endnote w:type="continuationSeparator" w:id="0">
    <w:p w14:paraId="3648723A" w14:textId="77777777" w:rsidR="001C0C4D" w:rsidRDefault="001C0C4D" w:rsidP="00FF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11253"/>
      <w:docPartObj>
        <w:docPartGallery w:val="Page Numbers (Bottom of Page)"/>
        <w:docPartUnique/>
      </w:docPartObj>
    </w:sdtPr>
    <w:sdtEndPr>
      <w:rPr>
        <w:noProof/>
      </w:rPr>
    </w:sdtEndPr>
    <w:sdtContent>
      <w:p w14:paraId="04AA9FE7" w14:textId="77777777" w:rsidR="001C0C4D" w:rsidRDefault="001C0C4D">
        <w:pPr>
          <w:pStyle w:val="Footer"/>
          <w:jc w:val="right"/>
        </w:pPr>
        <w:r>
          <w:fldChar w:fldCharType="begin"/>
        </w:r>
        <w:r>
          <w:instrText xml:space="preserve"> PAGE   \* MERGEFORMAT </w:instrText>
        </w:r>
        <w:r>
          <w:fldChar w:fldCharType="separate"/>
        </w:r>
        <w:r w:rsidR="002E27CA">
          <w:rPr>
            <w:noProof/>
          </w:rPr>
          <w:t>2</w:t>
        </w:r>
        <w:r>
          <w:rPr>
            <w:noProof/>
          </w:rPr>
          <w:fldChar w:fldCharType="end"/>
        </w:r>
      </w:p>
    </w:sdtContent>
  </w:sdt>
  <w:p w14:paraId="20C51C30" w14:textId="77777777" w:rsidR="001C0C4D" w:rsidRDefault="001C0C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080DD" w14:textId="77777777" w:rsidR="001C0C4D" w:rsidRDefault="001C0C4D" w:rsidP="00FF75F4">
      <w:r>
        <w:separator/>
      </w:r>
    </w:p>
  </w:footnote>
  <w:footnote w:type="continuationSeparator" w:id="0">
    <w:p w14:paraId="6B9E534C" w14:textId="77777777" w:rsidR="001C0C4D" w:rsidRDefault="001C0C4D" w:rsidP="00FF75F4">
      <w:r>
        <w:continuationSeparator/>
      </w:r>
    </w:p>
  </w:footnote>
  <w:footnote w:id="1">
    <w:p w14:paraId="7755192E" w14:textId="77777777" w:rsidR="001C0C4D" w:rsidRPr="00E203D1" w:rsidRDefault="001C0C4D" w:rsidP="00AD5580">
      <w:pPr>
        <w:pStyle w:val="FootnoteText"/>
      </w:pPr>
      <w:r w:rsidRPr="00E203D1">
        <w:rPr>
          <w:rStyle w:val="FootnoteReference"/>
        </w:rPr>
        <w:footnoteRef/>
      </w:r>
      <w:r w:rsidRPr="00E203D1">
        <w:t xml:space="preserve"> </w:t>
      </w:r>
      <w:r w:rsidRPr="0070361F">
        <w:rPr>
          <w:i/>
        </w:rPr>
        <w:t xml:space="preserve">In the Matter of Avista Corporation’s </w:t>
      </w:r>
      <w:r>
        <w:rPr>
          <w:i/>
        </w:rPr>
        <w:t xml:space="preserve">2016-2025 </w:t>
      </w:r>
      <w:r w:rsidRPr="0070361F">
        <w:rPr>
          <w:i/>
        </w:rPr>
        <w:t>Ten-Year Ach</w:t>
      </w:r>
      <w:r>
        <w:rPr>
          <w:i/>
        </w:rPr>
        <w:t>ievable Conservation Potential a</w:t>
      </w:r>
      <w:r w:rsidRPr="0070361F">
        <w:rPr>
          <w:i/>
        </w:rPr>
        <w:t xml:space="preserve">nd </w:t>
      </w:r>
      <w:r>
        <w:rPr>
          <w:i/>
        </w:rPr>
        <w:t xml:space="preserve">2016-2017 </w:t>
      </w:r>
      <w:r w:rsidRPr="0070361F">
        <w:rPr>
          <w:i/>
        </w:rPr>
        <w:t>Biennial Conservation Target Under RCW 19.285.040 and WAC 480-109-010</w:t>
      </w:r>
      <w:r>
        <w:t xml:space="preserve">, Docket UE-152076, Order 01 (January 28, 2016). </w:t>
      </w:r>
    </w:p>
  </w:footnote>
  <w:footnote w:id="2">
    <w:p w14:paraId="16B3DF77" w14:textId="77777777" w:rsidR="001C0C4D" w:rsidRDefault="001C0C4D" w:rsidP="00AD5580">
      <w:pPr>
        <w:pStyle w:val="FootnoteText"/>
      </w:pPr>
      <w:r>
        <w:rPr>
          <w:rStyle w:val="FootnoteReference"/>
        </w:rPr>
        <w:footnoteRef/>
      </w:r>
      <w:r>
        <w:t xml:space="preserve"> </w:t>
      </w:r>
      <w:r w:rsidRPr="004760C0">
        <w:t xml:space="preserve">Id. </w:t>
      </w:r>
      <w:r>
        <w:rPr>
          <w:rStyle w:val="LineNumber"/>
          <w:sz w:val="20"/>
          <w:szCs w:val="20"/>
        </w:rPr>
        <w:t>¶</w:t>
      </w:r>
      <w:r>
        <w:t>4.</w:t>
      </w:r>
    </w:p>
  </w:footnote>
  <w:footnote w:id="3">
    <w:p w14:paraId="0D90A57C" w14:textId="77777777" w:rsidR="001C0C4D" w:rsidRDefault="001C0C4D" w:rsidP="00AD5580">
      <w:pPr>
        <w:pStyle w:val="FootnoteText"/>
      </w:pPr>
      <w:r>
        <w:rPr>
          <w:rStyle w:val="FootnoteReference"/>
        </w:rPr>
        <w:footnoteRef/>
      </w:r>
      <w:r>
        <w:t xml:space="preserve"> </w:t>
      </w:r>
      <w:r>
        <w:rPr>
          <w:i/>
        </w:rPr>
        <w:t>Utilities and Transp. Comm’n v. Avista Corp</w:t>
      </w:r>
      <w:r w:rsidRPr="00D77F39">
        <w:rPr>
          <w:i/>
        </w:rPr>
        <w:t xml:space="preserve">., </w:t>
      </w:r>
      <w:r w:rsidRPr="00D77F39">
        <w:rPr>
          <w:rStyle w:val="LineNumber"/>
          <w:sz w:val="20"/>
          <w:szCs w:val="20"/>
        </w:rPr>
        <w:t>Dockets</w:t>
      </w:r>
      <w:r>
        <w:rPr>
          <w:rStyle w:val="LineNumber"/>
          <w:sz w:val="20"/>
          <w:szCs w:val="20"/>
        </w:rPr>
        <w:t xml:space="preserve"> UE-140188/UG-140189</w:t>
      </w:r>
      <w:r w:rsidRPr="00D77F39">
        <w:rPr>
          <w:rStyle w:val="LineNumber"/>
          <w:sz w:val="20"/>
          <w:szCs w:val="20"/>
        </w:rPr>
        <w:t xml:space="preserve">, </w:t>
      </w:r>
      <w:r w:rsidRPr="00D77F39">
        <w:t xml:space="preserve">Order </w:t>
      </w:r>
      <w:r>
        <w:rPr>
          <w:rStyle w:val="LineNumber"/>
          <w:sz w:val="20"/>
          <w:szCs w:val="20"/>
        </w:rPr>
        <w:t>05 at 12-13, ¶26</w:t>
      </w:r>
      <w:r w:rsidRPr="00D77F39">
        <w:rPr>
          <w:rStyle w:val="LineNumber"/>
          <w:sz w:val="20"/>
          <w:szCs w:val="20"/>
        </w:rPr>
        <w:t xml:space="preserve"> (</w:t>
      </w:r>
      <w:r>
        <w:rPr>
          <w:rStyle w:val="LineNumber"/>
          <w:sz w:val="20"/>
          <w:szCs w:val="20"/>
        </w:rPr>
        <w:t>November 25, 2014</w:t>
      </w:r>
      <w:r w:rsidRPr="00D77F39">
        <w:rPr>
          <w:rStyle w:val="LineNumber"/>
          <w:sz w:val="20"/>
          <w:szCs w:val="20"/>
        </w:rPr>
        <w:t>).</w:t>
      </w:r>
    </w:p>
  </w:footnote>
  <w:footnote w:id="4">
    <w:p w14:paraId="012943F1" w14:textId="77777777" w:rsidR="001C0C4D" w:rsidRPr="00765FD9" w:rsidRDefault="001C0C4D" w:rsidP="00AD5580">
      <w:pPr>
        <w:pStyle w:val="FootnoteText"/>
      </w:pPr>
      <w:r>
        <w:rPr>
          <w:rStyle w:val="FootnoteReference"/>
        </w:rPr>
        <w:footnoteRef/>
      </w:r>
      <w:r>
        <w:t xml:space="preserve"> Docket UE-152076, Order 01 (January 28, 2016) </w:t>
      </w:r>
      <w:r>
        <w:rPr>
          <w:rStyle w:val="LineNumber"/>
          <w:sz w:val="20"/>
          <w:szCs w:val="20"/>
        </w:rPr>
        <w:t>¶</w:t>
      </w:r>
      <w:r w:rsidRPr="00396D4F">
        <w:t>7</w:t>
      </w:r>
      <w:r>
        <w:t>.</w:t>
      </w:r>
    </w:p>
  </w:footnote>
  <w:footnote w:id="5">
    <w:p w14:paraId="27202961" w14:textId="208E5EEE" w:rsidR="001C0C4D" w:rsidRDefault="001C0C4D" w:rsidP="00AD5580">
      <w:pPr>
        <w:pStyle w:val="FootnoteText"/>
      </w:pPr>
      <w:r>
        <w:rPr>
          <w:rStyle w:val="FootnoteReference"/>
        </w:rPr>
        <w:footnoteRef/>
      </w:r>
      <w:r>
        <w:t xml:space="preserve"> </w:t>
      </w:r>
      <w:r w:rsidRPr="004C56A3">
        <w:rPr>
          <w:i/>
        </w:rPr>
        <w:t>Avista Corporation</w:t>
      </w:r>
      <w:r>
        <w:t xml:space="preserve">, Docket </w:t>
      </w:r>
      <w:r w:rsidRPr="004C56A3">
        <w:t>UE-</w:t>
      </w:r>
      <w:r>
        <w:t>152076, Revised 2016 DSM Business Plan (</w:t>
      </w:r>
      <w:r w:rsidR="00816663">
        <w:t>January 5</w:t>
      </w:r>
      <w:r>
        <w:t xml:space="preserve">, </w:t>
      </w:r>
      <w:r w:rsidR="00816663">
        <w:t>2016</w:t>
      </w:r>
      <w:r>
        <w:t>), Appendix B, at page 29 &amp; 30.</w:t>
      </w:r>
    </w:p>
  </w:footnote>
  <w:footnote w:id="6">
    <w:p w14:paraId="7103BA9F" w14:textId="5DB8AAF4" w:rsidR="00816663" w:rsidRDefault="00816663">
      <w:pPr>
        <w:pStyle w:val="FootnoteText"/>
      </w:pPr>
      <w:r>
        <w:rPr>
          <w:rStyle w:val="FootnoteReference"/>
        </w:rPr>
        <w:footnoteRef/>
      </w:r>
      <w:r>
        <w:t xml:space="preserve"> </w:t>
      </w:r>
      <w:r w:rsidRPr="004C56A3">
        <w:rPr>
          <w:i/>
        </w:rPr>
        <w:t>Avista Corporation</w:t>
      </w:r>
      <w:r>
        <w:t xml:space="preserve">, Docket </w:t>
      </w:r>
      <w:r w:rsidRPr="004C56A3">
        <w:t>UE-</w:t>
      </w:r>
      <w:r>
        <w:t xml:space="preserve">152076, Revised 2016 DSM Business Plan (January 5, 2016), Appendix B, at page </w:t>
      </w:r>
      <w:r w:rsidR="000C33C6">
        <w:t>176</w:t>
      </w:r>
      <w:r w:rsidR="004571A7">
        <w:t>.</w:t>
      </w:r>
    </w:p>
  </w:footnote>
  <w:footnote w:id="7">
    <w:p w14:paraId="687A173C" w14:textId="77777777" w:rsidR="00995621" w:rsidRDefault="00995621" w:rsidP="00995621">
      <w:pPr>
        <w:pStyle w:val="FootnoteText"/>
      </w:pPr>
      <w:r>
        <w:rPr>
          <w:rStyle w:val="FootnoteReference"/>
        </w:rPr>
        <w:footnoteRef/>
      </w:r>
      <w:r>
        <w:t xml:space="preserve"> </w:t>
      </w:r>
      <w:r w:rsidRPr="004C56A3">
        <w:rPr>
          <w:i/>
        </w:rPr>
        <w:t>Avista Corporation</w:t>
      </w:r>
      <w:r>
        <w:t xml:space="preserve">, Docket </w:t>
      </w:r>
      <w:r w:rsidRPr="004C56A3">
        <w:t>U</w:t>
      </w:r>
      <w:r>
        <w:t>G</w:t>
      </w:r>
      <w:r w:rsidRPr="004C56A3">
        <w:t>-</w:t>
      </w:r>
      <w:r>
        <w:t>152077, Revised 2017 DSM Business Plan (November 15, 2016), Appendix B, at page 29 &amp; 30</w:t>
      </w:r>
      <w:r>
        <w:rPr>
          <w:i/>
        </w:rPr>
        <w:t>.</w:t>
      </w:r>
    </w:p>
  </w:footnote>
  <w:footnote w:id="8">
    <w:p w14:paraId="2EDA546E" w14:textId="77777777" w:rsidR="00995621" w:rsidRDefault="00995621" w:rsidP="00995621">
      <w:pPr>
        <w:pStyle w:val="FootnoteText"/>
      </w:pPr>
      <w:r>
        <w:rPr>
          <w:rStyle w:val="FootnoteReference"/>
        </w:rPr>
        <w:footnoteRef/>
      </w:r>
      <w:r>
        <w:t xml:space="preserve"> Dramatic third party budget increase is due to reclassifying low-income administration cost as a third-party cost and higher-than-expected costs from contractors installing spray nozzles and aerators to reduce hot water usage.</w:t>
      </w:r>
    </w:p>
  </w:footnote>
  <w:footnote w:id="9">
    <w:p w14:paraId="47EF5B89" w14:textId="77777777" w:rsidR="001C0C4D" w:rsidRDefault="001C0C4D" w:rsidP="00AD5580">
      <w:pPr>
        <w:pStyle w:val="FootnoteText"/>
      </w:pPr>
      <w:r>
        <w:rPr>
          <w:rStyle w:val="FootnoteReference"/>
        </w:rPr>
        <w:footnoteRef/>
      </w:r>
      <w:r>
        <w:t xml:space="preserve"> </w:t>
      </w:r>
      <w:r w:rsidRPr="004C56A3">
        <w:rPr>
          <w:i/>
        </w:rPr>
        <w:t>Avista Corporation</w:t>
      </w:r>
      <w:r>
        <w:t xml:space="preserve">, Docket </w:t>
      </w:r>
      <w:r w:rsidRPr="004C56A3">
        <w:t>U</w:t>
      </w:r>
      <w:r>
        <w:t>G</w:t>
      </w:r>
      <w:r w:rsidRPr="004C56A3">
        <w:t>-</w:t>
      </w:r>
      <w:r>
        <w:t>151751, Natural Gas 2016 Integrated Resource Plan (August 31, 2016), Table 3.3, at page 52.</w:t>
      </w:r>
    </w:p>
  </w:footnote>
  <w:footnote w:id="10">
    <w:p w14:paraId="4CAA10ED" w14:textId="451CC858" w:rsidR="00DE3013" w:rsidRDefault="00DE3013" w:rsidP="00DE3013">
      <w:pPr>
        <w:pStyle w:val="FootnoteText"/>
      </w:pPr>
      <w:r>
        <w:rPr>
          <w:rStyle w:val="FootnoteReference"/>
        </w:rPr>
        <w:footnoteRef/>
      </w:r>
      <w:r>
        <w:t xml:space="preserve"> Direct benefits to customers includes but is not limited to: customer incentives, rebates, bill credits, credits on purchases, payments to community action agencies, free efficiency measures, and upstream incentives to partners or trade allies.</w:t>
      </w:r>
    </w:p>
  </w:footnote>
  <w:footnote w:id="11">
    <w:p w14:paraId="02611702" w14:textId="798A5AB0" w:rsidR="00DE3013" w:rsidRDefault="00DE3013">
      <w:pPr>
        <w:pStyle w:val="FootnoteText"/>
      </w:pPr>
      <w:r>
        <w:rPr>
          <w:rStyle w:val="FootnoteReference"/>
        </w:rPr>
        <w:footnoteRef/>
      </w:r>
      <w:r>
        <w:t xml:space="preserve"> The company</w:t>
      </w:r>
      <w:r w:rsidRPr="00056915">
        <w:t xml:space="preserve"> note</w:t>
      </w:r>
      <w:r>
        <w:t>s</w:t>
      </w:r>
      <w:r w:rsidRPr="00056915">
        <w:t xml:space="preserve"> that </w:t>
      </w:r>
      <w:r>
        <w:t xml:space="preserve">if they include electric-to-gas conversions, </w:t>
      </w:r>
      <w:r w:rsidRPr="00056915">
        <w:t>the planned direct</w:t>
      </w:r>
      <w:r>
        <w:t>-</w:t>
      </w:r>
      <w:r w:rsidRPr="00056915">
        <w:t>benefits</w:t>
      </w:r>
      <w:r>
        <w:t>-</w:t>
      </w:r>
      <w:r w:rsidRPr="00056915">
        <w:t>to</w:t>
      </w:r>
      <w:r>
        <w:t>-</w:t>
      </w:r>
      <w:r w:rsidRPr="00056915">
        <w:t xml:space="preserve">customers budget ratio for the electric portfolio </w:t>
      </w:r>
      <w:r>
        <w:t>improves to</w:t>
      </w:r>
      <w:r w:rsidRPr="00056915">
        <w:t xml:space="preserve"> 63</w:t>
      </w:r>
      <w:r>
        <w:t xml:space="preserve"> percent</w:t>
      </w:r>
      <w:r w:rsidRPr="00056915">
        <w:t xml:space="preserve"> and </w:t>
      </w:r>
      <w:r>
        <w:t>to</w:t>
      </w:r>
      <w:r w:rsidRPr="00056915">
        <w:t xml:space="preserve"> 79</w:t>
      </w:r>
      <w:r>
        <w:t xml:space="preserve"> percent for the natural gas portfolio</w:t>
      </w:r>
      <w:r w:rsidRPr="0005691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C8FD4" w14:textId="1F47BBEF" w:rsidR="001C0C4D" w:rsidRPr="00777586" w:rsidRDefault="001C0C4D" w:rsidP="002C648F">
    <w:pPr>
      <w:pStyle w:val="Header"/>
      <w:rPr>
        <w:sz w:val="20"/>
        <w:szCs w:val="20"/>
      </w:rPr>
    </w:pPr>
    <w:r w:rsidRPr="00777586">
      <w:rPr>
        <w:sz w:val="20"/>
        <w:szCs w:val="20"/>
      </w:rPr>
      <w:t>D</w:t>
    </w:r>
    <w:r>
      <w:rPr>
        <w:sz w:val="20"/>
        <w:szCs w:val="20"/>
      </w:rPr>
      <w:t>OCKETS UE-152076 AND UG-152077</w:t>
    </w:r>
  </w:p>
  <w:p w14:paraId="09C68FE9" w14:textId="69A9C8BA" w:rsidR="001C0C4D" w:rsidRPr="00777586" w:rsidRDefault="001C0C4D" w:rsidP="002C648F">
    <w:pPr>
      <w:pStyle w:val="Header"/>
      <w:rPr>
        <w:sz w:val="20"/>
        <w:szCs w:val="20"/>
      </w:rPr>
    </w:pPr>
    <w:r>
      <w:rPr>
        <w:sz w:val="20"/>
        <w:szCs w:val="20"/>
      </w:rPr>
      <w:t>January 26, 2017</w:t>
    </w:r>
  </w:p>
  <w:p w14:paraId="218B9398" w14:textId="77777777" w:rsidR="001C0C4D" w:rsidRPr="00777586" w:rsidRDefault="001C0C4D" w:rsidP="002C648F">
    <w:pPr>
      <w:pStyle w:val="Header"/>
      <w:rPr>
        <w:rStyle w:val="PageNumber"/>
        <w:sz w:val="20"/>
        <w:szCs w:val="20"/>
      </w:rPr>
    </w:pPr>
    <w:r w:rsidRPr="00777586">
      <w:rPr>
        <w:sz w:val="20"/>
        <w:szCs w:val="20"/>
      </w:rPr>
      <w:t xml:space="preserve">Page </w:t>
    </w:r>
    <w:r w:rsidRPr="00777586">
      <w:rPr>
        <w:rStyle w:val="PageNumber"/>
        <w:sz w:val="20"/>
        <w:szCs w:val="20"/>
      </w:rPr>
      <w:fldChar w:fldCharType="begin"/>
    </w:r>
    <w:r w:rsidRPr="00777586">
      <w:rPr>
        <w:rStyle w:val="PageNumber"/>
        <w:sz w:val="20"/>
        <w:szCs w:val="20"/>
      </w:rPr>
      <w:instrText xml:space="preserve"> PAGE </w:instrText>
    </w:r>
    <w:r w:rsidRPr="00777586">
      <w:rPr>
        <w:rStyle w:val="PageNumber"/>
        <w:sz w:val="20"/>
        <w:szCs w:val="20"/>
      </w:rPr>
      <w:fldChar w:fldCharType="separate"/>
    </w:r>
    <w:r w:rsidR="002E27CA">
      <w:rPr>
        <w:rStyle w:val="PageNumber"/>
        <w:noProof/>
        <w:sz w:val="20"/>
        <w:szCs w:val="20"/>
      </w:rPr>
      <w:t>2</w:t>
    </w:r>
    <w:r w:rsidRPr="00777586">
      <w:rPr>
        <w:rStyle w:val="PageNumber"/>
        <w:sz w:val="20"/>
        <w:szCs w:val="20"/>
      </w:rPr>
      <w:fldChar w:fldCharType="end"/>
    </w:r>
  </w:p>
  <w:p w14:paraId="02A9FFAB" w14:textId="77777777" w:rsidR="001C0C4D" w:rsidRPr="00E05888" w:rsidRDefault="001C0C4D" w:rsidP="00FF7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151DB"/>
    <w:multiLevelType w:val="hybridMultilevel"/>
    <w:tmpl w:val="09E4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36C12"/>
    <w:multiLevelType w:val="hybridMultilevel"/>
    <w:tmpl w:val="89DA0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A32C44"/>
    <w:multiLevelType w:val="multilevel"/>
    <w:tmpl w:val="826874EC"/>
    <w:lvl w:ilvl="0">
      <w:start w:val="1"/>
      <w:numFmt w:val="decimal"/>
      <w:lvlText w:val="%1)"/>
      <w:lvlJc w:val="left"/>
      <w:pPr>
        <w:ind w:left="360" w:hanging="360"/>
      </w:pPr>
      <w:rPr>
        <w:rFonts w:hint="default"/>
      </w:rPr>
    </w:lvl>
    <w:lvl w:ilvl="1">
      <w:start w:val="1"/>
      <w:numFmt w:val="lowerLetter"/>
      <w:lvlText w:val="%2)"/>
      <w:lvlJc w:val="left"/>
      <w:pPr>
        <w:ind w:left="720"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B93792C"/>
    <w:multiLevelType w:val="hybridMultilevel"/>
    <w:tmpl w:val="A0649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5B416B"/>
    <w:multiLevelType w:val="hybridMultilevel"/>
    <w:tmpl w:val="E128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F5"/>
    <w:rsid w:val="0000078C"/>
    <w:rsid w:val="00001805"/>
    <w:rsid w:val="0000423D"/>
    <w:rsid w:val="00006C49"/>
    <w:rsid w:val="000126E3"/>
    <w:rsid w:val="00013E26"/>
    <w:rsid w:val="000163EC"/>
    <w:rsid w:val="00025FA6"/>
    <w:rsid w:val="00037C78"/>
    <w:rsid w:val="00040CE3"/>
    <w:rsid w:val="00041921"/>
    <w:rsid w:val="00042271"/>
    <w:rsid w:val="00043283"/>
    <w:rsid w:val="00045810"/>
    <w:rsid w:val="00046219"/>
    <w:rsid w:val="00047427"/>
    <w:rsid w:val="0004779F"/>
    <w:rsid w:val="0005195C"/>
    <w:rsid w:val="00052CF6"/>
    <w:rsid w:val="00054659"/>
    <w:rsid w:val="00057A1C"/>
    <w:rsid w:val="00060360"/>
    <w:rsid w:val="00067825"/>
    <w:rsid w:val="00071171"/>
    <w:rsid w:val="0007172B"/>
    <w:rsid w:val="0007323E"/>
    <w:rsid w:val="00081B83"/>
    <w:rsid w:val="00082655"/>
    <w:rsid w:val="00086F2E"/>
    <w:rsid w:val="00087246"/>
    <w:rsid w:val="000878B9"/>
    <w:rsid w:val="00087962"/>
    <w:rsid w:val="00091968"/>
    <w:rsid w:val="00092CAE"/>
    <w:rsid w:val="00092E6A"/>
    <w:rsid w:val="00093F47"/>
    <w:rsid w:val="0009761D"/>
    <w:rsid w:val="00097757"/>
    <w:rsid w:val="000A1774"/>
    <w:rsid w:val="000A302B"/>
    <w:rsid w:val="000A3202"/>
    <w:rsid w:val="000A36EF"/>
    <w:rsid w:val="000A4EDF"/>
    <w:rsid w:val="000A6695"/>
    <w:rsid w:val="000B00F4"/>
    <w:rsid w:val="000C2FD7"/>
    <w:rsid w:val="000C33C6"/>
    <w:rsid w:val="000C3464"/>
    <w:rsid w:val="000C4AA0"/>
    <w:rsid w:val="000C561A"/>
    <w:rsid w:val="000C641A"/>
    <w:rsid w:val="000C6F30"/>
    <w:rsid w:val="000C7279"/>
    <w:rsid w:val="000C744A"/>
    <w:rsid w:val="000D120B"/>
    <w:rsid w:val="000D16AB"/>
    <w:rsid w:val="000D2AAE"/>
    <w:rsid w:val="000D335F"/>
    <w:rsid w:val="000D37EA"/>
    <w:rsid w:val="000D3B2E"/>
    <w:rsid w:val="000D607F"/>
    <w:rsid w:val="000E2D0C"/>
    <w:rsid w:val="000E3720"/>
    <w:rsid w:val="000E3E10"/>
    <w:rsid w:val="000E4D9A"/>
    <w:rsid w:val="000E5A4A"/>
    <w:rsid w:val="000F018D"/>
    <w:rsid w:val="000F41CD"/>
    <w:rsid w:val="000F71E4"/>
    <w:rsid w:val="00100426"/>
    <w:rsid w:val="00100726"/>
    <w:rsid w:val="001028B4"/>
    <w:rsid w:val="00103395"/>
    <w:rsid w:val="00103837"/>
    <w:rsid w:val="0010495C"/>
    <w:rsid w:val="00104E99"/>
    <w:rsid w:val="00106E5E"/>
    <w:rsid w:val="00110965"/>
    <w:rsid w:val="0011107B"/>
    <w:rsid w:val="001116D1"/>
    <w:rsid w:val="00112F41"/>
    <w:rsid w:val="001131F0"/>
    <w:rsid w:val="00115F20"/>
    <w:rsid w:val="001162AB"/>
    <w:rsid w:val="0011768B"/>
    <w:rsid w:val="00121A24"/>
    <w:rsid w:val="00124A6F"/>
    <w:rsid w:val="00125755"/>
    <w:rsid w:val="001261D0"/>
    <w:rsid w:val="00136539"/>
    <w:rsid w:val="00136969"/>
    <w:rsid w:val="0014084B"/>
    <w:rsid w:val="00144549"/>
    <w:rsid w:val="00146617"/>
    <w:rsid w:val="00147639"/>
    <w:rsid w:val="00147CA9"/>
    <w:rsid w:val="00150900"/>
    <w:rsid w:val="00152793"/>
    <w:rsid w:val="00153434"/>
    <w:rsid w:val="00154AC9"/>
    <w:rsid w:val="001621A5"/>
    <w:rsid w:val="00162E85"/>
    <w:rsid w:val="00170495"/>
    <w:rsid w:val="00170726"/>
    <w:rsid w:val="00170970"/>
    <w:rsid w:val="001715BB"/>
    <w:rsid w:val="0017204A"/>
    <w:rsid w:val="00177433"/>
    <w:rsid w:val="00177783"/>
    <w:rsid w:val="00180D93"/>
    <w:rsid w:val="001814EF"/>
    <w:rsid w:val="001828FE"/>
    <w:rsid w:val="001835F4"/>
    <w:rsid w:val="00186DE5"/>
    <w:rsid w:val="001916C0"/>
    <w:rsid w:val="001923BA"/>
    <w:rsid w:val="00192AD1"/>
    <w:rsid w:val="00194217"/>
    <w:rsid w:val="00194C72"/>
    <w:rsid w:val="00196880"/>
    <w:rsid w:val="001A408A"/>
    <w:rsid w:val="001B4AC2"/>
    <w:rsid w:val="001B62F1"/>
    <w:rsid w:val="001C0C4D"/>
    <w:rsid w:val="001C41E2"/>
    <w:rsid w:val="001C424C"/>
    <w:rsid w:val="001C51AA"/>
    <w:rsid w:val="001C5930"/>
    <w:rsid w:val="001C6C90"/>
    <w:rsid w:val="001C76BA"/>
    <w:rsid w:val="001C78C3"/>
    <w:rsid w:val="001D0D50"/>
    <w:rsid w:val="001D7BA1"/>
    <w:rsid w:val="001E02AA"/>
    <w:rsid w:val="001E5892"/>
    <w:rsid w:val="001E6027"/>
    <w:rsid w:val="001E6324"/>
    <w:rsid w:val="001E74F6"/>
    <w:rsid w:val="001F1DEC"/>
    <w:rsid w:val="001F262D"/>
    <w:rsid w:val="001F4BAA"/>
    <w:rsid w:val="001F5226"/>
    <w:rsid w:val="001F7AA5"/>
    <w:rsid w:val="002035C8"/>
    <w:rsid w:val="00204A52"/>
    <w:rsid w:val="0020635F"/>
    <w:rsid w:val="0021347D"/>
    <w:rsid w:val="0021408D"/>
    <w:rsid w:val="00216C79"/>
    <w:rsid w:val="00220A9A"/>
    <w:rsid w:val="002215D4"/>
    <w:rsid w:val="0022232D"/>
    <w:rsid w:val="0022377C"/>
    <w:rsid w:val="002245E8"/>
    <w:rsid w:val="00224987"/>
    <w:rsid w:val="00225BAA"/>
    <w:rsid w:val="0022715D"/>
    <w:rsid w:val="00227F90"/>
    <w:rsid w:val="00230536"/>
    <w:rsid w:val="00233031"/>
    <w:rsid w:val="00234D0C"/>
    <w:rsid w:val="00236427"/>
    <w:rsid w:val="0024075B"/>
    <w:rsid w:val="00240863"/>
    <w:rsid w:val="00240D31"/>
    <w:rsid w:val="00240D3C"/>
    <w:rsid w:val="00241B8C"/>
    <w:rsid w:val="00242044"/>
    <w:rsid w:val="00242082"/>
    <w:rsid w:val="00243747"/>
    <w:rsid w:val="00245ED5"/>
    <w:rsid w:val="00246541"/>
    <w:rsid w:val="00247D10"/>
    <w:rsid w:val="00252D7E"/>
    <w:rsid w:val="002545E2"/>
    <w:rsid w:val="00255F98"/>
    <w:rsid w:val="0025719E"/>
    <w:rsid w:val="00257374"/>
    <w:rsid w:val="0026091E"/>
    <w:rsid w:val="00262872"/>
    <w:rsid w:val="00266A9D"/>
    <w:rsid w:val="00266F1F"/>
    <w:rsid w:val="00267400"/>
    <w:rsid w:val="00270333"/>
    <w:rsid w:val="00270C65"/>
    <w:rsid w:val="0027129A"/>
    <w:rsid w:val="00271B9B"/>
    <w:rsid w:val="00271BAD"/>
    <w:rsid w:val="00271DF6"/>
    <w:rsid w:val="00272EAF"/>
    <w:rsid w:val="00277399"/>
    <w:rsid w:val="0027795B"/>
    <w:rsid w:val="00280F8A"/>
    <w:rsid w:val="00281461"/>
    <w:rsid w:val="00281DA2"/>
    <w:rsid w:val="0028215A"/>
    <w:rsid w:val="00284E91"/>
    <w:rsid w:val="00293B12"/>
    <w:rsid w:val="002964E3"/>
    <w:rsid w:val="002970C4"/>
    <w:rsid w:val="00297C4B"/>
    <w:rsid w:val="002A17DE"/>
    <w:rsid w:val="002A36C0"/>
    <w:rsid w:val="002A3F3D"/>
    <w:rsid w:val="002A5E87"/>
    <w:rsid w:val="002A67A9"/>
    <w:rsid w:val="002A7D14"/>
    <w:rsid w:val="002B0496"/>
    <w:rsid w:val="002B4FD8"/>
    <w:rsid w:val="002B5D6D"/>
    <w:rsid w:val="002C0730"/>
    <w:rsid w:val="002C40C5"/>
    <w:rsid w:val="002C5999"/>
    <w:rsid w:val="002C61AB"/>
    <w:rsid w:val="002C648F"/>
    <w:rsid w:val="002C74B0"/>
    <w:rsid w:val="002D3A0F"/>
    <w:rsid w:val="002D3D8B"/>
    <w:rsid w:val="002D4A71"/>
    <w:rsid w:val="002D5D50"/>
    <w:rsid w:val="002D7FAC"/>
    <w:rsid w:val="002E066C"/>
    <w:rsid w:val="002E27CA"/>
    <w:rsid w:val="002E634B"/>
    <w:rsid w:val="002E69E9"/>
    <w:rsid w:val="002E6E9B"/>
    <w:rsid w:val="002E7662"/>
    <w:rsid w:val="002E7CC5"/>
    <w:rsid w:val="002F156B"/>
    <w:rsid w:val="002F303C"/>
    <w:rsid w:val="002F5A33"/>
    <w:rsid w:val="002F7C4E"/>
    <w:rsid w:val="002F7D05"/>
    <w:rsid w:val="002F7FCC"/>
    <w:rsid w:val="00300618"/>
    <w:rsid w:val="00304156"/>
    <w:rsid w:val="00304D53"/>
    <w:rsid w:val="00306662"/>
    <w:rsid w:val="003109C9"/>
    <w:rsid w:val="003139AE"/>
    <w:rsid w:val="00314086"/>
    <w:rsid w:val="00315509"/>
    <w:rsid w:val="003175DA"/>
    <w:rsid w:val="00321161"/>
    <w:rsid w:val="0032145A"/>
    <w:rsid w:val="00322A9D"/>
    <w:rsid w:val="00324B06"/>
    <w:rsid w:val="0032544B"/>
    <w:rsid w:val="00331A7F"/>
    <w:rsid w:val="003326BC"/>
    <w:rsid w:val="003329DB"/>
    <w:rsid w:val="00332D84"/>
    <w:rsid w:val="00332F2F"/>
    <w:rsid w:val="003344F2"/>
    <w:rsid w:val="0033743D"/>
    <w:rsid w:val="0033757E"/>
    <w:rsid w:val="00340117"/>
    <w:rsid w:val="003432D1"/>
    <w:rsid w:val="00343B9D"/>
    <w:rsid w:val="003507BF"/>
    <w:rsid w:val="00353548"/>
    <w:rsid w:val="00356B73"/>
    <w:rsid w:val="003607EF"/>
    <w:rsid w:val="003614F9"/>
    <w:rsid w:val="00362EE7"/>
    <w:rsid w:val="00364846"/>
    <w:rsid w:val="00367A38"/>
    <w:rsid w:val="003702DA"/>
    <w:rsid w:val="0037080B"/>
    <w:rsid w:val="0037115E"/>
    <w:rsid w:val="00372101"/>
    <w:rsid w:val="003776C2"/>
    <w:rsid w:val="00377B31"/>
    <w:rsid w:val="0038660C"/>
    <w:rsid w:val="003915F4"/>
    <w:rsid w:val="00391716"/>
    <w:rsid w:val="00391AB8"/>
    <w:rsid w:val="003927A9"/>
    <w:rsid w:val="00394387"/>
    <w:rsid w:val="00396D4F"/>
    <w:rsid w:val="0039757E"/>
    <w:rsid w:val="003A03B7"/>
    <w:rsid w:val="003A5028"/>
    <w:rsid w:val="003A683D"/>
    <w:rsid w:val="003A704D"/>
    <w:rsid w:val="003B0E6C"/>
    <w:rsid w:val="003B1607"/>
    <w:rsid w:val="003B2018"/>
    <w:rsid w:val="003B2045"/>
    <w:rsid w:val="003B4498"/>
    <w:rsid w:val="003B741B"/>
    <w:rsid w:val="003C7708"/>
    <w:rsid w:val="003C7975"/>
    <w:rsid w:val="003D0C6B"/>
    <w:rsid w:val="003D21C9"/>
    <w:rsid w:val="003D38E4"/>
    <w:rsid w:val="003D3A3A"/>
    <w:rsid w:val="003D75C8"/>
    <w:rsid w:val="003E512F"/>
    <w:rsid w:val="003E7551"/>
    <w:rsid w:val="003F05EC"/>
    <w:rsid w:val="003F1BDE"/>
    <w:rsid w:val="003F2771"/>
    <w:rsid w:val="003F42B6"/>
    <w:rsid w:val="003F4544"/>
    <w:rsid w:val="0040003B"/>
    <w:rsid w:val="00403277"/>
    <w:rsid w:val="004060C1"/>
    <w:rsid w:val="0040679F"/>
    <w:rsid w:val="004077E1"/>
    <w:rsid w:val="004108F1"/>
    <w:rsid w:val="004148E7"/>
    <w:rsid w:val="0042088D"/>
    <w:rsid w:val="0042262E"/>
    <w:rsid w:val="004242A1"/>
    <w:rsid w:val="00432455"/>
    <w:rsid w:val="00434F15"/>
    <w:rsid w:val="004357E3"/>
    <w:rsid w:val="004358D6"/>
    <w:rsid w:val="004429B7"/>
    <w:rsid w:val="004448DE"/>
    <w:rsid w:val="00446867"/>
    <w:rsid w:val="004511F7"/>
    <w:rsid w:val="004551A5"/>
    <w:rsid w:val="004563C6"/>
    <w:rsid w:val="00456917"/>
    <w:rsid w:val="004571A7"/>
    <w:rsid w:val="0045798A"/>
    <w:rsid w:val="004600EE"/>
    <w:rsid w:val="00465007"/>
    <w:rsid w:val="00465904"/>
    <w:rsid w:val="0046683B"/>
    <w:rsid w:val="00471B11"/>
    <w:rsid w:val="00473E34"/>
    <w:rsid w:val="004746F2"/>
    <w:rsid w:val="004760C0"/>
    <w:rsid w:val="00477C7C"/>
    <w:rsid w:val="00480355"/>
    <w:rsid w:val="00482FF7"/>
    <w:rsid w:val="00483226"/>
    <w:rsid w:val="00487BAE"/>
    <w:rsid w:val="004906E4"/>
    <w:rsid w:val="0049115C"/>
    <w:rsid w:val="00491392"/>
    <w:rsid w:val="00491D88"/>
    <w:rsid w:val="00493DC1"/>
    <w:rsid w:val="00493F7E"/>
    <w:rsid w:val="00494B89"/>
    <w:rsid w:val="0049502D"/>
    <w:rsid w:val="004A1FAC"/>
    <w:rsid w:val="004A2726"/>
    <w:rsid w:val="004A3142"/>
    <w:rsid w:val="004A4BD4"/>
    <w:rsid w:val="004A592D"/>
    <w:rsid w:val="004A5BBD"/>
    <w:rsid w:val="004A60AC"/>
    <w:rsid w:val="004B2C53"/>
    <w:rsid w:val="004B4DA1"/>
    <w:rsid w:val="004C1F12"/>
    <w:rsid w:val="004C207B"/>
    <w:rsid w:val="004C23F1"/>
    <w:rsid w:val="004C2614"/>
    <w:rsid w:val="004C3E8A"/>
    <w:rsid w:val="004C56A3"/>
    <w:rsid w:val="004D2FEB"/>
    <w:rsid w:val="004D3401"/>
    <w:rsid w:val="004D4B4E"/>
    <w:rsid w:val="004D54EF"/>
    <w:rsid w:val="004E1AB3"/>
    <w:rsid w:val="004E26BB"/>
    <w:rsid w:val="004F36CA"/>
    <w:rsid w:val="004F5242"/>
    <w:rsid w:val="004F5CB4"/>
    <w:rsid w:val="004F77EA"/>
    <w:rsid w:val="00501C2C"/>
    <w:rsid w:val="00501FDA"/>
    <w:rsid w:val="005024F9"/>
    <w:rsid w:val="00505AB1"/>
    <w:rsid w:val="005104EB"/>
    <w:rsid w:val="00511608"/>
    <w:rsid w:val="00511660"/>
    <w:rsid w:val="0051363C"/>
    <w:rsid w:val="0051415F"/>
    <w:rsid w:val="00514B14"/>
    <w:rsid w:val="00514DF5"/>
    <w:rsid w:val="00514E29"/>
    <w:rsid w:val="00520170"/>
    <w:rsid w:val="00520CC1"/>
    <w:rsid w:val="00520D0B"/>
    <w:rsid w:val="00521024"/>
    <w:rsid w:val="00521DDB"/>
    <w:rsid w:val="00522C40"/>
    <w:rsid w:val="00524B4F"/>
    <w:rsid w:val="00530AAC"/>
    <w:rsid w:val="00531666"/>
    <w:rsid w:val="00531701"/>
    <w:rsid w:val="005335AD"/>
    <w:rsid w:val="00533AF3"/>
    <w:rsid w:val="005360AD"/>
    <w:rsid w:val="005416D8"/>
    <w:rsid w:val="005426DF"/>
    <w:rsid w:val="00542B56"/>
    <w:rsid w:val="005440CF"/>
    <w:rsid w:val="00544D1E"/>
    <w:rsid w:val="00544FA1"/>
    <w:rsid w:val="00545A58"/>
    <w:rsid w:val="00546658"/>
    <w:rsid w:val="00546F83"/>
    <w:rsid w:val="00554515"/>
    <w:rsid w:val="00554A08"/>
    <w:rsid w:val="0055621D"/>
    <w:rsid w:val="005573F5"/>
    <w:rsid w:val="005648F7"/>
    <w:rsid w:val="00566C61"/>
    <w:rsid w:val="00576D55"/>
    <w:rsid w:val="0058116D"/>
    <w:rsid w:val="00582BBA"/>
    <w:rsid w:val="00582C07"/>
    <w:rsid w:val="005833BC"/>
    <w:rsid w:val="00584164"/>
    <w:rsid w:val="0058597F"/>
    <w:rsid w:val="0059285C"/>
    <w:rsid w:val="005931A0"/>
    <w:rsid w:val="00593784"/>
    <w:rsid w:val="005953C7"/>
    <w:rsid w:val="00595D22"/>
    <w:rsid w:val="00597E7E"/>
    <w:rsid w:val="005A0A09"/>
    <w:rsid w:val="005A2073"/>
    <w:rsid w:val="005A496B"/>
    <w:rsid w:val="005A4A28"/>
    <w:rsid w:val="005A4AE0"/>
    <w:rsid w:val="005A7B7E"/>
    <w:rsid w:val="005B05C8"/>
    <w:rsid w:val="005B4935"/>
    <w:rsid w:val="005B75FE"/>
    <w:rsid w:val="005C152F"/>
    <w:rsid w:val="005C3300"/>
    <w:rsid w:val="005C36BA"/>
    <w:rsid w:val="005C4D51"/>
    <w:rsid w:val="005D2A45"/>
    <w:rsid w:val="005D3070"/>
    <w:rsid w:val="005D3A54"/>
    <w:rsid w:val="005D4DC5"/>
    <w:rsid w:val="005D5411"/>
    <w:rsid w:val="005D7576"/>
    <w:rsid w:val="005E21C2"/>
    <w:rsid w:val="005E3549"/>
    <w:rsid w:val="005E38F5"/>
    <w:rsid w:val="005E395B"/>
    <w:rsid w:val="005E4477"/>
    <w:rsid w:val="005E4F1A"/>
    <w:rsid w:val="005F0821"/>
    <w:rsid w:val="005F2807"/>
    <w:rsid w:val="005F47B0"/>
    <w:rsid w:val="005F7C69"/>
    <w:rsid w:val="006017F3"/>
    <w:rsid w:val="00604136"/>
    <w:rsid w:val="0060445E"/>
    <w:rsid w:val="00605644"/>
    <w:rsid w:val="00607D15"/>
    <w:rsid w:val="00607DFE"/>
    <w:rsid w:val="006104C9"/>
    <w:rsid w:val="00612FE0"/>
    <w:rsid w:val="006135B4"/>
    <w:rsid w:val="00614D68"/>
    <w:rsid w:val="00617887"/>
    <w:rsid w:val="00617A87"/>
    <w:rsid w:val="00624FC0"/>
    <w:rsid w:val="00625424"/>
    <w:rsid w:val="00626FC3"/>
    <w:rsid w:val="00627018"/>
    <w:rsid w:val="00630E56"/>
    <w:rsid w:val="00632454"/>
    <w:rsid w:val="00632EAB"/>
    <w:rsid w:val="006348A7"/>
    <w:rsid w:val="00643083"/>
    <w:rsid w:val="006458CD"/>
    <w:rsid w:val="00645F4C"/>
    <w:rsid w:val="00651161"/>
    <w:rsid w:val="00651612"/>
    <w:rsid w:val="0065373E"/>
    <w:rsid w:val="006546F8"/>
    <w:rsid w:val="00657DEE"/>
    <w:rsid w:val="006605D9"/>
    <w:rsid w:val="00663635"/>
    <w:rsid w:val="00663BC6"/>
    <w:rsid w:val="00664129"/>
    <w:rsid w:val="006642BD"/>
    <w:rsid w:val="00665534"/>
    <w:rsid w:val="00665ACD"/>
    <w:rsid w:val="00666693"/>
    <w:rsid w:val="00666B06"/>
    <w:rsid w:val="006670A6"/>
    <w:rsid w:val="00667FB8"/>
    <w:rsid w:val="00672A8F"/>
    <w:rsid w:val="006733D9"/>
    <w:rsid w:val="00673770"/>
    <w:rsid w:val="0068531E"/>
    <w:rsid w:val="00685BB0"/>
    <w:rsid w:val="00697CDA"/>
    <w:rsid w:val="00697EBD"/>
    <w:rsid w:val="006A245B"/>
    <w:rsid w:val="006A28C2"/>
    <w:rsid w:val="006A53CF"/>
    <w:rsid w:val="006A5F45"/>
    <w:rsid w:val="006A6873"/>
    <w:rsid w:val="006A6A1D"/>
    <w:rsid w:val="006A70BC"/>
    <w:rsid w:val="006B020B"/>
    <w:rsid w:val="006B0A35"/>
    <w:rsid w:val="006B2317"/>
    <w:rsid w:val="006B2981"/>
    <w:rsid w:val="006B44A2"/>
    <w:rsid w:val="006B4A05"/>
    <w:rsid w:val="006B5368"/>
    <w:rsid w:val="006C19C3"/>
    <w:rsid w:val="006C1A2B"/>
    <w:rsid w:val="006D2279"/>
    <w:rsid w:val="006D3747"/>
    <w:rsid w:val="006D4BCC"/>
    <w:rsid w:val="006E0ACD"/>
    <w:rsid w:val="006E29B5"/>
    <w:rsid w:val="006E2FCC"/>
    <w:rsid w:val="006E356D"/>
    <w:rsid w:val="006E3A25"/>
    <w:rsid w:val="006E4394"/>
    <w:rsid w:val="006E79D6"/>
    <w:rsid w:val="006F1159"/>
    <w:rsid w:val="006F40D8"/>
    <w:rsid w:val="006F52FD"/>
    <w:rsid w:val="006F767C"/>
    <w:rsid w:val="006F7BF2"/>
    <w:rsid w:val="00701CC9"/>
    <w:rsid w:val="00701D51"/>
    <w:rsid w:val="007033BA"/>
    <w:rsid w:val="007043A0"/>
    <w:rsid w:val="007070E3"/>
    <w:rsid w:val="007110E6"/>
    <w:rsid w:val="00713D2E"/>
    <w:rsid w:val="007152EE"/>
    <w:rsid w:val="007221E3"/>
    <w:rsid w:val="0072281A"/>
    <w:rsid w:val="007228CB"/>
    <w:rsid w:val="0072754F"/>
    <w:rsid w:val="0073236F"/>
    <w:rsid w:val="007338D7"/>
    <w:rsid w:val="00735874"/>
    <w:rsid w:val="007364B4"/>
    <w:rsid w:val="00740EB1"/>
    <w:rsid w:val="0074112A"/>
    <w:rsid w:val="007422D9"/>
    <w:rsid w:val="0074247D"/>
    <w:rsid w:val="00744C90"/>
    <w:rsid w:val="007453CD"/>
    <w:rsid w:val="00750105"/>
    <w:rsid w:val="0075067C"/>
    <w:rsid w:val="007507D2"/>
    <w:rsid w:val="00752C89"/>
    <w:rsid w:val="00752CE3"/>
    <w:rsid w:val="00753CDB"/>
    <w:rsid w:val="00754E12"/>
    <w:rsid w:val="0075699B"/>
    <w:rsid w:val="00756DFE"/>
    <w:rsid w:val="00757194"/>
    <w:rsid w:val="00764E50"/>
    <w:rsid w:val="00765FD9"/>
    <w:rsid w:val="0076670E"/>
    <w:rsid w:val="00767FFB"/>
    <w:rsid w:val="007711F0"/>
    <w:rsid w:val="00772B6D"/>
    <w:rsid w:val="00774C1D"/>
    <w:rsid w:val="00776B7B"/>
    <w:rsid w:val="00777AE0"/>
    <w:rsid w:val="00777EFE"/>
    <w:rsid w:val="00784F57"/>
    <w:rsid w:val="0078584E"/>
    <w:rsid w:val="00787019"/>
    <w:rsid w:val="00790F7E"/>
    <w:rsid w:val="007920B3"/>
    <w:rsid w:val="00792708"/>
    <w:rsid w:val="00792758"/>
    <w:rsid w:val="007933BF"/>
    <w:rsid w:val="00797A54"/>
    <w:rsid w:val="007A2B2C"/>
    <w:rsid w:val="007A3FFE"/>
    <w:rsid w:val="007A6C79"/>
    <w:rsid w:val="007B0D24"/>
    <w:rsid w:val="007B3A29"/>
    <w:rsid w:val="007B7BB4"/>
    <w:rsid w:val="007B7E1A"/>
    <w:rsid w:val="007C1F65"/>
    <w:rsid w:val="007C22D5"/>
    <w:rsid w:val="007C5788"/>
    <w:rsid w:val="007C66EB"/>
    <w:rsid w:val="007C7855"/>
    <w:rsid w:val="007C7A4B"/>
    <w:rsid w:val="007D0C27"/>
    <w:rsid w:val="007D1FCB"/>
    <w:rsid w:val="007D3D1A"/>
    <w:rsid w:val="007D409B"/>
    <w:rsid w:val="007D50DE"/>
    <w:rsid w:val="007D674F"/>
    <w:rsid w:val="007D6A75"/>
    <w:rsid w:val="007D732D"/>
    <w:rsid w:val="007E0B5F"/>
    <w:rsid w:val="007E0EB5"/>
    <w:rsid w:val="007E55FF"/>
    <w:rsid w:val="007E5710"/>
    <w:rsid w:val="007E6E0C"/>
    <w:rsid w:val="007F0775"/>
    <w:rsid w:val="007F0A61"/>
    <w:rsid w:val="007F5144"/>
    <w:rsid w:val="007F682C"/>
    <w:rsid w:val="00800F62"/>
    <w:rsid w:val="00803182"/>
    <w:rsid w:val="00803942"/>
    <w:rsid w:val="00804BD8"/>
    <w:rsid w:val="0080514B"/>
    <w:rsid w:val="00810A83"/>
    <w:rsid w:val="008152F2"/>
    <w:rsid w:val="0081564A"/>
    <w:rsid w:val="00816663"/>
    <w:rsid w:val="00820A0A"/>
    <w:rsid w:val="00820CA8"/>
    <w:rsid w:val="0082172B"/>
    <w:rsid w:val="008230A3"/>
    <w:rsid w:val="008256DC"/>
    <w:rsid w:val="00832613"/>
    <w:rsid w:val="00832824"/>
    <w:rsid w:val="00832C63"/>
    <w:rsid w:val="00837009"/>
    <w:rsid w:val="0083795A"/>
    <w:rsid w:val="00842F1A"/>
    <w:rsid w:val="00845AFC"/>
    <w:rsid w:val="00845BDF"/>
    <w:rsid w:val="008466C5"/>
    <w:rsid w:val="00846CE4"/>
    <w:rsid w:val="00852607"/>
    <w:rsid w:val="008570EB"/>
    <w:rsid w:val="0086196B"/>
    <w:rsid w:val="00862939"/>
    <w:rsid w:val="00862FFC"/>
    <w:rsid w:val="0086357B"/>
    <w:rsid w:val="0086422D"/>
    <w:rsid w:val="00867374"/>
    <w:rsid w:val="008745FE"/>
    <w:rsid w:val="00876F19"/>
    <w:rsid w:val="008771C3"/>
    <w:rsid w:val="00880D77"/>
    <w:rsid w:val="008900C9"/>
    <w:rsid w:val="00892055"/>
    <w:rsid w:val="00897030"/>
    <w:rsid w:val="00897738"/>
    <w:rsid w:val="008A1263"/>
    <w:rsid w:val="008A2CAB"/>
    <w:rsid w:val="008A4054"/>
    <w:rsid w:val="008A4EE5"/>
    <w:rsid w:val="008A7221"/>
    <w:rsid w:val="008B4959"/>
    <w:rsid w:val="008B5111"/>
    <w:rsid w:val="008B6B82"/>
    <w:rsid w:val="008B7072"/>
    <w:rsid w:val="008C08ED"/>
    <w:rsid w:val="008C11B4"/>
    <w:rsid w:val="008C19D4"/>
    <w:rsid w:val="008C5FF2"/>
    <w:rsid w:val="008C77B1"/>
    <w:rsid w:val="008D12DA"/>
    <w:rsid w:val="008D2D64"/>
    <w:rsid w:val="008E517E"/>
    <w:rsid w:val="008E54DC"/>
    <w:rsid w:val="008E75AD"/>
    <w:rsid w:val="008E7E17"/>
    <w:rsid w:val="008F2680"/>
    <w:rsid w:val="008F50EB"/>
    <w:rsid w:val="008F651A"/>
    <w:rsid w:val="009003B9"/>
    <w:rsid w:val="00903DEF"/>
    <w:rsid w:val="009041C3"/>
    <w:rsid w:val="00904645"/>
    <w:rsid w:val="009060CE"/>
    <w:rsid w:val="00906BDD"/>
    <w:rsid w:val="00907168"/>
    <w:rsid w:val="0091069F"/>
    <w:rsid w:val="00911AC6"/>
    <w:rsid w:val="00913DE5"/>
    <w:rsid w:val="00915206"/>
    <w:rsid w:val="009249F0"/>
    <w:rsid w:val="0092524C"/>
    <w:rsid w:val="00931127"/>
    <w:rsid w:val="0093145C"/>
    <w:rsid w:val="00932534"/>
    <w:rsid w:val="009363BA"/>
    <w:rsid w:val="0094219C"/>
    <w:rsid w:val="00944C0E"/>
    <w:rsid w:val="00947A1D"/>
    <w:rsid w:val="00947AAF"/>
    <w:rsid w:val="00947CCA"/>
    <w:rsid w:val="00956BA6"/>
    <w:rsid w:val="00962B36"/>
    <w:rsid w:val="00963D1F"/>
    <w:rsid w:val="009652E7"/>
    <w:rsid w:val="00965841"/>
    <w:rsid w:val="009666EB"/>
    <w:rsid w:val="00966B40"/>
    <w:rsid w:val="009702DA"/>
    <w:rsid w:val="009712CC"/>
    <w:rsid w:val="009721A5"/>
    <w:rsid w:val="009742A7"/>
    <w:rsid w:val="00975B14"/>
    <w:rsid w:val="00980023"/>
    <w:rsid w:val="00980095"/>
    <w:rsid w:val="009828A2"/>
    <w:rsid w:val="00983772"/>
    <w:rsid w:val="0098532A"/>
    <w:rsid w:val="00985D0D"/>
    <w:rsid w:val="00992B48"/>
    <w:rsid w:val="00993829"/>
    <w:rsid w:val="00993D47"/>
    <w:rsid w:val="009940EE"/>
    <w:rsid w:val="00995621"/>
    <w:rsid w:val="009A19CD"/>
    <w:rsid w:val="009A3129"/>
    <w:rsid w:val="009A5A47"/>
    <w:rsid w:val="009A6FAA"/>
    <w:rsid w:val="009A788C"/>
    <w:rsid w:val="009B2AD7"/>
    <w:rsid w:val="009B2FBA"/>
    <w:rsid w:val="009B3A78"/>
    <w:rsid w:val="009C11D6"/>
    <w:rsid w:val="009C2209"/>
    <w:rsid w:val="009C3A9C"/>
    <w:rsid w:val="009C4479"/>
    <w:rsid w:val="009C4F77"/>
    <w:rsid w:val="009D175E"/>
    <w:rsid w:val="009D3809"/>
    <w:rsid w:val="009D4411"/>
    <w:rsid w:val="009D6358"/>
    <w:rsid w:val="009E26F6"/>
    <w:rsid w:val="009E2849"/>
    <w:rsid w:val="009E2AFA"/>
    <w:rsid w:val="009E3AEB"/>
    <w:rsid w:val="009E6921"/>
    <w:rsid w:val="009F1CA4"/>
    <w:rsid w:val="009F24EF"/>
    <w:rsid w:val="009F2B7D"/>
    <w:rsid w:val="009F2CFD"/>
    <w:rsid w:val="009F407A"/>
    <w:rsid w:val="009F45FA"/>
    <w:rsid w:val="009F7387"/>
    <w:rsid w:val="009F7605"/>
    <w:rsid w:val="00A0516E"/>
    <w:rsid w:val="00A07394"/>
    <w:rsid w:val="00A13EAE"/>
    <w:rsid w:val="00A30F46"/>
    <w:rsid w:val="00A32572"/>
    <w:rsid w:val="00A33C8A"/>
    <w:rsid w:val="00A34EE4"/>
    <w:rsid w:val="00A36074"/>
    <w:rsid w:val="00A36FEA"/>
    <w:rsid w:val="00A413E1"/>
    <w:rsid w:val="00A456E1"/>
    <w:rsid w:val="00A45CE4"/>
    <w:rsid w:val="00A471B5"/>
    <w:rsid w:val="00A50E00"/>
    <w:rsid w:val="00A50F3F"/>
    <w:rsid w:val="00A51C05"/>
    <w:rsid w:val="00A55508"/>
    <w:rsid w:val="00A56593"/>
    <w:rsid w:val="00A62F07"/>
    <w:rsid w:val="00A633F2"/>
    <w:rsid w:val="00A63EFB"/>
    <w:rsid w:val="00A6600F"/>
    <w:rsid w:val="00A72A8F"/>
    <w:rsid w:val="00A72EBE"/>
    <w:rsid w:val="00A734AE"/>
    <w:rsid w:val="00A74008"/>
    <w:rsid w:val="00A74120"/>
    <w:rsid w:val="00A77CB0"/>
    <w:rsid w:val="00A85CC7"/>
    <w:rsid w:val="00A92875"/>
    <w:rsid w:val="00A92BA7"/>
    <w:rsid w:val="00A93116"/>
    <w:rsid w:val="00A944D4"/>
    <w:rsid w:val="00A94652"/>
    <w:rsid w:val="00A97894"/>
    <w:rsid w:val="00A97A07"/>
    <w:rsid w:val="00AA015C"/>
    <w:rsid w:val="00AA20F7"/>
    <w:rsid w:val="00AA2EF9"/>
    <w:rsid w:val="00AA3FE8"/>
    <w:rsid w:val="00AA482F"/>
    <w:rsid w:val="00AA4B6A"/>
    <w:rsid w:val="00AA510D"/>
    <w:rsid w:val="00AB0136"/>
    <w:rsid w:val="00AB040F"/>
    <w:rsid w:val="00AB157C"/>
    <w:rsid w:val="00AB4001"/>
    <w:rsid w:val="00AB6EC6"/>
    <w:rsid w:val="00AC0212"/>
    <w:rsid w:val="00AC3323"/>
    <w:rsid w:val="00AC4BD9"/>
    <w:rsid w:val="00AC6B2D"/>
    <w:rsid w:val="00AC71C3"/>
    <w:rsid w:val="00AC7A6F"/>
    <w:rsid w:val="00AD2539"/>
    <w:rsid w:val="00AD4449"/>
    <w:rsid w:val="00AD4D61"/>
    <w:rsid w:val="00AD4E0E"/>
    <w:rsid w:val="00AD5580"/>
    <w:rsid w:val="00AE1F3A"/>
    <w:rsid w:val="00AE28EC"/>
    <w:rsid w:val="00AE2E47"/>
    <w:rsid w:val="00AE343A"/>
    <w:rsid w:val="00AE7793"/>
    <w:rsid w:val="00AF304C"/>
    <w:rsid w:val="00AF4645"/>
    <w:rsid w:val="00AF628C"/>
    <w:rsid w:val="00AF6FFE"/>
    <w:rsid w:val="00AF717D"/>
    <w:rsid w:val="00B01635"/>
    <w:rsid w:val="00B01ACF"/>
    <w:rsid w:val="00B02E91"/>
    <w:rsid w:val="00B0370F"/>
    <w:rsid w:val="00B04BF8"/>
    <w:rsid w:val="00B05F29"/>
    <w:rsid w:val="00B06DC7"/>
    <w:rsid w:val="00B108F7"/>
    <w:rsid w:val="00B10EF1"/>
    <w:rsid w:val="00B15246"/>
    <w:rsid w:val="00B160FF"/>
    <w:rsid w:val="00B213CF"/>
    <w:rsid w:val="00B24201"/>
    <w:rsid w:val="00B25711"/>
    <w:rsid w:val="00B25850"/>
    <w:rsid w:val="00B266F5"/>
    <w:rsid w:val="00B26F22"/>
    <w:rsid w:val="00B27DDD"/>
    <w:rsid w:val="00B306DE"/>
    <w:rsid w:val="00B3359A"/>
    <w:rsid w:val="00B33D55"/>
    <w:rsid w:val="00B33E84"/>
    <w:rsid w:val="00B411EB"/>
    <w:rsid w:val="00B41876"/>
    <w:rsid w:val="00B418A4"/>
    <w:rsid w:val="00B43C87"/>
    <w:rsid w:val="00B466BF"/>
    <w:rsid w:val="00B46F1A"/>
    <w:rsid w:val="00B53EFD"/>
    <w:rsid w:val="00B5421F"/>
    <w:rsid w:val="00B7118F"/>
    <w:rsid w:val="00B711C3"/>
    <w:rsid w:val="00B83011"/>
    <w:rsid w:val="00B838ED"/>
    <w:rsid w:val="00B83BCF"/>
    <w:rsid w:val="00B85C3E"/>
    <w:rsid w:val="00B938AD"/>
    <w:rsid w:val="00B93F9E"/>
    <w:rsid w:val="00B9514F"/>
    <w:rsid w:val="00B97185"/>
    <w:rsid w:val="00B97781"/>
    <w:rsid w:val="00BA0278"/>
    <w:rsid w:val="00BA2651"/>
    <w:rsid w:val="00BA26E8"/>
    <w:rsid w:val="00BA2E80"/>
    <w:rsid w:val="00BA441B"/>
    <w:rsid w:val="00BA4E08"/>
    <w:rsid w:val="00BA6F57"/>
    <w:rsid w:val="00BA7071"/>
    <w:rsid w:val="00BB0E09"/>
    <w:rsid w:val="00BB173D"/>
    <w:rsid w:val="00BB1C75"/>
    <w:rsid w:val="00BB28A4"/>
    <w:rsid w:val="00BB5E73"/>
    <w:rsid w:val="00BB5ED3"/>
    <w:rsid w:val="00BB6C46"/>
    <w:rsid w:val="00BB6D0A"/>
    <w:rsid w:val="00BC13BD"/>
    <w:rsid w:val="00BC2095"/>
    <w:rsid w:val="00BC2ADA"/>
    <w:rsid w:val="00BC3BA3"/>
    <w:rsid w:val="00BC522E"/>
    <w:rsid w:val="00BC59BE"/>
    <w:rsid w:val="00BC7C16"/>
    <w:rsid w:val="00BD0618"/>
    <w:rsid w:val="00BD231C"/>
    <w:rsid w:val="00BD6CA0"/>
    <w:rsid w:val="00BE1ECD"/>
    <w:rsid w:val="00BE32C0"/>
    <w:rsid w:val="00BE74C4"/>
    <w:rsid w:val="00BF3D13"/>
    <w:rsid w:val="00BF5E4A"/>
    <w:rsid w:val="00BF6499"/>
    <w:rsid w:val="00BF655B"/>
    <w:rsid w:val="00C00012"/>
    <w:rsid w:val="00C02605"/>
    <w:rsid w:val="00C026E9"/>
    <w:rsid w:val="00C03454"/>
    <w:rsid w:val="00C068EB"/>
    <w:rsid w:val="00C12B6F"/>
    <w:rsid w:val="00C14375"/>
    <w:rsid w:val="00C1513B"/>
    <w:rsid w:val="00C21D39"/>
    <w:rsid w:val="00C21F0D"/>
    <w:rsid w:val="00C23183"/>
    <w:rsid w:val="00C238A8"/>
    <w:rsid w:val="00C26FFD"/>
    <w:rsid w:val="00C30885"/>
    <w:rsid w:val="00C31B68"/>
    <w:rsid w:val="00C32B07"/>
    <w:rsid w:val="00C32D7E"/>
    <w:rsid w:val="00C365AD"/>
    <w:rsid w:val="00C42650"/>
    <w:rsid w:val="00C4554C"/>
    <w:rsid w:val="00C516C4"/>
    <w:rsid w:val="00C524D9"/>
    <w:rsid w:val="00C531D9"/>
    <w:rsid w:val="00C54A59"/>
    <w:rsid w:val="00C5784F"/>
    <w:rsid w:val="00C6003E"/>
    <w:rsid w:val="00C60865"/>
    <w:rsid w:val="00C61C86"/>
    <w:rsid w:val="00C6205B"/>
    <w:rsid w:val="00C65DFB"/>
    <w:rsid w:val="00C66330"/>
    <w:rsid w:val="00C67384"/>
    <w:rsid w:val="00C70616"/>
    <w:rsid w:val="00C7355D"/>
    <w:rsid w:val="00C75312"/>
    <w:rsid w:val="00C75742"/>
    <w:rsid w:val="00C76D64"/>
    <w:rsid w:val="00C81160"/>
    <w:rsid w:val="00C843D3"/>
    <w:rsid w:val="00C857FB"/>
    <w:rsid w:val="00C85FA1"/>
    <w:rsid w:val="00C91FF7"/>
    <w:rsid w:val="00CA04E0"/>
    <w:rsid w:val="00CA08E2"/>
    <w:rsid w:val="00CA137D"/>
    <w:rsid w:val="00CA4006"/>
    <w:rsid w:val="00CA45F4"/>
    <w:rsid w:val="00CA65F5"/>
    <w:rsid w:val="00CB403A"/>
    <w:rsid w:val="00CB42AA"/>
    <w:rsid w:val="00CB5B63"/>
    <w:rsid w:val="00CB655F"/>
    <w:rsid w:val="00CB6886"/>
    <w:rsid w:val="00CC094F"/>
    <w:rsid w:val="00CC1A9B"/>
    <w:rsid w:val="00CC6D50"/>
    <w:rsid w:val="00CC7718"/>
    <w:rsid w:val="00CD1806"/>
    <w:rsid w:val="00CD3416"/>
    <w:rsid w:val="00CD4973"/>
    <w:rsid w:val="00CD5CA1"/>
    <w:rsid w:val="00CE00B8"/>
    <w:rsid w:val="00CE1BA5"/>
    <w:rsid w:val="00CE1BB4"/>
    <w:rsid w:val="00CE2BB3"/>
    <w:rsid w:val="00CE3F94"/>
    <w:rsid w:val="00CF0E0A"/>
    <w:rsid w:val="00CF3047"/>
    <w:rsid w:val="00CF3316"/>
    <w:rsid w:val="00CF34B8"/>
    <w:rsid w:val="00CF5C63"/>
    <w:rsid w:val="00D010ED"/>
    <w:rsid w:val="00D01507"/>
    <w:rsid w:val="00D0152D"/>
    <w:rsid w:val="00D03589"/>
    <w:rsid w:val="00D0379E"/>
    <w:rsid w:val="00D03A79"/>
    <w:rsid w:val="00D05868"/>
    <w:rsid w:val="00D06B3E"/>
    <w:rsid w:val="00D07FE0"/>
    <w:rsid w:val="00D14912"/>
    <w:rsid w:val="00D213F5"/>
    <w:rsid w:val="00D23AE1"/>
    <w:rsid w:val="00D24828"/>
    <w:rsid w:val="00D366EF"/>
    <w:rsid w:val="00D42004"/>
    <w:rsid w:val="00D5111E"/>
    <w:rsid w:val="00D56DCE"/>
    <w:rsid w:val="00D60E7F"/>
    <w:rsid w:val="00D6168E"/>
    <w:rsid w:val="00D61F01"/>
    <w:rsid w:val="00D66A57"/>
    <w:rsid w:val="00D66B54"/>
    <w:rsid w:val="00D718C4"/>
    <w:rsid w:val="00D75620"/>
    <w:rsid w:val="00D75C47"/>
    <w:rsid w:val="00D77F39"/>
    <w:rsid w:val="00D81519"/>
    <w:rsid w:val="00D83AEA"/>
    <w:rsid w:val="00D84DBC"/>
    <w:rsid w:val="00D87D4B"/>
    <w:rsid w:val="00D90789"/>
    <w:rsid w:val="00D90A0B"/>
    <w:rsid w:val="00D910DE"/>
    <w:rsid w:val="00D96BF6"/>
    <w:rsid w:val="00D97FB8"/>
    <w:rsid w:val="00DA0115"/>
    <w:rsid w:val="00DA3ECD"/>
    <w:rsid w:val="00DA47B0"/>
    <w:rsid w:val="00DB3D88"/>
    <w:rsid w:val="00DB50F3"/>
    <w:rsid w:val="00DC20DA"/>
    <w:rsid w:val="00DC2128"/>
    <w:rsid w:val="00DC60B0"/>
    <w:rsid w:val="00DD3D9B"/>
    <w:rsid w:val="00DD5057"/>
    <w:rsid w:val="00DE3013"/>
    <w:rsid w:val="00DE7DEB"/>
    <w:rsid w:val="00DF185C"/>
    <w:rsid w:val="00DF3F2B"/>
    <w:rsid w:val="00DF5586"/>
    <w:rsid w:val="00DF5FA6"/>
    <w:rsid w:val="00DF7300"/>
    <w:rsid w:val="00E01CB5"/>
    <w:rsid w:val="00E02B1B"/>
    <w:rsid w:val="00E04F57"/>
    <w:rsid w:val="00E05888"/>
    <w:rsid w:val="00E06EB3"/>
    <w:rsid w:val="00E1104B"/>
    <w:rsid w:val="00E122FA"/>
    <w:rsid w:val="00E13312"/>
    <w:rsid w:val="00E17064"/>
    <w:rsid w:val="00E203D1"/>
    <w:rsid w:val="00E23FC8"/>
    <w:rsid w:val="00E24DA3"/>
    <w:rsid w:val="00E24F64"/>
    <w:rsid w:val="00E27118"/>
    <w:rsid w:val="00E316CB"/>
    <w:rsid w:val="00E363F5"/>
    <w:rsid w:val="00E3641A"/>
    <w:rsid w:val="00E4185C"/>
    <w:rsid w:val="00E44A2D"/>
    <w:rsid w:val="00E45628"/>
    <w:rsid w:val="00E459B5"/>
    <w:rsid w:val="00E47990"/>
    <w:rsid w:val="00E52B4A"/>
    <w:rsid w:val="00E54A05"/>
    <w:rsid w:val="00E54BBF"/>
    <w:rsid w:val="00E552A5"/>
    <w:rsid w:val="00E6146E"/>
    <w:rsid w:val="00E61812"/>
    <w:rsid w:val="00E63B8D"/>
    <w:rsid w:val="00E64CF5"/>
    <w:rsid w:val="00E654BE"/>
    <w:rsid w:val="00E73CF2"/>
    <w:rsid w:val="00E7401F"/>
    <w:rsid w:val="00E7469C"/>
    <w:rsid w:val="00E74761"/>
    <w:rsid w:val="00E75570"/>
    <w:rsid w:val="00E812CF"/>
    <w:rsid w:val="00E82FC5"/>
    <w:rsid w:val="00E85664"/>
    <w:rsid w:val="00E85B17"/>
    <w:rsid w:val="00E865F4"/>
    <w:rsid w:val="00E871E5"/>
    <w:rsid w:val="00E901C0"/>
    <w:rsid w:val="00E92B20"/>
    <w:rsid w:val="00E9382E"/>
    <w:rsid w:val="00E94FDB"/>
    <w:rsid w:val="00E958C4"/>
    <w:rsid w:val="00E95A72"/>
    <w:rsid w:val="00E96607"/>
    <w:rsid w:val="00EA0CE0"/>
    <w:rsid w:val="00EA2CB5"/>
    <w:rsid w:val="00EA3A1E"/>
    <w:rsid w:val="00EA5094"/>
    <w:rsid w:val="00EB0C9C"/>
    <w:rsid w:val="00EB4B12"/>
    <w:rsid w:val="00EB72D4"/>
    <w:rsid w:val="00EB755C"/>
    <w:rsid w:val="00EC081C"/>
    <w:rsid w:val="00EC0E11"/>
    <w:rsid w:val="00EC4490"/>
    <w:rsid w:val="00EC6592"/>
    <w:rsid w:val="00EC725D"/>
    <w:rsid w:val="00ED0612"/>
    <w:rsid w:val="00ED26B1"/>
    <w:rsid w:val="00ED2BC8"/>
    <w:rsid w:val="00ED5305"/>
    <w:rsid w:val="00ED711B"/>
    <w:rsid w:val="00EE151E"/>
    <w:rsid w:val="00EE1AEE"/>
    <w:rsid w:val="00EE35F8"/>
    <w:rsid w:val="00EE451F"/>
    <w:rsid w:val="00EE6316"/>
    <w:rsid w:val="00EF20DB"/>
    <w:rsid w:val="00EF2977"/>
    <w:rsid w:val="00EF669A"/>
    <w:rsid w:val="00EF7C07"/>
    <w:rsid w:val="00F04584"/>
    <w:rsid w:val="00F06331"/>
    <w:rsid w:val="00F0664C"/>
    <w:rsid w:val="00F075E4"/>
    <w:rsid w:val="00F10216"/>
    <w:rsid w:val="00F13A37"/>
    <w:rsid w:val="00F14C6E"/>
    <w:rsid w:val="00F15135"/>
    <w:rsid w:val="00F16F5E"/>
    <w:rsid w:val="00F17292"/>
    <w:rsid w:val="00F22536"/>
    <w:rsid w:val="00F24D9E"/>
    <w:rsid w:val="00F262C1"/>
    <w:rsid w:val="00F276A2"/>
    <w:rsid w:val="00F3080F"/>
    <w:rsid w:val="00F310D5"/>
    <w:rsid w:val="00F3150A"/>
    <w:rsid w:val="00F32FFE"/>
    <w:rsid w:val="00F343F1"/>
    <w:rsid w:val="00F361C8"/>
    <w:rsid w:val="00F36822"/>
    <w:rsid w:val="00F40A71"/>
    <w:rsid w:val="00F40C37"/>
    <w:rsid w:val="00F45647"/>
    <w:rsid w:val="00F47B23"/>
    <w:rsid w:val="00F5398C"/>
    <w:rsid w:val="00F56610"/>
    <w:rsid w:val="00F6238A"/>
    <w:rsid w:val="00F62B90"/>
    <w:rsid w:val="00F645C0"/>
    <w:rsid w:val="00F66C41"/>
    <w:rsid w:val="00F67F4A"/>
    <w:rsid w:val="00F700B5"/>
    <w:rsid w:val="00F75BAD"/>
    <w:rsid w:val="00F7673B"/>
    <w:rsid w:val="00F80983"/>
    <w:rsid w:val="00F82E38"/>
    <w:rsid w:val="00F857AF"/>
    <w:rsid w:val="00F94663"/>
    <w:rsid w:val="00FA19D0"/>
    <w:rsid w:val="00FA57A3"/>
    <w:rsid w:val="00FA5E32"/>
    <w:rsid w:val="00FA7B38"/>
    <w:rsid w:val="00FB1AE3"/>
    <w:rsid w:val="00FB2F88"/>
    <w:rsid w:val="00FB30C1"/>
    <w:rsid w:val="00FB3395"/>
    <w:rsid w:val="00FB56F9"/>
    <w:rsid w:val="00FC022B"/>
    <w:rsid w:val="00FC06E8"/>
    <w:rsid w:val="00FC30B8"/>
    <w:rsid w:val="00FC5ECC"/>
    <w:rsid w:val="00FC66BD"/>
    <w:rsid w:val="00FD019B"/>
    <w:rsid w:val="00FD17B8"/>
    <w:rsid w:val="00FD2DAA"/>
    <w:rsid w:val="00FD668C"/>
    <w:rsid w:val="00FD6D96"/>
    <w:rsid w:val="00FE1A2D"/>
    <w:rsid w:val="00FE5512"/>
    <w:rsid w:val="00FE6E8A"/>
    <w:rsid w:val="00FF0115"/>
    <w:rsid w:val="00FF0CE7"/>
    <w:rsid w:val="00FF3FE9"/>
    <w:rsid w:val="00FF6599"/>
    <w:rsid w:val="00FF7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3282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2E7"/>
    <w:rPr>
      <w:sz w:val="24"/>
      <w:szCs w:val="24"/>
    </w:rPr>
  </w:style>
  <w:style w:type="paragraph" w:styleId="Heading1">
    <w:name w:val="heading 1"/>
    <w:basedOn w:val="Normal"/>
    <w:next w:val="Normal"/>
    <w:link w:val="Heading1Char"/>
    <w:qFormat/>
    <w:rsid w:val="00204A52"/>
    <w:pPr>
      <w:spacing w:before="240"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4E08"/>
    <w:pPr>
      <w:tabs>
        <w:tab w:val="center" w:pos="4320"/>
        <w:tab w:val="right" w:pos="8640"/>
      </w:tabs>
    </w:pPr>
  </w:style>
  <w:style w:type="paragraph" w:styleId="Footer">
    <w:name w:val="footer"/>
    <w:basedOn w:val="Normal"/>
    <w:link w:val="FooterChar"/>
    <w:uiPriority w:val="99"/>
    <w:rsid w:val="00BA4E08"/>
    <w:pPr>
      <w:tabs>
        <w:tab w:val="center" w:pos="4320"/>
        <w:tab w:val="right" w:pos="8640"/>
      </w:tabs>
    </w:pPr>
  </w:style>
  <w:style w:type="character" w:styleId="PageNumber">
    <w:name w:val="page number"/>
    <w:basedOn w:val="DefaultParagraphFont"/>
    <w:rsid w:val="00BA4E08"/>
  </w:style>
  <w:style w:type="paragraph" w:styleId="FootnoteText">
    <w:name w:val="footnote text"/>
    <w:basedOn w:val="Normal"/>
    <w:link w:val="FootnoteTextChar"/>
    <w:uiPriority w:val="99"/>
    <w:rsid w:val="00A50F3F"/>
    <w:rPr>
      <w:sz w:val="20"/>
      <w:szCs w:val="20"/>
    </w:rPr>
  </w:style>
  <w:style w:type="character" w:customStyle="1" w:styleId="FootnoteTextChar">
    <w:name w:val="Footnote Text Char"/>
    <w:basedOn w:val="DefaultParagraphFont"/>
    <w:link w:val="FootnoteText"/>
    <w:uiPriority w:val="99"/>
    <w:rsid w:val="00A50F3F"/>
    <w:rPr>
      <w:rFonts w:ascii="Palatino Linotype" w:hAnsi="Palatino Linotype"/>
    </w:rPr>
  </w:style>
  <w:style w:type="character" w:styleId="FootnoteReference">
    <w:name w:val="footnote reference"/>
    <w:basedOn w:val="DefaultParagraphFont"/>
    <w:uiPriority w:val="99"/>
    <w:rsid w:val="00A50F3F"/>
    <w:rPr>
      <w:vertAlign w:val="superscript"/>
    </w:rPr>
  </w:style>
  <w:style w:type="character" w:styleId="CommentReference">
    <w:name w:val="annotation reference"/>
    <w:basedOn w:val="DefaultParagraphFont"/>
    <w:rsid w:val="00BF3D13"/>
    <w:rPr>
      <w:sz w:val="16"/>
      <w:szCs w:val="16"/>
    </w:rPr>
  </w:style>
  <w:style w:type="paragraph" w:styleId="CommentText">
    <w:name w:val="annotation text"/>
    <w:basedOn w:val="Normal"/>
    <w:link w:val="CommentTextChar"/>
    <w:rsid w:val="00BF3D13"/>
    <w:rPr>
      <w:sz w:val="20"/>
      <w:szCs w:val="20"/>
    </w:rPr>
  </w:style>
  <w:style w:type="character" w:customStyle="1" w:styleId="CommentTextChar">
    <w:name w:val="Comment Text Char"/>
    <w:basedOn w:val="DefaultParagraphFont"/>
    <w:link w:val="CommentText"/>
    <w:rsid w:val="00BF3D13"/>
    <w:rPr>
      <w:rFonts w:ascii="Palatino Linotype" w:hAnsi="Palatino Linotype"/>
    </w:rPr>
  </w:style>
  <w:style w:type="paragraph" w:styleId="CommentSubject">
    <w:name w:val="annotation subject"/>
    <w:basedOn w:val="CommentText"/>
    <w:next w:val="CommentText"/>
    <w:link w:val="CommentSubjectChar"/>
    <w:rsid w:val="00BF3D13"/>
    <w:rPr>
      <w:b/>
      <w:bCs/>
    </w:rPr>
  </w:style>
  <w:style w:type="character" w:customStyle="1" w:styleId="CommentSubjectChar">
    <w:name w:val="Comment Subject Char"/>
    <w:basedOn w:val="CommentTextChar"/>
    <w:link w:val="CommentSubject"/>
    <w:rsid w:val="00BF3D13"/>
    <w:rPr>
      <w:rFonts w:ascii="Palatino Linotype" w:hAnsi="Palatino Linotype"/>
      <w:b/>
      <w:bCs/>
    </w:rPr>
  </w:style>
  <w:style w:type="paragraph" w:styleId="Revision">
    <w:name w:val="Revision"/>
    <w:hidden/>
    <w:uiPriority w:val="99"/>
    <w:semiHidden/>
    <w:rsid w:val="00BF3D13"/>
    <w:rPr>
      <w:rFonts w:ascii="Palatino Linotype" w:hAnsi="Palatino Linotype"/>
      <w:sz w:val="24"/>
      <w:szCs w:val="24"/>
    </w:rPr>
  </w:style>
  <w:style w:type="paragraph" w:styleId="BalloonText">
    <w:name w:val="Balloon Text"/>
    <w:basedOn w:val="Normal"/>
    <w:link w:val="BalloonTextChar"/>
    <w:rsid w:val="00BF3D13"/>
    <w:rPr>
      <w:rFonts w:ascii="Tahoma" w:hAnsi="Tahoma" w:cs="Tahoma"/>
      <w:sz w:val="16"/>
      <w:szCs w:val="16"/>
    </w:rPr>
  </w:style>
  <w:style w:type="character" w:customStyle="1" w:styleId="BalloonTextChar">
    <w:name w:val="Balloon Text Char"/>
    <w:basedOn w:val="DefaultParagraphFont"/>
    <w:link w:val="BalloonText"/>
    <w:rsid w:val="00BF3D13"/>
    <w:rPr>
      <w:rFonts w:ascii="Tahoma" w:hAnsi="Tahoma" w:cs="Tahoma"/>
      <w:sz w:val="16"/>
      <w:szCs w:val="16"/>
    </w:rPr>
  </w:style>
  <w:style w:type="table" w:styleId="TableGrid">
    <w:name w:val="Table Grid"/>
    <w:basedOn w:val="TableNormal"/>
    <w:rsid w:val="00E856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List3">
    <w:name w:val="Table List 3"/>
    <w:basedOn w:val="TableNormal"/>
    <w:rsid w:val="002C073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3D21C9"/>
    <w:pPr>
      <w:ind w:left="720"/>
      <w:contextualSpacing/>
    </w:pPr>
    <w:rPr>
      <w:rFonts w:ascii="Calibri" w:eastAsia="Calibri" w:hAnsi="Calibri"/>
      <w:sz w:val="22"/>
      <w:szCs w:val="22"/>
    </w:rPr>
  </w:style>
  <w:style w:type="character" w:styleId="Hyperlink">
    <w:name w:val="Hyperlink"/>
    <w:basedOn w:val="DefaultParagraphFont"/>
    <w:uiPriority w:val="99"/>
    <w:unhideWhenUsed/>
    <w:rsid w:val="003D21C9"/>
    <w:rPr>
      <w:color w:val="0000FF"/>
      <w:u w:val="single"/>
    </w:rPr>
  </w:style>
  <w:style w:type="character" w:customStyle="1" w:styleId="Heading1Char">
    <w:name w:val="Heading 1 Char"/>
    <w:basedOn w:val="DefaultParagraphFont"/>
    <w:link w:val="Heading1"/>
    <w:rsid w:val="00204A52"/>
    <w:rPr>
      <w:b/>
      <w:sz w:val="24"/>
      <w:szCs w:val="24"/>
    </w:rPr>
  </w:style>
  <w:style w:type="paragraph" w:styleId="NoSpacing">
    <w:name w:val="No Spacing"/>
    <w:uiPriority w:val="1"/>
    <w:qFormat/>
    <w:rsid w:val="00520CC1"/>
    <w:rPr>
      <w:rFonts w:eastAsia="Calibri"/>
      <w:sz w:val="24"/>
      <w:szCs w:val="22"/>
    </w:rPr>
  </w:style>
  <w:style w:type="character" w:customStyle="1" w:styleId="HeaderChar">
    <w:name w:val="Header Char"/>
    <w:basedOn w:val="DefaultParagraphFont"/>
    <w:link w:val="Header"/>
    <w:rsid w:val="002C648F"/>
    <w:rPr>
      <w:sz w:val="24"/>
      <w:szCs w:val="24"/>
    </w:rPr>
  </w:style>
  <w:style w:type="character" w:styleId="LineNumber">
    <w:name w:val="line number"/>
    <w:basedOn w:val="DefaultParagraphFont"/>
    <w:uiPriority w:val="99"/>
    <w:rsid w:val="00D77F39"/>
    <w:rPr>
      <w:rFonts w:ascii="Times New Roman" w:hAnsi="Times New Roman" w:cs="Times New Roman"/>
      <w:sz w:val="24"/>
      <w:szCs w:val="24"/>
    </w:rPr>
  </w:style>
  <w:style w:type="character" w:customStyle="1" w:styleId="FooterChar">
    <w:name w:val="Footer Char"/>
    <w:basedOn w:val="DefaultParagraphFont"/>
    <w:link w:val="Footer"/>
    <w:uiPriority w:val="99"/>
    <w:rsid w:val="009A19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8076">
      <w:bodyDiv w:val="1"/>
      <w:marLeft w:val="0"/>
      <w:marRight w:val="0"/>
      <w:marTop w:val="0"/>
      <w:marBottom w:val="0"/>
      <w:divBdr>
        <w:top w:val="none" w:sz="0" w:space="0" w:color="auto"/>
        <w:left w:val="none" w:sz="0" w:space="0" w:color="auto"/>
        <w:bottom w:val="none" w:sz="0" w:space="0" w:color="auto"/>
        <w:right w:val="none" w:sz="0" w:space="0" w:color="auto"/>
      </w:divBdr>
    </w:div>
    <w:div w:id="125121471">
      <w:bodyDiv w:val="1"/>
      <w:marLeft w:val="0"/>
      <w:marRight w:val="0"/>
      <w:marTop w:val="0"/>
      <w:marBottom w:val="0"/>
      <w:divBdr>
        <w:top w:val="none" w:sz="0" w:space="0" w:color="auto"/>
        <w:left w:val="none" w:sz="0" w:space="0" w:color="auto"/>
        <w:bottom w:val="none" w:sz="0" w:space="0" w:color="auto"/>
        <w:right w:val="none" w:sz="0" w:space="0" w:color="auto"/>
      </w:divBdr>
    </w:div>
    <w:div w:id="515117943">
      <w:bodyDiv w:val="1"/>
      <w:marLeft w:val="0"/>
      <w:marRight w:val="0"/>
      <w:marTop w:val="0"/>
      <w:marBottom w:val="0"/>
      <w:divBdr>
        <w:top w:val="none" w:sz="0" w:space="0" w:color="auto"/>
        <w:left w:val="none" w:sz="0" w:space="0" w:color="auto"/>
        <w:bottom w:val="none" w:sz="0" w:space="0" w:color="auto"/>
        <w:right w:val="none" w:sz="0" w:space="0" w:color="auto"/>
      </w:divBdr>
    </w:div>
    <w:div w:id="588004472">
      <w:bodyDiv w:val="1"/>
      <w:marLeft w:val="0"/>
      <w:marRight w:val="0"/>
      <w:marTop w:val="0"/>
      <w:marBottom w:val="0"/>
      <w:divBdr>
        <w:top w:val="none" w:sz="0" w:space="0" w:color="auto"/>
        <w:left w:val="none" w:sz="0" w:space="0" w:color="auto"/>
        <w:bottom w:val="none" w:sz="0" w:space="0" w:color="auto"/>
        <w:right w:val="none" w:sz="0" w:space="0" w:color="auto"/>
      </w:divBdr>
    </w:div>
    <w:div w:id="685445102">
      <w:bodyDiv w:val="1"/>
      <w:marLeft w:val="0"/>
      <w:marRight w:val="0"/>
      <w:marTop w:val="0"/>
      <w:marBottom w:val="0"/>
      <w:divBdr>
        <w:top w:val="none" w:sz="0" w:space="0" w:color="auto"/>
        <w:left w:val="none" w:sz="0" w:space="0" w:color="auto"/>
        <w:bottom w:val="none" w:sz="0" w:space="0" w:color="auto"/>
        <w:right w:val="none" w:sz="0" w:space="0" w:color="auto"/>
      </w:divBdr>
    </w:div>
    <w:div w:id="863403408">
      <w:bodyDiv w:val="1"/>
      <w:marLeft w:val="0"/>
      <w:marRight w:val="0"/>
      <w:marTop w:val="0"/>
      <w:marBottom w:val="0"/>
      <w:divBdr>
        <w:top w:val="none" w:sz="0" w:space="0" w:color="auto"/>
        <w:left w:val="none" w:sz="0" w:space="0" w:color="auto"/>
        <w:bottom w:val="none" w:sz="0" w:space="0" w:color="auto"/>
        <w:right w:val="none" w:sz="0" w:space="0" w:color="auto"/>
      </w:divBdr>
    </w:div>
    <w:div w:id="1073746091">
      <w:bodyDiv w:val="1"/>
      <w:marLeft w:val="0"/>
      <w:marRight w:val="0"/>
      <w:marTop w:val="0"/>
      <w:marBottom w:val="0"/>
      <w:divBdr>
        <w:top w:val="none" w:sz="0" w:space="0" w:color="auto"/>
        <w:left w:val="none" w:sz="0" w:space="0" w:color="auto"/>
        <w:bottom w:val="none" w:sz="0" w:space="0" w:color="auto"/>
        <w:right w:val="none" w:sz="0" w:space="0" w:color="auto"/>
      </w:divBdr>
    </w:div>
    <w:div w:id="1244804308">
      <w:bodyDiv w:val="1"/>
      <w:marLeft w:val="0"/>
      <w:marRight w:val="0"/>
      <w:marTop w:val="0"/>
      <w:marBottom w:val="0"/>
      <w:divBdr>
        <w:top w:val="none" w:sz="0" w:space="0" w:color="auto"/>
        <w:left w:val="none" w:sz="0" w:space="0" w:color="auto"/>
        <w:bottom w:val="none" w:sz="0" w:space="0" w:color="auto"/>
        <w:right w:val="none" w:sz="0" w:space="0" w:color="auto"/>
      </w:divBdr>
    </w:div>
    <w:div w:id="1399592286">
      <w:bodyDiv w:val="1"/>
      <w:marLeft w:val="0"/>
      <w:marRight w:val="0"/>
      <w:marTop w:val="0"/>
      <w:marBottom w:val="0"/>
      <w:divBdr>
        <w:top w:val="none" w:sz="0" w:space="0" w:color="auto"/>
        <w:left w:val="none" w:sz="0" w:space="0" w:color="auto"/>
        <w:bottom w:val="none" w:sz="0" w:space="0" w:color="auto"/>
        <w:right w:val="none" w:sz="0" w:space="0" w:color="auto"/>
      </w:divBdr>
    </w:div>
    <w:div w:id="1513253046">
      <w:bodyDiv w:val="1"/>
      <w:marLeft w:val="0"/>
      <w:marRight w:val="0"/>
      <w:marTop w:val="0"/>
      <w:marBottom w:val="0"/>
      <w:divBdr>
        <w:top w:val="none" w:sz="0" w:space="0" w:color="auto"/>
        <w:left w:val="none" w:sz="0" w:space="0" w:color="auto"/>
        <w:bottom w:val="none" w:sz="0" w:space="0" w:color="auto"/>
        <w:right w:val="none" w:sz="0" w:space="0" w:color="auto"/>
      </w:divBdr>
    </w:div>
    <w:div w:id="1528373945">
      <w:bodyDiv w:val="1"/>
      <w:marLeft w:val="0"/>
      <w:marRight w:val="0"/>
      <w:marTop w:val="0"/>
      <w:marBottom w:val="0"/>
      <w:divBdr>
        <w:top w:val="none" w:sz="0" w:space="0" w:color="auto"/>
        <w:left w:val="none" w:sz="0" w:space="0" w:color="auto"/>
        <w:bottom w:val="none" w:sz="0" w:space="0" w:color="auto"/>
        <w:right w:val="none" w:sz="0" w:space="0" w:color="auto"/>
      </w:divBdr>
    </w:div>
    <w:div w:id="1682702632">
      <w:bodyDiv w:val="1"/>
      <w:marLeft w:val="0"/>
      <w:marRight w:val="0"/>
      <w:marTop w:val="0"/>
      <w:marBottom w:val="0"/>
      <w:divBdr>
        <w:top w:val="none" w:sz="0" w:space="0" w:color="auto"/>
        <w:left w:val="none" w:sz="0" w:space="0" w:color="auto"/>
        <w:bottom w:val="none" w:sz="0" w:space="0" w:color="auto"/>
        <w:right w:val="none" w:sz="0" w:space="0" w:color="auto"/>
      </w:divBdr>
    </w:div>
    <w:div w:id="1897159116">
      <w:bodyDiv w:val="1"/>
      <w:marLeft w:val="0"/>
      <w:marRight w:val="0"/>
      <w:marTop w:val="0"/>
      <w:marBottom w:val="0"/>
      <w:divBdr>
        <w:top w:val="none" w:sz="0" w:space="0" w:color="auto"/>
        <w:left w:val="none" w:sz="0" w:space="0" w:color="auto"/>
        <w:bottom w:val="none" w:sz="0" w:space="0" w:color="auto"/>
        <w:right w:val="none" w:sz="0" w:space="0" w:color="auto"/>
      </w:divBdr>
    </w:div>
    <w:div w:id="195081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Visibility xmlns="dc463f71-b30c-4ab2-9473-d307f9d35888">Full Visibility</Visibility>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2015-10-30T07:00:00+00:00</OpenedDate>
    <Date1 xmlns="dc463f71-b30c-4ab2-9473-d307f9d35888">2017-01-26T08:00:00+00:00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152077</DocketNumber>
    <DelegatedOrder xmlns="dc463f71-b30c-4ab2-9473-d307f9d35888">false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3D0A0B9F972B45AD2955E8D6E00C06" ma:contentTypeVersion="119" ma:contentTypeDescription="" ma:contentTypeScope="" ma:versionID="18953f80926cb542a36a8ee485ddab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CB6DD0-E1DB-4F2F-9977-902D5F385C61}"/>
</file>

<file path=customXml/itemProps2.xml><?xml version="1.0" encoding="utf-8"?>
<ds:datastoreItem xmlns:ds="http://schemas.openxmlformats.org/officeDocument/2006/customXml" ds:itemID="{61DF372F-5F23-4DD6-BCCA-FBFC671B0AFD}">
  <ds:schemaRefs>
    <ds:schemaRef ds:uri="http://schemas.microsoft.com/sharepoint/v3/contenttype/forms"/>
  </ds:schemaRefs>
</ds:datastoreItem>
</file>

<file path=customXml/itemProps3.xml><?xml version="1.0" encoding="utf-8"?>
<ds:datastoreItem xmlns:ds="http://schemas.openxmlformats.org/officeDocument/2006/customXml" ds:itemID="{C7FCE323-5B34-4132-8CFD-57B0A55F0070}">
  <ds:schemaRefs>
    <ds:schemaRef ds:uri="1E0C6DC4-A4F6-4390-A2EA-A52E9EFB0EA2"/>
    <ds:schemaRef ds:uri="http://purl.org/dc/terms/"/>
    <ds:schemaRef ds:uri="http://www.w3.org/XML/1998/namespace"/>
    <ds:schemaRef ds:uri="http://purl.org/dc/elements/1.1/"/>
    <ds:schemaRef ds:uri="http://purl.org/dc/dcmitype/"/>
    <ds:schemaRef ds:uri="http://schemas.microsoft.com/office/infopath/2007/PartnerControls"/>
    <ds:schemaRef ds:uri="http://schemas.microsoft.com/office/2006/documentManagement/types"/>
    <ds:schemaRef ds:uri="751276d0-61bc-4dad-b75c-21dfd12630ad"/>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48310B78-36C7-4898-8776-CD89D54BD609}">
  <ds:schemaRefs>
    <ds:schemaRef ds:uri="http://schemas.openxmlformats.org/officeDocument/2006/bibliography"/>
  </ds:schemaRefs>
</ds:datastoreItem>
</file>

<file path=customXml/itemProps5.xml><?xml version="1.0" encoding="utf-8"?>
<ds:datastoreItem xmlns:ds="http://schemas.openxmlformats.org/officeDocument/2006/customXml" ds:itemID="{998894AF-B0F2-4B55-A795-E7E24ADA7351}">
  <ds:schemaRefs>
    <ds:schemaRef ds:uri="http://schemas.openxmlformats.org/officeDocument/2006/bibliography"/>
  </ds:schemaRefs>
</ds:datastoreItem>
</file>

<file path=customXml/itemProps6.xml><?xml version="1.0" encoding="utf-8"?>
<ds:datastoreItem xmlns:ds="http://schemas.openxmlformats.org/officeDocument/2006/customXml" ds:itemID="{2BCDD62C-51A8-4073-9D05-D73A03305B5C}"/>
</file>

<file path=docProps/app.xml><?xml version="1.0" encoding="utf-8"?>
<Properties xmlns="http://schemas.openxmlformats.org/officeDocument/2006/extended-properties" xmlns:vt="http://schemas.openxmlformats.org/officeDocument/2006/docPropsVTypes">
  <Template>Normal</Template>
  <TotalTime>0</TotalTime>
  <Pages>5</Pages>
  <Words>1413</Words>
  <Characters>8058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UE-152076 &amp; UG-152077 Dockets Memo</vt:lpstr>
    </vt:vector>
  </TitlesOfParts>
  <LinksUpToDate>false</LinksUpToDate>
  <CharactersWithSpaces>9453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UE-152076 &amp; UG-152077 Dockets Memo</dc:title>
  <dc:subject/>
  <dc:creator/>
  <cp:keywords/>
  <dc:description/>
  <cp:lastModifiedBy/>
  <cp:revision>1</cp:revision>
  <dcterms:created xsi:type="dcterms:W3CDTF">2017-01-23T23:39:00Z</dcterms:created>
  <dcterms:modified xsi:type="dcterms:W3CDTF">2017-01-23T23:39:00Z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0x0101006E56B4D1795A2E4DB2F0B01679ED314A000D3D0A0B9F972B45AD2955E8D6E00C06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y fmtid="{D5CDD505-2E9C-101B-9397-08002B2CF9AE}" pid="7" name="IsEFSEC">
    <vt:bool>false</vt:bool>
  </property>
</Properties>
</file>