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8ED" w:rsidRPr="009D7ECE" w:rsidRDefault="00BA28ED" w:rsidP="00BA28ED">
      <w:pPr>
        <w:spacing w:after="0" w:line="264" w:lineRule="auto"/>
        <w:jc w:val="center"/>
        <w:rPr>
          <w:rFonts w:ascii="Times New Roman" w:hAnsi="Times New Roman" w:cs="Times New Roman"/>
          <w:b/>
          <w:sz w:val="24"/>
          <w:szCs w:val="24"/>
        </w:rPr>
      </w:pPr>
      <w:r w:rsidRPr="009D7ECE">
        <w:rPr>
          <w:rFonts w:ascii="Times New Roman" w:hAnsi="Times New Roman" w:cs="Times New Roman"/>
          <w:b/>
          <w:sz w:val="24"/>
          <w:szCs w:val="24"/>
        </w:rPr>
        <w:t>Attachment</w:t>
      </w:r>
    </w:p>
    <w:p w:rsidR="00BA28ED" w:rsidRPr="009D7ECE" w:rsidRDefault="00BA28ED" w:rsidP="00BA28ED">
      <w:pPr>
        <w:spacing w:after="0" w:line="264" w:lineRule="auto"/>
        <w:jc w:val="center"/>
        <w:rPr>
          <w:rFonts w:ascii="Times New Roman" w:hAnsi="Times New Roman" w:cs="Times New Roman"/>
          <w:b/>
          <w:sz w:val="24"/>
          <w:szCs w:val="24"/>
        </w:rPr>
      </w:pPr>
    </w:p>
    <w:p w:rsidR="00BA28ED" w:rsidRPr="009D7ECE" w:rsidRDefault="00B313D6" w:rsidP="00BA28ED">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Pacific Power &amp; Light Company</w:t>
      </w:r>
      <w:r w:rsidRPr="009D7ECE">
        <w:rPr>
          <w:rFonts w:ascii="Times New Roman" w:hAnsi="Times New Roman" w:cs="Times New Roman"/>
          <w:b/>
          <w:sz w:val="24"/>
          <w:szCs w:val="24"/>
        </w:rPr>
        <w:t xml:space="preserve"> </w:t>
      </w:r>
      <w:r w:rsidR="00BA28ED" w:rsidRPr="009D7ECE">
        <w:rPr>
          <w:rFonts w:ascii="Times New Roman" w:hAnsi="Times New Roman" w:cs="Times New Roman"/>
          <w:b/>
          <w:sz w:val="24"/>
          <w:szCs w:val="24"/>
        </w:rPr>
        <w:t>2015 Integrated Resource Plan, Docket UE-140546</w:t>
      </w:r>
    </w:p>
    <w:p w:rsidR="00BA28ED" w:rsidRPr="009D7ECE" w:rsidRDefault="00BA28ED" w:rsidP="00BA28ED">
      <w:pPr>
        <w:spacing w:after="0" w:line="264" w:lineRule="auto"/>
        <w:jc w:val="center"/>
        <w:rPr>
          <w:rFonts w:ascii="Times New Roman" w:hAnsi="Times New Roman" w:cs="Times New Roman"/>
          <w:b/>
          <w:sz w:val="24"/>
          <w:szCs w:val="24"/>
        </w:rPr>
      </w:pPr>
    </w:p>
    <w:p w:rsidR="00BA28ED" w:rsidRPr="009D7ECE" w:rsidRDefault="00BA28ED" w:rsidP="00BA28ED">
      <w:pPr>
        <w:spacing w:after="0" w:line="264" w:lineRule="auto"/>
        <w:jc w:val="center"/>
        <w:rPr>
          <w:rFonts w:ascii="Times New Roman" w:hAnsi="Times New Roman" w:cs="Times New Roman"/>
          <w:b/>
          <w:sz w:val="24"/>
          <w:szCs w:val="24"/>
        </w:rPr>
      </w:pPr>
    </w:p>
    <w:p w:rsidR="00BA28ED" w:rsidRPr="009D7ECE" w:rsidRDefault="00BA28ED" w:rsidP="00BA28ED">
      <w:pPr>
        <w:pStyle w:val="NoSpacing"/>
        <w:spacing w:line="264" w:lineRule="auto"/>
      </w:pPr>
      <w:r w:rsidRPr="009D7ECE">
        <w:t>WAC 480-100-238</w:t>
      </w:r>
      <w:r w:rsidR="009D7ECE" w:rsidRPr="009D7ECE">
        <w:t xml:space="preserve"> d</w:t>
      </w:r>
      <w:r w:rsidR="00B80296" w:rsidRPr="009D7ECE">
        <w:t>irects investor-owned</w:t>
      </w:r>
      <w:r w:rsidRPr="009D7ECE">
        <w:t xml:space="preserve"> utilities (IOUs) to </w:t>
      </w:r>
      <w:r w:rsidR="00FD334E" w:rsidRPr="009D7ECE">
        <w:t>develop</w:t>
      </w:r>
      <w:r w:rsidR="009D7ECE" w:rsidRPr="009D7ECE">
        <w:t xml:space="preserve"> an</w:t>
      </w:r>
      <w:r w:rsidR="00FD334E" w:rsidRPr="009D7ECE">
        <w:t xml:space="preserve"> integrated</w:t>
      </w:r>
      <w:r w:rsidRPr="009D7ECE">
        <w:t xml:space="preserve"> resource plan (IRP) </w:t>
      </w:r>
      <w:r w:rsidR="009D7ECE" w:rsidRPr="009D7ECE">
        <w:t>every two years, which identifies</w:t>
      </w:r>
      <w:r w:rsidR="00FD334E" w:rsidRPr="009D7ECE">
        <w:t xml:space="preserve"> “the mix of energy supply resources and conservation that will meet current and future needs at the lowest reasonable cost to the utility and its ratepayers.”</w:t>
      </w:r>
      <w:r w:rsidR="009D7ECE" w:rsidRPr="009D7ECE">
        <w:rPr>
          <w:rStyle w:val="FootnoteReference"/>
        </w:rPr>
        <w:footnoteReference w:id="1"/>
      </w:r>
      <w:r w:rsidR="00FD334E" w:rsidRPr="009D7ECE">
        <w:t xml:space="preserve"> In preparing an IRP, utilities are required to consider </w:t>
      </w:r>
      <w:r w:rsidRPr="009D7ECE">
        <w:t xml:space="preserve">changes and trends in energy markets, cost structures, </w:t>
      </w:r>
      <w:r w:rsidR="00337BF2" w:rsidRPr="009D7ECE">
        <w:t xml:space="preserve">state and </w:t>
      </w:r>
      <w:r w:rsidRPr="009D7ECE">
        <w:t>federal regulatory requirements, and other shifts in the political and market landscape. The intent is for each regulated company to develop a strategic approach that fits its unique situation, while minimizing risks and costs for the company and its ratepayers.</w:t>
      </w:r>
    </w:p>
    <w:p w:rsidR="00BA28ED" w:rsidRPr="009D7ECE" w:rsidRDefault="00BA28ED" w:rsidP="00BA28ED">
      <w:pPr>
        <w:pStyle w:val="NoSpacing"/>
        <w:spacing w:line="264" w:lineRule="auto"/>
      </w:pPr>
    </w:p>
    <w:p w:rsidR="00B27D29" w:rsidRPr="009D7ECE" w:rsidRDefault="00BA28ED" w:rsidP="00BA28ED">
      <w:pPr>
        <w:pStyle w:val="NoSpacing"/>
        <w:spacing w:line="264" w:lineRule="auto"/>
      </w:pPr>
      <w:r w:rsidRPr="009D7ECE">
        <w:t>The Washington Utilities and Transportation Commission (commission) recognizes that the Environmental Protection Agency’s proposal of the Clean Power Plan</w:t>
      </w:r>
      <w:r w:rsidR="004E10FC">
        <w:t xml:space="preserve"> (CPP) </w:t>
      </w:r>
      <w:r w:rsidRPr="009D7ECE">
        <w:t xml:space="preserve">in June 2014 added significant challenges to the IRP process. The commission </w:t>
      </w:r>
      <w:r w:rsidR="00FD334E" w:rsidRPr="009D7ECE">
        <w:t>acknowledges</w:t>
      </w:r>
      <w:r w:rsidRPr="009D7ECE">
        <w:t xml:space="preserve"> and appreciates the </w:t>
      </w:r>
      <w:r w:rsidR="00A4175E" w:rsidRPr="009D7ECE">
        <w:t xml:space="preserve">efforts of Pacific Power and Light Company (Pacific Power or company) to integrate the requirements of the </w:t>
      </w:r>
      <w:r w:rsidR="004E10FC">
        <w:t>CPP</w:t>
      </w:r>
      <w:r w:rsidR="00A4175E" w:rsidRPr="009D7ECE">
        <w:t xml:space="preserve"> into its IRP model and explore the costs and benefits of different compliance options. </w:t>
      </w:r>
      <w:r w:rsidR="00B27D29" w:rsidRPr="009D7ECE">
        <w:t>The model will be a useful tool as the company engages with the developers of state implementation plans, enabling Pacific Power to model the impact</w:t>
      </w:r>
      <w:r w:rsidR="00D31FDA" w:rsidRPr="009D7ECE">
        <w:t>s</w:t>
      </w:r>
      <w:r w:rsidR="00B27D29" w:rsidRPr="009D7ECE">
        <w:t xml:space="preserve"> of various compliance options and provide meaningful, quantitative feedback to state policymakers. </w:t>
      </w:r>
    </w:p>
    <w:p w:rsidR="00B27D29" w:rsidRPr="009D7ECE" w:rsidRDefault="00B27D29" w:rsidP="00BA28ED">
      <w:pPr>
        <w:pStyle w:val="NoSpacing"/>
        <w:spacing w:line="264" w:lineRule="auto"/>
      </w:pPr>
    </w:p>
    <w:p w:rsidR="00B27D29" w:rsidRPr="009D7ECE" w:rsidRDefault="00B27D29" w:rsidP="00BA28ED">
      <w:pPr>
        <w:pStyle w:val="NoSpacing"/>
        <w:spacing w:line="264" w:lineRule="auto"/>
      </w:pPr>
      <w:r w:rsidRPr="009D7ECE">
        <w:t>Though the commission does not agree wit</w:t>
      </w:r>
      <w:r w:rsidR="00D31FDA" w:rsidRPr="009D7ECE">
        <w:t>h some of the assumptions that Pacific Power</w:t>
      </w:r>
      <w:r w:rsidRPr="009D7ECE">
        <w:t xml:space="preserve"> has </w:t>
      </w:r>
      <w:r w:rsidR="00C1527A" w:rsidRPr="009D7ECE">
        <w:t>incorporated</w:t>
      </w:r>
      <w:r w:rsidRPr="009D7ECE">
        <w:t xml:space="preserve"> into the model, we hope that the company will continue to develop and refine the model as states develop their implementation plans and the company’s compliance obligations become clear.</w:t>
      </w:r>
      <w:r w:rsidR="00FD334E" w:rsidRPr="009D7ECE">
        <w:t xml:space="preserve"> </w:t>
      </w:r>
    </w:p>
    <w:p w:rsidR="00BA28ED" w:rsidRPr="009D7ECE" w:rsidRDefault="00BA28ED" w:rsidP="00BA28ED">
      <w:pPr>
        <w:pStyle w:val="NoSpacing"/>
        <w:spacing w:line="264" w:lineRule="auto"/>
      </w:pPr>
    </w:p>
    <w:p w:rsidR="00BA28ED" w:rsidRPr="009D7ECE" w:rsidRDefault="00BA28ED" w:rsidP="00BA28ED">
      <w:pPr>
        <w:pStyle w:val="NoSpacing"/>
        <w:spacing w:line="264" w:lineRule="auto"/>
        <w:rPr>
          <w:b/>
        </w:rPr>
      </w:pPr>
      <w:r w:rsidRPr="009D7ECE">
        <w:rPr>
          <w:b/>
        </w:rPr>
        <w:t>General Comments</w:t>
      </w:r>
    </w:p>
    <w:p w:rsidR="00BA28ED" w:rsidRPr="009D7ECE" w:rsidRDefault="00BA28ED" w:rsidP="00BA28ED">
      <w:pPr>
        <w:pStyle w:val="NoSpacing"/>
        <w:spacing w:line="264" w:lineRule="auto"/>
        <w:rPr>
          <w:b/>
        </w:rPr>
      </w:pPr>
    </w:p>
    <w:p w:rsidR="00BA28ED" w:rsidRPr="009D7ECE" w:rsidRDefault="00EB7EEA" w:rsidP="00BA28ED">
      <w:pPr>
        <w:pStyle w:val="NoSpacing"/>
        <w:spacing w:line="264" w:lineRule="auto"/>
      </w:pPr>
      <w:r w:rsidRPr="009D7ECE">
        <w:t xml:space="preserve">The commission is pleased to hear from staff and other stakeholders that Pacific Power’s IRP advisory group process is inclusive and transparent. We encourage the company to continue to conduct its </w:t>
      </w:r>
      <w:r w:rsidR="00D31FDA" w:rsidRPr="009D7ECE">
        <w:t xml:space="preserve">resource </w:t>
      </w:r>
      <w:r w:rsidRPr="009D7ECE">
        <w:t>planning activities in that spirit.</w:t>
      </w:r>
    </w:p>
    <w:p w:rsidR="00D21E49" w:rsidRPr="009D7ECE" w:rsidRDefault="00D21E49" w:rsidP="00BA28ED">
      <w:pPr>
        <w:pStyle w:val="NoSpacing"/>
        <w:spacing w:line="264" w:lineRule="auto"/>
      </w:pPr>
    </w:p>
    <w:p w:rsidR="00D21E49" w:rsidRPr="009D7ECE" w:rsidRDefault="00D21E49" w:rsidP="00D21E49">
      <w:pPr>
        <w:pStyle w:val="NoSpacing"/>
        <w:spacing w:line="264" w:lineRule="auto"/>
      </w:pPr>
      <w:r w:rsidRPr="009D7ECE">
        <w:t>Generally, the commission is pleased with the thoroughness and the presentation of the company’s analyses in the 2015 IRP. We particularly appreciate the company’s inclusion of extensive data disks with the filing, as this enhanced and streamlined the review process. We encourage the company to continue this practice in future IRP filings.</w:t>
      </w:r>
    </w:p>
    <w:p w:rsidR="00EB7EEA" w:rsidRPr="009D7ECE" w:rsidRDefault="00EB7EEA" w:rsidP="00BA28ED">
      <w:pPr>
        <w:pStyle w:val="NoSpacing"/>
        <w:spacing w:line="264" w:lineRule="auto"/>
      </w:pPr>
    </w:p>
    <w:p w:rsidR="00EB7EEA" w:rsidRPr="009D7ECE" w:rsidRDefault="00EB7EEA" w:rsidP="00BA28ED">
      <w:pPr>
        <w:pStyle w:val="NoSpacing"/>
        <w:spacing w:line="264" w:lineRule="auto"/>
      </w:pPr>
      <w:r w:rsidRPr="009D7ECE">
        <w:t xml:space="preserve">We also </w:t>
      </w:r>
      <w:r w:rsidR="00782E1B" w:rsidRPr="009D7ECE">
        <w:t>appreciate the</w:t>
      </w:r>
      <w:r w:rsidR="00AE01AD" w:rsidRPr="009D7ECE">
        <w:t xml:space="preserve"> company</w:t>
      </w:r>
      <w:r w:rsidR="00782E1B" w:rsidRPr="009D7ECE">
        <w:t>’s</w:t>
      </w:r>
      <w:r w:rsidR="00AE01AD" w:rsidRPr="009D7ECE">
        <w:t xml:space="preserve"> response</w:t>
      </w:r>
      <w:r w:rsidRPr="009D7ECE">
        <w:t xml:space="preserve"> to </w:t>
      </w:r>
      <w:r w:rsidR="00AE01AD" w:rsidRPr="009D7ECE">
        <w:t>the commission’s request to study the potential for anaerobic digesters in its Washington service territory. The study appears to have been done well and its conclusions provide valuable input for state policymakers as they consider options for addressing groundwater quality issues in the Yakima regi</w:t>
      </w:r>
      <w:r w:rsidR="00FC755B" w:rsidRPr="009D7ECE">
        <w:t>on</w:t>
      </w:r>
      <w:r w:rsidR="00D21E49" w:rsidRPr="009D7ECE">
        <w:t xml:space="preserve"> and study the growing overlap between water and energy issues.</w:t>
      </w:r>
    </w:p>
    <w:p w:rsidR="00C05852" w:rsidRPr="009D7ECE" w:rsidRDefault="00C05852" w:rsidP="00BA28ED">
      <w:pPr>
        <w:pStyle w:val="NoSpacing"/>
        <w:spacing w:line="264" w:lineRule="auto"/>
      </w:pPr>
    </w:p>
    <w:p w:rsidR="00C05852" w:rsidRPr="009D7ECE" w:rsidRDefault="00C05852" w:rsidP="00BA28ED">
      <w:pPr>
        <w:pStyle w:val="NoSpacing"/>
        <w:spacing w:line="264" w:lineRule="auto"/>
      </w:pPr>
      <w:r w:rsidRPr="009D7ECE">
        <w:t xml:space="preserve">Pacific Power’s re-evaluation of the capacity value of its renewable resources was a positive step, and we commend the company for </w:t>
      </w:r>
      <w:r w:rsidR="002722F0">
        <w:t xml:space="preserve">engaging </w:t>
      </w:r>
      <w:r w:rsidRPr="009D7ECE">
        <w:t xml:space="preserve">proactively in this forward-thinking exercise that appears to </w:t>
      </w:r>
      <w:r w:rsidR="002722F0">
        <w:t xml:space="preserve">value </w:t>
      </w:r>
      <w:r w:rsidRPr="009D7ECE">
        <w:t xml:space="preserve">more accurately the capacity contribution of variable renewable resources and results in a reduced resource need. We encourage the company to continue to evaluate how </w:t>
      </w:r>
      <w:r w:rsidR="00084F17" w:rsidRPr="009D7ECE">
        <w:t xml:space="preserve">its method </w:t>
      </w:r>
      <w:r w:rsidRPr="009D7ECE">
        <w:t xml:space="preserve">compares to the effective load carrying capability </w:t>
      </w:r>
      <w:r w:rsidR="00084F17" w:rsidRPr="009D7ECE">
        <w:t xml:space="preserve">method </w:t>
      </w:r>
      <w:r w:rsidRPr="009D7ECE">
        <w:t>on which</w:t>
      </w:r>
      <w:r w:rsidR="00084F17" w:rsidRPr="009D7ECE">
        <w:t xml:space="preserve"> it was based, to ensure that the company’s model</w:t>
      </w:r>
      <w:r w:rsidRPr="009D7ECE">
        <w:t xml:space="preserve"> is yielding accurate results. </w:t>
      </w:r>
    </w:p>
    <w:p w:rsidR="00AE01AD" w:rsidRPr="009D7ECE" w:rsidRDefault="00AE01AD" w:rsidP="00BA28ED">
      <w:pPr>
        <w:pStyle w:val="NoSpacing"/>
        <w:spacing w:line="264" w:lineRule="auto"/>
      </w:pPr>
    </w:p>
    <w:p w:rsidR="00537453" w:rsidRPr="009D7ECE" w:rsidRDefault="00C1527A" w:rsidP="00BA28ED">
      <w:pPr>
        <w:pStyle w:val="NoSpacing"/>
        <w:spacing w:line="264" w:lineRule="auto"/>
      </w:pPr>
      <w:r w:rsidRPr="009D7ECE">
        <w:t>The commission appreciates the company’s new conservation potential ass</w:t>
      </w:r>
      <w:r w:rsidR="00537453" w:rsidRPr="009D7ECE">
        <w:t>essment, which</w:t>
      </w:r>
      <w:r w:rsidR="00FB56B9" w:rsidRPr="009D7ECE">
        <w:t xml:space="preserve"> </w:t>
      </w:r>
      <w:r w:rsidR="00367F8C" w:rsidRPr="009D7ECE">
        <w:t>used updated cost assumptions more aligned with</w:t>
      </w:r>
      <w:r w:rsidR="00FB56B9" w:rsidRPr="009D7ECE">
        <w:t xml:space="preserve"> recent adv</w:t>
      </w:r>
      <w:r w:rsidR="00367F8C" w:rsidRPr="009D7ECE">
        <w:t xml:space="preserve">ancements in energy efficiency, such as </w:t>
      </w:r>
      <w:r w:rsidR="00FB56B9" w:rsidRPr="009D7ECE">
        <w:t>LED lighting,</w:t>
      </w:r>
      <w:r w:rsidR="00367F8C" w:rsidRPr="009D7ECE">
        <w:t xml:space="preserve"> </w:t>
      </w:r>
      <w:r w:rsidR="00084F17" w:rsidRPr="009D7ECE">
        <w:t>and resulted</w:t>
      </w:r>
      <w:r w:rsidR="00367F8C" w:rsidRPr="009D7ECE">
        <w:t xml:space="preserve"> in</w:t>
      </w:r>
      <w:r w:rsidR="00537453" w:rsidRPr="009D7ECE">
        <w:t xml:space="preserve"> a</w:t>
      </w:r>
      <w:r w:rsidRPr="009D7ECE">
        <w:t xml:space="preserve"> larger </w:t>
      </w:r>
      <w:r w:rsidR="00367F8C" w:rsidRPr="009D7ECE">
        <w:t xml:space="preserve">identified </w:t>
      </w:r>
      <w:r w:rsidRPr="009D7ECE">
        <w:t xml:space="preserve">potential </w:t>
      </w:r>
      <w:r w:rsidR="00084F17" w:rsidRPr="009D7ECE">
        <w:t>that enabled</w:t>
      </w:r>
      <w:r w:rsidRPr="009D7ECE">
        <w:t xml:space="preserve"> energy effici</w:t>
      </w:r>
      <w:r w:rsidR="00537453" w:rsidRPr="009D7ECE">
        <w:t xml:space="preserve">ency to be the </w:t>
      </w:r>
      <w:r w:rsidR="00FC755B" w:rsidRPr="009D7ECE">
        <w:t xml:space="preserve">largest </w:t>
      </w:r>
      <w:r w:rsidR="00537453" w:rsidRPr="009D7ECE">
        <w:t xml:space="preserve">resource in the company’s </w:t>
      </w:r>
      <w:r w:rsidR="006E283F" w:rsidRPr="009D7ECE">
        <w:t>resource acquisition plan</w:t>
      </w:r>
      <w:r w:rsidR="00537453" w:rsidRPr="009D7ECE">
        <w:t xml:space="preserve">. We particularly note that the IRP shows that the company can </w:t>
      </w:r>
      <w:r w:rsidR="00A138BC">
        <w:t>satisfy all of the projected energy growth</w:t>
      </w:r>
      <w:r w:rsidR="00537453" w:rsidRPr="009D7ECE">
        <w:t xml:space="preserve"> in </w:t>
      </w:r>
      <w:r w:rsidR="00FC755B" w:rsidRPr="009D7ECE">
        <w:t>its west balancing area</w:t>
      </w:r>
      <w:r w:rsidR="00537453" w:rsidRPr="009D7ECE">
        <w:t xml:space="preserve"> for the next 10 years through energy efficiency, and commend the company for</w:t>
      </w:r>
      <w:r w:rsidR="00FC755B" w:rsidRPr="009D7ECE">
        <w:t xml:space="preserve"> its commitment to that cost- and risk-reducing resource</w:t>
      </w:r>
      <w:r w:rsidR="00537453" w:rsidRPr="009D7ECE">
        <w:t>. The commission will provide a more detailed commentary on the conservation potential assessment when it reviews the company’s conservation plan for the 2016-17 biennium.</w:t>
      </w:r>
    </w:p>
    <w:p w:rsidR="00537453" w:rsidRPr="009D7ECE" w:rsidRDefault="00537453" w:rsidP="00BA28ED">
      <w:pPr>
        <w:pStyle w:val="NoSpacing"/>
        <w:spacing w:line="264" w:lineRule="auto"/>
      </w:pPr>
    </w:p>
    <w:p w:rsidR="00BA28ED" w:rsidRPr="009D7ECE" w:rsidRDefault="00537453" w:rsidP="00BA28ED">
      <w:pPr>
        <w:pStyle w:val="NoSpacing"/>
        <w:spacing w:line="264" w:lineRule="auto"/>
        <w:rPr>
          <w:b/>
        </w:rPr>
      </w:pPr>
      <w:r w:rsidRPr="009D7ECE">
        <w:rPr>
          <w:b/>
        </w:rPr>
        <w:t xml:space="preserve">Clean Power Plan </w:t>
      </w:r>
      <w:r w:rsidR="004D77A1">
        <w:rPr>
          <w:b/>
        </w:rPr>
        <w:t xml:space="preserve">(CPP) and State-level Carbon Policy </w:t>
      </w:r>
      <w:r w:rsidRPr="009D7ECE">
        <w:rPr>
          <w:b/>
        </w:rPr>
        <w:t>Analysis</w:t>
      </w:r>
    </w:p>
    <w:p w:rsidR="00BA28ED" w:rsidRPr="009D7ECE" w:rsidRDefault="00BA28ED" w:rsidP="00BA28ED">
      <w:pPr>
        <w:pStyle w:val="NoSpacing"/>
        <w:spacing w:line="264" w:lineRule="auto"/>
      </w:pPr>
    </w:p>
    <w:p w:rsidR="00537453" w:rsidRPr="009D7ECE" w:rsidRDefault="00537453" w:rsidP="00BA28ED">
      <w:pPr>
        <w:pStyle w:val="NoSpacing"/>
        <w:spacing w:line="264" w:lineRule="auto"/>
      </w:pPr>
      <w:r w:rsidRPr="009D7ECE">
        <w:t>On August 3, 2015, the Environmental Protection Agency (EPA</w:t>
      </w:r>
      <w:r w:rsidR="00A07F8C" w:rsidRPr="009D7ECE">
        <w:t>)</w:t>
      </w:r>
      <w:r w:rsidR="00870311">
        <w:t xml:space="preserve"> released</w:t>
      </w:r>
      <w:r w:rsidR="00A07F8C" w:rsidRPr="009D7ECE">
        <w:t xml:space="preserve"> its final rule under Section 111(d) of the Clean Air Act to limit </w:t>
      </w:r>
      <w:r w:rsidR="00870311">
        <w:t xml:space="preserve">carbon dioxide </w:t>
      </w:r>
      <w:r w:rsidR="00A07F8C" w:rsidRPr="009D7ECE">
        <w:t xml:space="preserve">emissions from existing power plants. </w:t>
      </w:r>
      <w:r w:rsidR="0049043A">
        <w:t>In addition to refining the Best System of Emissions Reduction and clarifying the mass-based target option, t</w:t>
      </w:r>
      <w:r w:rsidR="00A07F8C" w:rsidRPr="009D7ECE">
        <w:t xml:space="preserve">he final rule appears to have a </w:t>
      </w:r>
      <w:r w:rsidR="005E0C57">
        <w:t>less significant</w:t>
      </w:r>
      <w:r w:rsidR="00A07F8C" w:rsidRPr="009D7ECE">
        <w:t xml:space="preserve"> impact on the company’s Washington operations and varying impacts in the company’s other states. We encourage the company to use the </w:t>
      </w:r>
      <w:r w:rsidR="004E10FC">
        <w:t xml:space="preserve">2015 </w:t>
      </w:r>
      <w:r w:rsidR="00A07F8C" w:rsidRPr="009D7ECE">
        <w:t xml:space="preserve">IRP </w:t>
      </w:r>
      <w:r w:rsidR="004E10FC">
        <w:t>U</w:t>
      </w:r>
      <w:r w:rsidR="00A07F8C" w:rsidRPr="009D7ECE">
        <w:t xml:space="preserve">pdate as an opportunity to begin modeling the final rule and developing useful data that will inform the process as the various states begin formulating </w:t>
      </w:r>
      <w:r w:rsidR="004E10FC">
        <w:t>compliance</w:t>
      </w:r>
      <w:r w:rsidR="004E10FC" w:rsidRPr="009D7ECE">
        <w:t xml:space="preserve"> </w:t>
      </w:r>
      <w:r w:rsidR="00A07F8C" w:rsidRPr="009D7ECE">
        <w:t>plans.</w:t>
      </w:r>
      <w:r w:rsidR="0049043A">
        <w:t xml:space="preserve"> We recognize that </w:t>
      </w:r>
      <w:r w:rsidR="004D77A1">
        <w:t>Pacific Power</w:t>
      </w:r>
      <w:r w:rsidR="0049043A">
        <w:t xml:space="preserve"> faces a significant challenge in participating in the formulation of </w:t>
      </w:r>
      <w:r w:rsidR="004D77A1">
        <w:t xml:space="preserve">compliance plans in </w:t>
      </w:r>
      <w:r w:rsidR="002722F0">
        <w:t xml:space="preserve">several </w:t>
      </w:r>
      <w:r w:rsidR="004D77A1">
        <w:t>states, but strongly encourage the company to actively and constructively participate in Washington’s process and any multi-state or regional efforts that may emerge.</w:t>
      </w:r>
    </w:p>
    <w:p w:rsidR="00A07F8C" w:rsidRPr="009D7ECE" w:rsidRDefault="00A07F8C" w:rsidP="00BA28ED">
      <w:pPr>
        <w:pStyle w:val="NoSpacing"/>
        <w:spacing w:line="264" w:lineRule="auto"/>
      </w:pPr>
    </w:p>
    <w:p w:rsidR="00A07F8C" w:rsidRPr="009D7ECE" w:rsidRDefault="00A07F8C" w:rsidP="00BA28ED">
      <w:pPr>
        <w:pStyle w:val="NoSpacing"/>
        <w:spacing w:line="264" w:lineRule="auto"/>
      </w:pPr>
      <w:r w:rsidRPr="009D7ECE">
        <w:t xml:space="preserve">The commission is concerned with the company’s assumption that it will be able to allocate the </w:t>
      </w:r>
      <w:r w:rsidR="00F80AE9">
        <w:t>CPP</w:t>
      </w:r>
      <w:r w:rsidRPr="009D7ECE">
        <w:t xml:space="preserve"> compliance attribute of renewable energy generation independently of the renewable energy credit (REC) attribute. </w:t>
      </w:r>
      <w:r w:rsidR="00E41416" w:rsidRPr="009D7ECE">
        <w:t xml:space="preserve">We do not believe the company’s analysis supports a conclusion </w:t>
      </w:r>
      <w:r w:rsidR="00CA40E3" w:rsidRPr="009D7ECE">
        <w:t xml:space="preserve">that its independent allocation is not double </w:t>
      </w:r>
      <w:proofErr w:type="spellStart"/>
      <w:r w:rsidR="00CA40E3" w:rsidRPr="009D7ECE">
        <w:t>counting.</w:t>
      </w:r>
      <w:r w:rsidR="00FC755B" w:rsidRPr="009D7ECE">
        <w:t>The</w:t>
      </w:r>
      <w:proofErr w:type="spellEnd"/>
      <w:r w:rsidR="00FC755B" w:rsidRPr="009D7ECE">
        <w:t xml:space="preserve"> interaction of the </w:t>
      </w:r>
      <w:r w:rsidR="00D31FDA" w:rsidRPr="009D7ECE">
        <w:t xml:space="preserve">final </w:t>
      </w:r>
      <w:r w:rsidR="00FC755B" w:rsidRPr="009D7ECE">
        <w:t xml:space="preserve">plan’s new Emission Rate Credits (ERCs) and RECs is </w:t>
      </w:r>
      <w:r w:rsidR="00D31FDA" w:rsidRPr="009D7ECE">
        <w:t>unclear at this time</w:t>
      </w:r>
      <w:r w:rsidR="00FC755B" w:rsidRPr="009D7ECE">
        <w:t xml:space="preserve">, but we want to make it clear that the </w:t>
      </w:r>
      <w:r w:rsidR="002A655B" w:rsidRPr="009D7ECE">
        <w:t>double counting of renewable generation is not permissible under Washington law</w:t>
      </w:r>
      <w:r w:rsidR="003E5372" w:rsidRPr="009D7ECE">
        <w:t xml:space="preserve">, and we strongly encourage the company </w:t>
      </w:r>
      <w:r w:rsidR="00D31FDA" w:rsidRPr="009D7ECE">
        <w:t>not to rely on that assumption</w:t>
      </w:r>
      <w:r w:rsidR="003E5372" w:rsidRPr="009D7ECE">
        <w:t xml:space="preserve"> when modeling its compliance options.</w:t>
      </w:r>
      <w:r w:rsidR="00334D96" w:rsidRPr="009D7ECE">
        <w:rPr>
          <w:rStyle w:val="FootnoteReference"/>
        </w:rPr>
        <w:t xml:space="preserve"> </w:t>
      </w:r>
      <w:r w:rsidR="00334D96" w:rsidRPr="009D7ECE">
        <w:rPr>
          <w:rStyle w:val="FootnoteReference"/>
        </w:rPr>
        <w:footnoteReference w:id="2"/>
      </w:r>
      <w:r w:rsidR="00D245B0" w:rsidRPr="009D7ECE">
        <w:t xml:space="preserve"> </w:t>
      </w:r>
    </w:p>
    <w:p w:rsidR="006E283F" w:rsidRPr="009D7ECE" w:rsidRDefault="006E283F" w:rsidP="00BA28ED">
      <w:pPr>
        <w:pStyle w:val="NoSpacing"/>
        <w:spacing w:line="264" w:lineRule="auto"/>
      </w:pPr>
    </w:p>
    <w:p w:rsidR="006E283F" w:rsidRPr="009D7ECE" w:rsidRDefault="006E283F" w:rsidP="00BA28ED">
      <w:pPr>
        <w:pStyle w:val="NoSpacing"/>
        <w:spacing w:line="264" w:lineRule="auto"/>
      </w:pPr>
      <w:r w:rsidRPr="009D7ECE">
        <w:t>We appreciate that Pacific Power responded to staff’s concerns on this matter by adding sensitivity case S-15, which removed</w:t>
      </w:r>
      <w:r w:rsidR="00B73072" w:rsidRPr="009D7ECE">
        <w:t xml:space="preserve"> this </w:t>
      </w:r>
      <w:r w:rsidRPr="009D7ECE">
        <w:t xml:space="preserve">assumption. But we question the company’s approach in assuming that the only compliance alternative would be to shut down the Chehalis </w:t>
      </w:r>
      <w:r w:rsidR="00334D96" w:rsidRPr="009D7ECE">
        <w:t xml:space="preserve">gas </w:t>
      </w:r>
      <w:r w:rsidRPr="009D7ECE">
        <w:t xml:space="preserve">plant. It would be more appropriate to allow the model to conduct a full run to see if it can identify some other combination of compliance </w:t>
      </w:r>
      <w:r w:rsidR="00E45082">
        <w:t xml:space="preserve">options consistent with the final CPP </w:t>
      </w:r>
      <w:r w:rsidRPr="009D7ECE">
        <w:t xml:space="preserve">that would </w:t>
      </w:r>
      <w:r w:rsidR="00B73072" w:rsidRPr="009D7ECE">
        <w:t xml:space="preserve">allow the company to meet its </w:t>
      </w:r>
      <w:r w:rsidR="00FB7B37" w:rsidRPr="009D7ECE">
        <w:t xml:space="preserve">obligations </w:t>
      </w:r>
      <w:r w:rsidR="00B73072" w:rsidRPr="009D7ECE">
        <w:t xml:space="preserve">without having to double allocate renewable energy. We request that the company provide such an analysis with the 2015 IRP </w:t>
      </w:r>
      <w:r w:rsidR="00154436">
        <w:t>U</w:t>
      </w:r>
      <w:r w:rsidR="00B73072" w:rsidRPr="009D7ECE">
        <w:t>pdate.</w:t>
      </w:r>
    </w:p>
    <w:p w:rsidR="00D245B0" w:rsidRPr="009D7ECE" w:rsidRDefault="00D245B0" w:rsidP="00BA28ED">
      <w:pPr>
        <w:pStyle w:val="NoSpacing"/>
        <w:spacing w:line="264" w:lineRule="auto"/>
      </w:pPr>
    </w:p>
    <w:p w:rsidR="00D245B0" w:rsidRPr="009D7ECE" w:rsidRDefault="00D245B0" w:rsidP="00BA28ED">
      <w:pPr>
        <w:pStyle w:val="NoSpacing"/>
        <w:spacing w:line="264" w:lineRule="auto"/>
      </w:pPr>
      <w:r w:rsidRPr="009D7ECE">
        <w:t>Based on inform</w:t>
      </w:r>
      <w:r w:rsidR="001F3FB0" w:rsidRPr="009D7ECE">
        <w:t>ation the company has provided</w:t>
      </w:r>
      <w:r w:rsidRPr="009D7ECE">
        <w:t xml:space="preserve">, it appears that Pacific Power’s Washington operations are already below the state’s final target under the </w:t>
      </w:r>
      <w:r w:rsidR="006748B1">
        <w:t>CPP</w:t>
      </w:r>
      <w:r w:rsidRPr="009D7ECE">
        <w:t xml:space="preserve">. However, we note that </w:t>
      </w:r>
      <w:r w:rsidR="003173FC">
        <w:t xml:space="preserve">there are two proposals under discussion in Washington that could potentially create more stringent emissions reduction requirements for Pacific Power. </w:t>
      </w:r>
      <w:r w:rsidRPr="009D7ECE">
        <w:t xml:space="preserve">Governor Jay Inslee has directed state officials to develop a rule for limiting carbon emissions within the state, </w:t>
      </w:r>
      <w:r w:rsidR="003173FC">
        <w:t>while a proposed citizens’ initiative would establish a tax on carbon emissions</w:t>
      </w:r>
      <w:r w:rsidRPr="009D7ECE">
        <w:t xml:space="preserve">. </w:t>
      </w:r>
      <w:r w:rsidR="00142C9D">
        <w:t>While w</w:t>
      </w:r>
      <w:r w:rsidR="003173FC">
        <w:t xml:space="preserve">e realize that it is unclear </w:t>
      </w:r>
      <w:r w:rsidR="002722F0">
        <w:t xml:space="preserve">at this time the </w:t>
      </w:r>
      <w:proofErr w:type="spellStart"/>
      <w:r w:rsidR="002722F0">
        <w:t>sepcifics</w:t>
      </w:r>
      <w:proofErr w:type="spellEnd"/>
      <w:r w:rsidR="002722F0">
        <w:t xml:space="preserve"> of the final rule and w</w:t>
      </w:r>
      <w:r w:rsidR="003173FC">
        <w:t xml:space="preserve">hether </w:t>
      </w:r>
      <w:r w:rsidR="002722F0">
        <w:t xml:space="preserve">a carbon tax or other </w:t>
      </w:r>
      <w:r w:rsidR="003173FC">
        <w:t xml:space="preserve">system of carbon regulation will be approved and ultimately enacted for the state of Washington, we believe that there is sufficient political and citizen support to justify modeling both in more detail. Therefore, we ask that the </w:t>
      </w:r>
      <w:r w:rsidR="00142C9D">
        <w:t>c</w:t>
      </w:r>
      <w:r w:rsidR="003173FC">
        <w:t xml:space="preserve">ompany model a sensitivity for </w:t>
      </w:r>
      <w:r w:rsidR="002722F0">
        <w:t xml:space="preserve">both a trading system and carbon tax system </w:t>
      </w:r>
      <w:r w:rsidR="00154436">
        <w:t>in its 2017 IRP</w:t>
      </w:r>
      <w:r w:rsidR="003173FC">
        <w:t xml:space="preserve">, and consult with </w:t>
      </w:r>
      <w:r w:rsidR="00B313D6">
        <w:t>c</w:t>
      </w:r>
      <w:r w:rsidR="003173FC">
        <w:t xml:space="preserve">ommission staff regarding the appropriate assumptions and inputs. We realize that the modeling of the </w:t>
      </w:r>
      <w:r w:rsidR="00142C9D">
        <w:t>carbon tax</w:t>
      </w:r>
      <w:r w:rsidR="003173FC">
        <w:t xml:space="preserve"> approach is more straightforward and direct, but the Company should be able to model a ca</w:t>
      </w:r>
      <w:r w:rsidR="002722F0">
        <w:t xml:space="preserve">rbon trading system based on draft rules to be released in the coming months as well as </w:t>
      </w:r>
      <w:r w:rsidR="003173FC">
        <w:t>the experience</w:t>
      </w:r>
      <w:r w:rsidR="002722F0">
        <w:t xml:space="preserve">s with carbon trading systems </w:t>
      </w:r>
      <w:r w:rsidR="003173FC">
        <w:t>in other states and regions.</w:t>
      </w:r>
    </w:p>
    <w:p w:rsidR="00D245B0" w:rsidRPr="009D7ECE" w:rsidRDefault="00D245B0" w:rsidP="00BA28ED">
      <w:pPr>
        <w:pStyle w:val="NoSpacing"/>
        <w:spacing w:line="264" w:lineRule="auto"/>
      </w:pPr>
    </w:p>
    <w:p w:rsidR="00D245B0" w:rsidRPr="009D7ECE" w:rsidRDefault="00142C9D" w:rsidP="00BA28ED">
      <w:pPr>
        <w:pStyle w:val="NoSpacing"/>
        <w:spacing w:line="264" w:lineRule="auto"/>
      </w:pPr>
      <w:r>
        <w:t>In general, we believe it would be useful for the company</w:t>
      </w:r>
      <w:r w:rsidR="00FC755B" w:rsidRPr="009D7ECE">
        <w:t xml:space="preserve"> to develop a supply curve of emissions abatement. We envision this as a tool that considers all </w:t>
      </w:r>
      <w:r w:rsidR="00367F8C" w:rsidRPr="009D7ECE">
        <w:t>mechanisms</w:t>
      </w:r>
      <w:r w:rsidR="00D31FDA" w:rsidRPr="009D7ECE">
        <w:t xml:space="preserve"> for </w:t>
      </w:r>
      <w:r w:rsidR="00FC755B" w:rsidRPr="009D7ECE">
        <w:t xml:space="preserve">reducing emissions – energy efficiency, emissions controls, plant conversions, etc. – and their costs. This supply curve would </w:t>
      </w:r>
      <w:r w:rsidR="00275327" w:rsidRPr="009D7ECE">
        <w:t>identify, specific to Pacific Power, the available technologies and their associated costs that could reach a given emissions goal. This type of tool would lend increased transparency to the issue, and would allow the company, regulators, and stakeholders to engage in meaningful and informed conversations regarding the costs and benefits of reducing Pacific Power’s emissions.</w:t>
      </w:r>
    </w:p>
    <w:p w:rsidR="00275327" w:rsidRPr="009D7ECE" w:rsidRDefault="00275327" w:rsidP="00BA28ED">
      <w:pPr>
        <w:pStyle w:val="NoSpacing"/>
        <w:spacing w:line="264" w:lineRule="auto"/>
      </w:pPr>
    </w:p>
    <w:p w:rsidR="00275327" w:rsidRPr="009D7ECE" w:rsidRDefault="00275327" w:rsidP="00BA28ED">
      <w:pPr>
        <w:pStyle w:val="NoSpacing"/>
        <w:spacing w:line="264" w:lineRule="auto"/>
        <w:rPr>
          <w:b/>
        </w:rPr>
      </w:pPr>
      <w:r w:rsidRPr="009D7ECE">
        <w:rPr>
          <w:b/>
        </w:rPr>
        <w:t>Balancing Area Analysis</w:t>
      </w:r>
    </w:p>
    <w:p w:rsidR="00275327" w:rsidRPr="009D7ECE" w:rsidRDefault="00275327" w:rsidP="00BA28ED">
      <w:pPr>
        <w:pStyle w:val="NoSpacing"/>
        <w:spacing w:line="264" w:lineRule="auto"/>
        <w:rPr>
          <w:b/>
        </w:rPr>
      </w:pPr>
    </w:p>
    <w:p w:rsidR="00275327" w:rsidRPr="009D7ECE" w:rsidRDefault="00275327" w:rsidP="00BA28ED">
      <w:pPr>
        <w:pStyle w:val="NoSpacing"/>
        <w:spacing w:line="264" w:lineRule="auto"/>
      </w:pPr>
      <w:r w:rsidRPr="009D7ECE">
        <w:t>In acknowledging Pacific Power’s 2013 IRP, the commission requested that the company model its east and west balancing areas separately in the 2015 IRP.</w:t>
      </w:r>
      <w:r w:rsidRPr="009D7ECE">
        <w:rPr>
          <w:rStyle w:val="FootnoteReference"/>
        </w:rPr>
        <w:footnoteReference w:id="3"/>
      </w:r>
      <w:r w:rsidR="00896E3F" w:rsidRPr="009D7ECE">
        <w:t xml:space="preserve"> We expressed at that time a concern that the company’s system-level approach to modeling failed to</w:t>
      </w:r>
      <w:r w:rsidR="00B73072" w:rsidRPr="009D7ECE">
        <w:t xml:space="preserve"> account for the differences </w:t>
      </w:r>
      <w:r w:rsidR="00367F8C" w:rsidRPr="009D7ECE">
        <w:t xml:space="preserve">in load growth and resource base </w:t>
      </w:r>
      <w:r w:rsidR="00896E3F" w:rsidRPr="009D7ECE">
        <w:t xml:space="preserve">between the two areas and may be resulting in portfolios that do not optimally meet the balancing areas’ </w:t>
      </w:r>
      <w:r w:rsidR="00D31FDA" w:rsidRPr="009D7ECE">
        <w:t xml:space="preserve">individual </w:t>
      </w:r>
      <w:r w:rsidR="00896E3F" w:rsidRPr="009D7ECE">
        <w:t>needs. The data presented in the company’s 2015 IRP reinforce our concern; the east balancing area’s load growth rate over the next 10 years is projected to be 86 percent higher than the west’</w:t>
      </w:r>
      <w:r w:rsidR="00015EAC" w:rsidRPr="009D7ECE">
        <w:t>s (it was 50 percent higher</w:t>
      </w:r>
      <w:r w:rsidR="00896E3F" w:rsidRPr="009D7ECE">
        <w:t xml:space="preserve"> in the 2013 IRP). </w:t>
      </w:r>
      <w:r w:rsidR="00D31FDA" w:rsidRPr="009D7ECE">
        <w:t xml:space="preserve">When load growth net of conservation is considered, then the west balancing area actually has a negative growth rate for the next decade. </w:t>
      </w:r>
      <w:r w:rsidR="00896E3F" w:rsidRPr="009D7ECE">
        <w:t>The difference in peak demand growth rates is similar.</w:t>
      </w:r>
    </w:p>
    <w:p w:rsidR="00896E3F" w:rsidRPr="009D7ECE" w:rsidRDefault="00896E3F" w:rsidP="00BA28ED">
      <w:pPr>
        <w:pStyle w:val="NoSpacing"/>
        <w:spacing w:line="264" w:lineRule="auto"/>
      </w:pPr>
    </w:p>
    <w:p w:rsidR="00896E3F" w:rsidRPr="009D7ECE" w:rsidRDefault="00896E3F" w:rsidP="00BA28ED">
      <w:pPr>
        <w:pStyle w:val="NoSpacing"/>
        <w:spacing w:line="264" w:lineRule="auto"/>
      </w:pPr>
      <w:r w:rsidRPr="009D7ECE">
        <w:t xml:space="preserve">Pacific Power responded to the commission’s request with sensitivity case S-10, which the company </w:t>
      </w:r>
      <w:r w:rsidR="00015EAC" w:rsidRPr="009D7ECE">
        <w:t xml:space="preserve">presents as the cost impact of planning for the two balancing areas separately. </w:t>
      </w:r>
      <w:r w:rsidR="00D21E49" w:rsidRPr="009D7ECE">
        <w:t xml:space="preserve">While we appreciate the company’s responsiveness, we </w:t>
      </w:r>
      <w:r w:rsidR="00742B66" w:rsidRPr="009D7ECE">
        <w:t>do not</w:t>
      </w:r>
      <w:r w:rsidR="00D21E49" w:rsidRPr="009D7ECE">
        <w:t xml:space="preserve"> accept S-10 as a satisfactory response to ou</w:t>
      </w:r>
      <w:r w:rsidR="00367F8C" w:rsidRPr="009D7ECE">
        <w:t>r request. The company presents</w:t>
      </w:r>
      <w:r w:rsidR="00D21E49" w:rsidRPr="009D7ECE">
        <w:t xml:space="preserve"> the cost impacts on a system basis; those cost impacts should be presented at the balancing area level as a means of quantifying the benefits of system integration to the individual </w:t>
      </w:r>
      <w:r w:rsidR="00154436">
        <w:t>balancing</w:t>
      </w:r>
      <w:r w:rsidR="00D21E49" w:rsidRPr="009D7ECE">
        <w:t xml:space="preserve"> areas. The reports that the company included on the data d</w:t>
      </w:r>
      <w:r w:rsidR="00367F8C" w:rsidRPr="009D7ECE">
        <w:t>isc</w:t>
      </w:r>
      <w:r w:rsidR="00D21E49" w:rsidRPr="009D7ECE">
        <w:t>s provided a high-leve</w:t>
      </w:r>
      <w:r w:rsidR="00DF764D" w:rsidRPr="009D7ECE">
        <w:t xml:space="preserve">l view </w:t>
      </w:r>
      <w:r w:rsidR="00D644C0">
        <w:t xml:space="preserve">of </w:t>
      </w:r>
      <w:r w:rsidR="00DF764D" w:rsidRPr="009D7ECE">
        <w:t xml:space="preserve">how the resource plans for the two areas would change, but it is difficult to analyze those impacts without monetary values attached. </w:t>
      </w:r>
    </w:p>
    <w:p w:rsidR="00DF764D" w:rsidRPr="009D7ECE" w:rsidRDefault="00DF764D" w:rsidP="00BA28ED">
      <w:pPr>
        <w:pStyle w:val="NoSpacing"/>
        <w:spacing w:line="264" w:lineRule="auto"/>
      </w:pPr>
    </w:p>
    <w:p w:rsidR="00DF764D" w:rsidRPr="009D7ECE" w:rsidRDefault="00DF764D" w:rsidP="00BA28ED">
      <w:pPr>
        <w:pStyle w:val="NoSpacing"/>
        <w:spacing w:line="264" w:lineRule="auto"/>
      </w:pPr>
      <w:r w:rsidRPr="009D7ECE">
        <w:t xml:space="preserve">The S-10 analysis raises more questions than it answers. Not only does it </w:t>
      </w:r>
      <w:r w:rsidR="00367F8C" w:rsidRPr="009D7ECE">
        <w:t>select</w:t>
      </w:r>
      <w:r w:rsidRPr="009D7ECE">
        <w:t xml:space="preserve"> </w:t>
      </w:r>
      <w:r w:rsidR="00367F8C" w:rsidRPr="009D7ECE">
        <w:t xml:space="preserve">incremental </w:t>
      </w:r>
      <w:r w:rsidRPr="009D7ECE">
        <w:t>resources</w:t>
      </w:r>
      <w:r w:rsidR="00367F8C" w:rsidRPr="009D7ECE">
        <w:t xml:space="preserve"> compared to the preferred portfolio</w:t>
      </w:r>
      <w:r w:rsidRPr="009D7ECE">
        <w:t xml:space="preserve">; it </w:t>
      </w:r>
      <w:r w:rsidR="00367F8C" w:rsidRPr="009D7ECE">
        <w:t xml:space="preserve">selects </w:t>
      </w:r>
      <w:r w:rsidRPr="009D7ECE">
        <w:t xml:space="preserve">an entirely different suite of resources than </w:t>
      </w:r>
      <w:r w:rsidR="00D6324D" w:rsidRPr="009D7ECE">
        <w:t>those selected in the</w:t>
      </w:r>
      <w:r w:rsidRPr="009D7ECE">
        <w:t xml:space="preserve"> preferred portfolio, including storage, geothermal, and demand response. We find this </w:t>
      </w:r>
      <w:r w:rsidR="002722F0">
        <w:t xml:space="preserve">requires </w:t>
      </w:r>
      <w:r w:rsidRPr="009D7ECE">
        <w:t>further explanation.</w:t>
      </w:r>
    </w:p>
    <w:p w:rsidR="00DF764D" w:rsidRPr="009D7ECE" w:rsidRDefault="00DF764D" w:rsidP="00BA28ED">
      <w:pPr>
        <w:pStyle w:val="NoSpacing"/>
        <w:spacing w:line="264" w:lineRule="auto"/>
      </w:pPr>
    </w:p>
    <w:p w:rsidR="00084F17" w:rsidRPr="009D7ECE" w:rsidRDefault="00DF764D" w:rsidP="00BA28ED">
      <w:pPr>
        <w:pStyle w:val="NoSpacing"/>
        <w:spacing w:line="264" w:lineRule="auto"/>
      </w:pPr>
      <w:r w:rsidRPr="009D7ECE">
        <w:t xml:space="preserve">Most importantly, we </w:t>
      </w:r>
      <w:r w:rsidR="00B54022" w:rsidRPr="009D7ECE">
        <w:t>do not</w:t>
      </w:r>
      <w:r w:rsidRPr="009D7ECE">
        <w:t xml:space="preserve"> accept the S-10 analysis because its conclusions simply do not match the information that we have received through other proceedings. Within the context of the company’</w:t>
      </w:r>
      <w:r w:rsidR="00D31FDA" w:rsidRPr="009D7ECE">
        <w:t xml:space="preserve">s Multi-State Process </w:t>
      </w:r>
      <w:r w:rsidRPr="009D7ECE">
        <w:t xml:space="preserve">for interstate cost allocations, staff analyzed power flows across the company’s system, in particular between the two balancing areas. That analysis </w:t>
      </w:r>
      <w:r w:rsidR="00B54022" w:rsidRPr="009D7ECE">
        <w:t xml:space="preserve">shows </w:t>
      </w:r>
      <w:r w:rsidRPr="009D7ECE">
        <w:t xml:space="preserve">that </w:t>
      </w:r>
      <w:r w:rsidR="0023753C" w:rsidRPr="009D7ECE">
        <w:t xml:space="preserve">the west balancing area is capable of meeting its peak </w:t>
      </w:r>
      <w:r w:rsidR="00D31FDA" w:rsidRPr="009D7ECE">
        <w:t>load</w:t>
      </w:r>
      <w:r w:rsidR="0023753C" w:rsidRPr="009D7ECE">
        <w:t xml:space="preserve"> needs independent of any transfers from the east balancing area. In light of this analysis based on observed data, we cannot accept an analysis of a theoretic</w:t>
      </w:r>
      <w:r w:rsidR="00A54424" w:rsidRPr="009D7ECE">
        <w:t>al split between the two balancing</w:t>
      </w:r>
      <w:r w:rsidR="0023753C" w:rsidRPr="009D7ECE">
        <w:t xml:space="preserve"> areas that concludes that the west would need to </w:t>
      </w:r>
      <w:r w:rsidR="00B73072" w:rsidRPr="009D7ECE">
        <w:t xml:space="preserve">immediately </w:t>
      </w:r>
      <w:r w:rsidR="0023753C" w:rsidRPr="009D7ECE">
        <w:t xml:space="preserve">add </w:t>
      </w:r>
      <w:r w:rsidR="00B73072" w:rsidRPr="009D7ECE">
        <w:t xml:space="preserve">significant </w:t>
      </w:r>
      <w:r w:rsidR="0023753C" w:rsidRPr="009D7ECE">
        <w:t xml:space="preserve">capacity resources to meet its peak needs. </w:t>
      </w:r>
    </w:p>
    <w:p w:rsidR="00084F17" w:rsidRPr="009D7ECE" w:rsidRDefault="00084F17" w:rsidP="00BA28ED">
      <w:pPr>
        <w:pStyle w:val="NoSpacing"/>
        <w:spacing w:line="264" w:lineRule="auto"/>
      </w:pPr>
    </w:p>
    <w:p w:rsidR="000C4728" w:rsidRPr="009D7ECE" w:rsidRDefault="0023753C" w:rsidP="00BA28ED">
      <w:pPr>
        <w:pStyle w:val="NoSpacing"/>
        <w:spacing w:line="264" w:lineRule="auto"/>
      </w:pPr>
      <w:r w:rsidRPr="009D7ECE">
        <w:t>The conversation on this mat</w:t>
      </w:r>
      <w:r w:rsidR="00B73072" w:rsidRPr="009D7ECE">
        <w:t>ter during the company’s presentation of the IRP</w:t>
      </w:r>
      <w:r w:rsidRPr="009D7ECE">
        <w:t xml:space="preserve"> did little to reconcile the difference between staff’s energy flow analysis and the company’s S-10 analysis. We therefore request that </w:t>
      </w:r>
      <w:r w:rsidR="001F3FB0" w:rsidRPr="009D7ECE">
        <w:t xml:space="preserve">the </w:t>
      </w:r>
      <w:r w:rsidRPr="009D7ECE">
        <w:t>analysis be repeat</w:t>
      </w:r>
      <w:r w:rsidR="00B73072" w:rsidRPr="009D7ECE">
        <w:t>ed in the 2017 IRP</w:t>
      </w:r>
      <w:r w:rsidRPr="009D7ECE">
        <w:t xml:space="preserve">, and that </w:t>
      </w:r>
      <w:r w:rsidR="00034CDE" w:rsidRPr="009D7ECE">
        <w:t>Pacific Power either use inputs consistent with</w:t>
      </w:r>
      <w:r w:rsidRPr="009D7ECE">
        <w:t xml:space="preserve"> the flow data we have seen or explain why </w:t>
      </w:r>
      <w:r w:rsidR="00B54022" w:rsidRPr="009D7ECE">
        <w:t>different inputs are more appropriate</w:t>
      </w:r>
      <w:r w:rsidRPr="009D7ECE">
        <w:t xml:space="preserve">. </w:t>
      </w:r>
    </w:p>
    <w:p w:rsidR="0023753C" w:rsidRPr="009D7ECE" w:rsidRDefault="0023753C" w:rsidP="00BA28ED">
      <w:pPr>
        <w:pStyle w:val="NoSpacing"/>
        <w:spacing w:line="264" w:lineRule="auto"/>
      </w:pPr>
    </w:p>
    <w:p w:rsidR="0023753C" w:rsidRPr="009D7ECE" w:rsidRDefault="0023753C" w:rsidP="00BA28ED">
      <w:pPr>
        <w:pStyle w:val="NoSpacing"/>
        <w:spacing w:line="264" w:lineRule="auto"/>
      </w:pPr>
      <w:r w:rsidRPr="009D7ECE">
        <w:t>The commission does not inherently disagree with the company’s system-wide approach to resource planning, and recognizes that such an approach may offer integration benefits that reduce costs for all of the company’s customers. But we cannot accept such</w:t>
      </w:r>
      <w:r w:rsidR="00271353" w:rsidRPr="009D7ECE">
        <w:t xml:space="preserve"> a significant</w:t>
      </w:r>
      <w:r w:rsidR="000C4728" w:rsidRPr="009D7ECE">
        <w:t xml:space="preserve"> assumption </w:t>
      </w:r>
      <w:r w:rsidR="00271353" w:rsidRPr="009D7ECE">
        <w:t>on its face</w:t>
      </w:r>
      <w:r w:rsidR="000C4728" w:rsidRPr="009D7ECE">
        <w:t>; the system-wide plan</w:t>
      </w:r>
      <w:r w:rsidRPr="009D7ECE">
        <w:t xml:space="preserve"> must be accompanied by a counterfactual an</w:t>
      </w:r>
      <w:r w:rsidR="000C4728" w:rsidRPr="009D7ECE">
        <w:t xml:space="preserve">alysis that provides a check </w:t>
      </w:r>
      <w:r w:rsidRPr="009D7ECE">
        <w:t xml:space="preserve">by identifying the costs of a balancing area approach. </w:t>
      </w:r>
      <w:r w:rsidR="000C4728" w:rsidRPr="009D7ECE">
        <w:t>We therefore request that in addition to addressing the concerns mentioned above, the company incorporate the balancing area analysis in all future IRPs.</w:t>
      </w:r>
    </w:p>
    <w:p w:rsidR="003E5372" w:rsidRPr="009D7ECE" w:rsidRDefault="003E5372" w:rsidP="00BA28ED">
      <w:pPr>
        <w:pStyle w:val="NoSpacing"/>
        <w:spacing w:line="264" w:lineRule="auto"/>
      </w:pPr>
    </w:p>
    <w:p w:rsidR="00FB345B" w:rsidRDefault="00FB345B" w:rsidP="00BA28ED">
      <w:pPr>
        <w:pStyle w:val="NoSpacing"/>
        <w:spacing w:line="264" w:lineRule="auto"/>
        <w:rPr>
          <w:b/>
        </w:rPr>
      </w:pPr>
    </w:p>
    <w:p w:rsidR="003E5372" w:rsidRPr="009D7ECE" w:rsidRDefault="003E5372" w:rsidP="00BA28ED">
      <w:pPr>
        <w:pStyle w:val="NoSpacing"/>
        <w:spacing w:line="264" w:lineRule="auto"/>
        <w:rPr>
          <w:b/>
        </w:rPr>
      </w:pPr>
      <w:r w:rsidRPr="009D7ECE">
        <w:rPr>
          <w:b/>
        </w:rPr>
        <w:t>Energy Storage</w:t>
      </w:r>
    </w:p>
    <w:p w:rsidR="003E5372" w:rsidRPr="009D7ECE" w:rsidRDefault="003E5372" w:rsidP="00BA28ED">
      <w:pPr>
        <w:pStyle w:val="NoSpacing"/>
        <w:spacing w:line="264" w:lineRule="auto"/>
        <w:rPr>
          <w:b/>
        </w:rPr>
      </w:pPr>
    </w:p>
    <w:p w:rsidR="003E5372" w:rsidRPr="009D7ECE" w:rsidRDefault="002722F0" w:rsidP="00BA28ED">
      <w:pPr>
        <w:pStyle w:val="NoSpacing"/>
        <w:spacing w:line="264" w:lineRule="auto"/>
      </w:pPr>
      <w:r>
        <w:t xml:space="preserve">In its acknowledgment of the company’s 2013 IRP, the </w:t>
      </w:r>
      <w:r w:rsidR="00685F1E">
        <w:t>c</w:t>
      </w:r>
      <w:r>
        <w:t xml:space="preserve">ommission directed the company to analyze the potential for energy storage in its resource portfolio. </w:t>
      </w:r>
      <w:r w:rsidR="00271353" w:rsidRPr="009D7ECE">
        <w:t xml:space="preserve">The analyses presented in sensitivity cases S-06 and S-13 show the cost impacts of adding pumped hydro and compressed air energy storage, respectively, to </w:t>
      </w:r>
      <w:r w:rsidR="00071B14" w:rsidRPr="009D7ECE">
        <w:t>Pacific Power’s</w:t>
      </w:r>
      <w:r w:rsidR="00271353" w:rsidRPr="009D7ECE">
        <w:t xml:space="preserve"> system. The commission appreciates these analyses, which demonstrated the potential of energy storage technology to reduce the company’s operating expenses. But we view these analyses as a preliminary step, and expect the company to conduct a more in-depth analysis of energy storage in its 2017 IRP. </w:t>
      </w:r>
    </w:p>
    <w:p w:rsidR="00271353" w:rsidRPr="009D7ECE" w:rsidRDefault="00271353" w:rsidP="00BA28ED">
      <w:pPr>
        <w:pStyle w:val="NoSpacing"/>
        <w:spacing w:line="264" w:lineRule="auto"/>
      </w:pPr>
    </w:p>
    <w:p w:rsidR="00271353" w:rsidRPr="009D7ECE" w:rsidRDefault="00271353" w:rsidP="00BA28ED">
      <w:pPr>
        <w:pStyle w:val="NoSpacing"/>
        <w:spacing w:line="264" w:lineRule="auto"/>
      </w:pPr>
      <w:r w:rsidRPr="009D7ECE">
        <w:t xml:space="preserve">The company’s energy storage sensitivity cases appear to have </w:t>
      </w:r>
      <w:r w:rsidR="002722F0">
        <w:t xml:space="preserve">valued </w:t>
      </w:r>
      <w:r w:rsidRPr="009D7ECE">
        <w:t>only the dispatch and arbitrage values of energy storage</w:t>
      </w:r>
      <w:r w:rsidR="002722F0">
        <w:t xml:space="preserve">, that is, </w:t>
      </w:r>
      <w:r w:rsidRPr="009D7ECE">
        <w:t xml:space="preserve">their ability to reduce costs </w:t>
      </w:r>
      <w:r w:rsidR="00071B14" w:rsidRPr="009D7ECE">
        <w:t>by shifting generation from higher-cost time periods and resources to lower-cost time periods and resource</w:t>
      </w:r>
      <w:r w:rsidR="00B73072" w:rsidRPr="009D7ECE">
        <w:t>s</w:t>
      </w:r>
      <w:r w:rsidR="00071B14" w:rsidRPr="009D7ECE">
        <w:t>. By the company’s own admission, the IRP model does not capture operating reserve benefits,</w:t>
      </w:r>
      <w:r w:rsidR="00071B14" w:rsidRPr="009D7ECE">
        <w:rPr>
          <w:rStyle w:val="FootnoteReference"/>
        </w:rPr>
        <w:footnoteReference w:id="4"/>
      </w:r>
      <w:r w:rsidR="00071B14" w:rsidRPr="009D7ECE">
        <w:t xml:space="preserve"> nor does it appear to model ancillary services such as frequency regulation. </w:t>
      </w:r>
      <w:r w:rsidR="00B54022" w:rsidRPr="009D7ECE">
        <w:t>Based on studies performed by the Pacific Northwest National Laboratory,</w:t>
      </w:r>
      <w:r w:rsidR="00071B14" w:rsidRPr="009D7ECE">
        <w:t xml:space="preserve"> arbitrage is the smallest value stream</w:t>
      </w:r>
      <w:r w:rsidR="00B54022" w:rsidRPr="009D7ECE">
        <w:t xml:space="preserve"> for storage projects in the Pacific Northwest</w:t>
      </w:r>
      <w:r w:rsidR="00071B14" w:rsidRPr="009D7ECE">
        <w:t xml:space="preserve">, due to the region’s lower energy prices and limited diurnal price differentials. </w:t>
      </w:r>
      <w:r w:rsidR="00B54022" w:rsidRPr="009D7ECE">
        <w:t>Based on analyses we have seen, t</w:t>
      </w:r>
      <w:r w:rsidR="00071B14" w:rsidRPr="009D7ECE">
        <w:t xml:space="preserve">he majority of benefits associated with energy storage </w:t>
      </w:r>
      <w:r w:rsidR="00B54022" w:rsidRPr="009D7ECE">
        <w:t>appear to be</w:t>
      </w:r>
      <w:r w:rsidR="00071B14" w:rsidRPr="009D7ECE">
        <w:t xml:space="preserve"> associated with ancillary services, and any analysis of energy storage that does not account for those benefits is incomplete.</w:t>
      </w:r>
      <w:r w:rsidR="00B73072" w:rsidRPr="009D7ECE">
        <w:t xml:space="preserve"> </w:t>
      </w:r>
      <w:r w:rsidR="00685F1E">
        <w:t>T</w:t>
      </w:r>
      <w:r w:rsidR="00B73072" w:rsidRPr="009D7ECE">
        <w:t>he sensitivity analyses were further limited by omitting batteries and other forms of storage.</w:t>
      </w:r>
    </w:p>
    <w:p w:rsidR="004538B2" w:rsidRPr="009D7ECE" w:rsidRDefault="004538B2" w:rsidP="00BA28ED">
      <w:pPr>
        <w:pStyle w:val="NoSpacing"/>
        <w:spacing w:line="264" w:lineRule="auto"/>
      </w:pPr>
    </w:p>
    <w:p w:rsidR="004538B2" w:rsidRPr="009D7ECE" w:rsidRDefault="004538B2" w:rsidP="00BA28ED">
      <w:pPr>
        <w:pStyle w:val="NoSpacing"/>
        <w:spacing w:line="264" w:lineRule="auto"/>
      </w:pPr>
      <w:r w:rsidRPr="009D7ECE">
        <w:t xml:space="preserve">We encourage </w:t>
      </w:r>
      <w:r w:rsidR="00154436" w:rsidRPr="009D7ECE">
        <w:t>Pacifi</w:t>
      </w:r>
      <w:r w:rsidR="00154436">
        <w:t>c Power</w:t>
      </w:r>
      <w:r w:rsidR="00154436" w:rsidRPr="009D7ECE">
        <w:t xml:space="preserve"> </w:t>
      </w:r>
      <w:r w:rsidRPr="009D7ECE">
        <w:t>to expand the scope of its energy storage study in the 2017 IRP. The study used for the 2015 IRP was primarily qualitative in nature, providing a summary of current technologies, prices and projects that are readily available from public sources. We encourage the company to</w:t>
      </w:r>
      <w:r w:rsidR="00154436">
        <w:t xml:space="preserve"> either conduct or</w:t>
      </w:r>
      <w:r w:rsidRPr="009D7ECE">
        <w:t xml:space="preserve"> issue an RFP for a deeper study that will conside</w:t>
      </w:r>
      <w:r w:rsidR="00726355" w:rsidRPr="009D7ECE">
        <w:t xml:space="preserve">r the potential impacts of energy storage specific to </w:t>
      </w:r>
      <w:r w:rsidR="00154436">
        <w:t>the company’s</w:t>
      </w:r>
      <w:r w:rsidR="00726355" w:rsidRPr="009D7ECE">
        <w:t xml:space="preserve"> system. </w:t>
      </w:r>
      <w:r w:rsidR="002F361E" w:rsidRPr="009D7ECE">
        <w:t xml:space="preserve">This study should go beyond capital costs to value the ancillary benefits of energy storage and identify specific opportunities for energy storage projects on </w:t>
      </w:r>
      <w:r w:rsidR="00154436">
        <w:t>Pacific Power’s</w:t>
      </w:r>
      <w:r w:rsidR="002F361E" w:rsidRPr="009D7ECE">
        <w:t xml:space="preserve"> system</w:t>
      </w:r>
      <w:r w:rsidR="002A655B" w:rsidRPr="009D7ECE">
        <w:t>, both at the transmission and distribution levels</w:t>
      </w:r>
      <w:r w:rsidR="002F361E" w:rsidRPr="009D7ECE">
        <w:t xml:space="preserve">. The company should also ensure that the cost assumptions used in the IRP model are based on current price trends; the cost inputs for storage that the company used in the 2015 IRP differ from those identified by the consultant. In the case of lithium-ion, the company’s capital cost assumption was higher than the consultant’s figure by </w:t>
      </w:r>
      <w:r w:rsidR="00694B32" w:rsidRPr="009D7ECE">
        <w:t>an order of ma</w:t>
      </w:r>
      <w:r w:rsidR="002F361E" w:rsidRPr="009D7ECE">
        <w:t>gnitude.</w:t>
      </w:r>
      <w:r w:rsidR="002F361E" w:rsidRPr="009D7ECE">
        <w:rPr>
          <w:rStyle w:val="FootnoteReference"/>
        </w:rPr>
        <w:footnoteReference w:id="5"/>
      </w:r>
    </w:p>
    <w:p w:rsidR="00071B14" w:rsidRPr="009D7ECE" w:rsidRDefault="00071B14" w:rsidP="00BA28ED">
      <w:pPr>
        <w:pStyle w:val="NoSpacing"/>
        <w:spacing w:line="264" w:lineRule="auto"/>
      </w:pPr>
    </w:p>
    <w:p w:rsidR="00271353" w:rsidRDefault="002106E9" w:rsidP="00BA28ED">
      <w:pPr>
        <w:pStyle w:val="NoSpacing"/>
        <w:spacing w:line="264" w:lineRule="auto"/>
      </w:pPr>
      <w:r w:rsidRPr="009D7ECE">
        <w:t xml:space="preserve">We recognize that modeling </w:t>
      </w:r>
      <w:r w:rsidR="00417463" w:rsidRPr="009D7ECE">
        <w:t xml:space="preserve">the multiple benefits of energy storage, including </w:t>
      </w:r>
      <w:r w:rsidRPr="009D7ECE">
        <w:t>ancillary services</w:t>
      </w:r>
      <w:r w:rsidR="006B1962">
        <w:t>,</w:t>
      </w:r>
      <w:r w:rsidRPr="009D7ECE">
        <w:t xml:space="preserve"> is </w:t>
      </w:r>
      <w:r w:rsidR="00034CDE" w:rsidRPr="009D7ECE">
        <w:t xml:space="preserve">a </w:t>
      </w:r>
      <w:r w:rsidRPr="009D7ECE">
        <w:t xml:space="preserve">challenge. But in other jurisdictions </w:t>
      </w:r>
      <w:r w:rsidR="002A655B" w:rsidRPr="009D7ECE">
        <w:t>w</w:t>
      </w:r>
      <w:r w:rsidRPr="009D7ECE">
        <w:t>here the value of energy storage has been fully identified and quantified, numerous cost-effective projects have been developed that have reduced costs for utilities and ratepayers. The commission</w:t>
      </w:r>
      <w:r w:rsidR="00726355" w:rsidRPr="009D7ECE">
        <w:t xml:space="preserve"> wants to ensure that Washington utilities are fully accounting for the value of energy storage so that they can identify opportunities on their individual systems to capture the </w:t>
      </w:r>
      <w:r w:rsidR="00417463" w:rsidRPr="009D7ECE">
        <w:t xml:space="preserve">multiple </w:t>
      </w:r>
      <w:r w:rsidR="00726355" w:rsidRPr="009D7ECE">
        <w:t xml:space="preserve">benefits </w:t>
      </w:r>
      <w:r w:rsidR="00B313D6">
        <w:t>that</w:t>
      </w:r>
      <w:r w:rsidR="00726355" w:rsidRPr="009D7ECE">
        <w:t xml:space="preserve"> energy storage</w:t>
      </w:r>
      <w:r w:rsidR="002375B1" w:rsidRPr="009D7ECE">
        <w:t xml:space="preserve"> may provide to the utilities</w:t>
      </w:r>
      <w:r w:rsidR="001422D6" w:rsidRPr="009D7ECE">
        <w:t>’</w:t>
      </w:r>
      <w:r w:rsidR="002375B1" w:rsidRPr="009D7ECE">
        <w:t xml:space="preserve"> portfolio</w:t>
      </w:r>
      <w:r w:rsidR="00B313D6">
        <w:t>s</w:t>
      </w:r>
      <w:r w:rsidR="00726355" w:rsidRPr="009D7ECE">
        <w:t>.</w:t>
      </w:r>
      <w:r w:rsidR="00694B32" w:rsidRPr="009D7ECE">
        <w:t xml:space="preserve"> We strongly </w:t>
      </w:r>
      <w:r w:rsidR="002E1851" w:rsidRPr="009D7ECE">
        <w:t xml:space="preserve">urge </w:t>
      </w:r>
      <w:r w:rsidR="00694B32" w:rsidRPr="009D7ECE">
        <w:t>Pacific Power to actively participate in the commission’s investigation into energy storage modeling</w:t>
      </w:r>
      <w:r w:rsidR="00142C9D">
        <w:t xml:space="preserve"> and develop proposals </w:t>
      </w:r>
      <w:r w:rsidR="00B313D6">
        <w:t>for quantifying the value of a storage project that can provide stacked benefits</w:t>
      </w:r>
      <w:r w:rsidR="00694B32" w:rsidRPr="009D7ECE">
        <w:t>.</w:t>
      </w:r>
    </w:p>
    <w:p w:rsidR="0068343D" w:rsidRDefault="0068343D" w:rsidP="00BA28ED">
      <w:pPr>
        <w:pStyle w:val="NoSpacing"/>
        <w:spacing w:line="264" w:lineRule="auto"/>
      </w:pPr>
    </w:p>
    <w:p w:rsidR="0068343D" w:rsidRDefault="00BA795F" w:rsidP="00BA28ED">
      <w:pPr>
        <w:pStyle w:val="NoSpacing"/>
        <w:spacing w:line="264" w:lineRule="auto"/>
        <w:rPr>
          <w:b/>
        </w:rPr>
      </w:pPr>
      <w:r>
        <w:rPr>
          <w:b/>
        </w:rPr>
        <w:t>Demand Response</w:t>
      </w:r>
    </w:p>
    <w:p w:rsidR="00BA795F" w:rsidRDefault="00BA795F" w:rsidP="00BA28ED">
      <w:pPr>
        <w:pStyle w:val="NoSpacing"/>
        <w:spacing w:line="264" w:lineRule="auto"/>
        <w:rPr>
          <w:b/>
        </w:rPr>
      </w:pPr>
    </w:p>
    <w:p w:rsidR="00BA795F" w:rsidRDefault="00BA795F" w:rsidP="00BA28ED">
      <w:pPr>
        <w:pStyle w:val="NoSpacing"/>
        <w:spacing w:line="264" w:lineRule="auto"/>
      </w:pPr>
      <w:r>
        <w:t>The company and its contractor, AEG, adequately describe the costs and risks associated with a range of demand-side options in Chapter 6. The commission appreciates the work that the company has put into identifying the potential supply curves for demand-side resources and looks forward to the continuation of this work in future plans.</w:t>
      </w:r>
    </w:p>
    <w:p w:rsidR="00BA795F" w:rsidRDefault="00BA795F" w:rsidP="00BA28ED">
      <w:pPr>
        <w:pStyle w:val="NoSpacing"/>
        <w:spacing w:line="264" w:lineRule="auto"/>
      </w:pPr>
    </w:p>
    <w:p w:rsidR="00BA795F" w:rsidRDefault="00BA795F" w:rsidP="00BA28ED">
      <w:pPr>
        <w:pStyle w:val="NoSpacing"/>
        <w:spacing w:line="264" w:lineRule="auto"/>
      </w:pPr>
      <w:r>
        <w:t xml:space="preserve">However, the company has not placed enough attention on demand response programs in the west balancing area. </w:t>
      </w:r>
      <w:r w:rsidR="005C3535">
        <w:t xml:space="preserve">We note that the company has robust demand response offerings in its east </w:t>
      </w:r>
      <w:r w:rsidR="00B313D6">
        <w:t>balancing</w:t>
      </w:r>
      <w:r w:rsidR="005C3535">
        <w:t xml:space="preserve"> area, and recognize that the reason for that may be significantly related to the climati</w:t>
      </w:r>
      <w:r w:rsidR="00B313D6">
        <w:t>c differences between the two</w:t>
      </w:r>
      <w:r w:rsidR="005C3535">
        <w:t xml:space="preserve"> areas. But the Northwest Power and Conservation Council (Council) in its draft of the Seventh Northwest Po</w:t>
      </w:r>
      <w:r w:rsidR="00143585">
        <w:t>wer Plan concluded that “in order to satisfy regional resource adequacy standards, the region should be prepared to develop significant demand response resources by 2021 to meet additional winter peaking capacity.”</w:t>
      </w:r>
      <w:r w:rsidR="00143585">
        <w:rPr>
          <w:rStyle w:val="FootnoteReference"/>
        </w:rPr>
        <w:footnoteReference w:id="6"/>
      </w:r>
      <w:r w:rsidR="00143585">
        <w:t xml:space="preserve"> The draft plan </w:t>
      </w:r>
      <w:r w:rsidR="005C3535">
        <w:t>i</w:t>
      </w:r>
      <w:r w:rsidR="00143585">
        <w:t>dentifies</w:t>
      </w:r>
      <w:r w:rsidR="005C3535">
        <w:t xml:space="preserve"> </w:t>
      </w:r>
      <w:r w:rsidR="00143585">
        <w:t>a technical potential for</w:t>
      </w:r>
      <w:r w:rsidR="005C3535">
        <w:t xml:space="preserve"> </w:t>
      </w:r>
      <w:r w:rsidR="00143585">
        <w:t>more than 1400 MW of demand response resources for the Pacific Northwest at its winter peak in 2035.</w:t>
      </w:r>
      <w:r w:rsidR="00143585">
        <w:rPr>
          <w:rStyle w:val="FootnoteReference"/>
        </w:rPr>
        <w:footnoteReference w:id="7"/>
      </w:r>
    </w:p>
    <w:p w:rsidR="00143585" w:rsidRDefault="00143585" w:rsidP="00BA28ED">
      <w:pPr>
        <w:pStyle w:val="NoSpacing"/>
        <w:spacing w:line="264" w:lineRule="auto"/>
      </w:pPr>
    </w:p>
    <w:p w:rsidR="00143585" w:rsidRPr="00BA795F" w:rsidRDefault="00143585" w:rsidP="00BA28ED">
      <w:pPr>
        <w:pStyle w:val="NoSpacing"/>
        <w:spacing w:line="264" w:lineRule="auto"/>
      </w:pPr>
      <w:r>
        <w:t xml:space="preserve">We commend the company for identifying </w:t>
      </w:r>
      <w:r w:rsidR="00B379FB">
        <w:t xml:space="preserve">in the 2015 IRP </w:t>
      </w:r>
      <w:r>
        <w:t>a</w:t>
      </w:r>
      <w:r w:rsidR="00B313D6">
        <w:t xml:space="preserve">n </w:t>
      </w:r>
      <w:r>
        <w:t>irrigation load control</w:t>
      </w:r>
      <w:r w:rsidR="00B313D6">
        <w:t xml:space="preserve"> pilot</w:t>
      </w:r>
      <w:r>
        <w:t xml:space="preserve"> in the west balancing area as an action item</w:t>
      </w:r>
      <w:r w:rsidR="00B379FB">
        <w:t>,</w:t>
      </w:r>
      <w:r>
        <w:t xml:space="preserve"> and </w:t>
      </w:r>
      <w:r w:rsidR="00B379FB">
        <w:t>expect</w:t>
      </w:r>
      <w:r>
        <w:t xml:space="preserve"> that this pilot will </w:t>
      </w:r>
      <w:r w:rsidR="008C24EF">
        <w:t xml:space="preserve">yield useful information and experience with demand response programs on the company’s west side. We request that Pacific Power, in its 2017 IRP, re-assess the overall potential and </w:t>
      </w:r>
      <w:proofErr w:type="spellStart"/>
      <w:r w:rsidR="008C24EF">
        <w:t>levelized</w:t>
      </w:r>
      <w:proofErr w:type="spellEnd"/>
      <w:r w:rsidR="008C24EF">
        <w:t xml:space="preserve"> costs for demand response and add a sensitivity analysis that evaluates the portfolio impact of adding additional demand response resources. We also encourage the company to consider demand response along with traditional energy efficiency programs in the context of CPP compliance planning.</w:t>
      </w:r>
    </w:p>
    <w:p w:rsidR="00B379FB" w:rsidRDefault="00B379FB" w:rsidP="00271353">
      <w:pPr>
        <w:pStyle w:val="NoSpacing"/>
        <w:spacing w:line="264" w:lineRule="auto"/>
        <w:rPr>
          <w:b/>
        </w:rPr>
      </w:pPr>
    </w:p>
    <w:p w:rsidR="00271353" w:rsidRPr="009D7ECE" w:rsidRDefault="00271353" w:rsidP="00271353">
      <w:pPr>
        <w:pStyle w:val="NoSpacing"/>
        <w:spacing w:line="264" w:lineRule="auto"/>
        <w:rPr>
          <w:b/>
        </w:rPr>
      </w:pPr>
      <w:r w:rsidRPr="009D7ECE">
        <w:rPr>
          <w:b/>
        </w:rPr>
        <w:t>Renewable Portfolio Standard Analysis</w:t>
      </w:r>
    </w:p>
    <w:p w:rsidR="00271353" w:rsidRPr="009D7ECE" w:rsidRDefault="00271353" w:rsidP="00271353">
      <w:pPr>
        <w:pStyle w:val="NoSpacing"/>
        <w:spacing w:line="264" w:lineRule="auto"/>
        <w:rPr>
          <w:b/>
        </w:rPr>
      </w:pPr>
    </w:p>
    <w:p w:rsidR="00150BAC" w:rsidRPr="009D7ECE" w:rsidRDefault="00B97607" w:rsidP="00271353">
      <w:pPr>
        <w:pStyle w:val="NoSpacing"/>
        <w:spacing w:line="264" w:lineRule="auto"/>
      </w:pPr>
      <w:r w:rsidRPr="009D7ECE">
        <w:t>The commission questions Pacific Power’s presentation of its long-term compliance position with Washington’s Renewable Portfolio Standard (RPS).</w:t>
      </w:r>
      <w:r w:rsidRPr="009D7ECE">
        <w:rPr>
          <w:rStyle w:val="FootnoteReference"/>
        </w:rPr>
        <w:footnoteReference w:id="8"/>
      </w:r>
      <w:r w:rsidRPr="009D7ECE">
        <w:t xml:space="preserve"> The analysis appears to assume a significant, unexplained increase in Washington’s allocation</w:t>
      </w:r>
      <w:r w:rsidR="00CF4D88" w:rsidRPr="009D7ECE">
        <w:t xml:space="preserve"> of renewable energy generation beginning in 2018</w:t>
      </w:r>
      <w:r w:rsidR="00150BAC" w:rsidRPr="009D7ECE">
        <w:t xml:space="preserve">. Based on the company’s most recent RPS filing, Washington’s annual allocation of renewable generation is around 250,000 MWh. The </w:t>
      </w:r>
      <w:r w:rsidR="00435908" w:rsidRPr="009D7ECE">
        <w:t xml:space="preserve">IRP’s </w:t>
      </w:r>
      <w:r w:rsidR="00150BAC" w:rsidRPr="009D7ECE">
        <w:t>analysis appears to assume that that the state’s annual allocation increases to about</w:t>
      </w:r>
      <w:r w:rsidR="008F2688" w:rsidRPr="009D7ECE">
        <w:t xml:space="preserve"> 300,000 MWh in 2018, and t</w:t>
      </w:r>
      <w:r w:rsidR="00150BAC" w:rsidRPr="009D7ECE">
        <w:t xml:space="preserve">o about 400,000 MWh in 2020. </w:t>
      </w:r>
    </w:p>
    <w:p w:rsidR="00150BAC" w:rsidRPr="009D7ECE" w:rsidRDefault="00150BAC" w:rsidP="00271353">
      <w:pPr>
        <w:pStyle w:val="NoSpacing"/>
        <w:spacing w:line="264" w:lineRule="auto"/>
      </w:pPr>
    </w:p>
    <w:p w:rsidR="00B97607" w:rsidRPr="009D7ECE" w:rsidRDefault="00150BAC" w:rsidP="00271353">
      <w:pPr>
        <w:pStyle w:val="NoSpacing"/>
        <w:spacing w:line="264" w:lineRule="auto"/>
      </w:pPr>
      <w:r w:rsidRPr="009D7ECE">
        <w:t xml:space="preserve">Since the company executes REC purchase contracts </w:t>
      </w:r>
      <w:r w:rsidR="008F2688" w:rsidRPr="009D7ECE">
        <w:t>ahead</w:t>
      </w:r>
      <w:r w:rsidRPr="009D7ECE">
        <w:t xml:space="preserve"> of its compliance need, it is important that those needs be</w:t>
      </w:r>
      <w:r w:rsidR="008F2688" w:rsidRPr="009D7ECE">
        <w:t xml:space="preserve"> accurately</w:t>
      </w:r>
      <w:r w:rsidRPr="009D7ECE">
        <w:t xml:space="preserve"> identified well in advance. We therefore request that Pacific Power update its RPS compliance ana</w:t>
      </w:r>
      <w:r w:rsidR="00FB345B">
        <w:t>lysis in the 2015 IRP U</w:t>
      </w:r>
      <w:r w:rsidRPr="009D7ECE">
        <w:t xml:space="preserve">pdate based on a more </w:t>
      </w:r>
      <w:r w:rsidR="00A138BC">
        <w:t>accurate</w:t>
      </w:r>
      <w:r w:rsidRPr="009D7ECE">
        <w:t xml:space="preserve"> projection of Washington’s future renewable energy </w:t>
      </w:r>
      <w:r w:rsidR="00103FD9" w:rsidRPr="009D7ECE">
        <w:t>allocations.</w:t>
      </w:r>
    </w:p>
    <w:p w:rsidR="00271353" w:rsidRPr="009D7ECE" w:rsidRDefault="00271353" w:rsidP="00271353">
      <w:pPr>
        <w:pStyle w:val="NoSpacing"/>
        <w:spacing w:line="264" w:lineRule="auto"/>
        <w:rPr>
          <w:b/>
        </w:rPr>
      </w:pPr>
    </w:p>
    <w:p w:rsidR="00C05852" w:rsidRPr="009D7ECE" w:rsidRDefault="00C05852" w:rsidP="00271353">
      <w:pPr>
        <w:pStyle w:val="NoSpacing"/>
        <w:spacing w:line="264" w:lineRule="auto"/>
      </w:pPr>
      <w:r w:rsidRPr="009D7ECE">
        <w:rPr>
          <w:b/>
        </w:rPr>
        <w:t>Resource Adequacy Analysis</w:t>
      </w:r>
    </w:p>
    <w:p w:rsidR="00C05852" w:rsidRPr="009D7ECE" w:rsidRDefault="00C05852" w:rsidP="00271353">
      <w:pPr>
        <w:pStyle w:val="NoSpacing"/>
        <w:spacing w:line="264" w:lineRule="auto"/>
      </w:pPr>
    </w:p>
    <w:p w:rsidR="00C05852" w:rsidRPr="009D7ECE" w:rsidRDefault="00C05852" w:rsidP="00271353">
      <w:pPr>
        <w:pStyle w:val="NoSpacing"/>
        <w:spacing w:line="264" w:lineRule="auto"/>
      </w:pPr>
      <w:r w:rsidRPr="009D7ECE">
        <w:t xml:space="preserve">The commission is concerned that the company’s market resource adequacy evaluation, presented in Appendix J, does not capture the risks associated with the company’s strategy to rely on market </w:t>
      </w:r>
      <w:r w:rsidR="001F3FB0" w:rsidRPr="009D7ECE">
        <w:t>purchases</w:t>
      </w:r>
      <w:r w:rsidRPr="009D7ECE">
        <w:t xml:space="preserve"> </w:t>
      </w:r>
      <w:r w:rsidR="00B313D6">
        <w:t xml:space="preserve">in meeting </w:t>
      </w:r>
      <w:r w:rsidRPr="009D7ECE">
        <w:t xml:space="preserve">its resource needs. </w:t>
      </w:r>
      <w:r w:rsidR="00A74FFF" w:rsidRPr="009D7ECE">
        <w:t>The Council’s most recent Pacific Northwest Power Supply Adequacy Assessment, released in May</w:t>
      </w:r>
      <w:r w:rsidR="00B379FB">
        <w:t xml:space="preserve"> 2015</w:t>
      </w:r>
      <w:r w:rsidR="00A74FFF" w:rsidRPr="009D7ECE">
        <w:t>, projects that the region does not have sufficient capacity to replace the Boardman and Centralia units that are scheduled to retire at the end of 2020.</w:t>
      </w:r>
      <w:r w:rsidR="008C24EF">
        <w:rPr>
          <w:rStyle w:val="FootnoteReference"/>
        </w:rPr>
        <w:footnoteReference w:id="9"/>
      </w:r>
      <w:r w:rsidR="00A74FFF" w:rsidRPr="009D7ECE">
        <w:t xml:space="preserve"> Given Pacific Power’s long-term reliance on Mid-Columbia market purchases, it is imperative that the company understand the risks it faces as the retirement of those plants nears.</w:t>
      </w:r>
    </w:p>
    <w:p w:rsidR="00A74FFF" w:rsidRPr="009D7ECE" w:rsidRDefault="00A74FFF" w:rsidP="00271353">
      <w:pPr>
        <w:pStyle w:val="NoSpacing"/>
        <w:spacing w:line="264" w:lineRule="auto"/>
      </w:pPr>
    </w:p>
    <w:p w:rsidR="00A74FFF" w:rsidRPr="009D7ECE" w:rsidRDefault="008C2CC1" w:rsidP="00271353">
      <w:pPr>
        <w:pStyle w:val="NoSpacing"/>
        <w:spacing w:line="264" w:lineRule="auto"/>
      </w:pPr>
      <w:r>
        <w:t>We note that the company has agreed, as a condition of the commission’s granting of the waivers requested in Docket UE-151694, to conduct a market reliance risk assessment in conjunction with the 2017 IRP. We encourage the company to work with staff on the design of that analysis and look forward to seeing the results.</w:t>
      </w:r>
    </w:p>
    <w:p w:rsidR="00C05852" w:rsidRPr="009D7ECE" w:rsidRDefault="00C05852" w:rsidP="00271353">
      <w:pPr>
        <w:pStyle w:val="NoSpacing"/>
        <w:spacing w:line="264" w:lineRule="auto"/>
        <w:rPr>
          <w:b/>
        </w:rPr>
      </w:pPr>
    </w:p>
    <w:p w:rsidR="00BA28ED" w:rsidRPr="009D7ECE" w:rsidRDefault="00BA28ED" w:rsidP="00BA28ED">
      <w:pPr>
        <w:pStyle w:val="NoSpacing"/>
        <w:spacing w:line="264" w:lineRule="auto"/>
        <w:rPr>
          <w:b/>
        </w:rPr>
      </w:pPr>
      <w:r w:rsidRPr="009D7ECE">
        <w:rPr>
          <w:b/>
        </w:rPr>
        <w:t>Transmission</w:t>
      </w:r>
    </w:p>
    <w:p w:rsidR="00BA28ED" w:rsidRPr="009D7ECE" w:rsidRDefault="00BA28ED" w:rsidP="00BA28ED">
      <w:pPr>
        <w:pStyle w:val="NoSpacing"/>
        <w:spacing w:line="264" w:lineRule="auto"/>
        <w:rPr>
          <w:b/>
        </w:rPr>
      </w:pPr>
    </w:p>
    <w:p w:rsidR="000C4728" w:rsidRPr="009D7ECE" w:rsidRDefault="00103FD9" w:rsidP="00BA28ED">
      <w:pPr>
        <w:pStyle w:val="NoSpacing"/>
        <w:spacing w:line="264" w:lineRule="auto"/>
      </w:pPr>
      <w:r w:rsidRPr="009D7ECE">
        <w:t xml:space="preserve">On page 49 of the 2015 IRP, Pacific Power requests that the commission acknowledge its planned investment in new transmission capacity between the </w:t>
      </w:r>
      <w:proofErr w:type="spellStart"/>
      <w:r w:rsidRPr="009D7ECE">
        <w:t>Wallula</w:t>
      </w:r>
      <w:proofErr w:type="spellEnd"/>
      <w:r w:rsidRPr="009D7ECE">
        <w:t xml:space="preserve"> and </w:t>
      </w:r>
      <w:proofErr w:type="spellStart"/>
      <w:r w:rsidRPr="009D7ECE">
        <w:t>McNary</w:t>
      </w:r>
      <w:proofErr w:type="spellEnd"/>
      <w:r w:rsidRPr="009D7ECE">
        <w:t xml:space="preserve"> substations. </w:t>
      </w:r>
      <w:r w:rsidR="000C4728" w:rsidRPr="009D7ECE">
        <w:t xml:space="preserve">The </w:t>
      </w:r>
      <w:r w:rsidR="00B313D6">
        <w:t>c</w:t>
      </w:r>
      <w:r w:rsidR="000C4728" w:rsidRPr="009D7ECE">
        <w:t>ommission re</w:t>
      </w:r>
      <w:r w:rsidRPr="009D7ECE">
        <w:t>cognizes that other states in which</w:t>
      </w:r>
      <w:r w:rsidR="000C4728" w:rsidRPr="009D7ECE">
        <w:t xml:space="preserve"> </w:t>
      </w:r>
      <w:r w:rsidR="00B313D6">
        <w:t xml:space="preserve">the company </w:t>
      </w:r>
      <w:r w:rsidR="000C4728" w:rsidRPr="009D7ECE">
        <w:t xml:space="preserve">operates require a Certificate of Public Convenience and Necessity for transmission resources. Washington has no such requirement, nor does the </w:t>
      </w:r>
      <w:r w:rsidR="00B313D6">
        <w:t>c</w:t>
      </w:r>
      <w:r w:rsidR="000C4728" w:rsidRPr="009D7ECE">
        <w:t>ommission regulate the siting of intrastate transmission lines. This function is performed by the Washington State Energy Facility Site Evaluation Council.</w:t>
      </w:r>
      <w:r w:rsidR="000C4728" w:rsidRPr="009D7ECE">
        <w:rPr>
          <w:rStyle w:val="FootnoteReference"/>
        </w:rPr>
        <w:footnoteReference w:id="10"/>
      </w:r>
      <w:r w:rsidR="000C4728" w:rsidRPr="009D7ECE">
        <w:t xml:space="preserve"> </w:t>
      </w:r>
    </w:p>
    <w:p w:rsidR="000C4728" w:rsidRPr="009D7ECE" w:rsidRDefault="000C4728" w:rsidP="00BA28ED">
      <w:pPr>
        <w:pStyle w:val="NoSpacing"/>
        <w:spacing w:line="264" w:lineRule="auto"/>
      </w:pPr>
    </w:p>
    <w:p w:rsidR="000C4728" w:rsidRPr="009D7ECE" w:rsidRDefault="00B54022" w:rsidP="00BA28ED">
      <w:pPr>
        <w:pStyle w:val="NoSpacing"/>
        <w:spacing w:line="264" w:lineRule="auto"/>
      </w:pPr>
      <w:r w:rsidRPr="009D7ECE">
        <w:t xml:space="preserve">We </w:t>
      </w:r>
      <w:r w:rsidR="00A138BC">
        <w:t>t</w:t>
      </w:r>
      <w:r w:rsidRPr="009D7ECE">
        <w:t xml:space="preserve">herefore </w:t>
      </w:r>
      <w:r w:rsidR="001422D6" w:rsidRPr="009D7ECE">
        <w:t xml:space="preserve">do not </w:t>
      </w:r>
      <w:r w:rsidRPr="009D7ECE">
        <w:t>to</w:t>
      </w:r>
      <w:r w:rsidR="000C4728" w:rsidRPr="009D7ECE">
        <w:t xml:space="preserve"> respond at this time to the company’s request for acknowledgment of its plan to build the </w:t>
      </w:r>
      <w:proofErr w:type="spellStart"/>
      <w:r w:rsidR="000C4728" w:rsidRPr="009D7ECE">
        <w:t>Wallula</w:t>
      </w:r>
      <w:proofErr w:type="spellEnd"/>
      <w:r w:rsidR="000C4728" w:rsidRPr="009D7ECE">
        <w:t xml:space="preserve"> to </w:t>
      </w:r>
      <w:proofErr w:type="spellStart"/>
      <w:r w:rsidR="000C4728" w:rsidRPr="009D7ECE">
        <w:t>McNary</w:t>
      </w:r>
      <w:proofErr w:type="spellEnd"/>
      <w:r w:rsidR="000C4728" w:rsidRPr="009D7ECE">
        <w:t xml:space="preserve"> project. We will evaluate the prudency of this project within the context of a general rate case at such time that the company seeks recovery of its investment.</w:t>
      </w:r>
    </w:p>
    <w:p w:rsidR="000C4728" w:rsidRPr="009D7ECE" w:rsidRDefault="000C4728" w:rsidP="00BA28ED">
      <w:pPr>
        <w:pStyle w:val="NoSpacing"/>
        <w:spacing w:line="264" w:lineRule="auto"/>
      </w:pPr>
    </w:p>
    <w:p w:rsidR="00FB345B" w:rsidRDefault="00FB345B" w:rsidP="00BA28ED">
      <w:pPr>
        <w:pStyle w:val="NoSpacing"/>
        <w:spacing w:line="264" w:lineRule="auto"/>
        <w:rPr>
          <w:b/>
        </w:rPr>
      </w:pPr>
    </w:p>
    <w:p w:rsidR="00FB345B" w:rsidRDefault="00FB345B" w:rsidP="00BA28ED">
      <w:pPr>
        <w:pStyle w:val="NoSpacing"/>
        <w:spacing w:line="264" w:lineRule="auto"/>
        <w:rPr>
          <w:b/>
        </w:rPr>
      </w:pPr>
    </w:p>
    <w:p w:rsidR="00FB345B" w:rsidRDefault="00FB345B" w:rsidP="00BA28ED">
      <w:pPr>
        <w:pStyle w:val="NoSpacing"/>
        <w:spacing w:line="264" w:lineRule="auto"/>
        <w:rPr>
          <w:b/>
        </w:rPr>
      </w:pPr>
    </w:p>
    <w:p w:rsidR="00BA28ED" w:rsidRPr="009D7ECE" w:rsidRDefault="00BA28ED" w:rsidP="00BA28ED">
      <w:pPr>
        <w:pStyle w:val="NoSpacing"/>
        <w:spacing w:line="264" w:lineRule="auto"/>
        <w:rPr>
          <w:b/>
        </w:rPr>
      </w:pPr>
      <w:r w:rsidRPr="009D7ECE">
        <w:rPr>
          <w:b/>
        </w:rPr>
        <w:t>Energy Imbalance Market</w:t>
      </w:r>
    </w:p>
    <w:p w:rsidR="00BA28ED" w:rsidRPr="009D7ECE" w:rsidRDefault="00BA28ED" w:rsidP="00BA28ED">
      <w:pPr>
        <w:pStyle w:val="NoSpacing"/>
        <w:spacing w:line="264" w:lineRule="auto"/>
        <w:rPr>
          <w:b/>
        </w:rPr>
      </w:pPr>
    </w:p>
    <w:p w:rsidR="00BA28ED" w:rsidRPr="009D7ECE" w:rsidRDefault="00B80296" w:rsidP="00BA28ED">
      <w:pPr>
        <w:pStyle w:val="NoSpacing"/>
        <w:spacing w:line="264" w:lineRule="auto"/>
      </w:pPr>
      <w:r w:rsidRPr="009D7ECE">
        <w:t>When Pacific Power began modeling the 2015 IRP, it had only recently entered the Energy Imbalance Market (EIM) with the California ISO</w:t>
      </w:r>
      <w:r w:rsidR="004E10FC">
        <w:t xml:space="preserve"> (CAISO)</w:t>
      </w:r>
      <w:r w:rsidRPr="009D7ECE">
        <w:t>. The commission recognizes that there was not enough experience with this new market to fully quantify its impacts on company operations, but appreciates the company’s efforts to incorporate the EIM into its models where possible</w:t>
      </w:r>
      <w:r w:rsidR="001F3FB0" w:rsidRPr="009D7ECE">
        <w:t>, such as wind integ</w:t>
      </w:r>
      <w:r w:rsidR="00C62AEF" w:rsidRPr="009D7ECE">
        <w:t>ration costs</w:t>
      </w:r>
      <w:r w:rsidRPr="009D7ECE">
        <w:t>.</w:t>
      </w:r>
    </w:p>
    <w:p w:rsidR="00B80296" w:rsidRPr="009D7ECE" w:rsidRDefault="00B80296" w:rsidP="00BA28ED">
      <w:pPr>
        <w:pStyle w:val="NoSpacing"/>
        <w:spacing w:line="264" w:lineRule="auto"/>
      </w:pPr>
    </w:p>
    <w:p w:rsidR="002C039A" w:rsidRDefault="00B80296" w:rsidP="00B54022">
      <w:pPr>
        <w:pStyle w:val="NoSpacing"/>
        <w:spacing w:line="264" w:lineRule="auto"/>
      </w:pPr>
      <w:r w:rsidRPr="009D7ECE">
        <w:t xml:space="preserve">We encourage the company to continue to integrate the EIM into its IRP model, in particular to develop modeling capability to capture how different resources with different generation profiles would interact with the EIM, based on the company’s experience with that market. Understanding how the EIM affects long-term power costs of different portfolios </w:t>
      </w:r>
      <w:r w:rsidR="008F2688" w:rsidRPr="009D7ECE">
        <w:t>will likely</w:t>
      </w:r>
      <w:r w:rsidRPr="009D7ECE">
        <w:t xml:space="preserve"> prove to be a meaningful component of future IRP analyses.</w:t>
      </w:r>
    </w:p>
    <w:p w:rsidR="004E10FC" w:rsidRDefault="004E10FC" w:rsidP="00B54022">
      <w:pPr>
        <w:pStyle w:val="NoSpacing"/>
        <w:spacing w:line="264" w:lineRule="auto"/>
      </w:pPr>
    </w:p>
    <w:p w:rsidR="004E10FC" w:rsidRPr="009D7ECE" w:rsidRDefault="004E10FC" w:rsidP="00B54022">
      <w:pPr>
        <w:pStyle w:val="NoSpacing"/>
        <w:spacing w:line="264" w:lineRule="auto"/>
      </w:pPr>
      <w:r>
        <w:t>We also n</w:t>
      </w:r>
      <w:r w:rsidR="00B313D6">
        <w:t>ote that the company has begun the</w:t>
      </w:r>
      <w:r>
        <w:t xml:space="preserve"> more comprehensive process of exploring full membership as a participating transmission owner within CAISO. We recognize that this discussion is still in the early stages, but expect that it is one that </w:t>
      </w:r>
      <w:r w:rsidR="00B379FB">
        <w:t>may</w:t>
      </w:r>
      <w:r>
        <w:t xml:space="preserve"> move quickly during the next IRP cycle. Joining CAISO would have many far-reaching and significant impact</w:t>
      </w:r>
      <w:r w:rsidR="00B313D6">
        <w:t>s</w:t>
      </w:r>
      <w:r>
        <w:t xml:space="preserve"> on the company’s customers and other utilities in the region, </w:t>
      </w:r>
      <w:r w:rsidR="00B379FB">
        <w:t xml:space="preserve">and </w:t>
      </w:r>
      <w:r>
        <w:t xml:space="preserve">we expect the company </w:t>
      </w:r>
      <w:r w:rsidR="00B379FB">
        <w:t xml:space="preserve">will </w:t>
      </w:r>
      <w:r>
        <w:t xml:space="preserve">keep the commission informed of the discussion as it progresses. We also expect the company to work with staff on incorporating an analysis of CAISO membership in the 2017 IRP as appropriate. </w:t>
      </w:r>
    </w:p>
    <w:sectPr w:rsidR="004E10FC" w:rsidRPr="009D7ECE" w:rsidSect="006E283F">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C6D" w:rsidRDefault="007C0C6D" w:rsidP="00BA28ED">
      <w:pPr>
        <w:spacing w:after="0" w:line="240" w:lineRule="auto"/>
      </w:pPr>
      <w:r>
        <w:separator/>
      </w:r>
    </w:p>
  </w:endnote>
  <w:endnote w:type="continuationSeparator" w:id="0">
    <w:p w:rsidR="007C0C6D" w:rsidRDefault="007C0C6D" w:rsidP="00BA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C6D" w:rsidRDefault="007C0C6D" w:rsidP="00BA28ED">
      <w:pPr>
        <w:spacing w:after="0" w:line="240" w:lineRule="auto"/>
      </w:pPr>
      <w:r>
        <w:separator/>
      </w:r>
    </w:p>
  </w:footnote>
  <w:footnote w:type="continuationSeparator" w:id="0">
    <w:p w:rsidR="007C0C6D" w:rsidRDefault="007C0C6D" w:rsidP="00BA28ED">
      <w:pPr>
        <w:spacing w:after="0" w:line="240" w:lineRule="auto"/>
      </w:pPr>
      <w:r>
        <w:continuationSeparator/>
      </w:r>
    </w:p>
  </w:footnote>
  <w:footnote w:id="1">
    <w:p w:rsidR="009D7ECE" w:rsidRPr="009D7ECE" w:rsidRDefault="009D7ECE">
      <w:pPr>
        <w:pStyle w:val="FootnoteText"/>
        <w:rPr>
          <w:rFonts w:ascii="Times New Roman" w:hAnsi="Times New Roman" w:cs="Times New Roman"/>
        </w:rPr>
      </w:pPr>
      <w:r w:rsidRPr="009D7ECE">
        <w:rPr>
          <w:rStyle w:val="FootnoteReference"/>
          <w:rFonts w:ascii="Times New Roman" w:hAnsi="Times New Roman" w:cs="Times New Roman"/>
        </w:rPr>
        <w:footnoteRef/>
      </w:r>
      <w:r w:rsidRPr="009D7ECE">
        <w:rPr>
          <w:rFonts w:ascii="Times New Roman" w:hAnsi="Times New Roman" w:cs="Times New Roman"/>
        </w:rPr>
        <w:t xml:space="preserve"> WAC 480-100-238(2</w:t>
      </w:r>
      <w:proofErr w:type="gramStart"/>
      <w:r w:rsidRPr="009D7ECE">
        <w:rPr>
          <w:rFonts w:ascii="Times New Roman" w:hAnsi="Times New Roman" w:cs="Times New Roman"/>
        </w:rPr>
        <w:t>)(</w:t>
      </w:r>
      <w:proofErr w:type="gramEnd"/>
      <w:r w:rsidRPr="009D7ECE">
        <w:rPr>
          <w:rFonts w:ascii="Times New Roman" w:hAnsi="Times New Roman" w:cs="Times New Roman"/>
        </w:rPr>
        <w:t>a).</w:t>
      </w:r>
    </w:p>
  </w:footnote>
  <w:footnote w:id="2">
    <w:p w:rsidR="00334D96" w:rsidRPr="009D7ECE" w:rsidRDefault="00334D96" w:rsidP="00334D96">
      <w:pPr>
        <w:pStyle w:val="FootnoteText"/>
        <w:rPr>
          <w:rFonts w:ascii="Times New Roman" w:hAnsi="Times New Roman" w:cs="Times New Roman"/>
        </w:rPr>
      </w:pPr>
      <w:r w:rsidRPr="009D7ECE">
        <w:rPr>
          <w:rStyle w:val="FootnoteReference"/>
          <w:rFonts w:ascii="Times New Roman" w:hAnsi="Times New Roman" w:cs="Times New Roman"/>
        </w:rPr>
        <w:footnoteRef/>
      </w:r>
      <w:r w:rsidRPr="009D7ECE">
        <w:rPr>
          <w:rFonts w:ascii="Times New Roman" w:hAnsi="Times New Roman" w:cs="Times New Roman"/>
        </w:rPr>
        <w:t xml:space="preserve"> RCW 19.285.030(2) defines a REC as including “</w:t>
      </w:r>
      <w:r w:rsidRPr="009D7ECE">
        <w:rPr>
          <w:rFonts w:ascii="Times New Roman" w:hAnsi="Times New Roman" w:cs="Times New Roman"/>
          <w:i/>
        </w:rPr>
        <w:t>all</w:t>
      </w:r>
      <w:r w:rsidRPr="009D7ECE">
        <w:rPr>
          <w:rFonts w:ascii="Times New Roman" w:hAnsi="Times New Roman" w:cs="Times New Roman"/>
        </w:rPr>
        <w:t xml:space="preserve"> of the </w:t>
      </w:r>
      <w:proofErr w:type="spellStart"/>
      <w:r w:rsidRPr="009D7ECE">
        <w:rPr>
          <w:rFonts w:ascii="Times New Roman" w:hAnsi="Times New Roman" w:cs="Times New Roman"/>
        </w:rPr>
        <w:t>nonpower</w:t>
      </w:r>
      <w:proofErr w:type="spellEnd"/>
      <w:r w:rsidRPr="009D7ECE">
        <w:rPr>
          <w:rFonts w:ascii="Times New Roman" w:hAnsi="Times New Roman" w:cs="Times New Roman"/>
        </w:rPr>
        <w:t xml:space="preserve"> attributes associated with that one megawatt-hour of electricity” (emphasis added).</w:t>
      </w:r>
    </w:p>
  </w:footnote>
  <w:footnote w:id="3">
    <w:p w:rsidR="00275327" w:rsidRPr="009D7ECE" w:rsidRDefault="00275327">
      <w:pPr>
        <w:pStyle w:val="FootnoteText"/>
        <w:rPr>
          <w:rFonts w:ascii="Times New Roman" w:hAnsi="Times New Roman" w:cs="Times New Roman"/>
        </w:rPr>
      </w:pPr>
      <w:r w:rsidRPr="009D7ECE">
        <w:rPr>
          <w:rStyle w:val="FootnoteReference"/>
          <w:rFonts w:ascii="Times New Roman" w:hAnsi="Times New Roman" w:cs="Times New Roman"/>
        </w:rPr>
        <w:footnoteRef/>
      </w:r>
      <w:r w:rsidRPr="009D7ECE">
        <w:rPr>
          <w:rFonts w:ascii="Times New Roman" w:hAnsi="Times New Roman" w:cs="Times New Roman"/>
        </w:rPr>
        <w:t xml:space="preserve"> Docket UE-120416, </w:t>
      </w:r>
      <w:r w:rsidR="00B313D6" w:rsidRPr="009D7ECE">
        <w:rPr>
          <w:rFonts w:ascii="Times New Roman" w:hAnsi="Times New Roman" w:cs="Times New Roman"/>
        </w:rPr>
        <w:t>Pacifi</w:t>
      </w:r>
      <w:r w:rsidR="00B313D6">
        <w:rPr>
          <w:rFonts w:ascii="Times New Roman" w:hAnsi="Times New Roman" w:cs="Times New Roman"/>
        </w:rPr>
        <w:t>c Power &amp; Light Company 2013</w:t>
      </w:r>
      <w:r w:rsidR="00B313D6" w:rsidRPr="009D7ECE">
        <w:rPr>
          <w:rFonts w:ascii="Times New Roman" w:hAnsi="Times New Roman" w:cs="Times New Roman"/>
        </w:rPr>
        <w:t xml:space="preserve"> </w:t>
      </w:r>
      <w:r w:rsidRPr="009D7ECE">
        <w:rPr>
          <w:rFonts w:ascii="Times New Roman" w:hAnsi="Times New Roman" w:cs="Times New Roman"/>
        </w:rPr>
        <w:t>IRP Acknowledgment Letter Attachment (Nov. 25, 2015) at pages 5-6.</w:t>
      </w:r>
    </w:p>
  </w:footnote>
  <w:footnote w:id="4">
    <w:p w:rsidR="00071B14" w:rsidRPr="009D7ECE" w:rsidRDefault="00071B14">
      <w:pPr>
        <w:pStyle w:val="FootnoteText"/>
        <w:rPr>
          <w:rFonts w:ascii="Times New Roman" w:hAnsi="Times New Roman" w:cs="Times New Roman"/>
        </w:rPr>
      </w:pPr>
      <w:r w:rsidRPr="009D7ECE">
        <w:rPr>
          <w:rStyle w:val="FootnoteReference"/>
          <w:rFonts w:ascii="Times New Roman" w:hAnsi="Times New Roman" w:cs="Times New Roman"/>
        </w:rPr>
        <w:footnoteRef/>
      </w:r>
      <w:r w:rsidRPr="009D7ECE">
        <w:rPr>
          <w:rFonts w:ascii="Times New Roman" w:hAnsi="Times New Roman" w:cs="Times New Roman"/>
        </w:rPr>
        <w:t xml:space="preserve"> Page 205 of the 2015 IRP.</w:t>
      </w:r>
    </w:p>
  </w:footnote>
  <w:footnote w:id="5">
    <w:p w:rsidR="002F361E" w:rsidRPr="009D7ECE" w:rsidRDefault="002F361E">
      <w:pPr>
        <w:pStyle w:val="FootnoteText"/>
        <w:rPr>
          <w:rFonts w:ascii="Times New Roman" w:hAnsi="Times New Roman" w:cs="Times New Roman"/>
        </w:rPr>
      </w:pPr>
      <w:r w:rsidRPr="009D7ECE">
        <w:rPr>
          <w:rStyle w:val="FootnoteReference"/>
          <w:rFonts w:ascii="Times New Roman" w:hAnsi="Times New Roman" w:cs="Times New Roman"/>
        </w:rPr>
        <w:footnoteRef/>
      </w:r>
      <w:r w:rsidRPr="009D7ECE">
        <w:rPr>
          <w:rFonts w:ascii="Times New Roman" w:hAnsi="Times New Roman" w:cs="Times New Roman"/>
        </w:rPr>
        <w:t xml:space="preserve"> Page 93 of the 2015 IRP identif</w:t>
      </w:r>
      <w:r w:rsidR="00FB345B">
        <w:rPr>
          <w:rFonts w:ascii="Times New Roman" w:hAnsi="Times New Roman" w:cs="Times New Roman"/>
        </w:rPr>
        <w:t>ies a capital cost of $10,160/kW</w:t>
      </w:r>
      <w:r w:rsidRPr="009D7ECE">
        <w:rPr>
          <w:rFonts w:ascii="Times New Roman" w:hAnsi="Times New Roman" w:cs="Times New Roman"/>
        </w:rPr>
        <w:t xml:space="preserve"> for lithium-ion batteries. </w:t>
      </w:r>
      <w:r w:rsidR="00694B32" w:rsidRPr="009D7ECE">
        <w:rPr>
          <w:rFonts w:ascii="Times New Roman" w:hAnsi="Times New Roman" w:cs="Times New Roman"/>
        </w:rPr>
        <w:t>Page 62 of the HDR study identified a capi</w:t>
      </w:r>
      <w:r w:rsidR="00FB345B">
        <w:rPr>
          <w:rFonts w:ascii="Times New Roman" w:hAnsi="Times New Roman" w:cs="Times New Roman"/>
        </w:rPr>
        <w:t>tal cost range of $800-$1,200/kW</w:t>
      </w:r>
      <w:r w:rsidR="00694B32" w:rsidRPr="009D7ECE">
        <w:rPr>
          <w:rFonts w:ascii="Times New Roman" w:hAnsi="Times New Roman" w:cs="Times New Roman"/>
        </w:rPr>
        <w:t>.</w:t>
      </w:r>
    </w:p>
  </w:footnote>
  <w:footnote w:id="6">
    <w:p w:rsidR="00143585" w:rsidRPr="00043A11" w:rsidRDefault="00143585">
      <w:pPr>
        <w:pStyle w:val="FootnoteText"/>
        <w:rPr>
          <w:rFonts w:ascii="Times New Roman" w:hAnsi="Times New Roman" w:cs="Times New Roman"/>
        </w:rPr>
      </w:pPr>
      <w:r w:rsidRPr="00043A11">
        <w:rPr>
          <w:rStyle w:val="FootnoteReference"/>
          <w:rFonts w:ascii="Times New Roman" w:hAnsi="Times New Roman" w:cs="Times New Roman"/>
        </w:rPr>
        <w:footnoteRef/>
      </w:r>
      <w:r w:rsidRPr="00043A11">
        <w:rPr>
          <w:rFonts w:ascii="Times New Roman" w:hAnsi="Times New Roman" w:cs="Times New Roman"/>
        </w:rPr>
        <w:t xml:space="preserve"> Northwest Power and Conservation Council, Seventh Northwest Power Plan (Draft), at 1-6.</w:t>
      </w:r>
    </w:p>
  </w:footnote>
  <w:footnote w:id="7">
    <w:p w:rsidR="00143585" w:rsidRPr="00043A11" w:rsidRDefault="00143585">
      <w:pPr>
        <w:pStyle w:val="FootnoteText"/>
        <w:rPr>
          <w:rFonts w:ascii="Times New Roman" w:hAnsi="Times New Roman" w:cs="Times New Roman"/>
        </w:rPr>
      </w:pPr>
      <w:r w:rsidRPr="00043A11">
        <w:rPr>
          <w:rStyle w:val="FootnoteReference"/>
          <w:rFonts w:ascii="Times New Roman" w:hAnsi="Times New Roman" w:cs="Times New Roman"/>
        </w:rPr>
        <w:footnoteRef/>
      </w:r>
      <w:r w:rsidRPr="00043A11">
        <w:rPr>
          <w:rFonts w:ascii="Times New Roman" w:hAnsi="Times New Roman" w:cs="Times New Roman"/>
        </w:rPr>
        <w:t xml:space="preserve"> </w:t>
      </w:r>
      <w:r w:rsidRPr="00043A11">
        <w:rPr>
          <w:rFonts w:ascii="Times New Roman" w:hAnsi="Times New Roman" w:cs="Times New Roman"/>
          <w:i/>
        </w:rPr>
        <w:t>Id</w:t>
      </w:r>
      <w:r w:rsidRPr="00043A11">
        <w:rPr>
          <w:rFonts w:ascii="Times New Roman" w:hAnsi="Times New Roman" w:cs="Times New Roman"/>
        </w:rPr>
        <w:t>, at 14-10.</w:t>
      </w:r>
    </w:p>
  </w:footnote>
  <w:footnote w:id="8">
    <w:p w:rsidR="00B97607" w:rsidRPr="009D7ECE" w:rsidRDefault="00B97607">
      <w:pPr>
        <w:pStyle w:val="FootnoteText"/>
        <w:rPr>
          <w:rFonts w:ascii="Times New Roman" w:hAnsi="Times New Roman" w:cs="Times New Roman"/>
        </w:rPr>
      </w:pPr>
      <w:r w:rsidRPr="009D7ECE">
        <w:rPr>
          <w:rStyle w:val="FootnoteReference"/>
          <w:rFonts w:ascii="Times New Roman" w:hAnsi="Times New Roman" w:cs="Times New Roman"/>
        </w:rPr>
        <w:footnoteRef/>
      </w:r>
      <w:r w:rsidRPr="009D7ECE">
        <w:rPr>
          <w:rFonts w:ascii="Times New Roman" w:hAnsi="Times New Roman" w:cs="Times New Roman"/>
        </w:rPr>
        <w:t xml:space="preserve"> See page 5 of the 2015 IRP.</w:t>
      </w:r>
    </w:p>
  </w:footnote>
  <w:footnote w:id="9">
    <w:p w:rsidR="008C24EF" w:rsidRPr="00D514C1" w:rsidRDefault="008C24EF" w:rsidP="008C24EF">
      <w:pPr>
        <w:pStyle w:val="FootnoteText"/>
        <w:rPr>
          <w:rFonts w:ascii="Times New Roman" w:hAnsi="Times New Roman"/>
        </w:rPr>
      </w:pPr>
      <w:r w:rsidRPr="00D514C1">
        <w:rPr>
          <w:rStyle w:val="FootnoteReference"/>
          <w:rFonts w:ascii="Times New Roman" w:hAnsi="Times New Roman"/>
        </w:rPr>
        <w:footnoteRef/>
      </w:r>
      <w:r w:rsidRPr="00D514C1">
        <w:rPr>
          <w:rFonts w:ascii="Times New Roman" w:hAnsi="Times New Roman"/>
        </w:rPr>
        <w:t xml:space="preserve"> The Northwest Power and Conservation Council’s May 2015 Pacific Northwest Power Supply Adequacy Assessment for 2020-21 identified a need for 1,150 MW of new gas-fired capacity to maintain regional reliability targets. Available at </w:t>
      </w:r>
      <w:hyperlink r:id="rId1" w:history="1">
        <w:r w:rsidRPr="00D514C1">
          <w:rPr>
            <w:rStyle w:val="Hyperlink"/>
            <w:rFonts w:ascii="Times New Roman" w:hAnsi="Times New Roman"/>
          </w:rPr>
          <w:t>https://www.nwcouncil.org/energy/powersupply/2015-05/</w:t>
        </w:r>
      </w:hyperlink>
      <w:r w:rsidRPr="00D514C1">
        <w:rPr>
          <w:rFonts w:ascii="Times New Roman" w:hAnsi="Times New Roman"/>
        </w:rPr>
        <w:t xml:space="preserve">. </w:t>
      </w:r>
    </w:p>
  </w:footnote>
  <w:footnote w:id="10">
    <w:p w:rsidR="000C4728" w:rsidRPr="009D7ECE" w:rsidRDefault="000C4728" w:rsidP="000C4728">
      <w:pPr>
        <w:pStyle w:val="NoSpacing"/>
        <w:spacing w:line="264" w:lineRule="auto"/>
        <w:rPr>
          <w:sz w:val="20"/>
          <w:szCs w:val="20"/>
        </w:rPr>
      </w:pPr>
      <w:r w:rsidRPr="009D7ECE">
        <w:rPr>
          <w:rStyle w:val="FootnoteReference"/>
          <w:sz w:val="20"/>
          <w:szCs w:val="20"/>
        </w:rPr>
        <w:footnoteRef/>
      </w:r>
      <w:r w:rsidRPr="009D7ECE">
        <w:rPr>
          <w:sz w:val="20"/>
          <w:szCs w:val="20"/>
        </w:rPr>
        <w:t xml:space="preserve"> See RCW 80.50.060, RCW 80.50.020.</w:t>
      </w:r>
    </w:p>
    <w:p w:rsidR="000C4728" w:rsidRPr="009D7ECE" w:rsidRDefault="000C4728">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3F" w:rsidRPr="006E283F" w:rsidRDefault="006E283F" w:rsidP="006E283F">
    <w:pPr>
      <w:pStyle w:val="Header"/>
      <w:rPr>
        <w:rFonts w:ascii="Times New Roman" w:hAnsi="Times New Roman" w:cs="Times New Roman"/>
      </w:rPr>
    </w:pPr>
    <w:r w:rsidRPr="006E283F">
      <w:rPr>
        <w:rFonts w:ascii="Times New Roman" w:hAnsi="Times New Roman" w:cs="Times New Roman"/>
      </w:rPr>
      <w:t>Docket UE-140546, Pacific Power &amp; Light Company 2015 IRP</w:t>
    </w:r>
  </w:p>
  <w:p w:rsidR="006E283F" w:rsidRPr="006E283F" w:rsidRDefault="006E283F" w:rsidP="006E283F">
    <w:pPr>
      <w:pStyle w:val="Header"/>
      <w:rPr>
        <w:rFonts w:ascii="Times New Roman" w:hAnsi="Times New Roman" w:cs="Times New Roman"/>
      </w:rPr>
    </w:pPr>
    <w:r w:rsidRPr="006E283F">
      <w:rPr>
        <w:rFonts w:ascii="Times New Roman" w:hAnsi="Times New Roman" w:cs="Times New Roman"/>
      </w:rPr>
      <w:t>Acknowledgment Letter Attachment</w:t>
    </w:r>
  </w:p>
  <w:p w:rsidR="006E283F" w:rsidRPr="006E283F" w:rsidRDefault="006E283F">
    <w:pPr>
      <w:pStyle w:val="Header"/>
      <w:rPr>
        <w:rFonts w:ascii="Times New Roman" w:hAnsi="Times New Roman" w:cs="Times New Roman"/>
      </w:rPr>
    </w:pPr>
    <w:r w:rsidRPr="006E283F">
      <w:rPr>
        <w:rFonts w:ascii="Times New Roman" w:hAnsi="Times New Roman" w:cs="Times New Roman"/>
      </w:rPr>
      <w:t xml:space="preserve">Page </w:t>
    </w:r>
    <w:sdt>
      <w:sdtPr>
        <w:rPr>
          <w:rFonts w:ascii="Times New Roman" w:hAnsi="Times New Roman" w:cs="Times New Roman"/>
        </w:rPr>
        <w:id w:val="1304808446"/>
        <w:docPartObj>
          <w:docPartGallery w:val="Page Numbers (Top of Page)"/>
          <w:docPartUnique/>
        </w:docPartObj>
      </w:sdtPr>
      <w:sdtEndPr>
        <w:rPr>
          <w:noProof/>
        </w:rPr>
      </w:sdtEndPr>
      <w:sdtContent>
        <w:r w:rsidRPr="006E283F">
          <w:rPr>
            <w:rFonts w:ascii="Times New Roman" w:hAnsi="Times New Roman" w:cs="Times New Roman"/>
          </w:rPr>
          <w:fldChar w:fldCharType="begin"/>
        </w:r>
        <w:r w:rsidRPr="006E283F">
          <w:rPr>
            <w:rFonts w:ascii="Times New Roman" w:hAnsi="Times New Roman" w:cs="Times New Roman"/>
          </w:rPr>
          <w:instrText xml:space="preserve"> PAGE   \* MERGEFORMAT </w:instrText>
        </w:r>
        <w:r w:rsidRPr="006E283F">
          <w:rPr>
            <w:rFonts w:ascii="Times New Roman" w:hAnsi="Times New Roman" w:cs="Times New Roman"/>
          </w:rPr>
          <w:fldChar w:fldCharType="separate"/>
        </w:r>
        <w:r w:rsidR="00385F87">
          <w:rPr>
            <w:rFonts w:ascii="Times New Roman" w:hAnsi="Times New Roman" w:cs="Times New Roman"/>
            <w:noProof/>
          </w:rPr>
          <w:t>8</w:t>
        </w:r>
        <w:r w:rsidRPr="006E283F">
          <w:rPr>
            <w:rFonts w:ascii="Times New Roman" w:hAnsi="Times New Roman" w:cs="Times New Roman"/>
            <w:noProof/>
          </w:rPr>
          <w:fldChar w:fldCharType="end"/>
        </w:r>
      </w:sdtContent>
    </w:sdt>
  </w:p>
  <w:p w:rsidR="006E283F" w:rsidRPr="006E283F" w:rsidRDefault="006E283F">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ED"/>
    <w:rsid w:val="00015EAC"/>
    <w:rsid w:val="00034CDE"/>
    <w:rsid w:val="00043A11"/>
    <w:rsid w:val="0006373F"/>
    <w:rsid w:val="00071B14"/>
    <w:rsid w:val="00084F17"/>
    <w:rsid w:val="000C4728"/>
    <w:rsid w:val="000E640C"/>
    <w:rsid w:val="00103FD9"/>
    <w:rsid w:val="001422D6"/>
    <w:rsid w:val="00142C9D"/>
    <w:rsid w:val="00143585"/>
    <w:rsid w:val="00150BAC"/>
    <w:rsid w:val="00154436"/>
    <w:rsid w:val="0019706D"/>
    <w:rsid w:val="001C5AB1"/>
    <w:rsid w:val="001C6242"/>
    <w:rsid w:val="001D2BD6"/>
    <w:rsid w:val="001E1D7A"/>
    <w:rsid w:val="001F3FB0"/>
    <w:rsid w:val="002106E9"/>
    <w:rsid w:val="0023753C"/>
    <w:rsid w:val="002375B1"/>
    <w:rsid w:val="00237C93"/>
    <w:rsid w:val="002576C8"/>
    <w:rsid w:val="002676DD"/>
    <w:rsid w:val="00271353"/>
    <w:rsid w:val="002722F0"/>
    <w:rsid w:val="00275327"/>
    <w:rsid w:val="00276D0B"/>
    <w:rsid w:val="002A655B"/>
    <w:rsid w:val="002C039A"/>
    <w:rsid w:val="002E1851"/>
    <w:rsid w:val="002F361E"/>
    <w:rsid w:val="003173FC"/>
    <w:rsid w:val="00334D96"/>
    <w:rsid w:val="00337BF2"/>
    <w:rsid w:val="00346980"/>
    <w:rsid w:val="00352F90"/>
    <w:rsid w:val="00367F8C"/>
    <w:rsid w:val="00385F87"/>
    <w:rsid w:val="0038789A"/>
    <w:rsid w:val="003D1552"/>
    <w:rsid w:val="003E5372"/>
    <w:rsid w:val="00417463"/>
    <w:rsid w:val="004268CF"/>
    <w:rsid w:val="00435908"/>
    <w:rsid w:val="004538B2"/>
    <w:rsid w:val="004856D4"/>
    <w:rsid w:val="0049043A"/>
    <w:rsid w:val="004D77A1"/>
    <w:rsid w:val="004E10FC"/>
    <w:rsid w:val="00537453"/>
    <w:rsid w:val="00552600"/>
    <w:rsid w:val="00591F9F"/>
    <w:rsid w:val="005A67F6"/>
    <w:rsid w:val="005A6C74"/>
    <w:rsid w:val="005C008C"/>
    <w:rsid w:val="005C3535"/>
    <w:rsid w:val="005E0C57"/>
    <w:rsid w:val="005E4C4F"/>
    <w:rsid w:val="005F476B"/>
    <w:rsid w:val="005F6A78"/>
    <w:rsid w:val="006137E9"/>
    <w:rsid w:val="0065545A"/>
    <w:rsid w:val="00672F7B"/>
    <w:rsid w:val="006748B1"/>
    <w:rsid w:val="0068343D"/>
    <w:rsid w:val="00685F1E"/>
    <w:rsid w:val="006947DF"/>
    <w:rsid w:val="00694B32"/>
    <w:rsid w:val="006A41EE"/>
    <w:rsid w:val="006B0889"/>
    <w:rsid w:val="006B1962"/>
    <w:rsid w:val="006B3C80"/>
    <w:rsid w:val="006E283F"/>
    <w:rsid w:val="006F469C"/>
    <w:rsid w:val="00726355"/>
    <w:rsid w:val="00742B66"/>
    <w:rsid w:val="00754CFD"/>
    <w:rsid w:val="00782E1B"/>
    <w:rsid w:val="007C0C6D"/>
    <w:rsid w:val="007C7805"/>
    <w:rsid w:val="007D1CC8"/>
    <w:rsid w:val="0084604C"/>
    <w:rsid w:val="008478B2"/>
    <w:rsid w:val="0086027A"/>
    <w:rsid w:val="00870311"/>
    <w:rsid w:val="00896E3F"/>
    <w:rsid w:val="008C24EF"/>
    <w:rsid w:val="008C2CC1"/>
    <w:rsid w:val="008F2688"/>
    <w:rsid w:val="00974BFA"/>
    <w:rsid w:val="009D7ECE"/>
    <w:rsid w:val="009E13A6"/>
    <w:rsid w:val="009F67C0"/>
    <w:rsid w:val="00A07F8C"/>
    <w:rsid w:val="00A138BC"/>
    <w:rsid w:val="00A4175E"/>
    <w:rsid w:val="00A54424"/>
    <w:rsid w:val="00A71435"/>
    <w:rsid w:val="00A737DE"/>
    <w:rsid w:val="00A74FFF"/>
    <w:rsid w:val="00A84C2A"/>
    <w:rsid w:val="00AB435B"/>
    <w:rsid w:val="00AC7D26"/>
    <w:rsid w:val="00AD3312"/>
    <w:rsid w:val="00AE01AD"/>
    <w:rsid w:val="00AE273E"/>
    <w:rsid w:val="00B13041"/>
    <w:rsid w:val="00B27D29"/>
    <w:rsid w:val="00B313D6"/>
    <w:rsid w:val="00B32F11"/>
    <w:rsid w:val="00B379FB"/>
    <w:rsid w:val="00B54022"/>
    <w:rsid w:val="00B73072"/>
    <w:rsid w:val="00B80296"/>
    <w:rsid w:val="00B94D13"/>
    <w:rsid w:val="00B97607"/>
    <w:rsid w:val="00BA28ED"/>
    <w:rsid w:val="00BA795F"/>
    <w:rsid w:val="00BB605D"/>
    <w:rsid w:val="00C05852"/>
    <w:rsid w:val="00C1527A"/>
    <w:rsid w:val="00C62AEF"/>
    <w:rsid w:val="00C72121"/>
    <w:rsid w:val="00CA40E3"/>
    <w:rsid w:val="00CF4D88"/>
    <w:rsid w:val="00CF6D65"/>
    <w:rsid w:val="00D21E49"/>
    <w:rsid w:val="00D245B0"/>
    <w:rsid w:val="00D31FDA"/>
    <w:rsid w:val="00D6003A"/>
    <w:rsid w:val="00D6324D"/>
    <w:rsid w:val="00D644C0"/>
    <w:rsid w:val="00DA1B86"/>
    <w:rsid w:val="00DC3A5F"/>
    <w:rsid w:val="00DD2A47"/>
    <w:rsid w:val="00DE75FE"/>
    <w:rsid w:val="00DF764D"/>
    <w:rsid w:val="00E33C02"/>
    <w:rsid w:val="00E37C6E"/>
    <w:rsid w:val="00E41416"/>
    <w:rsid w:val="00E45082"/>
    <w:rsid w:val="00E64933"/>
    <w:rsid w:val="00EB669F"/>
    <w:rsid w:val="00EB7D72"/>
    <w:rsid w:val="00EB7EEA"/>
    <w:rsid w:val="00F21B68"/>
    <w:rsid w:val="00F311EF"/>
    <w:rsid w:val="00F80AE9"/>
    <w:rsid w:val="00FB26F1"/>
    <w:rsid w:val="00FB345B"/>
    <w:rsid w:val="00FB56B9"/>
    <w:rsid w:val="00FB7B37"/>
    <w:rsid w:val="00FC755B"/>
    <w:rsid w:val="00FD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3F23C-DB3A-4779-930A-072D2BF4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8ED"/>
    <w:pPr>
      <w:spacing w:after="200" w:line="276" w:lineRule="auto"/>
    </w:pPr>
    <w:rPr>
      <w:rFonts w:eastAsiaTheme="minorEastAsia"/>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A28ED"/>
    <w:rPr>
      <w:color w:val="0000FF" w:themeColor="hyperlink"/>
      <w:u w:val="single"/>
    </w:rPr>
  </w:style>
  <w:style w:type="paragraph" w:styleId="FootnoteText">
    <w:name w:val="footnote text"/>
    <w:basedOn w:val="Normal"/>
    <w:link w:val="FootnoteTextChar"/>
    <w:uiPriority w:val="99"/>
    <w:semiHidden/>
    <w:unhideWhenUsed/>
    <w:rsid w:val="00BA28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28ED"/>
    <w:rPr>
      <w:rFonts w:eastAsiaTheme="minorEastAsia"/>
      <w:sz w:val="20"/>
      <w:szCs w:val="20"/>
    </w:rPr>
  </w:style>
  <w:style w:type="paragraph" w:styleId="NoSpacing">
    <w:name w:val="No Spacing"/>
    <w:uiPriority w:val="1"/>
    <w:qFormat/>
    <w:rsid w:val="00BA28ED"/>
    <w:rPr>
      <w:rFonts w:ascii="Times New Roman" w:eastAsia="Times New Roman" w:hAnsi="Times New Roman" w:cs="Times New Roman"/>
      <w:spacing w:val="-5"/>
      <w:sz w:val="24"/>
      <w:szCs w:val="24"/>
    </w:rPr>
  </w:style>
  <w:style w:type="character" w:styleId="FootnoteReference">
    <w:name w:val="footnote reference"/>
    <w:basedOn w:val="DefaultParagraphFont"/>
    <w:uiPriority w:val="99"/>
    <w:semiHidden/>
    <w:unhideWhenUsed/>
    <w:rsid w:val="00BA28ED"/>
    <w:rPr>
      <w:vertAlign w:val="superscript"/>
    </w:rPr>
  </w:style>
  <w:style w:type="paragraph" w:styleId="Header">
    <w:name w:val="header"/>
    <w:basedOn w:val="Normal"/>
    <w:link w:val="HeaderChar"/>
    <w:uiPriority w:val="99"/>
    <w:unhideWhenUsed/>
    <w:rsid w:val="006E2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83F"/>
    <w:rPr>
      <w:rFonts w:eastAsiaTheme="minorEastAsia"/>
    </w:rPr>
  </w:style>
  <w:style w:type="paragraph" w:styleId="Footer">
    <w:name w:val="footer"/>
    <w:basedOn w:val="Normal"/>
    <w:link w:val="FooterChar"/>
    <w:uiPriority w:val="99"/>
    <w:unhideWhenUsed/>
    <w:rsid w:val="006E2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83F"/>
    <w:rPr>
      <w:rFonts w:eastAsiaTheme="minorEastAsia"/>
    </w:rPr>
  </w:style>
  <w:style w:type="character" w:styleId="CommentReference">
    <w:name w:val="annotation reference"/>
    <w:basedOn w:val="DefaultParagraphFont"/>
    <w:uiPriority w:val="99"/>
    <w:semiHidden/>
    <w:unhideWhenUsed/>
    <w:rsid w:val="00A737DE"/>
    <w:rPr>
      <w:sz w:val="16"/>
      <w:szCs w:val="16"/>
    </w:rPr>
  </w:style>
  <w:style w:type="paragraph" w:styleId="CommentText">
    <w:name w:val="annotation text"/>
    <w:basedOn w:val="Normal"/>
    <w:link w:val="CommentTextChar"/>
    <w:uiPriority w:val="99"/>
    <w:unhideWhenUsed/>
    <w:rsid w:val="00A737DE"/>
    <w:pPr>
      <w:spacing w:line="240" w:lineRule="auto"/>
    </w:pPr>
    <w:rPr>
      <w:sz w:val="20"/>
      <w:szCs w:val="20"/>
    </w:rPr>
  </w:style>
  <w:style w:type="character" w:customStyle="1" w:styleId="CommentTextChar">
    <w:name w:val="Comment Text Char"/>
    <w:basedOn w:val="DefaultParagraphFont"/>
    <w:link w:val="CommentText"/>
    <w:uiPriority w:val="99"/>
    <w:rsid w:val="00A737D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737DE"/>
    <w:rPr>
      <w:b/>
      <w:bCs/>
    </w:rPr>
  </w:style>
  <w:style w:type="character" w:customStyle="1" w:styleId="CommentSubjectChar">
    <w:name w:val="Comment Subject Char"/>
    <w:basedOn w:val="CommentTextChar"/>
    <w:link w:val="CommentSubject"/>
    <w:uiPriority w:val="99"/>
    <w:semiHidden/>
    <w:rsid w:val="00A737DE"/>
    <w:rPr>
      <w:rFonts w:eastAsiaTheme="minorEastAsia"/>
      <w:b/>
      <w:bCs/>
      <w:sz w:val="20"/>
      <w:szCs w:val="20"/>
    </w:rPr>
  </w:style>
  <w:style w:type="paragraph" w:styleId="BalloonText">
    <w:name w:val="Balloon Text"/>
    <w:basedOn w:val="Normal"/>
    <w:link w:val="BalloonTextChar"/>
    <w:uiPriority w:val="99"/>
    <w:semiHidden/>
    <w:unhideWhenUsed/>
    <w:rsid w:val="00A73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7D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8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wcouncil.org/energy/powersupply/201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93D9BBF4FD1C4593C2CADAE9FF8626" ma:contentTypeVersion="175" ma:contentTypeDescription="" ma:contentTypeScope="" ma:versionID="800dcce6770fc472df66c5efcc41bf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2014-03-31T07:00:00+00:00</OpenedDate>
    <Date1 xmlns="dc463f71-b30c-4ab2-9473-d307f9d35888">2015-11-13T22:21:33+00:00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140546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15A1A1E-7B0D-4D9D-9E8D-8CFE742C8E5E}"/>
</file>

<file path=customXml/itemProps2.xml><?xml version="1.0" encoding="utf-8"?>
<ds:datastoreItem xmlns:ds="http://schemas.openxmlformats.org/officeDocument/2006/customXml" ds:itemID="{D62563CD-88AA-41E7-97EC-AEF14477DD3A}"/>
</file>

<file path=customXml/itemProps3.xml><?xml version="1.0" encoding="utf-8"?>
<ds:datastoreItem xmlns:ds="http://schemas.openxmlformats.org/officeDocument/2006/customXml" ds:itemID="{F111C0D8-B7C3-47BE-874A-539F2CB6ACA7}"/>
</file>

<file path=customXml/itemProps4.xml><?xml version="1.0" encoding="utf-8"?>
<ds:datastoreItem xmlns:ds="http://schemas.openxmlformats.org/officeDocument/2006/customXml" ds:itemID="{96EFFB7B-4ED3-4E82-B7D6-EAA72BB77CC3}"/>
</file>

<file path=customXml/itemProps5.xml><?xml version="1.0" encoding="utf-8"?>
<ds:datastoreItem xmlns:ds="http://schemas.openxmlformats.org/officeDocument/2006/customXml" ds:itemID="{F506FE7B-0FCE-4BEA-80A9-D2BEDFB25CB5}"/>
</file>

<file path=docProps/app.xml><?xml version="1.0" encoding="utf-8"?>
<Properties xmlns="http://schemas.openxmlformats.org/officeDocument/2006/extended-properties" xmlns:vt="http://schemas.openxmlformats.org/officeDocument/2006/docPropsVTypes">
  <Template>Normal</Template>
  <TotalTime>1</TotalTime>
  <Pages>1</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Twitchell, Jeremy (UTC)</cp:lastModifiedBy>
  <cp:revision>2</cp:revision>
  <cp:lastPrinted>2015-11-14T00:19:00Z</cp:lastPrinted>
  <dcterms:created xsi:type="dcterms:W3CDTF">2015-11-13T17:29:00Z</dcterms:created>
  <dcterms:modified xsi:type="dcterms:W3CDTF">2015-11-13T17:29:00Z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0x0101006E56B4D1795A2E4DB2F0B01679ED314A004A93D9BBF4FD1C4593C2CADAE9FF8626</vt:lpwstr>
  </property>
  <property fmtid="{D5CDD505-2E9C-101B-9397-08002B2CF9AE}" pid="3" name="_docset_NoMedatataSyncRequired">
    <vt:lpwstr>False</vt:lpwstr>
  </property>
</Properties>
</file>