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02" w:rsidRDefault="00FD1939" w:rsidP="003A7893">
      <w:pPr>
        <w:rPr>
          <w:rFonts w:asciiTheme="majorHAnsi" w:hAnsiTheme="majorHAnsi"/>
        </w:rPr>
      </w:pPr>
      <w:r>
        <w:rPr>
          <w:rFonts w:asciiTheme="majorHAnsi" w:hAnsiTheme="majorHAnsi"/>
        </w:rPr>
        <w:t>January 31, 2014</w:t>
      </w:r>
    </w:p>
    <w:p w:rsidR="003A7893" w:rsidRDefault="003A7893" w:rsidP="003A7893">
      <w:pPr>
        <w:rPr>
          <w:rFonts w:asciiTheme="majorHAnsi" w:hAnsiTheme="majorHAnsi"/>
        </w:rPr>
      </w:pPr>
    </w:p>
    <w:p w:rsidR="003A7893" w:rsidRDefault="003A7893" w:rsidP="003A7893">
      <w:pPr>
        <w:rPr>
          <w:rFonts w:asciiTheme="majorHAnsi" w:hAnsiTheme="majorHAnsi"/>
        </w:rPr>
      </w:pPr>
      <w:r>
        <w:rPr>
          <w:rFonts w:asciiTheme="majorHAnsi" w:hAnsiTheme="majorHAnsi"/>
        </w:rPr>
        <w:t>Steven V. King</w:t>
      </w:r>
    </w:p>
    <w:p w:rsidR="003A7893" w:rsidRDefault="003A7893" w:rsidP="003A7893">
      <w:pPr>
        <w:rPr>
          <w:rFonts w:asciiTheme="majorHAnsi" w:hAnsiTheme="majorHAnsi"/>
        </w:rPr>
      </w:pPr>
      <w:r>
        <w:rPr>
          <w:rFonts w:asciiTheme="majorHAnsi" w:hAnsiTheme="majorHAnsi"/>
        </w:rPr>
        <w:t>Executive Director and Secretary</w:t>
      </w:r>
    </w:p>
    <w:p w:rsidR="003A7893" w:rsidRDefault="003A7893" w:rsidP="003A7893">
      <w:pPr>
        <w:rPr>
          <w:rFonts w:asciiTheme="majorHAnsi" w:hAnsiTheme="majorHAnsi"/>
        </w:rPr>
      </w:pPr>
      <w:r>
        <w:rPr>
          <w:rFonts w:asciiTheme="majorHAnsi" w:hAnsiTheme="majorHAnsi"/>
        </w:rPr>
        <w:t>Washington Utilities and Transportation Commission</w:t>
      </w:r>
    </w:p>
    <w:p w:rsidR="003A7893" w:rsidRDefault="003A7893" w:rsidP="003A7893">
      <w:pPr>
        <w:rPr>
          <w:rFonts w:asciiTheme="majorHAnsi" w:hAnsiTheme="majorHAnsi"/>
        </w:rPr>
      </w:pPr>
      <w:r>
        <w:rPr>
          <w:rFonts w:asciiTheme="majorHAnsi" w:hAnsiTheme="majorHAnsi"/>
        </w:rPr>
        <w:t>P.O. Box 47250</w:t>
      </w:r>
    </w:p>
    <w:p w:rsidR="003A7893" w:rsidRDefault="003A7893" w:rsidP="003A7893">
      <w:pPr>
        <w:rPr>
          <w:rFonts w:asciiTheme="majorHAnsi" w:hAnsiTheme="majorHAnsi"/>
        </w:rPr>
      </w:pPr>
      <w:r>
        <w:rPr>
          <w:rFonts w:asciiTheme="majorHAnsi" w:hAnsiTheme="majorHAnsi"/>
        </w:rPr>
        <w:t>Olympia, WA 98504-7250</w:t>
      </w:r>
    </w:p>
    <w:p w:rsidR="003A7893" w:rsidRDefault="003A7893" w:rsidP="003A7893">
      <w:pPr>
        <w:rPr>
          <w:rFonts w:asciiTheme="majorHAnsi" w:hAnsiTheme="majorHAnsi"/>
        </w:rPr>
      </w:pPr>
    </w:p>
    <w:p w:rsidR="003A7893" w:rsidRDefault="003A7893" w:rsidP="003A7893">
      <w:pPr>
        <w:rPr>
          <w:rFonts w:asciiTheme="majorHAnsi" w:hAnsiTheme="majorHAnsi"/>
          <w:b/>
        </w:rPr>
      </w:pPr>
      <w:r>
        <w:rPr>
          <w:rFonts w:asciiTheme="majorHAnsi" w:hAnsiTheme="majorHAnsi"/>
        </w:rPr>
        <w:tab/>
      </w:r>
      <w:r>
        <w:rPr>
          <w:rFonts w:asciiTheme="majorHAnsi" w:hAnsiTheme="majorHAnsi"/>
          <w:b/>
        </w:rPr>
        <w:t>RE: Comments</w:t>
      </w:r>
      <w:r w:rsidR="0021272E">
        <w:rPr>
          <w:rFonts w:asciiTheme="majorHAnsi" w:hAnsiTheme="majorHAnsi"/>
          <w:b/>
        </w:rPr>
        <w:t xml:space="preserve"> of Renewable Northwest Project</w:t>
      </w:r>
    </w:p>
    <w:p w:rsidR="0021272E" w:rsidRDefault="0021272E" w:rsidP="0021272E">
      <w:pPr>
        <w:ind w:left="720"/>
        <w:rPr>
          <w:rFonts w:asciiTheme="majorHAnsi" w:hAnsiTheme="majorHAnsi"/>
          <w:i/>
        </w:rPr>
      </w:pPr>
      <w:r>
        <w:rPr>
          <w:rFonts w:asciiTheme="majorHAnsi" w:hAnsiTheme="majorHAnsi"/>
          <w:b/>
        </w:rPr>
        <w:t>Docket UE-131883—</w:t>
      </w:r>
      <w:r>
        <w:rPr>
          <w:rFonts w:asciiTheme="majorHAnsi" w:hAnsiTheme="majorHAnsi"/>
          <w:i/>
        </w:rPr>
        <w:t xml:space="preserve">Commission’s </w:t>
      </w:r>
      <w:r w:rsidR="009323B0">
        <w:rPr>
          <w:rFonts w:asciiTheme="majorHAnsi" w:hAnsiTheme="majorHAnsi"/>
          <w:i/>
        </w:rPr>
        <w:t>December 19, 2013</w:t>
      </w:r>
      <w:r>
        <w:rPr>
          <w:rFonts w:asciiTheme="majorHAnsi" w:hAnsiTheme="majorHAnsi"/>
          <w:i/>
        </w:rPr>
        <w:t xml:space="preserve"> Notice of Opportunity to File Written Comments on the Investigation of the costs and benefits of distributed generation on utility provision of electric service.</w:t>
      </w:r>
    </w:p>
    <w:p w:rsidR="009323B0" w:rsidRDefault="009323B0" w:rsidP="0021272E">
      <w:pPr>
        <w:ind w:left="720"/>
        <w:rPr>
          <w:rFonts w:asciiTheme="majorHAnsi" w:hAnsiTheme="majorHAnsi"/>
          <w:i/>
        </w:rPr>
      </w:pPr>
    </w:p>
    <w:p w:rsidR="00766805" w:rsidRDefault="00766805" w:rsidP="00EF66EA">
      <w:pPr>
        <w:widowControl w:val="0"/>
        <w:autoSpaceDE w:val="0"/>
        <w:autoSpaceDN w:val="0"/>
        <w:adjustRightInd w:val="0"/>
        <w:spacing w:after="240"/>
        <w:jc w:val="center"/>
        <w:outlineLvl w:val="0"/>
        <w:rPr>
          <w:b/>
          <w:u w:val="single"/>
          <w:lang w:val="en-GB"/>
        </w:rPr>
      </w:pPr>
      <w:r>
        <w:rPr>
          <w:b/>
          <w:u w:val="single"/>
          <w:lang w:val="en-GB"/>
        </w:rPr>
        <w:t>I. INTRODUCTION</w:t>
      </w:r>
    </w:p>
    <w:p w:rsidR="00766805" w:rsidRDefault="002803D0" w:rsidP="002803D0">
      <w:pPr>
        <w:widowControl w:val="0"/>
        <w:autoSpaceDE w:val="0"/>
        <w:autoSpaceDN w:val="0"/>
        <w:adjustRightInd w:val="0"/>
        <w:spacing w:after="240"/>
      </w:pPr>
      <w:r w:rsidRPr="002803D0">
        <w:t xml:space="preserve">Renewable Northwest Project (“RNP”) </w:t>
      </w:r>
      <w:r w:rsidR="00E13F86">
        <w:t xml:space="preserve">again </w:t>
      </w:r>
      <w:r w:rsidRPr="002803D0">
        <w:t xml:space="preserve">welcomes the opportunity to comment </w:t>
      </w:r>
      <w:r w:rsidR="00E13F86">
        <w:t>to</w:t>
      </w:r>
      <w:r w:rsidRPr="002803D0">
        <w:t xml:space="preserve"> Washington Utilities and Transportation Commission (“Commission”) on the costs and benefits of distributed generation (“DG”), and how they should be understood with respect to investor-o</w:t>
      </w:r>
      <w:r w:rsidR="00B86027">
        <w:t xml:space="preserve">wned utilities (“IOUs”) in </w:t>
      </w:r>
      <w:r w:rsidRPr="002803D0">
        <w:t>Washington</w:t>
      </w:r>
      <w:r w:rsidR="00B86027">
        <w:t xml:space="preserve"> State</w:t>
      </w:r>
      <w:r w:rsidRPr="002803D0">
        <w:t xml:space="preserve">. Given the current levels of distributed generation and </w:t>
      </w:r>
      <w:r w:rsidR="00EF66EA">
        <w:t>net-m</w:t>
      </w:r>
      <w:r w:rsidRPr="002803D0">
        <w:t>etering penetration in Washington, RNP does not recommend cont</w:t>
      </w:r>
      <w:r w:rsidR="00B86027">
        <w:t xml:space="preserve">inuing with this investigation. </w:t>
      </w:r>
      <w:r w:rsidRPr="002803D0">
        <w:t>Washingto</w:t>
      </w:r>
      <w:r>
        <w:t>n S</w:t>
      </w:r>
      <w:r w:rsidRPr="002803D0">
        <w:t xml:space="preserve">tate should </w:t>
      </w:r>
      <w:r>
        <w:t>focus on</w:t>
      </w:r>
      <w:r w:rsidRPr="002803D0">
        <w:t xml:space="preserve"> develop</w:t>
      </w:r>
      <w:r>
        <w:t>ing</w:t>
      </w:r>
      <w:r w:rsidRPr="002803D0">
        <w:t xml:space="preserve"> policies that encourage customers to take up solar and net-metering, as the balance between the costs and the benefits will be</w:t>
      </w:r>
      <w:r>
        <w:t xml:space="preserve"> difficult to discern until the state has a higher degree of solar penetration. However, if the Commission decides to continue with this investigation, it will be necessary to undertake a comprehensive evaluation of all the costs and benefits associate</w:t>
      </w:r>
      <w:r w:rsidR="00E13F86">
        <w:t>d</w:t>
      </w:r>
      <w:r>
        <w:t xml:space="preserve"> with distributed generation in order to determine the balance between them.</w:t>
      </w:r>
    </w:p>
    <w:p w:rsidR="00766805" w:rsidRDefault="002803D0" w:rsidP="00B86027">
      <w:pPr>
        <w:widowControl w:val="0"/>
        <w:autoSpaceDE w:val="0"/>
        <w:autoSpaceDN w:val="0"/>
        <w:adjustRightInd w:val="0"/>
        <w:spacing w:after="240"/>
        <w:rPr>
          <w:b/>
          <w:u w:val="single"/>
          <w:lang w:val="en-GB"/>
        </w:rPr>
      </w:pPr>
      <w:r>
        <w:t>RNP will address whether or not this investigation should continue in Section II. If the investigation does continue, RNP makes recommendations for what costs and benefits should be considered in Section III, and the process for such an investigation in Section IV, before concluding in Section V.</w:t>
      </w:r>
    </w:p>
    <w:p w:rsidR="00B86027" w:rsidRDefault="00B86027" w:rsidP="00B86027">
      <w:pPr>
        <w:widowControl w:val="0"/>
        <w:autoSpaceDE w:val="0"/>
        <w:autoSpaceDN w:val="0"/>
        <w:adjustRightInd w:val="0"/>
        <w:spacing w:after="240"/>
        <w:rPr>
          <w:b/>
          <w:u w:val="single"/>
          <w:lang w:val="en-GB"/>
        </w:rPr>
      </w:pPr>
    </w:p>
    <w:p w:rsidR="00CE57AE" w:rsidRDefault="00CE57AE" w:rsidP="00EF66EA">
      <w:pPr>
        <w:widowControl w:val="0"/>
        <w:autoSpaceDE w:val="0"/>
        <w:autoSpaceDN w:val="0"/>
        <w:adjustRightInd w:val="0"/>
        <w:spacing w:after="240"/>
        <w:jc w:val="center"/>
        <w:outlineLvl w:val="0"/>
        <w:rPr>
          <w:b/>
          <w:u w:val="single"/>
          <w:lang w:val="en-GB"/>
        </w:rPr>
      </w:pPr>
      <w:r>
        <w:rPr>
          <w:b/>
          <w:u w:val="single"/>
          <w:lang w:val="en-GB"/>
        </w:rPr>
        <w:t xml:space="preserve">II. </w:t>
      </w:r>
      <w:r w:rsidR="002803D0">
        <w:rPr>
          <w:b/>
          <w:u w:val="single"/>
          <w:lang w:val="en-GB"/>
        </w:rPr>
        <w:t>CONTINUED INVESTIGATION</w:t>
      </w:r>
    </w:p>
    <w:p w:rsidR="00590D4B" w:rsidRPr="00590D4B" w:rsidRDefault="00590D4B" w:rsidP="00EF66EA">
      <w:pPr>
        <w:widowControl w:val="0"/>
        <w:autoSpaceDE w:val="0"/>
        <w:autoSpaceDN w:val="0"/>
        <w:adjustRightInd w:val="0"/>
        <w:spacing w:after="240"/>
        <w:outlineLvl w:val="0"/>
        <w:rPr>
          <w:b/>
          <w:u w:val="single"/>
          <w:lang w:val="en-GB"/>
        </w:rPr>
      </w:pPr>
      <w:r>
        <w:rPr>
          <w:b/>
          <w:u w:val="single"/>
          <w:lang w:val="en-GB"/>
        </w:rPr>
        <w:t>IMPACT ON RATEPAYERS</w:t>
      </w:r>
    </w:p>
    <w:p w:rsidR="00B66688" w:rsidRDefault="00B66688" w:rsidP="00766805">
      <w:pPr>
        <w:widowControl w:val="0"/>
        <w:autoSpaceDE w:val="0"/>
        <w:autoSpaceDN w:val="0"/>
        <w:adjustRightInd w:val="0"/>
        <w:spacing w:after="240"/>
        <w:rPr>
          <w:lang w:val="en-GB"/>
        </w:rPr>
      </w:pPr>
      <w:r>
        <w:rPr>
          <w:lang w:val="en-GB"/>
        </w:rPr>
        <w:t xml:space="preserve">In comments dated November 6, 2013, RNP argued that the limited penetration of distributed solar in </w:t>
      </w:r>
      <w:r w:rsidR="00E13F86">
        <w:rPr>
          <w:lang w:val="en-GB"/>
        </w:rPr>
        <w:t>Washington</w:t>
      </w:r>
      <w:r>
        <w:rPr>
          <w:lang w:val="en-GB"/>
        </w:rPr>
        <w:t xml:space="preserve"> should be taken into account when considering whether</w:t>
      </w:r>
      <w:r w:rsidR="00EF66EA">
        <w:rPr>
          <w:lang w:val="en-GB"/>
        </w:rPr>
        <w:t xml:space="preserve"> or not</w:t>
      </w:r>
      <w:r>
        <w:rPr>
          <w:lang w:val="en-GB"/>
        </w:rPr>
        <w:t xml:space="preserve"> this investigation should continue</w:t>
      </w:r>
      <w:r w:rsidR="00514F33">
        <w:rPr>
          <w:lang w:val="en-GB"/>
        </w:rPr>
        <w:t>.</w:t>
      </w:r>
      <w:r w:rsidR="00EE4580">
        <w:rPr>
          <w:lang w:val="en-GB"/>
        </w:rPr>
        <w:t xml:space="preserve"> RNP would like to draw the commission’s attention </w:t>
      </w:r>
      <w:r w:rsidR="00CE3DEB">
        <w:rPr>
          <w:lang w:val="en-GB"/>
        </w:rPr>
        <w:t>to the Energy and Environment Economics (“E3”) report evaluating the costs and benefits of California’s net energy metering (“NEM”)</w:t>
      </w:r>
      <w:r w:rsidR="005375B9">
        <w:rPr>
          <w:lang w:val="en-GB"/>
        </w:rPr>
        <w:t xml:space="preserve"> that was presented to the UTC on November 13, 2013.</w:t>
      </w:r>
    </w:p>
    <w:p w:rsidR="00E13F86" w:rsidRPr="00E13F86" w:rsidRDefault="00025EB7" w:rsidP="00E13F86">
      <w:pPr>
        <w:widowControl w:val="0"/>
        <w:autoSpaceDE w:val="0"/>
        <w:autoSpaceDN w:val="0"/>
        <w:adjustRightInd w:val="0"/>
        <w:spacing w:after="240"/>
      </w:pPr>
      <w:r w:rsidRPr="00025EB7">
        <w:lastRenderedPageBreak/>
        <w:t xml:space="preserve">In their most extreme forecasted penetration level, E3 modeled the impact of “Full NEM Subscription”, which amounts to five percent of aggregate customer peak demand (for </w:t>
      </w:r>
      <w:r w:rsidR="00E13F86">
        <w:t>IOUs</w:t>
      </w:r>
      <w:r w:rsidRPr="00025EB7">
        <w:t>), as defined by C</w:t>
      </w:r>
      <w:r w:rsidR="00EF66EA">
        <w:t xml:space="preserve">alifornia </w:t>
      </w:r>
      <w:r w:rsidRPr="00025EB7">
        <w:t>P</w:t>
      </w:r>
      <w:r w:rsidR="00EF66EA">
        <w:t xml:space="preserve">ublic </w:t>
      </w:r>
      <w:r w:rsidRPr="00025EB7">
        <w:t>U</w:t>
      </w:r>
      <w:r w:rsidR="00EF66EA">
        <w:t xml:space="preserve">tility </w:t>
      </w:r>
      <w:r w:rsidRPr="00025EB7">
        <w:t>C</w:t>
      </w:r>
      <w:r w:rsidR="00EF66EA">
        <w:t>ommission (CPUC)</w:t>
      </w:r>
      <w:r w:rsidRPr="00025EB7">
        <w:t xml:space="preserve"> decision D. 12-05-036.</w:t>
      </w:r>
      <w:r w:rsidRPr="00025EB7">
        <w:rPr>
          <w:vertAlign w:val="superscript"/>
        </w:rPr>
        <w:footnoteReference w:id="1"/>
      </w:r>
      <w:r w:rsidRPr="00025EB7">
        <w:t xml:space="preserve"> In this decision, the CPUC clarified that—in California—“aggregate customer peak demand” means the sum of individual customer’s non-coincident peak demand. For a given year, the total non-coincident peak demands for all customers in each IOU’s service territory is defined as the sum of each customer’s maximum demand in that year. For each IOU, the value represents the maximum demand for the service territory that would occur if all customers use their maximum load at the same time.</w:t>
      </w:r>
      <w:r w:rsidRPr="00025EB7">
        <w:rPr>
          <w:vertAlign w:val="superscript"/>
        </w:rPr>
        <w:footnoteReference w:id="2"/>
      </w:r>
      <w:r w:rsidRPr="00025EB7">
        <w:t xml:space="preserve"> </w:t>
      </w:r>
      <w:r w:rsidR="00E13F86">
        <w:rPr>
          <w:lang w:val="en-GB"/>
        </w:rPr>
        <w:t xml:space="preserve">Table 1 shows that even with full NEM subscription in California in 2020 the cost of exports from net-metering is only 1.06% of the utilities annual revenue requirement. </w:t>
      </w:r>
    </w:p>
    <w:p w:rsidR="00162F05" w:rsidRPr="00D72D20" w:rsidRDefault="00162F05" w:rsidP="00EF66EA">
      <w:pPr>
        <w:pStyle w:val="Caption"/>
        <w:keepNext/>
        <w:outlineLvl w:val="0"/>
        <w:rPr>
          <w:color w:val="auto"/>
        </w:rPr>
      </w:pPr>
      <w:bookmarkStart w:id="0" w:name="_Ref248994331"/>
      <w:r w:rsidRPr="00D72D20">
        <w:rPr>
          <w:color w:val="auto"/>
        </w:rPr>
        <w:t xml:space="preserve">Table </w:t>
      </w:r>
      <w:r w:rsidRPr="00D72D20">
        <w:rPr>
          <w:color w:val="auto"/>
        </w:rPr>
        <w:fldChar w:fldCharType="begin"/>
      </w:r>
      <w:r w:rsidRPr="00D72D20">
        <w:rPr>
          <w:color w:val="auto"/>
        </w:rPr>
        <w:instrText xml:space="preserve"> SEQ Table \* ARABIC </w:instrText>
      </w:r>
      <w:r w:rsidRPr="00D72D20">
        <w:rPr>
          <w:color w:val="auto"/>
        </w:rPr>
        <w:fldChar w:fldCharType="separate"/>
      </w:r>
      <w:r w:rsidR="002B331F">
        <w:rPr>
          <w:noProof/>
          <w:color w:val="auto"/>
        </w:rPr>
        <w:t>1</w:t>
      </w:r>
      <w:r w:rsidRPr="00D72D20">
        <w:rPr>
          <w:color w:val="auto"/>
        </w:rPr>
        <w:fldChar w:fldCharType="end"/>
      </w:r>
      <w:bookmarkEnd w:id="0"/>
      <w:r w:rsidRPr="00D72D20">
        <w:rPr>
          <w:color w:val="auto"/>
        </w:rPr>
        <w:t>—Net Cost of NEM Generation Exports in California in 2020 (Millions $2012/year)</w:t>
      </w:r>
      <w:r>
        <w:rPr>
          <w:rStyle w:val="FootnoteReference"/>
          <w:color w:val="auto"/>
        </w:rPr>
        <w:footnoteReference w:id="3"/>
      </w:r>
    </w:p>
    <w:p w:rsidR="00162F05" w:rsidRDefault="00162F05" w:rsidP="00162F05">
      <w:pPr>
        <w:spacing w:line="480" w:lineRule="auto"/>
        <w:rPr>
          <w:b/>
          <w:u w:val="single"/>
        </w:rPr>
      </w:pPr>
      <w:r w:rsidRPr="001D01DB">
        <w:rPr>
          <w:noProof/>
        </w:rPr>
        <w:drawing>
          <wp:inline distT="0" distB="0" distL="0" distR="0" wp14:anchorId="5D6BF45D" wp14:editId="118A83BB">
            <wp:extent cx="5092505" cy="1805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003" t="20197" r="1333"/>
                    <a:stretch/>
                  </pic:blipFill>
                  <pic:spPr bwMode="auto">
                    <a:xfrm>
                      <a:off x="0" y="0"/>
                      <a:ext cx="5094733" cy="1806730"/>
                    </a:xfrm>
                    <a:prstGeom prst="rect">
                      <a:avLst/>
                    </a:prstGeom>
                    <a:noFill/>
                    <a:ln>
                      <a:noFill/>
                    </a:ln>
                    <a:extLst>
                      <a:ext uri="{53640926-AAD7-44d8-BBD7-CCE9431645EC}">
                        <a14:shadowObscured xmlns:a14="http://schemas.microsoft.com/office/drawing/2010/main"/>
                      </a:ext>
                    </a:extLst>
                  </pic:spPr>
                </pic:pic>
              </a:graphicData>
            </a:graphic>
          </wp:inline>
        </w:drawing>
      </w:r>
    </w:p>
    <w:p w:rsidR="00E13F86" w:rsidRDefault="00E13F86" w:rsidP="00E13F86">
      <w:pPr>
        <w:widowControl w:val="0"/>
        <w:autoSpaceDE w:val="0"/>
        <w:autoSpaceDN w:val="0"/>
        <w:adjustRightInd w:val="0"/>
        <w:spacing w:after="240"/>
        <w:rPr>
          <w:lang w:val="en-GB"/>
        </w:rPr>
      </w:pPr>
      <w:r>
        <w:rPr>
          <w:lang w:val="en-GB"/>
        </w:rPr>
        <w:t xml:space="preserve">In Washington, RCW 80.60.020 states that </w:t>
      </w:r>
      <w:r w:rsidR="00EF66EA">
        <w:rPr>
          <w:lang w:val="en-GB"/>
        </w:rPr>
        <w:t>net-m</w:t>
      </w:r>
      <w:r>
        <w:rPr>
          <w:lang w:val="en-GB"/>
        </w:rPr>
        <w:t xml:space="preserve">etering shall be made available to electric utility customers until the cumulative generating capacity of </w:t>
      </w:r>
      <w:r w:rsidR="00EF66EA">
        <w:rPr>
          <w:lang w:val="en-GB"/>
        </w:rPr>
        <w:t>net-m</w:t>
      </w:r>
      <w:r>
        <w:rPr>
          <w:lang w:val="en-GB"/>
        </w:rPr>
        <w:t>etering systems equals “0.25 percent of the utility’s peak demand during 1996”, increasing to 0.5 percent on January 1, 2014.</w:t>
      </w:r>
      <w:r>
        <w:rPr>
          <w:rStyle w:val="FootnoteReference"/>
          <w:lang w:val="en-GB"/>
        </w:rPr>
        <w:footnoteReference w:id="4"/>
      </w:r>
      <w:r>
        <w:rPr>
          <w:lang w:val="en-GB"/>
        </w:rPr>
        <w:t xml:space="preserve"> Both the actual metric (sum of non-coincident peak demand) and the percentage (5 percent) are larger in California than in Washington, as the sum of all customers maximum load at any time is greater than peak demand during any particular year. </w:t>
      </w:r>
    </w:p>
    <w:p w:rsidR="00E24411" w:rsidRDefault="008F4C00" w:rsidP="00766805">
      <w:pPr>
        <w:widowControl w:val="0"/>
        <w:autoSpaceDE w:val="0"/>
        <w:autoSpaceDN w:val="0"/>
        <w:adjustRightInd w:val="0"/>
        <w:spacing w:after="240"/>
        <w:rPr>
          <w:lang w:val="en-GB"/>
        </w:rPr>
      </w:pPr>
      <w:r>
        <w:rPr>
          <w:lang w:val="en-GB"/>
        </w:rPr>
        <w:t xml:space="preserve">As can be seen in </w:t>
      </w:r>
      <w:r>
        <w:rPr>
          <w:lang w:val="en-GB"/>
        </w:rPr>
        <w:fldChar w:fldCharType="begin"/>
      </w:r>
      <w:r>
        <w:rPr>
          <w:lang w:val="en-GB"/>
        </w:rPr>
        <w:instrText xml:space="preserve"> REF _Ref252697505 \h </w:instrText>
      </w:r>
      <w:r>
        <w:rPr>
          <w:lang w:val="en-GB"/>
        </w:rPr>
      </w:r>
      <w:r>
        <w:rPr>
          <w:lang w:val="en-GB"/>
        </w:rPr>
        <w:fldChar w:fldCharType="separate"/>
      </w:r>
      <w:r w:rsidR="002B331F" w:rsidRPr="00E24411">
        <w:t xml:space="preserve">Table </w:t>
      </w:r>
      <w:r w:rsidR="002B331F">
        <w:rPr>
          <w:noProof/>
        </w:rPr>
        <w:t>2</w:t>
      </w:r>
      <w:r>
        <w:rPr>
          <w:lang w:val="en-GB"/>
        </w:rPr>
        <w:fldChar w:fldCharType="end"/>
      </w:r>
      <w:r w:rsidR="00997C94">
        <w:rPr>
          <w:lang w:val="en-GB"/>
        </w:rPr>
        <w:t xml:space="preserve">, the amount of net-metering capacity available </w:t>
      </w:r>
      <w:r w:rsidR="00EF66EA">
        <w:rPr>
          <w:lang w:val="en-GB"/>
        </w:rPr>
        <w:t>for net-metering in 2014 is 34,</w:t>
      </w:r>
      <w:r w:rsidR="00997C94">
        <w:rPr>
          <w:lang w:val="en-GB"/>
        </w:rPr>
        <w:t>550 kW</w:t>
      </w:r>
      <w:r w:rsidR="00E13F86">
        <w:rPr>
          <w:lang w:val="en-GB"/>
        </w:rPr>
        <w:t xml:space="preserve"> (34.6 MW)</w:t>
      </w:r>
      <w:r w:rsidR="00997C94">
        <w:rPr>
          <w:lang w:val="en-GB"/>
        </w:rPr>
        <w:t xml:space="preserve">, of which only 12,046 kW </w:t>
      </w:r>
      <w:r w:rsidR="00424887">
        <w:rPr>
          <w:lang w:val="en-GB"/>
        </w:rPr>
        <w:t xml:space="preserve">(12 MW) </w:t>
      </w:r>
      <w:r w:rsidR="00997C94">
        <w:rPr>
          <w:lang w:val="en-GB"/>
        </w:rPr>
        <w:t xml:space="preserve">has been met from </w:t>
      </w:r>
      <w:r w:rsidR="00E13F86">
        <w:rPr>
          <w:lang w:val="en-GB"/>
        </w:rPr>
        <w:t>2113</w:t>
      </w:r>
      <w:r w:rsidR="00997C94">
        <w:rPr>
          <w:lang w:val="en-GB"/>
        </w:rPr>
        <w:t xml:space="preserve"> </w:t>
      </w:r>
      <w:r w:rsidR="00EF66EA">
        <w:rPr>
          <w:lang w:val="en-GB"/>
        </w:rPr>
        <w:t>Washington customer-generators</w:t>
      </w:r>
      <w:r w:rsidR="007C0E51">
        <w:rPr>
          <w:lang w:val="en-GB"/>
        </w:rPr>
        <w:t xml:space="preserve"> as of October 31, 201</w:t>
      </w:r>
      <w:r w:rsidR="007B5D1A">
        <w:rPr>
          <w:lang w:val="en-GB"/>
        </w:rPr>
        <w:t>3</w:t>
      </w:r>
      <w:r w:rsidR="00997C94">
        <w:rPr>
          <w:lang w:val="en-GB"/>
        </w:rPr>
        <w:t>.</w:t>
      </w:r>
      <w:r w:rsidR="00424887">
        <w:rPr>
          <w:lang w:val="en-GB"/>
        </w:rPr>
        <w:t xml:space="preserve"> In comparison, at the end of 2012, when E3 began their study, California had over 150,000 customers totalling 1,300,000 kW (1,300 MW)</w:t>
      </w:r>
      <w:r w:rsidR="00E13F86">
        <w:rPr>
          <w:lang w:val="en-GB"/>
        </w:rPr>
        <w:t>. As</w:t>
      </w:r>
      <w:r w:rsidR="003011FF">
        <w:rPr>
          <w:lang w:val="en-GB"/>
        </w:rPr>
        <w:t xml:space="preserve"> can be seen from </w:t>
      </w:r>
      <w:r w:rsidR="003011FF">
        <w:rPr>
          <w:lang w:val="en-GB"/>
        </w:rPr>
        <w:fldChar w:fldCharType="begin"/>
      </w:r>
      <w:r w:rsidR="003011FF">
        <w:rPr>
          <w:lang w:val="en-GB"/>
        </w:rPr>
        <w:instrText xml:space="preserve"> REF _Ref248994331 \h </w:instrText>
      </w:r>
      <w:r w:rsidR="003011FF">
        <w:rPr>
          <w:lang w:val="en-GB"/>
        </w:rPr>
      </w:r>
      <w:r w:rsidR="003011FF">
        <w:rPr>
          <w:lang w:val="en-GB"/>
        </w:rPr>
        <w:fldChar w:fldCharType="separate"/>
      </w:r>
      <w:r w:rsidR="002B331F" w:rsidRPr="00D72D20">
        <w:t xml:space="preserve">Table </w:t>
      </w:r>
      <w:r w:rsidR="002B331F">
        <w:rPr>
          <w:noProof/>
        </w:rPr>
        <w:t>1</w:t>
      </w:r>
      <w:r w:rsidR="003011FF">
        <w:rPr>
          <w:lang w:val="en-GB"/>
        </w:rPr>
        <w:fldChar w:fldCharType="end"/>
      </w:r>
      <w:r w:rsidR="00EF66EA">
        <w:rPr>
          <w:lang w:val="en-GB"/>
        </w:rPr>
        <w:t>, the 2012</w:t>
      </w:r>
      <w:r w:rsidR="00590D4B">
        <w:rPr>
          <w:lang w:val="en-GB"/>
        </w:rPr>
        <w:t xml:space="preserve"> level of penetration in California</w:t>
      </w:r>
      <w:r w:rsidR="003011FF">
        <w:rPr>
          <w:lang w:val="en-GB"/>
        </w:rPr>
        <w:t xml:space="preserve"> was estimated to cost only 0.23% of utilities’ revenue requirement</w:t>
      </w:r>
      <w:r w:rsidR="00424887">
        <w:rPr>
          <w:lang w:val="en-GB"/>
        </w:rPr>
        <w:t>.</w:t>
      </w:r>
      <w:r w:rsidR="00367145">
        <w:rPr>
          <w:rStyle w:val="FootnoteReference"/>
          <w:lang w:val="en-GB"/>
        </w:rPr>
        <w:footnoteReference w:id="5"/>
      </w:r>
    </w:p>
    <w:p w:rsidR="00E24411" w:rsidRDefault="00E24411" w:rsidP="00EF66EA">
      <w:pPr>
        <w:pStyle w:val="Caption"/>
        <w:keepNext/>
        <w:outlineLvl w:val="0"/>
      </w:pPr>
      <w:bookmarkStart w:id="1" w:name="_Ref252697505"/>
      <w:r w:rsidRPr="00E24411">
        <w:rPr>
          <w:color w:val="auto"/>
        </w:rPr>
        <w:t xml:space="preserve">Table </w:t>
      </w:r>
      <w:r w:rsidRPr="00E24411">
        <w:rPr>
          <w:color w:val="auto"/>
        </w:rPr>
        <w:fldChar w:fldCharType="begin"/>
      </w:r>
      <w:r w:rsidRPr="00E24411">
        <w:rPr>
          <w:color w:val="auto"/>
        </w:rPr>
        <w:instrText xml:space="preserve"> SEQ Table \* ARABIC </w:instrText>
      </w:r>
      <w:r w:rsidRPr="00E24411">
        <w:rPr>
          <w:color w:val="auto"/>
        </w:rPr>
        <w:fldChar w:fldCharType="separate"/>
      </w:r>
      <w:r w:rsidR="002B331F">
        <w:rPr>
          <w:noProof/>
          <w:color w:val="auto"/>
        </w:rPr>
        <w:t>2</w:t>
      </w:r>
      <w:r w:rsidRPr="00E24411">
        <w:rPr>
          <w:color w:val="auto"/>
        </w:rPr>
        <w:fldChar w:fldCharType="end"/>
      </w:r>
      <w:bookmarkEnd w:id="1"/>
      <w:r w:rsidRPr="00E24411">
        <w:rPr>
          <w:color w:val="auto"/>
        </w:rPr>
        <w:t>—</w:t>
      </w:r>
      <w:r w:rsidR="00EF66EA">
        <w:rPr>
          <w:color w:val="auto"/>
        </w:rPr>
        <w:t>Net-m</w:t>
      </w:r>
      <w:r w:rsidRPr="00E24411">
        <w:rPr>
          <w:color w:val="auto"/>
        </w:rPr>
        <w:t>etering data from Washington utilities</w:t>
      </w:r>
      <w:r>
        <w:rPr>
          <w:rStyle w:val="FootnoteReference"/>
          <w:color w:val="auto"/>
        </w:rPr>
        <w:footnoteReference w:id="6"/>
      </w:r>
    </w:p>
    <w:tbl>
      <w:tblPr>
        <w:tblW w:w="8720" w:type="dxa"/>
        <w:tblInd w:w="93" w:type="dxa"/>
        <w:tblLayout w:type="fixed"/>
        <w:tblLook w:val="04A0" w:firstRow="1" w:lastRow="0" w:firstColumn="1" w:lastColumn="0" w:noHBand="0" w:noVBand="1"/>
      </w:tblPr>
      <w:tblGrid>
        <w:gridCol w:w="1640"/>
        <w:gridCol w:w="1180"/>
        <w:gridCol w:w="1306"/>
        <w:gridCol w:w="1154"/>
        <w:gridCol w:w="1300"/>
        <w:gridCol w:w="840"/>
        <w:gridCol w:w="1300"/>
      </w:tblGrid>
      <w:tr w:rsidR="00E24411" w:rsidRPr="00E24411" w:rsidTr="00E24411">
        <w:trPr>
          <w:trHeight w:val="620"/>
        </w:trPr>
        <w:tc>
          <w:tcPr>
            <w:tcW w:w="16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24411" w:rsidRPr="00E24411" w:rsidRDefault="00E24411" w:rsidP="00E24411">
            <w:pPr>
              <w:jc w:val="center"/>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 </w:t>
            </w:r>
          </w:p>
        </w:tc>
        <w:tc>
          <w:tcPr>
            <w:tcW w:w="1180" w:type="dxa"/>
            <w:tcBorders>
              <w:top w:val="single" w:sz="8" w:space="0" w:color="auto"/>
              <w:left w:val="nil"/>
              <w:bottom w:val="single" w:sz="8" w:space="0" w:color="auto"/>
              <w:right w:val="single" w:sz="4" w:space="0" w:color="auto"/>
            </w:tcBorders>
            <w:shd w:val="clear" w:color="auto" w:fill="auto"/>
            <w:vAlign w:val="bottom"/>
            <w:hideMark/>
          </w:tcPr>
          <w:p w:rsidR="00E24411" w:rsidRPr="00E24411" w:rsidRDefault="00E24411" w:rsidP="00E24411">
            <w:pPr>
              <w:jc w:val="center"/>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 xml:space="preserve"> 2014 NM Cap (kW) </w:t>
            </w:r>
          </w:p>
        </w:tc>
        <w:tc>
          <w:tcPr>
            <w:tcW w:w="1306" w:type="dxa"/>
            <w:tcBorders>
              <w:top w:val="single" w:sz="8" w:space="0" w:color="auto"/>
              <w:left w:val="nil"/>
              <w:bottom w:val="single" w:sz="8" w:space="0" w:color="auto"/>
              <w:right w:val="single" w:sz="4" w:space="0" w:color="auto"/>
            </w:tcBorders>
            <w:shd w:val="clear" w:color="auto" w:fill="auto"/>
            <w:vAlign w:val="bottom"/>
            <w:hideMark/>
          </w:tcPr>
          <w:p w:rsidR="00E24411" w:rsidRPr="00E24411" w:rsidRDefault="00E24411" w:rsidP="00E24411">
            <w:pPr>
              <w:jc w:val="center"/>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 xml:space="preserve"> # WA Customers </w:t>
            </w:r>
          </w:p>
        </w:tc>
        <w:tc>
          <w:tcPr>
            <w:tcW w:w="1154" w:type="dxa"/>
            <w:tcBorders>
              <w:top w:val="single" w:sz="8" w:space="0" w:color="auto"/>
              <w:left w:val="nil"/>
              <w:bottom w:val="single" w:sz="8" w:space="0" w:color="auto"/>
              <w:right w:val="single" w:sz="4" w:space="0" w:color="auto"/>
            </w:tcBorders>
            <w:shd w:val="clear" w:color="auto" w:fill="auto"/>
            <w:vAlign w:val="bottom"/>
            <w:hideMark/>
          </w:tcPr>
          <w:p w:rsidR="00E24411" w:rsidRPr="00E24411" w:rsidRDefault="00E24411" w:rsidP="00E24411">
            <w:pPr>
              <w:jc w:val="center"/>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 xml:space="preserve"> WA kW </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E24411" w:rsidRPr="00E24411" w:rsidRDefault="00E24411" w:rsidP="00E24411">
            <w:pPr>
              <w:jc w:val="center"/>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 xml:space="preserve"> # ID Customers </w:t>
            </w:r>
          </w:p>
        </w:tc>
        <w:tc>
          <w:tcPr>
            <w:tcW w:w="840" w:type="dxa"/>
            <w:tcBorders>
              <w:top w:val="single" w:sz="8" w:space="0" w:color="auto"/>
              <w:left w:val="nil"/>
              <w:bottom w:val="single" w:sz="8" w:space="0" w:color="auto"/>
              <w:right w:val="single" w:sz="4" w:space="0" w:color="auto"/>
            </w:tcBorders>
            <w:shd w:val="clear" w:color="auto" w:fill="auto"/>
            <w:vAlign w:val="bottom"/>
            <w:hideMark/>
          </w:tcPr>
          <w:p w:rsidR="00E24411" w:rsidRPr="00E24411" w:rsidRDefault="00E24411" w:rsidP="00E24411">
            <w:pPr>
              <w:jc w:val="center"/>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 xml:space="preserve"> ID kW </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rsidR="00E24411" w:rsidRPr="00E24411" w:rsidRDefault="00E24411" w:rsidP="00E24411">
            <w:pPr>
              <w:jc w:val="center"/>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NM Cap Met</w:t>
            </w:r>
          </w:p>
        </w:tc>
      </w:tr>
      <w:tr w:rsidR="00E24411" w:rsidRPr="00E24411" w:rsidTr="00E24411">
        <w:trPr>
          <w:trHeight w:val="300"/>
        </w:trPr>
        <w:tc>
          <w:tcPr>
            <w:tcW w:w="1640" w:type="dxa"/>
            <w:tcBorders>
              <w:top w:val="nil"/>
              <w:left w:val="single" w:sz="8" w:space="0" w:color="auto"/>
              <w:bottom w:val="single" w:sz="4" w:space="0" w:color="auto"/>
              <w:right w:val="single" w:sz="8" w:space="0" w:color="auto"/>
            </w:tcBorders>
            <w:shd w:val="clear" w:color="auto" w:fill="auto"/>
            <w:noWrap/>
            <w:vAlign w:val="bottom"/>
            <w:hideMark/>
          </w:tcPr>
          <w:p w:rsidR="00E24411" w:rsidRPr="00E24411" w:rsidRDefault="00E24411" w:rsidP="00E24411">
            <w:pPr>
              <w:jc w:val="right"/>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 xml:space="preserve"> Avista </w:t>
            </w:r>
          </w:p>
        </w:tc>
        <w:tc>
          <w:tcPr>
            <w:tcW w:w="1180"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7,600 </w:t>
            </w:r>
          </w:p>
        </w:tc>
        <w:tc>
          <w:tcPr>
            <w:tcW w:w="1306"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177 </w:t>
            </w:r>
          </w:p>
        </w:tc>
        <w:tc>
          <w:tcPr>
            <w:tcW w:w="1154"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991 </w:t>
            </w:r>
          </w:p>
        </w:tc>
        <w:tc>
          <w:tcPr>
            <w:tcW w:w="1300"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38 </w:t>
            </w:r>
          </w:p>
        </w:tc>
        <w:tc>
          <w:tcPr>
            <w:tcW w:w="840"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347 </w:t>
            </w:r>
          </w:p>
        </w:tc>
        <w:tc>
          <w:tcPr>
            <w:tcW w:w="1300" w:type="dxa"/>
            <w:tcBorders>
              <w:top w:val="nil"/>
              <w:left w:val="nil"/>
              <w:bottom w:val="single" w:sz="4" w:space="0" w:color="auto"/>
              <w:right w:val="single" w:sz="8"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14%</w:t>
            </w:r>
          </w:p>
        </w:tc>
      </w:tr>
      <w:tr w:rsidR="00E24411" w:rsidRPr="00E24411" w:rsidTr="00E24411">
        <w:trPr>
          <w:trHeight w:val="300"/>
        </w:trPr>
        <w:tc>
          <w:tcPr>
            <w:tcW w:w="1640" w:type="dxa"/>
            <w:tcBorders>
              <w:top w:val="nil"/>
              <w:left w:val="single" w:sz="8" w:space="0" w:color="auto"/>
              <w:bottom w:val="single" w:sz="4" w:space="0" w:color="auto"/>
              <w:right w:val="single" w:sz="8" w:space="0" w:color="auto"/>
            </w:tcBorders>
            <w:shd w:val="clear" w:color="auto" w:fill="auto"/>
            <w:noWrap/>
            <w:vAlign w:val="bottom"/>
            <w:hideMark/>
          </w:tcPr>
          <w:p w:rsidR="00E24411" w:rsidRPr="00E24411" w:rsidRDefault="00E24411" w:rsidP="00E24411">
            <w:pPr>
              <w:jc w:val="right"/>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 xml:space="preserve"> PSE </w:t>
            </w:r>
          </w:p>
        </w:tc>
        <w:tc>
          <w:tcPr>
            <w:tcW w:w="1180"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22,400 </w:t>
            </w:r>
          </w:p>
        </w:tc>
        <w:tc>
          <w:tcPr>
            <w:tcW w:w="1306"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1,810 </w:t>
            </w:r>
          </w:p>
        </w:tc>
        <w:tc>
          <w:tcPr>
            <w:tcW w:w="1154"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10,182 </w:t>
            </w:r>
          </w:p>
        </w:tc>
        <w:tc>
          <w:tcPr>
            <w:tcW w:w="1300"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   </w:t>
            </w:r>
          </w:p>
        </w:tc>
        <w:tc>
          <w:tcPr>
            <w:tcW w:w="840" w:type="dxa"/>
            <w:tcBorders>
              <w:top w:val="nil"/>
              <w:left w:val="nil"/>
              <w:bottom w:val="single" w:sz="4"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   </w:t>
            </w:r>
          </w:p>
        </w:tc>
        <w:tc>
          <w:tcPr>
            <w:tcW w:w="1300" w:type="dxa"/>
            <w:tcBorders>
              <w:top w:val="nil"/>
              <w:left w:val="nil"/>
              <w:bottom w:val="single" w:sz="4" w:space="0" w:color="auto"/>
              <w:right w:val="single" w:sz="8"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45%</w:t>
            </w:r>
          </w:p>
        </w:tc>
      </w:tr>
      <w:tr w:rsidR="00E24411" w:rsidRPr="00E24411" w:rsidTr="00E24411">
        <w:trPr>
          <w:trHeight w:val="320"/>
        </w:trPr>
        <w:tc>
          <w:tcPr>
            <w:tcW w:w="1640" w:type="dxa"/>
            <w:tcBorders>
              <w:top w:val="nil"/>
              <w:left w:val="single" w:sz="8" w:space="0" w:color="auto"/>
              <w:bottom w:val="nil"/>
              <w:right w:val="single" w:sz="8" w:space="0" w:color="auto"/>
            </w:tcBorders>
            <w:shd w:val="clear" w:color="auto" w:fill="auto"/>
            <w:noWrap/>
            <w:vAlign w:val="bottom"/>
            <w:hideMark/>
          </w:tcPr>
          <w:p w:rsidR="00E24411" w:rsidRPr="00E24411" w:rsidRDefault="00E24411" w:rsidP="00E24411">
            <w:pPr>
              <w:jc w:val="right"/>
              <w:rPr>
                <w:rFonts w:ascii="Calibri" w:eastAsia="Times New Roman" w:hAnsi="Calibri" w:cs="Times New Roman"/>
                <w:b/>
                <w:bCs/>
                <w:color w:val="000000"/>
                <w:lang w:val="en-GB"/>
              </w:rPr>
            </w:pPr>
            <w:r w:rsidRPr="00E24411">
              <w:rPr>
                <w:rFonts w:ascii="Calibri" w:eastAsia="Times New Roman" w:hAnsi="Calibri" w:cs="Times New Roman"/>
                <w:b/>
                <w:bCs/>
                <w:color w:val="000000"/>
                <w:lang w:val="en-GB"/>
              </w:rPr>
              <w:t xml:space="preserve"> Pacific Power </w:t>
            </w:r>
          </w:p>
        </w:tc>
        <w:tc>
          <w:tcPr>
            <w:tcW w:w="1180" w:type="dxa"/>
            <w:tcBorders>
              <w:top w:val="nil"/>
              <w:left w:val="nil"/>
              <w:bottom w:val="nil"/>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4,550 </w:t>
            </w:r>
          </w:p>
        </w:tc>
        <w:tc>
          <w:tcPr>
            <w:tcW w:w="1306" w:type="dxa"/>
            <w:tcBorders>
              <w:top w:val="nil"/>
              <w:left w:val="nil"/>
              <w:bottom w:val="nil"/>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126 </w:t>
            </w:r>
          </w:p>
        </w:tc>
        <w:tc>
          <w:tcPr>
            <w:tcW w:w="1154" w:type="dxa"/>
            <w:tcBorders>
              <w:top w:val="nil"/>
              <w:left w:val="nil"/>
              <w:bottom w:val="nil"/>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873 </w:t>
            </w:r>
          </w:p>
        </w:tc>
        <w:tc>
          <w:tcPr>
            <w:tcW w:w="1300" w:type="dxa"/>
            <w:tcBorders>
              <w:top w:val="nil"/>
              <w:left w:val="nil"/>
              <w:bottom w:val="nil"/>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   </w:t>
            </w:r>
          </w:p>
        </w:tc>
        <w:tc>
          <w:tcPr>
            <w:tcW w:w="840" w:type="dxa"/>
            <w:tcBorders>
              <w:top w:val="nil"/>
              <w:left w:val="nil"/>
              <w:bottom w:val="nil"/>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   </w:t>
            </w:r>
          </w:p>
        </w:tc>
        <w:tc>
          <w:tcPr>
            <w:tcW w:w="1300" w:type="dxa"/>
            <w:tcBorders>
              <w:top w:val="nil"/>
              <w:left w:val="nil"/>
              <w:bottom w:val="nil"/>
              <w:right w:val="single" w:sz="8"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19%</w:t>
            </w:r>
          </w:p>
        </w:tc>
      </w:tr>
      <w:tr w:rsidR="00E24411" w:rsidRPr="00E24411" w:rsidTr="00E24411">
        <w:trPr>
          <w:trHeight w:val="32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Total </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34,550 </w:t>
            </w:r>
          </w:p>
        </w:tc>
        <w:tc>
          <w:tcPr>
            <w:tcW w:w="1306" w:type="dxa"/>
            <w:tcBorders>
              <w:top w:val="single" w:sz="8" w:space="0" w:color="auto"/>
              <w:left w:val="nil"/>
              <w:bottom w:val="single" w:sz="8"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2,113 </w:t>
            </w:r>
          </w:p>
        </w:tc>
        <w:tc>
          <w:tcPr>
            <w:tcW w:w="1154" w:type="dxa"/>
            <w:tcBorders>
              <w:top w:val="single" w:sz="8" w:space="0" w:color="auto"/>
              <w:left w:val="nil"/>
              <w:bottom w:val="single" w:sz="8"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12,046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38 </w:t>
            </w:r>
          </w:p>
        </w:tc>
        <w:tc>
          <w:tcPr>
            <w:tcW w:w="840" w:type="dxa"/>
            <w:tcBorders>
              <w:top w:val="single" w:sz="8" w:space="0" w:color="auto"/>
              <w:left w:val="nil"/>
              <w:bottom w:val="single" w:sz="8" w:space="0" w:color="auto"/>
              <w:right w:val="single" w:sz="4"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xml:space="preserve"> 347 </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E24411" w:rsidRPr="00E24411" w:rsidRDefault="00E24411" w:rsidP="00E24411">
            <w:pPr>
              <w:jc w:val="center"/>
              <w:rPr>
                <w:rFonts w:ascii="Calibri" w:eastAsia="Times New Roman" w:hAnsi="Calibri" w:cs="Times New Roman"/>
                <w:color w:val="000000"/>
                <w:lang w:val="en-GB"/>
              </w:rPr>
            </w:pPr>
            <w:r w:rsidRPr="00E24411">
              <w:rPr>
                <w:rFonts w:ascii="Calibri" w:eastAsia="Times New Roman" w:hAnsi="Calibri" w:cs="Times New Roman"/>
                <w:color w:val="000000"/>
                <w:lang w:val="en-GB"/>
              </w:rPr>
              <w:t> </w:t>
            </w:r>
          </w:p>
        </w:tc>
      </w:tr>
    </w:tbl>
    <w:p w:rsidR="00E24411" w:rsidRDefault="00E24411" w:rsidP="00324A14">
      <w:pPr>
        <w:widowControl w:val="0"/>
        <w:autoSpaceDE w:val="0"/>
        <w:autoSpaceDN w:val="0"/>
        <w:adjustRightInd w:val="0"/>
        <w:spacing w:after="240"/>
        <w:rPr>
          <w:lang w:val="en-GB"/>
        </w:rPr>
      </w:pPr>
    </w:p>
    <w:p w:rsidR="00590D4B" w:rsidRDefault="00424887" w:rsidP="00324A14">
      <w:pPr>
        <w:widowControl w:val="0"/>
        <w:autoSpaceDE w:val="0"/>
        <w:autoSpaceDN w:val="0"/>
        <w:adjustRightInd w:val="0"/>
        <w:spacing w:after="240"/>
        <w:rPr>
          <w:lang w:val="en-GB"/>
        </w:rPr>
      </w:pPr>
      <w:r>
        <w:rPr>
          <w:lang w:val="en-GB"/>
        </w:rPr>
        <w:t>Given the fact that Washington currently has far le</w:t>
      </w:r>
      <w:r w:rsidR="002C0049">
        <w:rPr>
          <w:lang w:val="en-GB"/>
        </w:rPr>
        <w:t xml:space="preserve">ss </w:t>
      </w:r>
      <w:r w:rsidR="00EF66EA">
        <w:rPr>
          <w:lang w:val="en-GB"/>
        </w:rPr>
        <w:t>net-m</w:t>
      </w:r>
      <w:r w:rsidR="002C0049">
        <w:rPr>
          <w:lang w:val="en-GB"/>
        </w:rPr>
        <w:t>etering than California</w:t>
      </w:r>
      <w:r w:rsidR="00590D4B">
        <w:rPr>
          <w:lang w:val="en-GB"/>
        </w:rPr>
        <w:t>—and that the costs calculated in California are small—</w:t>
      </w:r>
      <w:r>
        <w:rPr>
          <w:lang w:val="en-GB"/>
        </w:rPr>
        <w:t>RNP recommends that Washington State should not undertake its own investigation</w:t>
      </w:r>
      <w:r w:rsidR="00F55137">
        <w:rPr>
          <w:lang w:val="en-GB"/>
        </w:rPr>
        <w:t xml:space="preserve"> into the costs and ben</w:t>
      </w:r>
      <w:r w:rsidR="00EF66EA">
        <w:rPr>
          <w:lang w:val="en-GB"/>
        </w:rPr>
        <w:t>efits of distributed generation. I</w:t>
      </w:r>
      <w:r w:rsidR="00F55137">
        <w:rPr>
          <w:lang w:val="en-GB"/>
        </w:rPr>
        <w:t>nstead</w:t>
      </w:r>
      <w:r w:rsidR="00EF66EA">
        <w:rPr>
          <w:lang w:val="en-GB"/>
        </w:rPr>
        <w:t>, Washington should</w:t>
      </w:r>
      <w:r w:rsidR="00F55137">
        <w:rPr>
          <w:lang w:val="en-GB"/>
        </w:rPr>
        <w:t xml:space="preserve"> focus on developing and aligning policies </w:t>
      </w:r>
      <w:r w:rsidR="00EF66EA">
        <w:rPr>
          <w:lang w:val="en-GB"/>
        </w:rPr>
        <w:t xml:space="preserve">to </w:t>
      </w:r>
      <w:r w:rsidR="00590D4B">
        <w:rPr>
          <w:lang w:val="en-GB"/>
        </w:rPr>
        <w:t>increase the penetration of distributed generation</w:t>
      </w:r>
      <w:r w:rsidR="00F55137">
        <w:rPr>
          <w:lang w:val="en-GB"/>
        </w:rPr>
        <w:t>. Even assuming that a net cost shift were occurring</w:t>
      </w:r>
      <w:r w:rsidR="002C0049">
        <w:rPr>
          <w:lang w:val="en-GB"/>
        </w:rPr>
        <w:t xml:space="preserve"> in Washington</w:t>
      </w:r>
      <w:r w:rsidR="00F55137">
        <w:rPr>
          <w:lang w:val="en-GB"/>
        </w:rPr>
        <w:t xml:space="preserve"> at this stage—which RNP does not—the magnitude </w:t>
      </w:r>
      <w:r w:rsidR="00590D4B">
        <w:rPr>
          <w:lang w:val="en-GB"/>
        </w:rPr>
        <w:t>would be extremely small at the current penetration levels</w:t>
      </w:r>
      <w:r w:rsidR="00780C8E">
        <w:rPr>
          <w:lang w:val="en-GB"/>
        </w:rPr>
        <w:t xml:space="preserve"> and would not justify continuing the investigation</w:t>
      </w:r>
      <w:r w:rsidR="00590D4B">
        <w:rPr>
          <w:lang w:val="en-GB"/>
        </w:rPr>
        <w:t>.</w:t>
      </w:r>
    </w:p>
    <w:p w:rsidR="00780C8E" w:rsidRDefault="00780C8E" w:rsidP="00324A14">
      <w:pPr>
        <w:widowControl w:val="0"/>
        <w:autoSpaceDE w:val="0"/>
        <w:autoSpaceDN w:val="0"/>
        <w:adjustRightInd w:val="0"/>
        <w:spacing w:after="240"/>
        <w:rPr>
          <w:lang w:val="en-GB"/>
        </w:rPr>
      </w:pPr>
    </w:p>
    <w:p w:rsidR="00162F05" w:rsidRPr="00590D4B" w:rsidRDefault="00590D4B" w:rsidP="00EF66EA">
      <w:pPr>
        <w:widowControl w:val="0"/>
        <w:autoSpaceDE w:val="0"/>
        <w:autoSpaceDN w:val="0"/>
        <w:adjustRightInd w:val="0"/>
        <w:spacing w:after="240"/>
        <w:outlineLvl w:val="0"/>
        <w:rPr>
          <w:b/>
          <w:u w:val="single"/>
          <w:lang w:val="en-GB"/>
        </w:rPr>
      </w:pPr>
      <w:r w:rsidRPr="00590D4B">
        <w:rPr>
          <w:b/>
          <w:u w:val="single"/>
          <w:lang w:val="en-GB"/>
        </w:rPr>
        <w:t>LOCAL DISTRIBUTION RELIABILITY</w:t>
      </w:r>
    </w:p>
    <w:p w:rsidR="003B6AB6" w:rsidRPr="003B6AB6" w:rsidRDefault="003B6AB6" w:rsidP="00324A14">
      <w:pPr>
        <w:widowControl w:val="0"/>
        <w:autoSpaceDE w:val="0"/>
        <w:autoSpaceDN w:val="0"/>
        <w:adjustRightInd w:val="0"/>
        <w:spacing w:after="240"/>
      </w:pPr>
      <w:r w:rsidRPr="003B6AB6">
        <w:t>The Small Generator Interconnection Procedures (“SGIP”) were adopted by the Federal Energy Regulatory Commission</w:t>
      </w:r>
      <w:r w:rsidR="00780C8E">
        <w:t xml:space="preserve"> (“FERC”)</w:t>
      </w:r>
      <w:r w:rsidRPr="003B6AB6">
        <w:t xml:space="preserve"> in 2005, and apply to distributed energy resources up to 20 </w:t>
      </w:r>
      <w:r w:rsidR="00590D4B">
        <w:t>MW</w:t>
      </w:r>
      <w:r w:rsidRPr="003B6AB6">
        <w:t xml:space="preserve"> in capacity that fall under federal jurisdiction. The interconnection procedures that were developed were also intended to be a model rule for consideration by state public utility commissions.</w:t>
      </w:r>
    </w:p>
    <w:p w:rsidR="003B6AB6" w:rsidRPr="003B6AB6" w:rsidRDefault="003B6AB6" w:rsidP="00324A14">
      <w:pPr>
        <w:widowControl w:val="0"/>
        <w:autoSpaceDE w:val="0"/>
        <w:autoSpaceDN w:val="0"/>
        <w:adjustRightInd w:val="0"/>
        <w:spacing w:after="240"/>
      </w:pPr>
      <w:r w:rsidRPr="003B6AB6">
        <w:t xml:space="preserve">Most state interconnection procedures allow for expedited interconnection without additional technical studies if the proposed interconnection passes a series of technical screens. In 1999, before FERC set the SGIP, the </w:t>
      </w:r>
      <w:r w:rsidR="00590D4B">
        <w:t>CPUC</w:t>
      </w:r>
      <w:r w:rsidRPr="003B6AB6">
        <w:t xml:space="preserve"> established a 15% capacity threshold to identify situations where the amount of distributed generation capacity on a line section exceeds 15% of the line section’s annual peak load. This 15% threshold was subsequently adopted by FERC for the SGIP. Penetrations above this threshold trigger the</w:t>
      </w:r>
      <w:r w:rsidR="00003914">
        <w:t xml:space="preserve"> need for supplemental studies.</w:t>
      </w:r>
    </w:p>
    <w:p w:rsidR="003B6AB6" w:rsidRPr="003B6AB6" w:rsidRDefault="003B6AB6" w:rsidP="00324A14">
      <w:pPr>
        <w:widowControl w:val="0"/>
        <w:autoSpaceDE w:val="0"/>
        <w:autoSpaceDN w:val="0"/>
        <w:adjustRightInd w:val="0"/>
        <w:spacing w:after="240"/>
      </w:pPr>
      <w:r w:rsidRPr="003B6AB6">
        <w:t>Given the rapid growth and widespread deployment of solar PV system embedded in distribution grids across the country, the National Renewable Energy Laboratory (“NREL”) undertook a review of the SGIP in order to ensure they were as streamlined as possible so as to avoid unnecessary studies, costs and delays.</w:t>
      </w:r>
      <w:r w:rsidRPr="003B6AB6">
        <w:rPr>
          <w:vertAlign w:val="superscript"/>
        </w:rPr>
        <w:footnoteReference w:id="7"/>
      </w:r>
      <w:r w:rsidRPr="003B6AB6">
        <w:t xml:space="preserve"> NREL observed that there are many circuits across the United States and Europe with PV penetration levels well above 15% where system performance, safety, and reliability have not been materially affected, suggesting the existing 15%</w:t>
      </w:r>
      <w:r w:rsidR="0064155B">
        <w:t xml:space="preserve"> screen is indeed</w:t>
      </w:r>
      <w:r w:rsidR="00590D4B">
        <w:t xml:space="preserve"> conservative. For comparison, noting </w:t>
      </w:r>
      <w:r w:rsidR="00780C8E">
        <w:t>that the 2014 n</w:t>
      </w:r>
      <w:r w:rsidR="0064155B">
        <w:t xml:space="preserve">et-metering cap in Washington is 0.5%, </w:t>
      </w:r>
      <w:r w:rsidR="0064155B">
        <w:fldChar w:fldCharType="begin"/>
      </w:r>
      <w:r w:rsidR="0064155B">
        <w:instrText xml:space="preserve"> REF _Ref252697505 \h </w:instrText>
      </w:r>
      <w:r w:rsidR="0064155B">
        <w:fldChar w:fldCharType="separate"/>
      </w:r>
      <w:r w:rsidR="002B331F" w:rsidRPr="00E24411">
        <w:t xml:space="preserve">Table </w:t>
      </w:r>
      <w:r w:rsidR="002B331F">
        <w:rPr>
          <w:noProof/>
        </w:rPr>
        <w:t>2</w:t>
      </w:r>
      <w:r w:rsidR="0064155B">
        <w:fldChar w:fldCharType="end"/>
      </w:r>
      <w:r w:rsidR="0064155B">
        <w:t xml:space="preserve"> shows penetrations of 0.07% for Avista, 0.23% for P</w:t>
      </w:r>
      <w:r w:rsidR="00780C8E">
        <w:t>SE, and 0.10% for Pacific Power, making it very unlikely that the amount of distributed generation capacity on a line section exceeds 15% of the line section’s annual peak load.</w:t>
      </w:r>
    </w:p>
    <w:p w:rsidR="002803D0" w:rsidRDefault="002803D0" w:rsidP="000B2A50">
      <w:pPr>
        <w:widowControl w:val="0"/>
        <w:autoSpaceDE w:val="0"/>
        <w:autoSpaceDN w:val="0"/>
        <w:adjustRightInd w:val="0"/>
        <w:spacing w:after="240"/>
        <w:rPr>
          <w:b/>
          <w:u w:val="single"/>
          <w:lang w:val="en-GB"/>
        </w:rPr>
      </w:pPr>
    </w:p>
    <w:p w:rsidR="00003914" w:rsidRDefault="002803D0" w:rsidP="00EF66EA">
      <w:pPr>
        <w:widowControl w:val="0"/>
        <w:autoSpaceDE w:val="0"/>
        <w:autoSpaceDN w:val="0"/>
        <w:adjustRightInd w:val="0"/>
        <w:spacing w:after="240"/>
        <w:jc w:val="center"/>
        <w:outlineLvl w:val="0"/>
        <w:rPr>
          <w:b/>
          <w:u w:val="single"/>
          <w:lang w:val="en-GB"/>
        </w:rPr>
      </w:pPr>
      <w:r>
        <w:rPr>
          <w:b/>
          <w:u w:val="single"/>
          <w:lang w:val="en-GB"/>
        </w:rPr>
        <w:t xml:space="preserve">III. </w:t>
      </w:r>
      <w:r w:rsidR="000B2A50">
        <w:rPr>
          <w:b/>
          <w:u w:val="single"/>
          <w:lang w:val="en-GB"/>
        </w:rPr>
        <w:t xml:space="preserve">ISSUES </w:t>
      </w:r>
      <w:r w:rsidR="00F1478A">
        <w:rPr>
          <w:b/>
          <w:u w:val="single"/>
          <w:lang w:val="en-GB"/>
        </w:rPr>
        <w:t xml:space="preserve">TO </w:t>
      </w:r>
      <w:r w:rsidR="000B2A50">
        <w:rPr>
          <w:b/>
          <w:u w:val="single"/>
          <w:lang w:val="en-GB"/>
        </w:rPr>
        <w:t>BE ADDRESSED</w:t>
      </w:r>
      <w:r w:rsidR="00F1478A">
        <w:rPr>
          <w:b/>
          <w:u w:val="single"/>
          <w:lang w:val="en-GB"/>
        </w:rPr>
        <w:t xml:space="preserve"> IN A CONTINUED INVESTIGATION</w:t>
      </w:r>
    </w:p>
    <w:p w:rsidR="00003914" w:rsidRDefault="00003914" w:rsidP="00324A14">
      <w:pPr>
        <w:widowControl w:val="0"/>
        <w:autoSpaceDE w:val="0"/>
        <w:autoSpaceDN w:val="0"/>
        <w:adjustRightInd w:val="0"/>
        <w:spacing w:after="240"/>
        <w:rPr>
          <w:lang w:val="en-GB"/>
        </w:rPr>
      </w:pPr>
      <w:r>
        <w:rPr>
          <w:lang w:val="en-GB"/>
        </w:rPr>
        <w:t xml:space="preserve">Notwithstanding the very low levels of distributed generation and </w:t>
      </w:r>
      <w:r w:rsidR="00EF66EA">
        <w:rPr>
          <w:lang w:val="en-GB"/>
        </w:rPr>
        <w:t>net-m</w:t>
      </w:r>
      <w:r>
        <w:rPr>
          <w:lang w:val="en-GB"/>
        </w:rPr>
        <w:t>etering</w:t>
      </w:r>
      <w:r w:rsidR="00FB10F1">
        <w:rPr>
          <w:lang w:val="en-GB"/>
        </w:rPr>
        <w:t xml:space="preserve"> penetration</w:t>
      </w:r>
      <w:r>
        <w:rPr>
          <w:lang w:val="en-GB"/>
        </w:rPr>
        <w:t xml:space="preserve"> in Washington, if the UTC decides that this investigation should continue</w:t>
      </w:r>
      <w:r w:rsidR="00FB10F1">
        <w:rPr>
          <w:lang w:val="en-GB"/>
        </w:rPr>
        <w:t xml:space="preserve"> it is imperati</w:t>
      </w:r>
      <w:r w:rsidR="00590D4B">
        <w:rPr>
          <w:lang w:val="en-GB"/>
        </w:rPr>
        <w:t>ve that a comprehensive study</w:t>
      </w:r>
      <w:r w:rsidR="00780C8E">
        <w:rPr>
          <w:lang w:val="en-GB"/>
        </w:rPr>
        <w:t>—taking into account all costs and benefits—</w:t>
      </w:r>
      <w:r w:rsidR="00590D4B">
        <w:rPr>
          <w:lang w:val="en-GB"/>
        </w:rPr>
        <w:t>should be</w:t>
      </w:r>
      <w:r w:rsidR="00FB10F1">
        <w:rPr>
          <w:lang w:val="en-GB"/>
        </w:rPr>
        <w:t xml:space="preserve"> undertaken. Such an investigation into the balance between all the benefits and costs associated with distributed resources would enable allegations of cross-subsidization between non-participating and participating customers to be resolved. Even at the current low penetration levels</w:t>
      </w:r>
      <w:r w:rsidR="00970EB5">
        <w:rPr>
          <w:lang w:val="en-GB"/>
        </w:rPr>
        <w:t>, the cross-subsidization allegation is persistently brought up as a barrier when renewable energy and environmental advocates try</w:t>
      </w:r>
      <w:r w:rsidR="00817A3C">
        <w:rPr>
          <w:lang w:val="en-GB"/>
        </w:rPr>
        <w:t xml:space="preserve"> to advance solar policy in </w:t>
      </w:r>
      <w:r w:rsidR="00970EB5">
        <w:rPr>
          <w:lang w:val="en-GB"/>
        </w:rPr>
        <w:t>Washington.</w:t>
      </w:r>
    </w:p>
    <w:p w:rsidR="008F4C00" w:rsidRDefault="00392D73" w:rsidP="00817A3C">
      <w:pPr>
        <w:widowControl w:val="0"/>
        <w:autoSpaceDE w:val="0"/>
        <w:autoSpaceDN w:val="0"/>
        <w:adjustRightInd w:val="0"/>
        <w:spacing w:after="240"/>
      </w:pPr>
      <w:r w:rsidRPr="00392D73">
        <w:t xml:space="preserve">Incentive programs for distributed solar lead to numerous, smaller sources of local generation </w:t>
      </w:r>
      <w:r>
        <w:t xml:space="preserve">across </w:t>
      </w:r>
      <w:r w:rsidR="00817A3C">
        <w:t>the state</w:t>
      </w:r>
      <w:r w:rsidRPr="00392D73">
        <w:t xml:space="preserve">. Beyond the clean energy it generates for the host, distributed generation has many benefit that accrue to both participating and non-participating customers: it keeps energy dollars local; it encourages in-state economic development and the creation of jobs; it enhances security and reliability of the electric grid by reducing outages caused by natural disasters; it reduces electric line losses by siting generation where the power is used; it reduces air pollution and greenhouse gas emissions, and; it leads to greater energy independence.  These benefits can be </w:t>
      </w:r>
      <w:r>
        <w:t xml:space="preserve">comprehensively </w:t>
      </w:r>
      <w:r w:rsidRPr="00392D73">
        <w:t>quantified, as has been demonstrated in other states.</w:t>
      </w:r>
    </w:p>
    <w:p w:rsidR="008F4C00" w:rsidRDefault="00817A3C" w:rsidP="00817A3C">
      <w:r>
        <w:t>As RNP discussed in</w:t>
      </w:r>
      <w:r w:rsidR="008F4C00" w:rsidRPr="00F1478A">
        <w:t xml:space="preserve"> comments dated November 6</w:t>
      </w:r>
      <w:r w:rsidR="00B5316E" w:rsidRPr="00F1478A">
        <w:t>,</w:t>
      </w:r>
      <w:r>
        <w:t xml:space="preserve"> 2013, t</w:t>
      </w:r>
      <w:r w:rsidR="008F4C00" w:rsidRPr="00F1478A">
        <w:t>he Interstate Renewable Energy Council (“IREC”) has collected together the lessons learned from 16 distributed solar generation regional and utility-specific studies, from which they have developed a proposed standardized valuation methodology for public utility commissions to consider.</w:t>
      </w:r>
      <w:r w:rsidR="008F4C00" w:rsidRPr="00F1478A">
        <w:rPr>
          <w:rStyle w:val="FootnoteReference"/>
        </w:rPr>
        <w:footnoteReference w:id="8"/>
      </w:r>
      <w:r w:rsidR="008F4C00" w:rsidRPr="00F1478A">
        <w:t xml:space="preserve"> Among IREC’s major conclusions on distributed solar generation, three stand out: solar DG primarily offsets combined-cycle natural gas plants, and this should be accounted for in avoided energy costs; the solar resource is sufficiently predictable that it should be included in utility forecasts of generation that meets capacity needs, and should therefore be credited with a capacity value; and, the societal benefits, such as economic development, environmental and health benefits should be included in valuations, as these were likely drivers behind the original </w:t>
      </w:r>
      <w:r w:rsidR="004C565D">
        <w:t xml:space="preserve">distributed generation </w:t>
      </w:r>
      <w:r w:rsidR="008F4C00" w:rsidRPr="00F1478A">
        <w:t>policy.</w:t>
      </w:r>
    </w:p>
    <w:p w:rsidR="00817A3C" w:rsidRPr="00392D73" w:rsidRDefault="00817A3C" w:rsidP="00817A3C"/>
    <w:p w:rsidR="00392D73" w:rsidRDefault="00392D73" w:rsidP="00B5316E">
      <w:pPr>
        <w:widowControl w:val="0"/>
        <w:autoSpaceDE w:val="0"/>
        <w:autoSpaceDN w:val="0"/>
        <w:adjustRightInd w:val="0"/>
        <w:spacing w:after="240"/>
      </w:pPr>
      <w:r w:rsidRPr="00392D73">
        <w:t xml:space="preserve">The Minnesota Department of Commerce Division of Energy Resources (“Minnesota Commerce”) is currently undertaking a value of solar study, the results of which will be submitted to the Minnesota Public Utility Commission for review by January 31, 2014. Minnesota Commerce was joined by the energy consultancy Clean Power Research (“CPR”) to explore the framework of methodologies used in a typical study into the value of solar. CPR identified the following solar value components that are typically considered, many of which stem from avoided energy costs, but some of </w:t>
      </w:r>
      <w:r w:rsidRPr="00B5316E">
        <w:t>which are unique to distributed generation</w:t>
      </w:r>
      <w:r w:rsidRPr="00392D73">
        <w:t>:</w:t>
      </w:r>
      <w:r w:rsidRPr="00392D73">
        <w:rPr>
          <w:vertAlign w:val="superscript"/>
        </w:rPr>
        <w:footnoteReference w:id="9"/>
      </w:r>
    </w:p>
    <w:p w:rsidR="00392D73" w:rsidRPr="00392D73" w:rsidRDefault="00392D73" w:rsidP="002803D0">
      <w:pPr>
        <w:widowControl w:val="0"/>
        <w:numPr>
          <w:ilvl w:val="0"/>
          <w:numId w:val="5"/>
        </w:numPr>
        <w:autoSpaceDE w:val="0"/>
        <w:autoSpaceDN w:val="0"/>
        <w:adjustRightInd w:val="0"/>
        <w:spacing w:after="240"/>
      </w:pPr>
      <w:r w:rsidRPr="00392D73">
        <w:t>Avoided fuel costs—from displacing traditional fossil fuel plant generation.</w:t>
      </w:r>
      <w:r w:rsidR="005B7999">
        <w:t xml:space="preserve"> In situations where utilities’ generation portfolios are dominated by hydropower, distributed generation frees up more of the utilities limited tier 1 resources.</w:t>
      </w:r>
    </w:p>
    <w:p w:rsidR="00392D73" w:rsidRPr="00392D73" w:rsidRDefault="00392D73" w:rsidP="002803D0">
      <w:pPr>
        <w:widowControl w:val="0"/>
        <w:numPr>
          <w:ilvl w:val="0"/>
          <w:numId w:val="5"/>
        </w:numPr>
        <w:autoSpaceDE w:val="0"/>
        <w:autoSpaceDN w:val="0"/>
        <w:adjustRightInd w:val="0"/>
        <w:spacing w:after="240"/>
      </w:pPr>
      <w:r w:rsidRPr="00392D73">
        <w:t>Avoided traditional power plant operations and maintenance costs.</w:t>
      </w:r>
    </w:p>
    <w:p w:rsidR="00392D73" w:rsidRPr="00392D73" w:rsidRDefault="00392D73" w:rsidP="002803D0">
      <w:pPr>
        <w:widowControl w:val="0"/>
        <w:numPr>
          <w:ilvl w:val="0"/>
          <w:numId w:val="5"/>
        </w:numPr>
        <w:autoSpaceDE w:val="0"/>
        <w:autoSpaceDN w:val="0"/>
        <w:adjustRightInd w:val="0"/>
        <w:spacing w:after="240"/>
      </w:pPr>
      <w:r w:rsidRPr="00392D73">
        <w:t>Avoided generation capacity cost—by reducing the amount of generation required to meet peak load.</w:t>
      </w:r>
    </w:p>
    <w:p w:rsidR="00392D73" w:rsidRPr="00392D73" w:rsidRDefault="00392D73" w:rsidP="002803D0">
      <w:pPr>
        <w:widowControl w:val="0"/>
        <w:numPr>
          <w:ilvl w:val="0"/>
          <w:numId w:val="5"/>
        </w:numPr>
        <w:autoSpaceDE w:val="0"/>
        <w:autoSpaceDN w:val="0"/>
        <w:adjustRightInd w:val="0"/>
        <w:spacing w:after="240"/>
      </w:pPr>
      <w:r w:rsidRPr="00392D73">
        <w:t>Avoided reserve capacity cost—by reducing the amount of generation required to meet planning margins and ensure reliability.</w:t>
      </w:r>
    </w:p>
    <w:p w:rsidR="00392D73" w:rsidRPr="00392D73" w:rsidRDefault="00392D73" w:rsidP="002803D0">
      <w:pPr>
        <w:widowControl w:val="0"/>
        <w:numPr>
          <w:ilvl w:val="0"/>
          <w:numId w:val="5"/>
        </w:numPr>
        <w:autoSpaceDE w:val="0"/>
        <w:autoSpaceDN w:val="0"/>
        <w:adjustRightInd w:val="0"/>
        <w:spacing w:after="240"/>
      </w:pPr>
      <w:r w:rsidRPr="00392D73">
        <w:t>Avoided transmission capacity cost—locally generated distributed energy reduces the need to make use of the transmission system, as well as avoiding line losses.</w:t>
      </w:r>
    </w:p>
    <w:p w:rsidR="00392D73" w:rsidRPr="00392D73" w:rsidRDefault="00392D73" w:rsidP="002803D0">
      <w:pPr>
        <w:widowControl w:val="0"/>
        <w:numPr>
          <w:ilvl w:val="0"/>
          <w:numId w:val="5"/>
        </w:numPr>
        <w:autoSpaceDE w:val="0"/>
        <w:autoSpaceDN w:val="0"/>
        <w:adjustRightInd w:val="0"/>
        <w:spacing w:after="240"/>
      </w:pPr>
      <w:r w:rsidRPr="00392D73">
        <w:t>Avoided distribution capacity cost—power produced and consumed on-site means less use is made of the distribution grid.</w:t>
      </w:r>
    </w:p>
    <w:p w:rsidR="00392D73" w:rsidRPr="00392D73" w:rsidRDefault="00392D73" w:rsidP="002803D0">
      <w:pPr>
        <w:widowControl w:val="0"/>
        <w:numPr>
          <w:ilvl w:val="0"/>
          <w:numId w:val="5"/>
        </w:numPr>
        <w:autoSpaceDE w:val="0"/>
        <w:autoSpaceDN w:val="0"/>
        <w:adjustRightInd w:val="0"/>
        <w:spacing w:after="240"/>
      </w:pPr>
      <w:r w:rsidRPr="00392D73">
        <w:t>Avoided environmental cost—if the utility gets to keep the Renewable Energy Credit by the distributed solar.</w:t>
      </w:r>
    </w:p>
    <w:p w:rsidR="00392D73" w:rsidRPr="00392D73" w:rsidRDefault="00392D73" w:rsidP="002803D0">
      <w:pPr>
        <w:widowControl w:val="0"/>
        <w:numPr>
          <w:ilvl w:val="0"/>
          <w:numId w:val="5"/>
        </w:numPr>
        <w:autoSpaceDE w:val="0"/>
        <w:autoSpaceDN w:val="0"/>
        <w:adjustRightInd w:val="0"/>
        <w:spacing w:after="240"/>
      </w:pPr>
      <w:r w:rsidRPr="00392D73">
        <w:t>Fuel price guarantee—displacing fossil fuels such as natural gas means reduces the amount utilities need to spend on hedging against changes in the natural gas price.</w:t>
      </w:r>
    </w:p>
    <w:p w:rsidR="00392D73" w:rsidRPr="00392D73" w:rsidRDefault="00392D73" w:rsidP="002803D0">
      <w:pPr>
        <w:widowControl w:val="0"/>
        <w:numPr>
          <w:ilvl w:val="0"/>
          <w:numId w:val="5"/>
        </w:numPr>
        <w:autoSpaceDE w:val="0"/>
        <w:autoSpaceDN w:val="0"/>
        <w:adjustRightInd w:val="0"/>
        <w:spacing w:after="240"/>
      </w:pPr>
      <w:r w:rsidRPr="00392D73">
        <w:t>Credit for local manufacturing and/or assembly—as distributed solar generation is inherently local, there is an increase in local tax revenue tied to solar jobs.</w:t>
      </w:r>
    </w:p>
    <w:p w:rsidR="00392D73" w:rsidRPr="00392D73" w:rsidRDefault="00392D73" w:rsidP="002803D0">
      <w:pPr>
        <w:widowControl w:val="0"/>
        <w:numPr>
          <w:ilvl w:val="0"/>
          <w:numId w:val="5"/>
        </w:numPr>
        <w:autoSpaceDE w:val="0"/>
        <w:autoSpaceDN w:val="0"/>
        <w:adjustRightInd w:val="0"/>
        <w:spacing w:after="240"/>
      </w:pPr>
      <w:r w:rsidRPr="00392D73">
        <w:t>Credit for high value distribution locations—distributed generation can have more value to the system in certain locations on the grid than others, and this can be incentivized accordingly.</w:t>
      </w:r>
    </w:p>
    <w:p w:rsidR="00392D73" w:rsidRPr="00392D73" w:rsidRDefault="00392D73" w:rsidP="002803D0">
      <w:pPr>
        <w:widowControl w:val="0"/>
        <w:numPr>
          <w:ilvl w:val="0"/>
          <w:numId w:val="5"/>
        </w:numPr>
        <w:autoSpaceDE w:val="0"/>
        <w:autoSpaceDN w:val="0"/>
        <w:adjustRightInd w:val="0"/>
        <w:spacing w:after="240"/>
      </w:pPr>
      <w:r w:rsidRPr="00392D73">
        <w:t>Voltage control—future inverter designs will enable distributed solar to contribute to voltage stability on the grid.</w:t>
      </w:r>
    </w:p>
    <w:p w:rsidR="00392D73" w:rsidRPr="00392D73" w:rsidRDefault="00392D73" w:rsidP="002803D0">
      <w:pPr>
        <w:widowControl w:val="0"/>
        <w:numPr>
          <w:ilvl w:val="0"/>
          <w:numId w:val="5"/>
        </w:numPr>
        <w:autoSpaceDE w:val="0"/>
        <w:autoSpaceDN w:val="0"/>
        <w:adjustRightInd w:val="0"/>
        <w:spacing w:after="240"/>
      </w:pPr>
      <w:r w:rsidRPr="00392D73">
        <w:t>Market price reduction—as distributed solar generation leads to a reduction in power demand, in perfect markets this would lead to a reduction in the cost of wholesale power.</w:t>
      </w:r>
    </w:p>
    <w:p w:rsidR="00392D73" w:rsidRDefault="00392D73" w:rsidP="000B2A50">
      <w:pPr>
        <w:widowControl w:val="0"/>
        <w:numPr>
          <w:ilvl w:val="0"/>
          <w:numId w:val="5"/>
        </w:numPr>
        <w:autoSpaceDE w:val="0"/>
        <w:autoSpaceDN w:val="0"/>
        <w:adjustRightInd w:val="0"/>
        <w:spacing w:after="240"/>
      </w:pPr>
      <w:r w:rsidRPr="00392D73">
        <w:t>Disaster recovery—modern inverters present the possibility of distributed generation assisting the grid in times of stress, helping maintain the grid and avoiding cascading power cuts. Distributed generation’s contribution to disaster recovery will be even more significant as energy storage solutions become more common.</w:t>
      </w:r>
    </w:p>
    <w:p w:rsidR="000B2A50" w:rsidRDefault="000B2A50" w:rsidP="000B2A50">
      <w:pPr>
        <w:widowControl w:val="0"/>
        <w:autoSpaceDE w:val="0"/>
        <w:autoSpaceDN w:val="0"/>
        <w:adjustRightInd w:val="0"/>
        <w:spacing w:after="240"/>
        <w:ind w:left="720"/>
      </w:pPr>
    </w:p>
    <w:p w:rsidR="00F1478A" w:rsidRDefault="002803D0" w:rsidP="00EF66EA">
      <w:pPr>
        <w:widowControl w:val="0"/>
        <w:autoSpaceDE w:val="0"/>
        <w:autoSpaceDN w:val="0"/>
        <w:adjustRightInd w:val="0"/>
        <w:spacing w:after="240"/>
        <w:jc w:val="center"/>
        <w:outlineLvl w:val="0"/>
        <w:rPr>
          <w:b/>
          <w:u w:val="single"/>
          <w:lang w:val="en-GB"/>
        </w:rPr>
      </w:pPr>
      <w:r>
        <w:rPr>
          <w:b/>
          <w:u w:val="single"/>
          <w:lang w:val="en-GB"/>
        </w:rPr>
        <w:t xml:space="preserve">IV. </w:t>
      </w:r>
      <w:r w:rsidR="00F1478A">
        <w:rPr>
          <w:b/>
          <w:u w:val="single"/>
          <w:lang w:val="en-GB"/>
        </w:rPr>
        <w:t>THE PROCESS FOR A CONITNUED</w:t>
      </w:r>
      <w:r w:rsidR="000B2A50">
        <w:rPr>
          <w:b/>
          <w:u w:val="single"/>
          <w:lang w:val="en-GB"/>
        </w:rPr>
        <w:t xml:space="preserve"> </w:t>
      </w:r>
      <w:r w:rsidR="00F1478A">
        <w:rPr>
          <w:b/>
          <w:u w:val="single"/>
          <w:lang w:val="en-GB"/>
        </w:rPr>
        <w:t>INVESTIGATION</w:t>
      </w:r>
    </w:p>
    <w:p w:rsidR="008A7F2C" w:rsidRDefault="008A7F2C" w:rsidP="00F1478A">
      <w:pPr>
        <w:widowControl w:val="0"/>
        <w:autoSpaceDE w:val="0"/>
        <w:autoSpaceDN w:val="0"/>
        <w:adjustRightInd w:val="0"/>
        <w:spacing w:after="240"/>
      </w:pPr>
      <w:r>
        <w:t>When deciding what procedure to take RNP recommends that the following principles are borne in mind: firstly, it would be premature for the</w:t>
      </w:r>
      <w:r w:rsidR="00D1143A">
        <w:t xml:space="preserve"> Commission to bind itself to a procedure that requires rulemakings or findings of fact; and secondly, that the chosen procedure allow for the development of evidence records. RNP recognizes that no current procedure allows for both of these criteria to be met, but understands that the Commission are considering new procedural designs as part of the update to procedural rules. If this investigation is to go ahead, this may be an appropriate time to consider using a new vehicle to meet the two principles mentioned above.</w:t>
      </w:r>
    </w:p>
    <w:p w:rsidR="008A7F2C" w:rsidRDefault="00D1143A" w:rsidP="00F1478A">
      <w:pPr>
        <w:widowControl w:val="0"/>
        <w:autoSpaceDE w:val="0"/>
        <w:autoSpaceDN w:val="0"/>
        <w:adjustRightInd w:val="0"/>
        <w:spacing w:after="240"/>
      </w:pPr>
      <w:r>
        <w:t>Towards that end, t</w:t>
      </w:r>
      <w:r w:rsidR="007724E0">
        <w:t xml:space="preserve">he Commission should </w:t>
      </w:r>
      <w:r w:rsidR="00C705AF">
        <w:t xml:space="preserve">consider opening </w:t>
      </w:r>
      <w:r w:rsidR="007724E0">
        <w:t>up</w:t>
      </w:r>
      <w:r w:rsidR="002D4091">
        <w:t xml:space="preserve"> a hybrid-vehicle for this investigation, such as</w:t>
      </w:r>
      <w:r w:rsidR="007724E0">
        <w:t xml:space="preserve"> a generic docket</w:t>
      </w:r>
      <w:r w:rsidR="002D4091">
        <w:t>, the outcome of which would not be policy action</w:t>
      </w:r>
      <w:r w:rsidR="00FC5715">
        <w:t xml:space="preserve"> or rule making.</w:t>
      </w:r>
      <w:r w:rsidR="002D4091">
        <w:t xml:space="preserve"> Instead</w:t>
      </w:r>
      <w:r w:rsidR="00FC5715">
        <w:t xml:space="preserve">, the docket should aim to develop and record an </w:t>
      </w:r>
      <w:r w:rsidR="007E13EA">
        <w:t xml:space="preserve">examination of the above issues and deliver an interpretive statement. </w:t>
      </w:r>
      <w:r>
        <w:t>RNP believes it will also be important to ensure that e</w:t>
      </w:r>
      <w:r w:rsidR="007E13EA">
        <w:t>ither the Commission or a hired consultant will need to be able to gather data and information from the utilities and share it with interested stakeholders.</w:t>
      </w:r>
    </w:p>
    <w:p w:rsidR="004C565D" w:rsidRPr="004C565D" w:rsidRDefault="004C565D" w:rsidP="00F1478A">
      <w:pPr>
        <w:widowControl w:val="0"/>
        <w:autoSpaceDE w:val="0"/>
        <w:autoSpaceDN w:val="0"/>
        <w:adjustRightInd w:val="0"/>
        <w:spacing w:after="240"/>
      </w:pPr>
    </w:p>
    <w:p w:rsidR="00162F05" w:rsidRPr="00971BD7" w:rsidRDefault="00971BD7" w:rsidP="00EF66EA">
      <w:pPr>
        <w:widowControl w:val="0"/>
        <w:autoSpaceDE w:val="0"/>
        <w:autoSpaceDN w:val="0"/>
        <w:adjustRightInd w:val="0"/>
        <w:spacing w:after="240"/>
        <w:jc w:val="center"/>
        <w:outlineLvl w:val="0"/>
        <w:rPr>
          <w:b/>
          <w:u w:val="single"/>
          <w:lang w:val="en-GB"/>
        </w:rPr>
      </w:pPr>
      <w:r>
        <w:rPr>
          <w:b/>
          <w:u w:val="single"/>
          <w:lang w:val="en-GB"/>
        </w:rPr>
        <w:t>IV. CONCLUSION</w:t>
      </w:r>
    </w:p>
    <w:p w:rsidR="00F1478A" w:rsidRDefault="00F1478A" w:rsidP="00F1478A">
      <w:r w:rsidRPr="007724E0">
        <w:t>Washington State should continue to develop policies that encourage customers to take up solar and net-metering, as the balance between costs and benefits will be difficult to discern until the state has a highe</w:t>
      </w:r>
      <w:r w:rsidR="00C705AF">
        <w:t xml:space="preserve">r degree of solar penetration. </w:t>
      </w:r>
      <w:r w:rsidRPr="007724E0">
        <w:t xml:space="preserve">Even assuming that a net cost shift were occurring at this stage—which </w:t>
      </w:r>
      <w:r w:rsidR="00C705AF">
        <w:t>RNP</w:t>
      </w:r>
      <w:r w:rsidRPr="007724E0">
        <w:t xml:space="preserve"> do</w:t>
      </w:r>
      <w:r w:rsidR="00C705AF">
        <w:t>es</w:t>
      </w:r>
      <w:r w:rsidRPr="007724E0">
        <w:t xml:space="preserve"> not—the magnitude would be too small to justify the resource</w:t>
      </w:r>
      <w:r w:rsidR="00C705AF">
        <w:t>s</w:t>
      </w:r>
      <w:r w:rsidRPr="007724E0">
        <w:t xml:space="preserve"> commitment </w:t>
      </w:r>
      <w:r w:rsidR="004C565D">
        <w:t>necessary</w:t>
      </w:r>
      <w:r w:rsidR="00C705AF">
        <w:t xml:space="preserve"> to continue the investigation</w:t>
      </w:r>
      <w:r w:rsidR="004C565D">
        <w:t xml:space="preserve">. </w:t>
      </w:r>
      <w:r w:rsidRPr="007724E0">
        <w:t>Washington should focus on aligning its policies to achieve a more significant penetration of DG solar.</w:t>
      </w:r>
    </w:p>
    <w:p w:rsidR="007E13EA" w:rsidRDefault="007E13EA" w:rsidP="00F1478A"/>
    <w:p w:rsidR="007E13EA" w:rsidRDefault="007E13EA" w:rsidP="00F1478A">
      <w:r>
        <w:t xml:space="preserve">If </w:t>
      </w:r>
      <w:r w:rsidR="00766805">
        <w:t xml:space="preserve">the Commission decides that </w:t>
      </w:r>
      <w:r w:rsidR="004C565D">
        <w:t>the</w:t>
      </w:r>
      <w:r w:rsidR="00766805">
        <w:t xml:space="preserve"> investigation should continue, the study should be a comprehensive, quantitative analysis of all the cost and benefits associated with distributed generation. The Commission should consider opening up a generic docket that would record and examine </w:t>
      </w:r>
      <w:r w:rsidR="004C565D">
        <w:t>the costs and benefits</w:t>
      </w:r>
      <w:r w:rsidR="00766805">
        <w:t>, as well as ensuring that utilities make available the necessary data. The result of such a docket should be a policy statement or interpretative statement, rather than policy action or rulemaking.</w:t>
      </w:r>
    </w:p>
    <w:p w:rsidR="00766805" w:rsidRDefault="00766805" w:rsidP="00F1478A"/>
    <w:p w:rsidR="00766805" w:rsidRPr="007724E0" w:rsidRDefault="00766805" w:rsidP="00F1478A">
      <w:r>
        <w:t>RNP appreciates this opportunity to comment and looks forward to engaging with the Commission and other stakeholders on the issues discussed in UE-131883.</w:t>
      </w:r>
    </w:p>
    <w:p w:rsidR="00162F05" w:rsidRPr="008C33FD" w:rsidRDefault="00162F05" w:rsidP="00F1478A">
      <w:pPr>
        <w:widowControl w:val="0"/>
        <w:autoSpaceDE w:val="0"/>
        <w:autoSpaceDN w:val="0"/>
        <w:adjustRightInd w:val="0"/>
        <w:spacing w:after="240"/>
        <w:rPr>
          <w:lang w:val="en-GB"/>
        </w:rPr>
      </w:pPr>
    </w:p>
    <w:p w:rsidR="00DE0BFC" w:rsidRDefault="00DE0BFC" w:rsidP="004C46C3">
      <w:pPr>
        <w:rPr>
          <w:rFonts w:asciiTheme="majorHAnsi" w:hAnsiTheme="majorHAnsi"/>
        </w:rPr>
      </w:pPr>
      <w:r>
        <w:rPr>
          <w:rFonts w:asciiTheme="majorHAnsi" w:hAnsiTheme="majorHAnsi"/>
        </w:rPr>
        <w:t>Sincerely,</w:t>
      </w:r>
    </w:p>
    <w:p w:rsidR="00DE0BFC" w:rsidRDefault="00DE0BFC" w:rsidP="004C46C3">
      <w:pPr>
        <w:rPr>
          <w:rFonts w:asciiTheme="majorHAnsi" w:hAnsiTheme="majorHAnsi"/>
        </w:rPr>
      </w:pPr>
    </w:p>
    <w:p w:rsidR="00DE0BFC" w:rsidRDefault="00DE0BFC" w:rsidP="004C46C3">
      <w:pPr>
        <w:rPr>
          <w:rFonts w:asciiTheme="majorHAnsi" w:hAnsiTheme="majorHAnsi"/>
        </w:rPr>
      </w:pPr>
      <w:r>
        <w:rPr>
          <w:rFonts w:asciiTheme="majorHAnsi" w:hAnsiTheme="majorHAnsi"/>
        </w:rPr>
        <w:t>Michael O’Brien</w:t>
      </w:r>
    </w:p>
    <w:p w:rsidR="00DE0BFC" w:rsidRDefault="00DE0BFC" w:rsidP="004C46C3">
      <w:pPr>
        <w:rPr>
          <w:rFonts w:asciiTheme="majorHAnsi" w:hAnsiTheme="majorHAnsi"/>
        </w:rPr>
      </w:pPr>
      <w:r>
        <w:rPr>
          <w:rFonts w:asciiTheme="majorHAnsi" w:hAnsiTheme="majorHAnsi"/>
        </w:rPr>
        <w:t>(Michael@rnp.org)</w:t>
      </w:r>
    </w:p>
    <w:p w:rsidR="00D77754" w:rsidRDefault="00766805" w:rsidP="004C46C3">
      <w:pPr>
        <w:rPr>
          <w:rFonts w:asciiTheme="majorHAnsi" w:hAnsiTheme="majorHAnsi"/>
        </w:rPr>
      </w:pPr>
      <w:r>
        <w:rPr>
          <w:rFonts w:asciiTheme="majorHAnsi" w:hAnsiTheme="majorHAnsi"/>
        </w:rPr>
        <w:t>Jimmy Lindsey</w:t>
      </w:r>
    </w:p>
    <w:p w:rsidR="00D77754" w:rsidRDefault="00D77754" w:rsidP="004C46C3">
      <w:pPr>
        <w:rPr>
          <w:rFonts w:asciiTheme="majorHAnsi" w:hAnsiTheme="majorHAnsi"/>
        </w:rPr>
      </w:pPr>
      <w:r>
        <w:rPr>
          <w:rFonts w:asciiTheme="majorHAnsi" w:hAnsiTheme="majorHAnsi"/>
        </w:rPr>
        <w:t>(</w:t>
      </w:r>
      <w:r w:rsidR="00766805">
        <w:rPr>
          <w:rFonts w:asciiTheme="majorHAnsi" w:hAnsiTheme="majorHAnsi"/>
        </w:rPr>
        <w:t>Jimmy</w:t>
      </w:r>
      <w:r>
        <w:rPr>
          <w:rFonts w:asciiTheme="majorHAnsi" w:hAnsiTheme="majorHAnsi"/>
        </w:rPr>
        <w:t>@rnp.org)</w:t>
      </w:r>
    </w:p>
    <w:p w:rsidR="00DE0BFC" w:rsidRDefault="00DE0BFC" w:rsidP="004C46C3">
      <w:pPr>
        <w:rPr>
          <w:rFonts w:asciiTheme="majorHAnsi" w:hAnsiTheme="majorHAnsi"/>
        </w:rPr>
      </w:pPr>
      <w:r>
        <w:rPr>
          <w:rFonts w:asciiTheme="majorHAnsi" w:hAnsiTheme="majorHAnsi"/>
        </w:rPr>
        <w:t>Renewable Northwest Project</w:t>
      </w:r>
    </w:p>
    <w:p w:rsidR="00DE0BFC" w:rsidRDefault="00DE0BFC" w:rsidP="004C46C3">
      <w:pPr>
        <w:rPr>
          <w:rFonts w:asciiTheme="majorHAnsi" w:hAnsiTheme="majorHAnsi"/>
        </w:rPr>
      </w:pPr>
      <w:r>
        <w:rPr>
          <w:rFonts w:asciiTheme="majorHAnsi" w:hAnsiTheme="majorHAnsi"/>
        </w:rPr>
        <w:t>421 SW 6</w:t>
      </w:r>
      <w:r w:rsidRPr="00DE0BFC">
        <w:rPr>
          <w:rFonts w:asciiTheme="majorHAnsi" w:hAnsiTheme="majorHAnsi"/>
        </w:rPr>
        <w:t>th</w:t>
      </w:r>
      <w:r>
        <w:rPr>
          <w:rFonts w:asciiTheme="majorHAnsi" w:hAnsiTheme="majorHAnsi"/>
        </w:rPr>
        <w:t xml:space="preserve"> Avenue, Suite 1125</w:t>
      </w:r>
    </w:p>
    <w:p w:rsidR="00DE0BFC" w:rsidRDefault="00DE0BFC" w:rsidP="004C46C3">
      <w:pPr>
        <w:rPr>
          <w:rFonts w:asciiTheme="majorHAnsi" w:hAnsiTheme="majorHAnsi"/>
        </w:rPr>
      </w:pPr>
      <w:r>
        <w:rPr>
          <w:rFonts w:asciiTheme="majorHAnsi" w:hAnsiTheme="majorHAnsi"/>
        </w:rPr>
        <w:t>Portland, OR 97204</w:t>
      </w:r>
    </w:p>
    <w:p w:rsidR="00D77754" w:rsidRDefault="00D77754" w:rsidP="004C46C3">
      <w:pPr>
        <w:rPr>
          <w:rFonts w:asciiTheme="majorHAnsi" w:hAnsiTheme="majorHAnsi"/>
        </w:rPr>
      </w:pPr>
      <w:r>
        <w:rPr>
          <w:rFonts w:asciiTheme="majorHAnsi" w:hAnsiTheme="majorHAnsi"/>
        </w:rPr>
        <w:t>503-223-4544</w:t>
      </w:r>
    </w:p>
    <w:p w:rsidR="00160C55" w:rsidRDefault="00160C55" w:rsidP="004C46C3">
      <w:pPr>
        <w:rPr>
          <w:rFonts w:asciiTheme="majorHAnsi" w:hAnsiTheme="majorHAnsi"/>
        </w:rPr>
      </w:pPr>
    </w:p>
    <w:p w:rsidR="00160C55" w:rsidRPr="00DE0BFC" w:rsidRDefault="00160C55" w:rsidP="004C46C3">
      <w:pPr>
        <w:rPr>
          <w:rFonts w:asciiTheme="majorHAnsi" w:hAnsiTheme="majorHAnsi"/>
        </w:rPr>
      </w:pPr>
    </w:p>
    <w:p w:rsidR="00441504" w:rsidRDefault="00441504" w:rsidP="00441504">
      <w:pPr>
        <w:widowControl w:val="0"/>
        <w:autoSpaceDE w:val="0"/>
        <w:autoSpaceDN w:val="0"/>
        <w:adjustRightInd w:val="0"/>
        <w:rPr>
          <w:rFonts w:ascii="Helvetica" w:hAnsi="Helvetica" w:cs="Helvetica"/>
          <w:color w:val="540202"/>
        </w:rPr>
      </w:pPr>
    </w:p>
    <w:p w:rsidR="00441504" w:rsidRDefault="00441504" w:rsidP="00441504">
      <w:pPr>
        <w:widowControl w:val="0"/>
        <w:autoSpaceDE w:val="0"/>
        <w:autoSpaceDN w:val="0"/>
        <w:adjustRightInd w:val="0"/>
        <w:rPr>
          <w:rFonts w:ascii="Helvetica" w:hAnsi="Helvetica" w:cs="Helvetica"/>
          <w:color w:val="540202"/>
        </w:rPr>
      </w:pPr>
    </w:p>
    <w:p w:rsidR="00441504" w:rsidRDefault="00441504" w:rsidP="00441504">
      <w:pPr>
        <w:widowControl w:val="0"/>
        <w:autoSpaceDE w:val="0"/>
        <w:autoSpaceDN w:val="0"/>
        <w:adjustRightInd w:val="0"/>
        <w:rPr>
          <w:rFonts w:ascii="Helvetica" w:hAnsi="Helvetica" w:cs="Helvetica"/>
          <w:color w:val="540202"/>
        </w:rPr>
      </w:pPr>
    </w:p>
    <w:p w:rsidR="00441504" w:rsidRPr="00441504" w:rsidRDefault="00441504" w:rsidP="00441504">
      <w:pPr>
        <w:rPr>
          <w:rFonts w:asciiTheme="majorHAnsi" w:hAnsiTheme="majorHAnsi"/>
        </w:rPr>
      </w:pPr>
    </w:p>
    <w:sectPr w:rsidR="00441504" w:rsidRPr="00441504" w:rsidSect="0021272E">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D3" w:rsidRDefault="008363D3" w:rsidP="004C46C3">
      <w:r>
        <w:separator/>
      </w:r>
    </w:p>
  </w:endnote>
  <w:endnote w:type="continuationSeparator" w:id="0">
    <w:p w:rsidR="008363D3" w:rsidRDefault="008363D3" w:rsidP="004C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2C" w:rsidRDefault="008A7F2C" w:rsidP="00A06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7F2C" w:rsidRDefault="008A7F2C" w:rsidP="00A06A27">
    <w:pPr>
      <w:pStyle w:val="Footer"/>
      <w:ind w:right="360"/>
    </w:pPr>
    <w:sdt>
      <w:sdtPr>
        <w:id w:val="969400743"/>
        <w:placeholder>
          <w:docPart w:val="88E4209D9DD98B4AABEC794B5B491C18"/>
        </w:placeholder>
        <w:temporary/>
        <w:showingPlcHdr/>
      </w:sdtPr>
      <w:sdtContent>
        <w:r>
          <w:t>[Type text]</w:t>
        </w:r>
      </w:sdtContent>
    </w:sdt>
    <w:r>
      <w:ptab w:relativeTo="margin" w:alignment="center" w:leader="none"/>
    </w:r>
    <w:sdt>
      <w:sdtPr>
        <w:id w:val="969400748"/>
        <w:placeholder>
          <w:docPart w:val="3D03FC53FBDD8E47ADA1F8049321DED6"/>
        </w:placeholder>
        <w:temporary/>
        <w:showingPlcHdr/>
      </w:sdtPr>
      <w:sdtContent>
        <w:r>
          <w:t>[Type text]</w:t>
        </w:r>
      </w:sdtContent>
    </w:sdt>
    <w:r>
      <w:ptab w:relativeTo="margin" w:alignment="right" w:leader="none"/>
    </w:r>
    <w:sdt>
      <w:sdtPr>
        <w:id w:val="969400753"/>
        <w:placeholder>
          <w:docPart w:val="ED290E34981AE840ABA2B99FC57CA03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2C" w:rsidRDefault="008A7F2C" w:rsidP="00A06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63D3">
      <w:rPr>
        <w:rStyle w:val="PageNumber"/>
        <w:noProof/>
      </w:rPr>
      <w:t>1</w:t>
    </w:r>
    <w:r>
      <w:rPr>
        <w:rStyle w:val="PageNumber"/>
      </w:rPr>
      <w:fldChar w:fldCharType="end"/>
    </w:r>
  </w:p>
  <w:p w:rsidR="008A7F2C" w:rsidRDefault="008A7F2C" w:rsidP="00A06A27">
    <w:pPr>
      <w:pStyle w:val="Footer"/>
      <w:ind w:right="360"/>
    </w:pPr>
    <w:r>
      <w:t>UE-131883 / Renewable Nort</w:t>
    </w:r>
    <w:r w:rsidR="00594359">
      <w:t>hwest Project / January 31, 2014</w:t>
    </w:r>
    <w:bookmarkStart w:id="2" w:name="_GoBack"/>
    <w:bookmarkEnd w:id="2"/>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D3" w:rsidRDefault="008363D3" w:rsidP="004C46C3">
      <w:r>
        <w:separator/>
      </w:r>
    </w:p>
  </w:footnote>
  <w:footnote w:type="continuationSeparator" w:id="0">
    <w:p w:rsidR="008363D3" w:rsidRDefault="008363D3" w:rsidP="004C46C3">
      <w:r>
        <w:continuationSeparator/>
      </w:r>
    </w:p>
  </w:footnote>
  <w:footnote w:id="1">
    <w:p w:rsidR="008A7F2C" w:rsidRPr="00E46D6F" w:rsidRDefault="008A7F2C" w:rsidP="00025EB7">
      <w:pPr>
        <w:pStyle w:val="FootnoteText"/>
        <w:rPr>
          <w:sz w:val="18"/>
          <w:szCs w:val="18"/>
        </w:rPr>
      </w:pPr>
      <w:r>
        <w:rPr>
          <w:rStyle w:val="FootnoteReference"/>
        </w:rPr>
        <w:footnoteRef/>
      </w:r>
      <w:r>
        <w:t xml:space="preserve"> </w:t>
      </w:r>
      <w:r w:rsidRPr="00E46D6F">
        <w:rPr>
          <w:sz w:val="18"/>
          <w:szCs w:val="18"/>
        </w:rPr>
        <w:t>“Legislative Subcommittee Recommendation, AB NEM”, CPUC June 4, 2012</w:t>
      </w:r>
    </w:p>
    <w:p w:rsidR="008A7F2C" w:rsidRDefault="008A7F2C" w:rsidP="00025EB7">
      <w:pPr>
        <w:pStyle w:val="FootnoteText"/>
      </w:pPr>
      <w:r w:rsidRPr="00E46D6F">
        <w:rPr>
          <w:sz w:val="18"/>
          <w:szCs w:val="18"/>
        </w:rPr>
        <w:t>www.cpuc.ca.gov/NR/rdonlyres/F73D09CD-B4F2-4672-809B-285316B75CC9/0/582964v1AB_2514_LEG_MEMO_11239_6712_HIGHLIGHTED_CHANGES.pdf</w:t>
      </w:r>
    </w:p>
  </w:footnote>
  <w:footnote w:id="2">
    <w:p w:rsidR="008A7F2C" w:rsidRPr="00E46D6F" w:rsidRDefault="008A7F2C" w:rsidP="00025EB7">
      <w:pPr>
        <w:pStyle w:val="FootnoteText"/>
        <w:rPr>
          <w:sz w:val="18"/>
          <w:szCs w:val="18"/>
        </w:rPr>
      </w:pPr>
      <w:r>
        <w:rPr>
          <w:rStyle w:val="FootnoteReference"/>
        </w:rPr>
        <w:footnoteRef/>
      </w:r>
      <w:r>
        <w:t xml:space="preserve">  </w:t>
      </w:r>
      <w:r w:rsidRPr="00E46D6F">
        <w:rPr>
          <w:sz w:val="18"/>
          <w:szCs w:val="18"/>
        </w:rPr>
        <w:t>“Estimation of Total Non-Coincident Peak Demands”, CPUC NEM Cap Calculation Workshop, Jun3 25 2012</w:t>
      </w:r>
    </w:p>
    <w:p w:rsidR="008A7F2C" w:rsidRDefault="008A7F2C" w:rsidP="00025EB7">
      <w:pPr>
        <w:pStyle w:val="FootnoteText"/>
      </w:pPr>
      <w:r w:rsidRPr="00E46D6F">
        <w:rPr>
          <w:sz w:val="18"/>
          <w:szCs w:val="18"/>
        </w:rPr>
        <w:t>www.cpuc.ca.gov/NR/rdonlyres/C89C6BF8-9A37-4DF8-BF2E-2A9C8FDD1B8D/0/CPUC_NEM_Workshop_062512C.PPTX</w:t>
      </w:r>
    </w:p>
  </w:footnote>
  <w:footnote w:id="3">
    <w:p w:rsidR="008A7F2C" w:rsidRPr="00D72D20" w:rsidRDefault="008A7F2C" w:rsidP="00162F05">
      <w:pPr>
        <w:pStyle w:val="FootnoteText"/>
        <w:rPr>
          <w:sz w:val="18"/>
          <w:szCs w:val="18"/>
        </w:rPr>
      </w:pPr>
      <w:r>
        <w:rPr>
          <w:rStyle w:val="FootnoteReference"/>
        </w:rPr>
        <w:footnoteRef/>
      </w:r>
      <w:r>
        <w:t xml:space="preserve"> “</w:t>
      </w:r>
      <w:r w:rsidRPr="00D72D20">
        <w:rPr>
          <w:sz w:val="18"/>
          <w:szCs w:val="18"/>
        </w:rPr>
        <w:t xml:space="preserve">California Net Energy Metering-Ratepayer Impacts Evaluation”, October 2013, p 67 </w:t>
      </w:r>
    </w:p>
    <w:p w:rsidR="008A7F2C" w:rsidRDefault="008A7F2C" w:rsidP="00162F05">
      <w:pPr>
        <w:pStyle w:val="FootnoteText"/>
      </w:pPr>
      <w:r w:rsidRPr="00D72D20">
        <w:rPr>
          <w:sz w:val="18"/>
          <w:szCs w:val="18"/>
        </w:rPr>
        <w:t>www.cpuc.ca.gov/NR/rdonlyres/75573B69-D5C8-45D3-BE22-3074EAB16D87/0/NEMReport.pdf</w:t>
      </w:r>
    </w:p>
  </w:footnote>
  <w:footnote w:id="4">
    <w:p w:rsidR="008A7F2C" w:rsidRDefault="008A7F2C" w:rsidP="00E13F86">
      <w:pPr>
        <w:pStyle w:val="FootnoteText"/>
      </w:pPr>
      <w:r>
        <w:rPr>
          <w:rStyle w:val="FootnoteReference"/>
        </w:rPr>
        <w:footnoteRef/>
      </w:r>
      <w:r>
        <w:t xml:space="preserve"> </w:t>
      </w:r>
      <w:r w:rsidRPr="00025EB7">
        <w:rPr>
          <w:sz w:val="20"/>
          <w:szCs w:val="20"/>
        </w:rPr>
        <w:t>http://apps.leg.wa.gov/rcw/default.aspx?cite=80.60.020</w:t>
      </w:r>
    </w:p>
  </w:footnote>
  <w:footnote w:id="5">
    <w:p w:rsidR="008A7F2C" w:rsidRDefault="008A7F2C">
      <w:pPr>
        <w:pStyle w:val="FootnoteText"/>
      </w:pPr>
      <w:r>
        <w:rPr>
          <w:rStyle w:val="FootnoteReference"/>
        </w:rPr>
        <w:footnoteRef/>
      </w:r>
      <w:r>
        <w:t xml:space="preserve"> </w:t>
      </w:r>
      <w:r w:rsidRPr="008A7F2C">
        <w:rPr>
          <w:sz w:val="18"/>
          <w:szCs w:val="18"/>
        </w:rPr>
        <w:t>ibid p4</w:t>
      </w:r>
    </w:p>
  </w:footnote>
  <w:footnote w:id="6">
    <w:p w:rsidR="008A7F2C" w:rsidRDefault="008A7F2C">
      <w:pPr>
        <w:pStyle w:val="FootnoteText"/>
      </w:pPr>
      <w:r>
        <w:rPr>
          <w:rStyle w:val="FootnoteReference"/>
        </w:rPr>
        <w:footnoteRef/>
      </w:r>
      <w:r>
        <w:t xml:space="preserve"> </w:t>
      </w:r>
      <w:r w:rsidRPr="008A7F2C">
        <w:rPr>
          <w:sz w:val="18"/>
          <w:szCs w:val="18"/>
        </w:rPr>
        <w:t>Comments on behalf of Avista , PSE, Pacific Power submitted to the UTC in Docket UM 131883 on 11/06/2013 www.utc.wa.gov/docs/Pages/DocketLookup.aspx?FilingID=131883</w:t>
      </w:r>
    </w:p>
  </w:footnote>
  <w:footnote w:id="7">
    <w:p w:rsidR="008A7F2C" w:rsidRPr="00C0210C" w:rsidRDefault="008A7F2C" w:rsidP="003B6AB6">
      <w:pPr>
        <w:pStyle w:val="FootnoteText"/>
        <w:rPr>
          <w:sz w:val="18"/>
          <w:szCs w:val="18"/>
        </w:rPr>
      </w:pPr>
      <w:r>
        <w:rPr>
          <w:rStyle w:val="FootnoteReference"/>
        </w:rPr>
        <w:footnoteRef/>
      </w:r>
      <w:r>
        <w:t xml:space="preserve"> </w:t>
      </w:r>
      <w:r w:rsidRPr="00C0210C">
        <w:rPr>
          <w:sz w:val="18"/>
          <w:szCs w:val="18"/>
        </w:rPr>
        <w:t xml:space="preserve">Updating Interconnection Screens for PV system Integration, U.S. Department of Energy, National Renewable Energy Agency, 2012 </w:t>
      </w:r>
    </w:p>
    <w:p w:rsidR="008A7F2C" w:rsidRDefault="008A7F2C" w:rsidP="003B6AB6">
      <w:pPr>
        <w:pStyle w:val="FootnoteText"/>
      </w:pPr>
      <w:r w:rsidRPr="00C0210C">
        <w:rPr>
          <w:sz w:val="18"/>
          <w:szCs w:val="18"/>
        </w:rPr>
        <w:t>energy.sandia.gov/wp/wp-content/gallery/uploads/Updating_Interconnection_PV_Systems_Integration.pdf</w:t>
      </w:r>
    </w:p>
  </w:footnote>
  <w:footnote w:id="8">
    <w:p w:rsidR="008A7F2C" w:rsidRDefault="008A7F2C" w:rsidP="008F4C00">
      <w:pPr>
        <w:pStyle w:val="FootnoteText"/>
      </w:pPr>
      <w:r>
        <w:rPr>
          <w:rStyle w:val="FootnoteReference"/>
        </w:rPr>
        <w:footnoteRef/>
      </w:r>
      <w:r>
        <w:t xml:space="preserve"> </w:t>
      </w:r>
      <w:r>
        <w:rPr>
          <w:sz w:val="20"/>
          <w:szCs w:val="20"/>
        </w:rPr>
        <w:t xml:space="preserve">“Calculating the Benefits and Costs of Distributed Solar Generation”, IREC, October 2013. </w:t>
      </w:r>
      <w:r w:rsidRPr="00DE0BFC">
        <w:rPr>
          <w:sz w:val="20"/>
          <w:szCs w:val="20"/>
        </w:rPr>
        <w:t>www.irecusa.org/wp-content/uploads/2013/10/IREC_Rabago_Regulators-Guidebook-to-Assessing-Benefits-and-Costs-of-DSG.pdf</w:t>
      </w:r>
    </w:p>
  </w:footnote>
  <w:footnote w:id="9">
    <w:p w:rsidR="008A7F2C" w:rsidRPr="000A5080" w:rsidRDefault="008A7F2C" w:rsidP="00392D73">
      <w:pPr>
        <w:pStyle w:val="FootnoteText"/>
        <w:rPr>
          <w:rFonts w:eastAsia="Times New Roman"/>
          <w:sz w:val="18"/>
          <w:szCs w:val="18"/>
        </w:rPr>
      </w:pPr>
      <w:r>
        <w:rPr>
          <w:rStyle w:val="FootnoteReference"/>
        </w:rPr>
        <w:footnoteRef/>
      </w:r>
      <w:r>
        <w:t xml:space="preserve"> </w:t>
      </w:r>
      <w:r w:rsidRPr="000A5080">
        <w:rPr>
          <w:sz w:val="18"/>
          <w:szCs w:val="18"/>
        </w:rPr>
        <w:t xml:space="preserve">“Table of Value Components Identified in the Oct.1 CPR/Commerce Presentation”, </w:t>
      </w:r>
      <w:r w:rsidRPr="000A5080">
        <w:rPr>
          <w:rFonts w:eastAsia="Times New Roman"/>
          <w:sz w:val="18"/>
          <w:szCs w:val="18"/>
        </w:rPr>
        <w:t>Minnesota Department of Commerce Division of Energy Resource</w:t>
      </w:r>
    </w:p>
    <w:p w:rsidR="008A7F2C" w:rsidRDefault="008A7F2C" w:rsidP="00392D73">
      <w:pPr>
        <w:pStyle w:val="FootnoteText"/>
      </w:pPr>
      <w:r w:rsidRPr="000A5080">
        <w:rPr>
          <w:sz w:val="18"/>
          <w:szCs w:val="18"/>
        </w:rPr>
        <w:t>http://mn.gov/commerce/energy/images/VOST-Questions-responses-100813.pdf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5E7656"/>
    <w:multiLevelType w:val="hybridMultilevel"/>
    <w:tmpl w:val="33C6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242AB"/>
    <w:multiLevelType w:val="hybridMultilevel"/>
    <w:tmpl w:val="9A60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655FD"/>
    <w:multiLevelType w:val="hybridMultilevel"/>
    <w:tmpl w:val="4108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93"/>
    <w:rsid w:val="00003914"/>
    <w:rsid w:val="00024A5C"/>
    <w:rsid w:val="00025EB7"/>
    <w:rsid w:val="00033A42"/>
    <w:rsid w:val="000B2A50"/>
    <w:rsid w:val="000D757A"/>
    <w:rsid w:val="00160C55"/>
    <w:rsid w:val="00162F05"/>
    <w:rsid w:val="00192426"/>
    <w:rsid w:val="001A20AD"/>
    <w:rsid w:val="0021272E"/>
    <w:rsid w:val="00222B02"/>
    <w:rsid w:val="00266403"/>
    <w:rsid w:val="00280320"/>
    <w:rsid w:val="002803D0"/>
    <w:rsid w:val="002B331F"/>
    <w:rsid w:val="002C0049"/>
    <w:rsid w:val="002C396E"/>
    <w:rsid w:val="002D4091"/>
    <w:rsid w:val="003011FF"/>
    <w:rsid w:val="00313C7E"/>
    <w:rsid w:val="00324A14"/>
    <w:rsid w:val="00350F5E"/>
    <w:rsid w:val="00367145"/>
    <w:rsid w:val="00390AB8"/>
    <w:rsid w:val="00392D73"/>
    <w:rsid w:val="003A7893"/>
    <w:rsid w:val="003B6AB6"/>
    <w:rsid w:val="004047FB"/>
    <w:rsid w:val="00407C50"/>
    <w:rsid w:val="00416FCF"/>
    <w:rsid w:val="00424887"/>
    <w:rsid w:val="00441504"/>
    <w:rsid w:val="004617A9"/>
    <w:rsid w:val="004C46C3"/>
    <w:rsid w:val="004C565D"/>
    <w:rsid w:val="004C69C5"/>
    <w:rsid w:val="004E4F13"/>
    <w:rsid w:val="00514F33"/>
    <w:rsid w:val="005375B9"/>
    <w:rsid w:val="00590D4B"/>
    <w:rsid w:val="00594359"/>
    <w:rsid w:val="005B7999"/>
    <w:rsid w:val="00607C6A"/>
    <w:rsid w:val="0064155B"/>
    <w:rsid w:val="006461FE"/>
    <w:rsid w:val="00653635"/>
    <w:rsid w:val="006575CC"/>
    <w:rsid w:val="006739A0"/>
    <w:rsid w:val="006B6042"/>
    <w:rsid w:val="007014C8"/>
    <w:rsid w:val="00707522"/>
    <w:rsid w:val="007256B5"/>
    <w:rsid w:val="00766805"/>
    <w:rsid w:val="007724E0"/>
    <w:rsid w:val="00780873"/>
    <w:rsid w:val="00780C8E"/>
    <w:rsid w:val="00784EFD"/>
    <w:rsid w:val="00785260"/>
    <w:rsid w:val="007A4AC1"/>
    <w:rsid w:val="007B5D1A"/>
    <w:rsid w:val="007C0E51"/>
    <w:rsid w:val="007E13EA"/>
    <w:rsid w:val="007E5C1C"/>
    <w:rsid w:val="00817A3C"/>
    <w:rsid w:val="00823CA9"/>
    <w:rsid w:val="008363D3"/>
    <w:rsid w:val="008A7F2C"/>
    <w:rsid w:val="008C33FD"/>
    <w:rsid w:val="008F1D35"/>
    <w:rsid w:val="008F4C00"/>
    <w:rsid w:val="009323B0"/>
    <w:rsid w:val="00960EB8"/>
    <w:rsid w:val="00970EB5"/>
    <w:rsid w:val="00971BD7"/>
    <w:rsid w:val="00997C94"/>
    <w:rsid w:val="009A0072"/>
    <w:rsid w:val="009F6593"/>
    <w:rsid w:val="00A032A5"/>
    <w:rsid w:val="00A06A27"/>
    <w:rsid w:val="00A7580F"/>
    <w:rsid w:val="00A938C2"/>
    <w:rsid w:val="00AB7FE9"/>
    <w:rsid w:val="00B24DF5"/>
    <w:rsid w:val="00B5316E"/>
    <w:rsid w:val="00B66688"/>
    <w:rsid w:val="00B86027"/>
    <w:rsid w:val="00B973FA"/>
    <w:rsid w:val="00BE072B"/>
    <w:rsid w:val="00C36DEA"/>
    <w:rsid w:val="00C705AF"/>
    <w:rsid w:val="00C94ED6"/>
    <w:rsid w:val="00CB2EB9"/>
    <w:rsid w:val="00CE3DEB"/>
    <w:rsid w:val="00CE57AE"/>
    <w:rsid w:val="00D1143A"/>
    <w:rsid w:val="00D155EB"/>
    <w:rsid w:val="00D43264"/>
    <w:rsid w:val="00D77754"/>
    <w:rsid w:val="00DC1105"/>
    <w:rsid w:val="00DD128F"/>
    <w:rsid w:val="00DE0BFC"/>
    <w:rsid w:val="00DF494B"/>
    <w:rsid w:val="00E13F86"/>
    <w:rsid w:val="00E24411"/>
    <w:rsid w:val="00E86F09"/>
    <w:rsid w:val="00EE4580"/>
    <w:rsid w:val="00EF66EA"/>
    <w:rsid w:val="00F107CE"/>
    <w:rsid w:val="00F1478A"/>
    <w:rsid w:val="00F2107B"/>
    <w:rsid w:val="00F55137"/>
    <w:rsid w:val="00FB10F1"/>
    <w:rsid w:val="00FC5715"/>
    <w:rsid w:val="00FD1939"/>
    <w:rsid w:val="00FE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5800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504"/>
    <w:pPr>
      <w:ind w:left="720"/>
      <w:contextualSpacing/>
    </w:pPr>
  </w:style>
  <w:style w:type="paragraph" w:styleId="FootnoteText">
    <w:name w:val="footnote text"/>
    <w:basedOn w:val="Normal"/>
    <w:link w:val="FootnoteTextChar"/>
    <w:uiPriority w:val="99"/>
    <w:unhideWhenUsed/>
    <w:rsid w:val="004C46C3"/>
  </w:style>
  <w:style w:type="character" w:customStyle="1" w:styleId="FootnoteTextChar">
    <w:name w:val="Footnote Text Char"/>
    <w:basedOn w:val="DefaultParagraphFont"/>
    <w:link w:val="FootnoteText"/>
    <w:uiPriority w:val="99"/>
    <w:rsid w:val="004C46C3"/>
  </w:style>
  <w:style w:type="character" w:styleId="FootnoteReference">
    <w:name w:val="footnote reference"/>
    <w:basedOn w:val="DefaultParagraphFont"/>
    <w:uiPriority w:val="99"/>
    <w:unhideWhenUsed/>
    <w:rsid w:val="004C46C3"/>
    <w:rPr>
      <w:vertAlign w:val="superscript"/>
    </w:rPr>
  </w:style>
  <w:style w:type="paragraph" w:styleId="BalloonText">
    <w:name w:val="Balloon Text"/>
    <w:basedOn w:val="Normal"/>
    <w:link w:val="BalloonTextChar"/>
    <w:uiPriority w:val="99"/>
    <w:semiHidden/>
    <w:unhideWhenUsed/>
    <w:rsid w:val="0065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5CC"/>
    <w:rPr>
      <w:rFonts w:ascii="Lucida Grande" w:hAnsi="Lucida Grande" w:cs="Lucida Grande"/>
      <w:sz w:val="18"/>
      <w:szCs w:val="18"/>
    </w:rPr>
  </w:style>
  <w:style w:type="character" w:styleId="Hyperlink">
    <w:name w:val="Hyperlink"/>
    <w:basedOn w:val="DefaultParagraphFont"/>
    <w:uiPriority w:val="99"/>
    <w:semiHidden/>
    <w:unhideWhenUsed/>
    <w:rsid w:val="00C36DEA"/>
    <w:rPr>
      <w:color w:val="0000FF"/>
      <w:u w:val="single"/>
    </w:rPr>
  </w:style>
  <w:style w:type="character" w:customStyle="1" w:styleId="apple-converted-space">
    <w:name w:val="apple-converted-space"/>
    <w:basedOn w:val="DefaultParagraphFont"/>
    <w:rsid w:val="00C36DEA"/>
  </w:style>
  <w:style w:type="character" w:styleId="CommentReference">
    <w:name w:val="annotation reference"/>
    <w:basedOn w:val="DefaultParagraphFont"/>
    <w:uiPriority w:val="99"/>
    <w:semiHidden/>
    <w:unhideWhenUsed/>
    <w:rsid w:val="00F2107B"/>
    <w:rPr>
      <w:sz w:val="18"/>
      <w:szCs w:val="18"/>
    </w:rPr>
  </w:style>
  <w:style w:type="paragraph" w:styleId="CommentText">
    <w:name w:val="annotation text"/>
    <w:basedOn w:val="Normal"/>
    <w:link w:val="CommentTextChar"/>
    <w:uiPriority w:val="99"/>
    <w:semiHidden/>
    <w:unhideWhenUsed/>
    <w:rsid w:val="00F2107B"/>
  </w:style>
  <w:style w:type="character" w:customStyle="1" w:styleId="CommentTextChar">
    <w:name w:val="Comment Text Char"/>
    <w:basedOn w:val="DefaultParagraphFont"/>
    <w:link w:val="CommentText"/>
    <w:uiPriority w:val="99"/>
    <w:semiHidden/>
    <w:rsid w:val="00F2107B"/>
  </w:style>
  <w:style w:type="paragraph" w:styleId="CommentSubject">
    <w:name w:val="annotation subject"/>
    <w:basedOn w:val="CommentText"/>
    <w:next w:val="CommentText"/>
    <w:link w:val="CommentSubjectChar"/>
    <w:uiPriority w:val="99"/>
    <w:semiHidden/>
    <w:unhideWhenUsed/>
    <w:rsid w:val="00F2107B"/>
    <w:rPr>
      <w:b/>
      <w:bCs/>
      <w:sz w:val="20"/>
      <w:szCs w:val="20"/>
    </w:rPr>
  </w:style>
  <w:style w:type="character" w:customStyle="1" w:styleId="CommentSubjectChar">
    <w:name w:val="Comment Subject Char"/>
    <w:basedOn w:val="CommentTextChar"/>
    <w:link w:val="CommentSubject"/>
    <w:uiPriority w:val="99"/>
    <w:semiHidden/>
    <w:rsid w:val="00F2107B"/>
    <w:rPr>
      <w:b/>
      <w:bCs/>
      <w:sz w:val="20"/>
      <w:szCs w:val="20"/>
    </w:rPr>
  </w:style>
  <w:style w:type="paragraph" w:styleId="Header">
    <w:name w:val="header"/>
    <w:basedOn w:val="Normal"/>
    <w:link w:val="HeaderChar"/>
    <w:uiPriority w:val="99"/>
    <w:unhideWhenUsed/>
    <w:rsid w:val="00A06A27"/>
    <w:pPr>
      <w:tabs>
        <w:tab w:val="center" w:pos="4320"/>
        <w:tab w:val="right" w:pos="8640"/>
      </w:tabs>
    </w:pPr>
  </w:style>
  <w:style w:type="character" w:customStyle="1" w:styleId="HeaderChar">
    <w:name w:val="Header Char"/>
    <w:basedOn w:val="DefaultParagraphFont"/>
    <w:link w:val="Header"/>
    <w:uiPriority w:val="99"/>
    <w:rsid w:val="00A06A27"/>
  </w:style>
  <w:style w:type="paragraph" w:styleId="Footer">
    <w:name w:val="footer"/>
    <w:basedOn w:val="Normal"/>
    <w:link w:val="FooterChar"/>
    <w:uiPriority w:val="99"/>
    <w:unhideWhenUsed/>
    <w:rsid w:val="00A06A27"/>
    <w:pPr>
      <w:tabs>
        <w:tab w:val="center" w:pos="4320"/>
        <w:tab w:val="right" w:pos="8640"/>
      </w:tabs>
    </w:pPr>
  </w:style>
  <w:style w:type="character" w:customStyle="1" w:styleId="FooterChar">
    <w:name w:val="Footer Char"/>
    <w:basedOn w:val="DefaultParagraphFont"/>
    <w:link w:val="Footer"/>
    <w:uiPriority w:val="99"/>
    <w:rsid w:val="00A06A27"/>
  </w:style>
  <w:style w:type="character" w:styleId="PageNumber">
    <w:name w:val="page number"/>
    <w:basedOn w:val="DefaultParagraphFont"/>
    <w:uiPriority w:val="99"/>
    <w:semiHidden/>
    <w:unhideWhenUsed/>
    <w:rsid w:val="00A06A27"/>
  </w:style>
  <w:style w:type="table" w:styleId="TableGrid">
    <w:name w:val="Table Grid"/>
    <w:basedOn w:val="TableNormal"/>
    <w:uiPriority w:val="59"/>
    <w:rsid w:val="00932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62F05"/>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504"/>
    <w:pPr>
      <w:ind w:left="720"/>
      <w:contextualSpacing/>
    </w:pPr>
  </w:style>
  <w:style w:type="paragraph" w:styleId="FootnoteText">
    <w:name w:val="footnote text"/>
    <w:basedOn w:val="Normal"/>
    <w:link w:val="FootnoteTextChar"/>
    <w:uiPriority w:val="99"/>
    <w:unhideWhenUsed/>
    <w:rsid w:val="004C46C3"/>
  </w:style>
  <w:style w:type="character" w:customStyle="1" w:styleId="FootnoteTextChar">
    <w:name w:val="Footnote Text Char"/>
    <w:basedOn w:val="DefaultParagraphFont"/>
    <w:link w:val="FootnoteText"/>
    <w:uiPriority w:val="99"/>
    <w:rsid w:val="004C46C3"/>
  </w:style>
  <w:style w:type="character" w:styleId="FootnoteReference">
    <w:name w:val="footnote reference"/>
    <w:basedOn w:val="DefaultParagraphFont"/>
    <w:uiPriority w:val="99"/>
    <w:unhideWhenUsed/>
    <w:rsid w:val="004C46C3"/>
    <w:rPr>
      <w:vertAlign w:val="superscript"/>
    </w:rPr>
  </w:style>
  <w:style w:type="paragraph" w:styleId="BalloonText">
    <w:name w:val="Balloon Text"/>
    <w:basedOn w:val="Normal"/>
    <w:link w:val="BalloonTextChar"/>
    <w:uiPriority w:val="99"/>
    <w:semiHidden/>
    <w:unhideWhenUsed/>
    <w:rsid w:val="0065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5CC"/>
    <w:rPr>
      <w:rFonts w:ascii="Lucida Grande" w:hAnsi="Lucida Grande" w:cs="Lucida Grande"/>
      <w:sz w:val="18"/>
      <w:szCs w:val="18"/>
    </w:rPr>
  </w:style>
  <w:style w:type="character" w:styleId="Hyperlink">
    <w:name w:val="Hyperlink"/>
    <w:basedOn w:val="DefaultParagraphFont"/>
    <w:uiPriority w:val="99"/>
    <w:semiHidden/>
    <w:unhideWhenUsed/>
    <w:rsid w:val="00C36DEA"/>
    <w:rPr>
      <w:color w:val="0000FF"/>
      <w:u w:val="single"/>
    </w:rPr>
  </w:style>
  <w:style w:type="character" w:customStyle="1" w:styleId="apple-converted-space">
    <w:name w:val="apple-converted-space"/>
    <w:basedOn w:val="DefaultParagraphFont"/>
    <w:rsid w:val="00C36DEA"/>
  </w:style>
  <w:style w:type="character" w:styleId="CommentReference">
    <w:name w:val="annotation reference"/>
    <w:basedOn w:val="DefaultParagraphFont"/>
    <w:uiPriority w:val="99"/>
    <w:semiHidden/>
    <w:unhideWhenUsed/>
    <w:rsid w:val="00F2107B"/>
    <w:rPr>
      <w:sz w:val="18"/>
      <w:szCs w:val="18"/>
    </w:rPr>
  </w:style>
  <w:style w:type="paragraph" w:styleId="CommentText">
    <w:name w:val="annotation text"/>
    <w:basedOn w:val="Normal"/>
    <w:link w:val="CommentTextChar"/>
    <w:uiPriority w:val="99"/>
    <w:semiHidden/>
    <w:unhideWhenUsed/>
    <w:rsid w:val="00F2107B"/>
  </w:style>
  <w:style w:type="character" w:customStyle="1" w:styleId="CommentTextChar">
    <w:name w:val="Comment Text Char"/>
    <w:basedOn w:val="DefaultParagraphFont"/>
    <w:link w:val="CommentText"/>
    <w:uiPriority w:val="99"/>
    <w:semiHidden/>
    <w:rsid w:val="00F2107B"/>
  </w:style>
  <w:style w:type="paragraph" w:styleId="CommentSubject">
    <w:name w:val="annotation subject"/>
    <w:basedOn w:val="CommentText"/>
    <w:next w:val="CommentText"/>
    <w:link w:val="CommentSubjectChar"/>
    <w:uiPriority w:val="99"/>
    <w:semiHidden/>
    <w:unhideWhenUsed/>
    <w:rsid w:val="00F2107B"/>
    <w:rPr>
      <w:b/>
      <w:bCs/>
      <w:sz w:val="20"/>
      <w:szCs w:val="20"/>
    </w:rPr>
  </w:style>
  <w:style w:type="character" w:customStyle="1" w:styleId="CommentSubjectChar">
    <w:name w:val="Comment Subject Char"/>
    <w:basedOn w:val="CommentTextChar"/>
    <w:link w:val="CommentSubject"/>
    <w:uiPriority w:val="99"/>
    <w:semiHidden/>
    <w:rsid w:val="00F2107B"/>
    <w:rPr>
      <w:b/>
      <w:bCs/>
      <w:sz w:val="20"/>
      <w:szCs w:val="20"/>
    </w:rPr>
  </w:style>
  <w:style w:type="paragraph" w:styleId="Header">
    <w:name w:val="header"/>
    <w:basedOn w:val="Normal"/>
    <w:link w:val="HeaderChar"/>
    <w:uiPriority w:val="99"/>
    <w:unhideWhenUsed/>
    <w:rsid w:val="00A06A27"/>
    <w:pPr>
      <w:tabs>
        <w:tab w:val="center" w:pos="4320"/>
        <w:tab w:val="right" w:pos="8640"/>
      </w:tabs>
    </w:pPr>
  </w:style>
  <w:style w:type="character" w:customStyle="1" w:styleId="HeaderChar">
    <w:name w:val="Header Char"/>
    <w:basedOn w:val="DefaultParagraphFont"/>
    <w:link w:val="Header"/>
    <w:uiPriority w:val="99"/>
    <w:rsid w:val="00A06A27"/>
  </w:style>
  <w:style w:type="paragraph" w:styleId="Footer">
    <w:name w:val="footer"/>
    <w:basedOn w:val="Normal"/>
    <w:link w:val="FooterChar"/>
    <w:uiPriority w:val="99"/>
    <w:unhideWhenUsed/>
    <w:rsid w:val="00A06A27"/>
    <w:pPr>
      <w:tabs>
        <w:tab w:val="center" w:pos="4320"/>
        <w:tab w:val="right" w:pos="8640"/>
      </w:tabs>
    </w:pPr>
  </w:style>
  <w:style w:type="character" w:customStyle="1" w:styleId="FooterChar">
    <w:name w:val="Footer Char"/>
    <w:basedOn w:val="DefaultParagraphFont"/>
    <w:link w:val="Footer"/>
    <w:uiPriority w:val="99"/>
    <w:rsid w:val="00A06A27"/>
  </w:style>
  <w:style w:type="character" w:styleId="PageNumber">
    <w:name w:val="page number"/>
    <w:basedOn w:val="DefaultParagraphFont"/>
    <w:uiPriority w:val="99"/>
    <w:semiHidden/>
    <w:unhideWhenUsed/>
    <w:rsid w:val="00A06A27"/>
  </w:style>
  <w:style w:type="table" w:styleId="TableGrid">
    <w:name w:val="Table Grid"/>
    <w:basedOn w:val="TableNormal"/>
    <w:uiPriority w:val="59"/>
    <w:rsid w:val="00932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62F0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259">
      <w:bodyDiv w:val="1"/>
      <w:marLeft w:val="0"/>
      <w:marRight w:val="0"/>
      <w:marTop w:val="0"/>
      <w:marBottom w:val="0"/>
      <w:divBdr>
        <w:top w:val="none" w:sz="0" w:space="0" w:color="auto"/>
        <w:left w:val="none" w:sz="0" w:space="0" w:color="auto"/>
        <w:bottom w:val="none" w:sz="0" w:space="0" w:color="auto"/>
        <w:right w:val="none" w:sz="0" w:space="0" w:color="auto"/>
      </w:divBdr>
    </w:div>
    <w:div w:id="183717306">
      <w:bodyDiv w:val="1"/>
      <w:marLeft w:val="0"/>
      <w:marRight w:val="0"/>
      <w:marTop w:val="0"/>
      <w:marBottom w:val="0"/>
      <w:divBdr>
        <w:top w:val="none" w:sz="0" w:space="0" w:color="auto"/>
        <w:left w:val="none" w:sz="0" w:space="0" w:color="auto"/>
        <w:bottom w:val="none" w:sz="0" w:space="0" w:color="auto"/>
        <w:right w:val="none" w:sz="0" w:space="0" w:color="auto"/>
      </w:divBdr>
    </w:div>
    <w:div w:id="620115921">
      <w:bodyDiv w:val="1"/>
      <w:marLeft w:val="0"/>
      <w:marRight w:val="0"/>
      <w:marTop w:val="0"/>
      <w:marBottom w:val="0"/>
      <w:divBdr>
        <w:top w:val="none" w:sz="0" w:space="0" w:color="auto"/>
        <w:left w:val="none" w:sz="0" w:space="0" w:color="auto"/>
        <w:bottom w:val="none" w:sz="0" w:space="0" w:color="auto"/>
        <w:right w:val="none" w:sz="0" w:space="0" w:color="auto"/>
      </w:divBdr>
    </w:div>
    <w:div w:id="1009332297">
      <w:bodyDiv w:val="1"/>
      <w:marLeft w:val="0"/>
      <w:marRight w:val="0"/>
      <w:marTop w:val="0"/>
      <w:marBottom w:val="0"/>
      <w:divBdr>
        <w:top w:val="none" w:sz="0" w:space="0" w:color="auto"/>
        <w:left w:val="none" w:sz="0" w:space="0" w:color="auto"/>
        <w:bottom w:val="none" w:sz="0" w:space="0" w:color="auto"/>
        <w:right w:val="none" w:sz="0" w:space="0" w:color="auto"/>
      </w:divBdr>
    </w:div>
    <w:div w:id="1901477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glossaryDocument" Target="glossary/document.xml"/><Relationship Id="rId8" Type="http://schemas.openxmlformats.org/officeDocument/2006/relationships/endnotes" Target="endnotes.xml"/><Relationship Id="rId18"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E4209D9DD98B4AABEC794B5B491C18"/>
        <w:category>
          <w:name w:val="General"/>
          <w:gallery w:val="placeholder"/>
        </w:category>
        <w:types>
          <w:type w:val="bbPlcHdr"/>
        </w:types>
        <w:behaviors>
          <w:behavior w:val="content"/>
        </w:behaviors>
        <w:guid w:val="{FBAE4B0B-1878-6647-A2B1-A4EABF164B92}"/>
      </w:docPartPr>
      <w:docPartBody>
        <w:p w:rsidR="00B540F5" w:rsidRDefault="00B540F5" w:rsidP="00B540F5">
          <w:pPr>
            <w:pStyle w:val="88E4209D9DD98B4AABEC794B5B491C18"/>
          </w:pPr>
          <w:r>
            <w:t>[Type text]</w:t>
          </w:r>
        </w:p>
      </w:docPartBody>
    </w:docPart>
    <w:docPart>
      <w:docPartPr>
        <w:name w:val="3D03FC53FBDD8E47ADA1F8049321DED6"/>
        <w:category>
          <w:name w:val="General"/>
          <w:gallery w:val="placeholder"/>
        </w:category>
        <w:types>
          <w:type w:val="bbPlcHdr"/>
        </w:types>
        <w:behaviors>
          <w:behavior w:val="content"/>
        </w:behaviors>
        <w:guid w:val="{8530D6C3-1507-3C4C-98F2-9CCACF6E3819}"/>
      </w:docPartPr>
      <w:docPartBody>
        <w:p w:rsidR="00B540F5" w:rsidRDefault="00B540F5" w:rsidP="00B540F5">
          <w:pPr>
            <w:pStyle w:val="3D03FC53FBDD8E47ADA1F8049321DED6"/>
          </w:pPr>
          <w:r>
            <w:t>[Type text]</w:t>
          </w:r>
        </w:p>
      </w:docPartBody>
    </w:docPart>
    <w:docPart>
      <w:docPartPr>
        <w:name w:val="ED290E34981AE840ABA2B99FC57CA030"/>
        <w:category>
          <w:name w:val="General"/>
          <w:gallery w:val="placeholder"/>
        </w:category>
        <w:types>
          <w:type w:val="bbPlcHdr"/>
        </w:types>
        <w:behaviors>
          <w:behavior w:val="content"/>
        </w:behaviors>
        <w:guid w:val="{C3EC7779-1494-9042-A443-703B03A2FFB7}"/>
      </w:docPartPr>
      <w:docPartBody>
        <w:p w:rsidR="00B540F5" w:rsidRDefault="00B540F5" w:rsidP="00B540F5">
          <w:pPr>
            <w:pStyle w:val="ED290E34981AE840ABA2B99FC57CA0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F5"/>
    <w:rsid w:val="009E58F4"/>
    <w:rsid w:val="00B5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4209D9DD98B4AABEC794B5B491C18">
    <w:name w:val="88E4209D9DD98B4AABEC794B5B491C18"/>
    <w:rsid w:val="00B540F5"/>
  </w:style>
  <w:style w:type="paragraph" w:customStyle="1" w:styleId="3D03FC53FBDD8E47ADA1F8049321DED6">
    <w:name w:val="3D03FC53FBDD8E47ADA1F8049321DED6"/>
    <w:rsid w:val="00B540F5"/>
  </w:style>
  <w:style w:type="paragraph" w:customStyle="1" w:styleId="ED290E34981AE840ABA2B99FC57CA030">
    <w:name w:val="ED290E34981AE840ABA2B99FC57CA030"/>
    <w:rsid w:val="00B540F5"/>
  </w:style>
  <w:style w:type="paragraph" w:customStyle="1" w:styleId="33D58CA03AA627409F85447A6C5D968D">
    <w:name w:val="33D58CA03AA627409F85447A6C5D968D"/>
    <w:rsid w:val="00B540F5"/>
  </w:style>
  <w:style w:type="paragraph" w:customStyle="1" w:styleId="5DB734BD2EF09347A2B5391CF8857262">
    <w:name w:val="5DB734BD2EF09347A2B5391CF8857262"/>
    <w:rsid w:val="00B540F5"/>
  </w:style>
  <w:style w:type="paragraph" w:customStyle="1" w:styleId="37E6D64900A31243B3F2DDFFA0D2F427">
    <w:name w:val="37E6D64900A31243B3F2DDFFA0D2F427"/>
    <w:rsid w:val="00B540F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4209D9DD98B4AABEC794B5B491C18">
    <w:name w:val="88E4209D9DD98B4AABEC794B5B491C18"/>
    <w:rsid w:val="00B540F5"/>
  </w:style>
  <w:style w:type="paragraph" w:customStyle="1" w:styleId="3D03FC53FBDD8E47ADA1F8049321DED6">
    <w:name w:val="3D03FC53FBDD8E47ADA1F8049321DED6"/>
    <w:rsid w:val="00B540F5"/>
  </w:style>
  <w:style w:type="paragraph" w:customStyle="1" w:styleId="ED290E34981AE840ABA2B99FC57CA030">
    <w:name w:val="ED290E34981AE840ABA2B99FC57CA030"/>
    <w:rsid w:val="00B540F5"/>
  </w:style>
  <w:style w:type="paragraph" w:customStyle="1" w:styleId="33D58CA03AA627409F85447A6C5D968D">
    <w:name w:val="33D58CA03AA627409F85447A6C5D968D"/>
    <w:rsid w:val="00B540F5"/>
  </w:style>
  <w:style w:type="paragraph" w:customStyle="1" w:styleId="5DB734BD2EF09347A2B5391CF8857262">
    <w:name w:val="5DB734BD2EF09347A2B5391CF8857262"/>
    <w:rsid w:val="00B540F5"/>
  </w:style>
  <w:style w:type="paragraph" w:customStyle="1" w:styleId="37E6D64900A31243B3F2DDFFA0D2F427">
    <w:name w:val="37E6D64900A31243B3F2DDFFA0D2F427"/>
    <w:rsid w:val="00B54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59CE7B3065B469C07EAF4D87CAA77" ma:contentTypeVersion="135" ma:contentTypeDescription="" ma:contentTypeScope="" ma:versionID="523b28fd6f45d40f736895252ce8b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2013-10-02T07:00:00+00:00</OpenedDate>
    <Date1 xmlns="dc463f71-b30c-4ab2-9473-d307f9d35888">2014-01-31T08:00:00+00:00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323E0D-A80F-4C08-A303-2E8722C3683A}"/>
</file>

<file path=customXml/itemProps2.xml><?xml version="1.0" encoding="utf-8"?>
<ds:datastoreItem xmlns:ds="http://schemas.openxmlformats.org/officeDocument/2006/customXml" ds:itemID="{9AE727B9-6858-4D32-9D4D-5164D21E3550}"/>
</file>

<file path=customXml/itemProps3.xml><?xml version="1.0" encoding="utf-8"?>
<ds:datastoreItem xmlns:ds="http://schemas.openxmlformats.org/officeDocument/2006/customXml" ds:itemID="{B12CCAB3-9F0D-491F-87AA-911DFC0B5061}"/>
</file>

<file path=customXml/itemProps4.xml><?xml version="1.0" encoding="utf-8"?>
<ds:datastoreItem xmlns:ds="http://schemas.openxmlformats.org/officeDocument/2006/customXml" ds:itemID="{3543F6A6-2C44-8042-82A7-19DF2AA4BF37}"/>
</file>

<file path=customXml/itemProps5.xml><?xml version="1.0" encoding="utf-8"?>
<ds:datastoreItem xmlns:ds="http://schemas.openxmlformats.org/officeDocument/2006/customXml" ds:itemID="{C71BCE85-90F9-45A5-B504-63CBF407A00B}"/>
</file>

<file path=docProps/app.xml><?xml version="1.0" encoding="utf-8"?>
<Properties xmlns="http://schemas.openxmlformats.org/officeDocument/2006/extended-properties" xmlns:vt="http://schemas.openxmlformats.org/officeDocument/2006/docPropsVTypes">
  <Template>Normal.dotm</Template>
  <TotalTime>1</TotalTime>
  <Pages>2</Pages>
  <Words>2227</Words>
  <Characters>12699</Characters>
  <Application>Microsoft Macintosh Word</Application>
  <DocSecurity>0</DocSecurity>
  <Lines>105</Lines>
  <Paragraphs>29</Paragraphs>
  <ScaleCrop>false</ScaleCrop>
  <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Michael O'Brien</cp:lastModifiedBy>
  <cp:revision>5</cp:revision>
  <cp:lastPrinted>2014-02-01T00:47:00Z</cp:lastPrinted>
  <dcterms:created xsi:type="dcterms:W3CDTF">2014-02-01T00:47:00Z</dcterms:created>
  <dcterms:modified xsi:type="dcterms:W3CDTF">2014-02-01T00:48:00Z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0x0101006E56B4D1795A2E4DB2F0B01679ED314A00A2259CE7B3065B469C07EAF4D87CAA77</vt:lpwstr>
  </property>
  <property fmtid="{D5CDD505-2E9C-101B-9397-08002B2CF9AE}" pid="3" name="_docset_NoMedatataSyncRequired">
    <vt:lpwstr>False</vt:lpwstr>
  </property>
</Properties>
</file>