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w:t>
      </w:r>
      <w:r w:rsidR="00A4037C">
        <w:t>1</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w:t>
      </w:r>
      <w:r w:rsidR="00A4037C">
        <w:t>1</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address">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t>
        </w:r>
        <w:smartTag w:uri="urn:schemas-microsoft-com:office:smarttags" w:element="State">
          <w:r w:rsidRPr="005540EB">
            <w:rPr>
              <w:rFonts w:ascii="Times New Roman" w:hAnsi="Times New Roman" w:cs="Times New Roman"/>
            </w:rPr>
            <w:t>Washington</w:t>
          </w:r>
        </w:smartTag>
      </w:smartTag>
      <w:r w:rsidRPr="005540EB">
        <w:rPr>
          <w:rFonts w:ascii="Times New Roman" w:hAnsi="Times New Roman" w:cs="Times New Roman"/>
        </w:rPr>
        <w:t xml:space="preserve">.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A4037C" w:rsidRDefault="005540EB" w:rsidP="00A4037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4037C" w:rsidRPr="005540EB">
        <w:rPr>
          <w:rFonts w:ascii="Times New Roman" w:hAnsi="Times New Roman" w:cs="Times New Roman"/>
        </w:rPr>
        <w:t xml:space="preserve">I am a </w:t>
      </w:r>
      <w:r w:rsidR="00A4037C">
        <w:rPr>
          <w:rFonts w:ascii="Times New Roman" w:hAnsi="Times New Roman" w:cs="Times New Roman"/>
        </w:rPr>
        <w:t>1995</w:t>
      </w:r>
      <w:r w:rsidR="00A4037C" w:rsidRPr="005540EB">
        <w:rPr>
          <w:rFonts w:ascii="Times New Roman" w:hAnsi="Times New Roman" w:cs="Times New Roman"/>
        </w:rPr>
        <w:t xml:space="preserve"> graduate of </w:t>
      </w:r>
      <w:r w:rsidR="00A4037C">
        <w:rPr>
          <w:rFonts w:ascii="Times New Roman" w:hAnsi="Times New Roman" w:cs="Times New Roman"/>
        </w:rPr>
        <w:t>Gonzaga</w:t>
      </w:r>
      <w:r w:rsidR="00A4037C" w:rsidRPr="005540EB">
        <w:rPr>
          <w:rFonts w:ascii="Times New Roman" w:hAnsi="Times New Roman" w:cs="Times New Roman"/>
        </w:rPr>
        <w:t xml:space="preserve"> </w:t>
      </w:r>
      <w:smartTag w:uri="urn:schemas-microsoft-com:office:smarttags" w:element="PlaceType">
        <w:r w:rsidR="00A4037C" w:rsidRPr="005540EB">
          <w:rPr>
            <w:rFonts w:ascii="Times New Roman" w:hAnsi="Times New Roman" w:cs="Times New Roman"/>
          </w:rPr>
          <w:t>University</w:t>
        </w:r>
      </w:smartTag>
      <w:r w:rsidR="00A4037C" w:rsidRPr="005540EB">
        <w:rPr>
          <w:rFonts w:ascii="Times New Roman" w:hAnsi="Times New Roman" w:cs="Times New Roman"/>
        </w:rPr>
        <w:t xml:space="preserve"> with </w:t>
      </w:r>
      <w:r w:rsidR="00A4037C">
        <w:rPr>
          <w:rFonts w:ascii="Times New Roman" w:hAnsi="Times New Roman" w:cs="Times New Roman"/>
        </w:rPr>
        <w:t>a Bachelors degree</w:t>
      </w:r>
      <w:r w:rsidR="00A4037C" w:rsidRPr="005540EB">
        <w:rPr>
          <w:rFonts w:ascii="Times New Roman" w:hAnsi="Times New Roman" w:cs="Times New Roman"/>
        </w:rPr>
        <w:t xml:space="preserve"> in Business Administration</w:t>
      </w:r>
      <w:r w:rsidR="00A4037C">
        <w:rPr>
          <w:rFonts w:ascii="Times New Roman" w:hAnsi="Times New Roman" w:cs="Times New Roman"/>
        </w:rPr>
        <w:t>.  In 1997 I graduated from Gonzaga University with a Masters degree in Business Administration</w:t>
      </w:r>
      <w:r w:rsidR="00A4037C" w:rsidRPr="005540EB">
        <w:rPr>
          <w:rFonts w:ascii="Times New Roman" w:hAnsi="Times New Roman" w:cs="Times New Roman"/>
        </w:rPr>
        <w:t>.</w:t>
      </w:r>
      <w:r w:rsidR="00A4037C">
        <w:rPr>
          <w:rFonts w:ascii="Times New Roman" w:hAnsi="Times New Roman" w:cs="Times New Roman"/>
        </w:rPr>
        <w:t xml:space="preserve">  I started with Avista in April 1997 as a Resource Management Analyst in the Company’s DSM department.  Later, I became a Program Manager, responsible for energy efficiency program offerings for the Company’s educational </w:t>
      </w:r>
      <w:r w:rsidR="00A4037C" w:rsidRPr="00BF6CAC">
        <w:rPr>
          <w:rFonts w:ascii="Times New Roman" w:hAnsi="Times New Roman" w:cs="Times New Roman"/>
        </w:rPr>
        <w:t xml:space="preserve">and governmental customers.  </w:t>
      </w:r>
      <w:r w:rsidR="00A4037C">
        <w:rPr>
          <w:rFonts w:ascii="Times New Roman" w:hAnsi="Times New Roman" w:cs="Times New Roman"/>
        </w:rPr>
        <w:t>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A4037C" w:rsidRDefault="00A4037C" w:rsidP="00A4037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 in 2007.  Responsibilities in this role included being the discovery coordinator for the Company’s rate cases</w:t>
      </w:r>
      <w:r w:rsidR="00E54BA8">
        <w:rPr>
          <w:rFonts w:ascii="Times New Roman" w:hAnsi="Times New Roman" w:cs="Times New Roman"/>
        </w:rPr>
        <w:t xml:space="preserve">, line extension policy tariffs, as well as miscellaneous regulatory </w:t>
      </w:r>
      <w:r w:rsidR="00E54BA8">
        <w:rPr>
          <w:rFonts w:ascii="Times New Roman" w:hAnsi="Times New Roman" w:cs="Times New Roman"/>
        </w:rPr>
        <w:lastRenderedPageBreak/>
        <w:t xml:space="preserve">issues.  </w:t>
      </w:r>
      <w:r>
        <w:rPr>
          <w:rFonts w:ascii="Times New Roman" w:hAnsi="Times New Roman" w:cs="Times New Roman"/>
        </w:rPr>
        <w:t>In November 2009, I was promoted to my current role.</w:t>
      </w:r>
    </w:p>
    <w:p w:rsidR="005540EB" w:rsidRPr="00A4037C" w:rsidRDefault="005540EB" w:rsidP="00A4037C">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this proceeding will cover the spread of the proposed annual electric revenue increase of $</w:t>
      </w:r>
      <w:r w:rsidR="004940D3" w:rsidRPr="000A6734">
        <w:rPr>
          <w:rFonts w:ascii="Times New Roman" w:hAnsi="Times New Roman" w:cs="Times New Roman"/>
        </w:rPr>
        <w:t>38,</w:t>
      </w:r>
      <w:r w:rsidR="000A6734" w:rsidRPr="000A6734">
        <w:rPr>
          <w:rFonts w:ascii="Times New Roman" w:hAnsi="Times New Roman" w:cs="Times New Roman"/>
        </w:rPr>
        <w:t>274</w:t>
      </w:r>
      <w:r w:rsidR="004940D3" w:rsidRPr="000A6734">
        <w:rPr>
          <w:rFonts w:ascii="Times New Roman" w:hAnsi="Times New Roman" w:cs="Times New Roman"/>
        </w:rPr>
        <w:t>,000</w:t>
      </w:r>
      <w:r w:rsidRPr="000A6734">
        <w:rPr>
          <w:rFonts w:ascii="Times New Roman" w:hAnsi="Times New Roman" w:cs="Times New Roman"/>
        </w:rPr>
        <w:t xml:space="preserve">, or </w:t>
      </w:r>
      <w:r w:rsidR="004940D3" w:rsidRPr="000A6734">
        <w:rPr>
          <w:rFonts w:ascii="Times New Roman" w:hAnsi="Times New Roman" w:cs="Times New Roman"/>
        </w:rPr>
        <w:t>9.</w:t>
      </w:r>
      <w:r w:rsidR="000A6734" w:rsidRPr="000A6734">
        <w:rPr>
          <w:rFonts w:ascii="Times New Roman" w:hAnsi="Times New Roman" w:cs="Times New Roman"/>
        </w:rPr>
        <w:t>1</w:t>
      </w:r>
      <w:r w:rsidRPr="000A6734">
        <w:rPr>
          <w:rFonts w:ascii="Times New Roman" w:hAnsi="Times New Roman" w:cs="Times New Roman"/>
        </w:rPr>
        <w:t xml:space="preserve">%, among the Company’s electric general service schedules.  </w:t>
      </w:r>
      <w:r w:rsidR="00894CE2" w:rsidRPr="000A6734">
        <w:rPr>
          <w:rFonts w:ascii="Times New Roman" w:hAnsi="Times New Roman" w:cs="Times New Roman"/>
        </w:rPr>
        <w:t xml:space="preserve">This represents an overall increase of </w:t>
      </w:r>
      <w:r w:rsidR="004940D3" w:rsidRPr="000A6734">
        <w:rPr>
          <w:rFonts w:ascii="Times New Roman" w:hAnsi="Times New Roman" w:cs="Times New Roman"/>
        </w:rPr>
        <w:t>8.</w:t>
      </w:r>
      <w:r w:rsidR="00133769" w:rsidRPr="000A6734">
        <w:rPr>
          <w:rFonts w:ascii="Times New Roman" w:hAnsi="Times New Roman" w:cs="Times New Roman"/>
        </w:rPr>
        <w:t>7</w:t>
      </w:r>
      <w:r w:rsidR="00944313" w:rsidRPr="000A6734">
        <w:rPr>
          <w:rFonts w:ascii="Times New Roman" w:hAnsi="Times New Roman" w:cs="Times New Roman"/>
        </w:rPr>
        <w:t>%</w:t>
      </w:r>
      <w:r w:rsidR="00894CE2" w:rsidRPr="000A6734">
        <w:rPr>
          <w:rFonts w:ascii="Times New Roman" w:hAnsi="Times New Roman" w:cs="Times New Roman"/>
        </w:rPr>
        <w:t xml:space="preserve"> in billed</w:t>
      </w:r>
      <w:r w:rsidR="00147D24" w:rsidRPr="000A6734">
        <w:rPr>
          <w:rFonts w:ascii="Times New Roman" w:hAnsi="Times New Roman" w:cs="Times New Roman"/>
        </w:rPr>
        <w:t xml:space="preserve"> revenues</w:t>
      </w:r>
      <w:r w:rsidR="00894CE2" w:rsidRPr="000A6734">
        <w:rPr>
          <w:rFonts w:ascii="Times New Roman" w:hAnsi="Times New Roman" w:cs="Times New Roman"/>
        </w:rPr>
        <w:t xml:space="preserve"> as explained below.  </w:t>
      </w:r>
      <w:r w:rsidRPr="000A6734">
        <w:rPr>
          <w:rFonts w:ascii="Times New Roman" w:hAnsi="Times New Roman" w:cs="Times New Roman"/>
        </w:rPr>
        <w:t xml:space="preserve">With regard to natural gas service, I will describe the spread of the proposed annual revenue increase of </w:t>
      </w:r>
      <w:r w:rsidR="00DF1AB0" w:rsidRPr="000A6734">
        <w:rPr>
          <w:rFonts w:ascii="Times New Roman" w:hAnsi="Times New Roman" w:cs="Times New Roman"/>
        </w:rPr>
        <w:t>$</w:t>
      </w:r>
      <w:r w:rsidR="004940D3" w:rsidRPr="000A6734">
        <w:rPr>
          <w:rFonts w:ascii="Times New Roman" w:hAnsi="Times New Roman" w:cs="Times New Roman"/>
        </w:rPr>
        <w:t>6,2</w:t>
      </w:r>
      <w:r w:rsidR="00133769" w:rsidRPr="000A6734">
        <w:rPr>
          <w:rFonts w:ascii="Times New Roman" w:hAnsi="Times New Roman" w:cs="Times New Roman"/>
        </w:rPr>
        <w:t>07</w:t>
      </w:r>
      <w:r w:rsidR="004940D3" w:rsidRPr="000A6734">
        <w:rPr>
          <w:rFonts w:ascii="Times New Roman" w:hAnsi="Times New Roman" w:cs="Times New Roman"/>
        </w:rPr>
        <w:t>,000</w:t>
      </w:r>
      <w:r w:rsidRPr="000A6734">
        <w:rPr>
          <w:rFonts w:ascii="Times New Roman" w:hAnsi="Times New Roman" w:cs="Times New Roman"/>
        </w:rPr>
        <w:t xml:space="preserve">, or </w:t>
      </w:r>
      <w:r w:rsidR="004940D3" w:rsidRPr="000A6734">
        <w:rPr>
          <w:rFonts w:ascii="Times New Roman" w:hAnsi="Times New Roman" w:cs="Times New Roman"/>
        </w:rPr>
        <w:t>4.0</w:t>
      </w:r>
      <w:r w:rsidRPr="000A6734">
        <w:rPr>
          <w:rFonts w:ascii="Times New Roman" w:hAnsi="Times New Roman" w:cs="Times New Roman"/>
        </w:rPr>
        <w:t>%</w:t>
      </w:r>
      <w:r w:rsidR="004940D3" w:rsidRPr="000A6734">
        <w:rPr>
          <w:rStyle w:val="FootnoteReference"/>
          <w:rFonts w:ascii="Times New Roman" w:hAnsi="Times New Roman"/>
        </w:rPr>
        <w:t xml:space="preserve"> </w:t>
      </w:r>
      <w:r w:rsidR="004940D3" w:rsidRPr="000A6734">
        <w:rPr>
          <w:rFonts w:ascii="Times New Roman" w:hAnsi="Times New Roman"/>
        </w:rPr>
        <w:t>on both</w:t>
      </w:r>
      <w:r w:rsidR="004940D3">
        <w:rPr>
          <w:rFonts w:ascii="Times New Roman" w:hAnsi="Times New Roman"/>
        </w:rPr>
        <w:t xml:space="preserve"> a base and billed basis</w:t>
      </w:r>
      <w:r w:rsidRPr="004940D3">
        <w:rPr>
          <w:rFonts w:ascii="Times New Roman" w:hAnsi="Times New Roman" w:cs="Times New Roman"/>
        </w:rPr>
        <w:t xml:space="preserve">, </w:t>
      </w:r>
      <w:r w:rsidRPr="005540EB">
        <w:rPr>
          <w:rFonts w:ascii="Times New Roman" w:hAnsi="Times New Roman" w:cs="Times New Roman"/>
        </w:rPr>
        <w:t>among the Company’s natural gas service schedules.  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w:t>
      </w:r>
      <w:r w:rsidR="00F10C1F">
        <w:rPr>
          <w:rFonts w:ascii="Times New Roman" w:hAnsi="Times New Roman" w:cs="Times New Roman"/>
        </w:rPr>
        <w:t xml:space="preserve"> also</w:t>
      </w:r>
      <w:r w:rsidR="000B6A29">
        <w:rPr>
          <w:rFonts w:ascii="Times New Roman" w:hAnsi="Times New Roman" w:cs="Times New Roman"/>
        </w:rPr>
        <w:t xml:space="preserve"> describe the Company’s proposed Energy Efficiency Load Adjustment</w:t>
      </w:r>
      <w:r w:rsidR="00334F95">
        <w:rPr>
          <w:rFonts w:ascii="Times New Roman" w:hAnsi="Times New Roman" w:cs="Times New Roman"/>
        </w:rPr>
        <w:t xml:space="preserve"> as well as</w:t>
      </w:r>
      <w:r w:rsidR="000B6A29">
        <w:rPr>
          <w:rFonts w:ascii="Times New Roman" w:hAnsi="Times New Roman" w:cs="Times New Roman"/>
        </w:rPr>
        <w:t xml:space="preserve"> address</w:t>
      </w:r>
      <w:r w:rsidR="00F10C1F">
        <w:rPr>
          <w:rFonts w:ascii="Times New Roman" w:hAnsi="Times New Roman" w:cs="Times New Roman"/>
        </w:rPr>
        <w:t xml:space="preserve"> </w:t>
      </w:r>
      <w:r w:rsidR="000B6A29">
        <w:rPr>
          <w:rFonts w:ascii="Times New Roman" w:hAnsi="Times New Roman" w:cs="Times New Roman"/>
        </w:rPr>
        <w:t>the rate schedule applicability in the Company’s Natural Gas Decoupling Mechanism</w:t>
      </w:r>
      <w:r w:rsidR="00334F95">
        <w:rPr>
          <w:rFonts w:ascii="Times New Roman" w:hAnsi="Times New Roman" w:cs="Times New Roman"/>
        </w:rPr>
        <w:t xml:space="preserve">.  Finally, I will </w:t>
      </w:r>
      <w:r w:rsidR="00F10C1F">
        <w:rPr>
          <w:rFonts w:ascii="Times New Roman" w:hAnsi="Times New Roman" w:cs="Times New Roman"/>
        </w:rPr>
        <w:t xml:space="preserve">provide an overview of the items required of the Company in Order No. 7,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UE-100467 and UG-100468</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r w:rsidR="004C2025">
        <w:rPr>
          <w:rFonts w:ascii="Times New Roman" w:hAnsi="Times New Roman" w:cs="Times New Roman"/>
        </w:rPr>
        <w:t>_(</w:t>
      </w:r>
      <w:r w:rsidR="001E65B2">
        <w:rPr>
          <w:rFonts w:ascii="Times New Roman" w:hAnsi="Times New Roman" w:cs="Times New Roman"/>
        </w:rPr>
        <w:t xml:space="preserve">PDE-8) relating to the Company’s proposed Energy Efficiency </w:t>
      </w:r>
      <w:r w:rsidR="00675C4E">
        <w:rPr>
          <w:rFonts w:ascii="Times New Roman" w:hAnsi="Times New Roman" w:cs="Times New Roman"/>
        </w:rPr>
        <w:t>Load Adjustment</w:t>
      </w:r>
      <w:r w:rsidR="001E65B2">
        <w:rPr>
          <w:rFonts w:ascii="Times New Roman" w:hAnsi="Times New Roman" w:cs="Times New Roman"/>
        </w:rPr>
        <w:t xml:space="preserve">. </w:t>
      </w:r>
      <w:r w:rsidR="00916D0F">
        <w:rPr>
          <w:rFonts w:ascii="Times New Roman" w:hAnsi="Times New Roman" w:cs="Times New Roman"/>
        </w:rPr>
        <w:t xml:space="preserve">These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8E580F">
      <w:pPr>
        <w:numPr>
          <w:ilvl w:val="0"/>
          <w:numId w:val="33"/>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r>
      <w:r w:rsidRPr="00593603">
        <w:rPr>
          <w:bCs/>
          <w:szCs w:val="22"/>
        </w:rPr>
        <w:t>1</w:t>
      </w:r>
    </w:p>
    <w:p w:rsidR="007645E8" w:rsidRPr="00593603" w:rsidRDefault="007645E8" w:rsidP="005A10A8">
      <w:pPr>
        <w:tabs>
          <w:tab w:val="left" w:pos="810"/>
          <w:tab w:val="left" w:pos="1440"/>
          <w:tab w:val="left" w:pos="6120"/>
          <w:tab w:val="left" w:pos="7920"/>
        </w:tabs>
        <w:ind w:left="720" w:right="-720"/>
        <w:rPr>
          <w:bCs/>
          <w:szCs w:val="22"/>
        </w:rPr>
      </w:pPr>
    </w:p>
    <w:p w:rsidR="005540EB" w:rsidRPr="003E2C1F" w:rsidRDefault="004E4650" w:rsidP="008E580F">
      <w:pPr>
        <w:numPr>
          <w:ilvl w:val="0"/>
          <w:numId w:val="33"/>
        </w:numPr>
        <w:tabs>
          <w:tab w:val="right" w:pos="810"/>
          <w:tab w:val="left" w:pos="1440"/>
          <w:tab w:val="left" w:pos="6120"/>
          <w:tab w:val="left" w:pos="7920"/>
          <w:tab w:val="left" w:pos="8100"/>
        </w:tabs>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B312FA" w:rsidRPr="003E2C1F">
        <w:rPr>
          <w:bCs/>
          <w:szCs w:val="22"/>
        </w:rPr>
        <w:t>3</w:t>
      </w:r>
    </w:p>
    <w:p w:rsidR="007645E8" w:rsidRPr="003E2C1F" w:rsidRDefault="007645E8" w:rsidP="005A10A8">
      <w:pPr>
        <w:tabs>
          <w:tab w:val="left" w:pos="810"/>
          <w:tab w:val="left" w:pos="1440"/>
        </w:tabs>
        <w:ind w:left="720" w:right="-720"/>
        <w:rPr>
          <w:bCs/>
          <w:szCs w:val="22"/>
        </w:rPr>
      </w:pP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593603" w:rsidRPr="003E2C1F">
        <w:rPr>
          <w:bCs/>
          <w:szCs w:val="22"/>
        </w:rPr>
        <w:t>5</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31526F" w:rsidRPr="003E2C1F">
        <w:rPr>
          <w:bCs/>
          <w:szCs w:val="22"/>
        </w:rPr>
        <w:t>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31526F" w:rsidRPr="003E2C1F">
        <w:rPr>
          <w:bCs/>
          <w:szCs w:val="22"/>
        </w:rPr>
        <w:t>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31526F" w:rsidRPr="003E2C1F">
        <w:rPr>
          <w:bCs/>
          <w:szCs w:val="22"/>
        </w:rPr>
        <w:t>21</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31526F" w:rsidRPr="003E2C1F">
        <w:rPr>
          <w:bCs/>
          <w:szCs w:val="22"/>
        </w:rPr>
        <w:t>2</w:t>
      </w:r>
      <w:r w:rsidR="003E2C1F">
        <w:rPr>
          <w:bCs/>
          <w:szCs w:val="22"/>
        </w:rPr>
        <w:t>3</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31526F" w:rsidRPr="003E2C1F">
        <w:rPr>
          <w:bCs/>
          <w:szCs w:val="22"/>
        </w:rPr>
        <w:t>2</w:t>
      </w:r>
      <w:r w:rsidR="00C07A93">
        <w:rPr>
          <w:bCs/>
          <w:szCs w:val="22"/>
        </w:rPr>
        <w:t>5</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F10C1F">
      <w:pPr>
        <w:numPr>
          <w:ilvl w:val="0"/>
          <w:numId w:val="33"/>
        </w:numPr>
        <w:tabs>
          <w:tab w:val="left" w:pos="1440"/>
        </w:tabs>
        <w:ind w:right="-720"/>
        <w:rPr>
          <w:bCs/>
          <w:szCs w:val="22"/>
        </w:rPr>
      </w:pPr>
      <w:r w:rsidRPr="003E2C1F">
        <w:rPr>
          <w:bCs/>
          <w:szCs w:val="22"/>
        </w:rPr>
        <w:t>Basic Charge</w:t>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00C07A93">
        <w:rPr>
          <w:bCs/>
          <w:szCs w:val="22"/>
        </w:rPr>
        <w:t>30</w:t>
      </w:r>
    </w:p>
    <w:p w:rsidR="00F10C1F" w:rsidRPr="003E2C1F" w:rsidRDefault="00F10C1F" w:rsidP="00F10C1F">
      <w:pPr>
        <w:tabs>
          <w:tab w:val="left" w:pos="1440"/>
        </w:tabs>
        <w:ind w:left="720" w:right="-720"/>
        <w:rPr>
          <w:bCs/>
          <w:szCs w:val="22"/>
        </w:rPr>
      </w:pPr>
    </w:p>
    <w:p w:rsidR="00C01292" w:rsidRPr="003E2C1F" w:rsidRDefault="002F3BC3" w:rsidP="008E580F">
      <w:pPr>
        <w:numPr>
          <w:ilvl w:val="0"/>
          <w:numId w:val="33"/>
        </w:numPr>
        <w:tabs>
          <w:tab w:val="left" w:pos="1440"/>
        </w:tabs>
        <w:ind w:right="-720"/>
        <w:rPr>
          <w:bCs/>
          <w:szCs w:val="22"/>
        </w:rPr>
      </w:pPr>
      <w:r w:rsidRPr="003E2C1F">
        <w:rPr>
          <w:bCs/>
          <w:szCs w:val="22"/>
        </w:rPr>
        <w:t>Energy Efficiency Load Adjustment</w:t>
      </w:r>
      <w:r w:rsidR="004F713F" w:rsidRPr="003E2C1F">
        <w:rPr>
          <w:bCs/>
          <w:szCs w:val="22"/>
        </w:rPr>
        <w:tab/>
      </w:r>
      <w:r w:rsidR="00C01292" w:rsidRPr="003E2C1F">
        <w:rPr>
          <w:bCs/>
          <w:szCs w:val="22"/>
        </w:rPr>
        <w:tab/>
      </w:r>
      <w:r w:rsidR="00C01292" w:rsidRPr="003E2C1F">
        <w:rPr>
          <w:bCs/>
          <w:szCs w:val="22"/>
        </w:rPr>
        <w:tab/>
      </w:r>
      <w:r w:rsidR="00C01292" w:rsidRPr="003E2C1F">
        <w:rPr>
          <w:bCs/>
          <w:szCs w:val="22"/>
        </w:rPr>
        <w:tab/>
        <w:t xml:space="preserve">           </w:t>
      </w:r>
      <w:r w:rsidR="00C07A93">
        <w:rPr>
          <w:bCs/>
          <w:szCs w:val="22"/>
        </w:rPr>
        <w:t xml:space="preserve"> 38</w:t>
      </w:r>
    </w:p>
    <w:p w:rsidR="00D64945" w:rsidRPr="003E2C1F" w:rsidRDefault="00D64945" w:rsidP="00F10C1F">
      <w:pPr>
        <w:tabs>
          <w:tab w:val="left" w:pos="1440"/>
        </w:tabs>
        <w:ind w:right="-720"/>
        <w:rPr>
          <w:bCs/>
          <w:szCs w:val="22"/>
        </w:rPr>
      </w:pPr>
    </w:p>
    <w:p w:rsidR="00D64945" w:rsidRPr="003E2C1F" w:rsidRDefault="002F3BC3" w:rsidP="008E580F">
      <w:pPr>
        <w:numPr>
          <w:ilvl w:val="0"/>
          <w:numId w:val="33"/>
        </w:numPr>
        <w:tabs>
          <w:tab w:val="left" w:pos="1440"/>
        </w:tabs>
        <w:ind w:right="-720"/>
        <w:rPr>
          <w:bCs/>
          <w:szCs w:val="22"/>
        </w:rPr>
      </w:pPr>
      <w:r w:rsidRPr="003E2C1F">
        <w:rPr>
          <w:bCs/>
          <w:szCs w:val="22"/>
        </w:rPr>
        <w:t xml:space="preserve">Natural Gas </w:t>
      </w:r>
      <w:r w:rsidR="004F713F" w:rsidRPr="003E2C1F">
        <w:rPr>
          <w:bCs/>
          <w:szCs w:val="22"/>
        </w:rPr>
        <w:t>Decoupling Rate Schedule Applicability</w:t>
      </w:r>
      <w:r w:rsidR="004F713F" w:rsidRPr="003E2C1F">
        <w:rPr>
          <w:bCs/>
          <w:szCs w:val="22"/>
        </w:rPr>
        <w:tab/>
      </w:r>
      <w:r w:rsidR="00D64945" w:rsidRPr="003E2C1F">
        <w:rPr>
          <w:bCs/>
          <w:szCs w:val="22"/>
        </w:rPr>
        <w:tab/>
      </w:r>
      <w:r w:rsidR="00C07A93">
        <w:rPr>
          <w:bCs/>
          <w:szCs w:val="22"/>
        </w:rPr>
        <w:t>47</w:t>
      </w:r>
    </w:p>
    <w:p w:rsidR="002F3BC3" w:rsidRPr="003E2C1F" w:rsidRDefault="002F3BC3" w:rsidP="002F3BC3">
      <w:pPr>
        <w:pStyle w:val="ListParagraph"/>
        <w:rPr>
          <w:bCs/>
          <w:szCs w:val="22"/>
        </w:rPr>
      </w:pPr>
    </w:p>
    <w:p w:rsidR="002F3BC3" w:rsidRPr="00916D0F" w:rsidRDefault="00AD03A5" w:rsidP="008E580F">
      <w:pPr>
        <w:numPr>
          <w:ilvl w:val="0"/>
          <w:numId w:val="33"/>
        </w:numPr>
        <w:tabs>
          <w:tab w:val="left" w:pos="1440"/>
        </w:tabs>
        <w:ind w:right="-720"/>
        <w:rPr>
          <w:bCs/>
          <w:szCs w:val="22"/>
        </w:rPr>
      </w:pPr>
      <w:r w:rsidRPr="003E2C1F">
        <w:rPr>
          <w:bCs/>
          <w:szCs w:val="22"/>
        </w:rPr>
        <w:t xml:space="preserve">Summary of UE-100467/UG-100468 Order </w:t>
      </w:r>
      <w:proofErr w:type="spellStart"/>
      <w:r w:rsidR="000E2E27" w:rsidRPr="003E2C1F">
        <w:rPr>
          <w:bCs/>
          <w:szCs w:val="22"/>
        </w:rPr>
        <w:t>No.</w:t>
      </w:r>
      <w:r w:rsidRPr="003E2C1F">
        <w:rPr>
          <w:bCs/>
          <w:szCs w:val="22"/>
        </w:rPr>
        <w:t>7</w:t>
      </w:r>
      <w:proofErr w:type="spellEnd"/>
      <w:r w:rsidRPr="003E2C1F">
        <w:rPr>
          <w:bCs/>
          <w:szCs w:val="22"/>
        </w:rPr>
        <w:t xml:space="preserve"> Requirements</w:t>
      </w:r>
      <w:r w:rsidR="004E4650" w:rsidRPr="003E2C1F">
        <w:rPr>
          <w:bCs/>
          <w:szCs w:val="22"/>
        </w:rPr>
        <w:tab/>
      </w:r>
      <w:r w:rsidR="00C07A93">
        <w:rPr>
          <w:bCs/>
          <w:szCs w:val="22"/>
        </w:rPr>
        <w:t>49</w:t>
      </w:r>
      <w:r w:rsidR="004E4650">
        <w:rPr>
          <w:bCs/>
          <w:szCs w:val="22"/>
        </w:rPr>
        <w:tab/>
      </w:r>
    </w:p>
    <w:p w:rsidR="00944313" w:rsidRDefault="00944313"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5540E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What is the proposed electric revenue increase in this case and how is the Company proposing to spread the total increase by rate schedule?</w:t>
      </w:r>
    </w:p>
    <w:p w:rsidR="00524793" w:rsidRPr="00936BE1" w:rsidRDefault="005540EB" w:rsidP="00711833">
      <w:pPr>
        <w:pStyle w:val="P31"/>
        <w:numPr>
          <w:ilvl w:val="0"/>
          <w:numId w:val="32"/>
        </w:numPr>
        <w:tabs>
          <w:tab w:val="clear" w:pos="2160"/>
          <w:tab w:val="num" w:pos="2340"/>
        </w:tabs>
        <w:ind w:left="0" w:firstLine="720"/>
        <w:jc w:val="both"/>
        <w:rPr>
          <w:rFonts w:ascii="Times New Roman" w:hAnsi="Times New Roman" w:cs="Times New Roman"/>
        </w:rPr>
      </w:pPr>
      <w:r w:rsidRPr="00B5246C">
        <w:rPr>
          <w:rFonts w:ascii="Times New Roman" w:hAnsi="Times New Roman" w:cs="Times New Roman"/>
        </w:rPr>
        <w:t xml:space="preserve">The </w:t>
      </w:r>
      <w:r w:rsidRPr="000A6734">
        <w:rPr>
          <w:rFonts w:ascii="Times New Roman" w:hAnsi="Times New Roman" w:cs="Times New Roman"/>
        </w:rPr>
        <w:t xml:space="preserve">proposed electric increase is </w:t>
      </w:r>
      <w:r w:rsidR="00CB3A2C" w:rsidRPr="000A6734">
        <w:rPr>
          <w:rFonts w:ascii="Times New Roman" w:hAnsi="Times New Roman" w:cs="Times New Roman"/>
        </w:rPr>
        <w:t>$</w:t>
      </w:r>
      <w:r w:rsidR="004940D3" w:rsidRPr="000A6734">
        <w:rPr>
          <w:rFonts w:ascii="Times New Roman" w:hAnsi="Times New Roman" w:cs="Times New Roman"/>
        </w:rPr>
        <w:t>38,</w:t>
      </w:r>
      <w:r w:rsidR="000A6734" w:rsidRPr="000A6734">
        <w:rPr>
          <w:rFonts w:ascii="Times New Roman" w:hAnsi="Times New Roman" w:cs="Times New Roman"/>
        </w:rPr>
        <w:t>274</w:t>
      </w:r>
      <w:r w:rsidR="004940D3" w:rsidRPr="000A6734">
        <w:rPr>
          <w:rFonts w:ascii="Times New Roman" w:hAnsi="Times New Roman" w:cs="Times New Roman"/>
        </w:rPr>
        <w:t>,000</w:t>
      </w:r>
      <w:r w:rsidR="00CB3A2C" w:rsidRPr="000A6734">
        <w:rPr>
          <w:rFonts w:ascii="Times New Roman" w:hAnsi="Times New Roman" w:cs="Times New Roman"/>
        </w:rPr>
        <w:t xml:space="preserve">, or </w:t>
      </w:r>
      <w:r w:rsidR="004940D3" w:rsidRPr="000A6734">
        <w:rPr>
          <w:rFonts w:ascii="Times New Roman" w:hAnsi="Times New Roman" w:cs="Times New Roman"/>
        </w:rPr>
        <w:t>9.</w:t>
      </w:r>
      <w:r w:rsidR="000A6734" w:rsidRPr="000A6734">
        <w:rPr>
          <w:rFonts w:ascii="Times New Roman" w:hAnsi="Times New Roman" w:cs="Times New Roman"/>
        </w:rPr>
        <w:t>1</w:t>
      </w:r>
      <w:r w:rsidR="00CB3A2C" w:rsidRPr="000A6734">
        <w:rPr>
          <w:rFonts w:ascii="Times New Roman" w:hAnsi="Times New Roman" w:cs="Times New Roman"/>
        </w:rPr>
        <w:t xml:space="preserve">% </w:t>
      </w:r>
      <w:r w:rsidRPr="000A6734">
        <w:rPr>
          <w:rFonts w:ascii="Times New Roman" w:hAnsi="Times New Roman" w:cs="Times New Roman"/>
        </w:rPr>
        <w:t xml:space="preserve">over present </w:t>
      </w:r>
      <w:r w:rsidRPr="000A6734">
        <w:rPr>
          <w:rFonts w:ascii="Times New Roman" w:hAnsi="Times New Roman" w:cs="Times New Roman"/>
          <w:u w:val="single"/>
        </w:rPr>
        <w:t>base</w:t>
      </w:r>
      <w:r w:rsidRPr="000A6734">
        <w:rPr>
          <w:rFonts w:ascii="Times New Roman" w:hAnsi="Times New Roman" w:cs="Times New Roman"/>
        </w:rPr>
        <w:t xml:space="preserve"> tariff rates in effect.  The proposed general increase over present </w:t>
      </w:r>
      <w:r w:rsidRPr="000A6734">
        <w:rPr>
          <w:rStyle w:val="T5"/>
          <w:rFonts w:ascii="Times New Roman" w:hAnsi="Times New Roman" w:cs="Times New Roman"/>
        </w:rPr>
        <w:t>billing</w:t>
      </w:r>
      <w:r w:rsidRPr="000A6734">
        <w:rPr>
          <w:rFonts w:ascii="Times New Roman" w:hAnsi="Times New Roman" w:cs="Times New Roman"/>
        </w:rPr>
        <w:t xml:space="preserve"> rates, including all other rate adjustments (DSM and Residential Exchange), is</w:t>
      </w:r>
      <w:r w:rsidR="00944313" w:rsidRPr="000A6734">
        <w:rPr>
          <w:rFonts w:ascii="Times New Roman" w:hAnsi="Times New Roman" w:cs="Times New Roman"/>
        </w:rPr>
        <w:t xml:space="preserve"> </w:t>
      </w:r>
      <w:r w:rsidR="004940D3" w:rsidRPr="000A6734">
        <w:rPr>
          <w:rFonts w:ascii="Times New Roman" w:hAnsi="Times New Roman" w:cs="Times New Roman"/>
        </w:rPr>
        <w:t>8.</w:t>
      </w:r>
      <w:r w:rsidR="00133769" w:rsidRPr="000A6734">
        <w:rPr>
          <w:rFonts w:ascii="Times New Roman" w:hAnsi="Times New Roman" w:cs="Times New Roman"/>
        </w:rPr>
        <w:t>7</w:t>
      </w:r>
      <w:r w:rsidR="00944313" w:rsidRPr="000A6734">
        <w:rPr>
          <w:rFonts w:ascii="Times New Roman" w:hAnsi="Times New Roman" w:cs="Times New Roman"/>
        </w:rPr>
        <w:t>%.</w:t>
      </w:r>
      <w:r w:rsidRPr="000A6734">
        <w:rPr>
          <w:rFonts w:ascii="Times New Roman" w:hAnsi="Times New Roman" w:cs="Times New Roman"/>
        </w:rPr>
        <w:t xml:space="preserve">  </w:t>
      </w:r>
      <w:r w:rsidR="00B5246C" w:rsidRPr="000A6734">
        <w:rPr>
          <w:rFonts w:ascii="Times New Roman" w:hAnsi="Times New Roman" w:cs="Times New Roman"/>
        </w:rPr>
        <w:t xml:space="preserve"> </w:t>
      </w:r>
      <w:r w:rsidRPr="000A6734">
        <w:rPr>
          <w:rFonts w:ascii="Times New Roman" w:hAnsi="Times New Roman" w:cs="Times New Roman"/>
        </w:rPr>
        <w:t xml:space="preserve">The proposed general increase of </w:t>
      </w:r>
      <w:r w:rsidR="004940D3" w:rsidRPr="000A6734">
        <w:rPr>
          <w:rFonts w:ascii="Times New Roman" w:hAnsi="Times New Roman" w:cs="Times New Roman"/>
        </w:rPr>
        <w:t>$38,</w:t>
      </w:r>
      <w:r w:rsidR="000A6734" w:rsidRPr="000A6734">
        <w:rPr>
          <w:rFonts w:ascii="Times New Roman" w:hAnsi="Times New Roman" w:cs="Times New Roman"/>
        </w:rPr>
        <w:t>274</w:t>
      </w:r>
      <w:r w:rsidR="004940D3" w:rsidRPr="000A6734">
        <w:rPr>
          <w:rFonts w:ascii="Times New Roman" w:hAnsi="Times New Roman" w:cs="Times New Roman"/>
        </w:rPr>
        <w:t xml:space="preserve">,000 </w:t>
      </w:r>
      <w:r w:rsidRPr="000A6734">
        <w:rPr>
          <w:rFonts w:ascii="Times New Roman" w:hAnsi="Times New Roman" w:cs="Times New Roman"/>
        </w:rPr>
        <w:t>has been</w:t>
      </w:r>
      <w:r w:rsidRPr="00B5246C">
        <w:rPr>
          <w:rFonts w:ascii="Times New Roman" w:hAnsi="Times New Roman" w:cs="Times New Roman"/>
        </w:rPr>
        <w:t xml:space="preserve"> spread by rate schedule using the </w:t>
      </w:r>
      <w:r w:rsidR="00545B95">
        <w:rPr>
          <w:rFonts w:ascii="Times New Roman" w:hAnsi="Times New Roman" w:cs="Times New Roman"/>
        </w:rPr>
        <w:t xml:space="preserve">Company’s </w:t>
      </w:r>
      <w:r w:rsidRPr="00B5246C">
        <w:rPr>
          <w:rFonts w:ascii="Times New Roman" w:hAnsi="Times New Roman" w:cs="Times New Roman"/>
        </w:rPr>
        <w:t>cost of service study results</w:t>
      </w:r>
      <w:r w:rsidR="00545B95">
        <w:rPr>
          <w:rFonts w:ascii="Times New Roman" w:hAnsi="Times New Roman" w:cs="Times New Roman"/>
        </w:rPr>
        <w:t>, as discussed by Company witness Ms. Knox,</w:t>
      </w:r>
      <w:r w:rsidRPr="00B5246C">
        <w:rPr>
          <w:rFonts w:ascii="Times New Roman" w:hAnsi="Times New Roman" w:cs="Times New Roman"/>
        </w:rPr>
        <w:t xml:space="preserve"> as a guide.  The proposed percentage increase by rate schedule is as follows:  </w:t>
      </w:r>
      <w:r w:rsidR="00524793">
        <w:br w:type="page"/>
      </w:r>
    </w:p>
    <w:p w:rsidR="005540EB" w:rsidRPr="00B5246C" w:rsidRDefault="001D224A" w:rsidP="00711833">
      <w:pPr>
        <w:pStyle w:val="P31"/>
        <w:jc w:val="both"/>
        <w:rPr>
          <w:rFonts w:ascii="Times New Roman" w:hAnsi="Times New Roman" w:cs="Times New Roman"/>
        </w:rPr>
      </w:pPr>
      <w:r w:rsidRPr="001D224A">
        <w:rPr>
          <w:noProof/>
        </w:rPr>
        <w:lastRenderedPageBreak/>
        <w:drawing>
          <wp:anchor distT="0" distB="0" distL="114300" distR="114300" simplePos="0" relativeHeight="251756032" behindDoc="1" locked="0" layoutInCell="1" allowOverlap="1">
            <wp:simplePos x="0" y="0"/>
            <wp:positionH relativeFrom="column">
              <wp:posOffset>476250</wp:posOffset>
            </wp:positionH>
            <wp:positionV relativeFrom="paragraph">
              <wp:posOffset>-80467</wp:posOffset>
            </wp:positionV>
            <wp:extent cx="5108905" cy="1741018"/>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108905" cy="1741018"/>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0A6734">
        <w:rPr>
          <w:rFonts w:ascii="Times New Roman" w:hAnsi="Times New Roman" w:cs="Times New Roman"/>
        </w:rPr>
        <w:t xml:space="preserve">The proposed increase for a residential customer using an average of </w:t>
      </w:r>
      <w:r w:rsidR="00A44669" w:rsidRPr="000A6734">
        <w:rPr>
          <w:rFonts w:ascii="Times New Roman" w:hAnsi="Times New Roman" w:cs="Times New Roman"/>
        </w:rPr>
        <w:t>977</w:t>
      </w:r>
      <w:r w:rsidRPr="000A6734">
        <w:rPr>
          <w:rFonts w:ascii="Times New Roman" w:hAnsi="Times New Roman" w:cs="Times New Roman"/>
        </w:rPr>
        <w:t xml:space="preserve"> kWhs per month is </w:t>
      </w:r>
      <w:r w:rsidR="00944313" w:rsidRPr="000A6734">
        <w:rPr>
          <w:rFonts w:ascii="Times New Roman" w:hAnsi="Times New Roman" w:cs="Times New Roman"/>
        </w:rPr>
        <w:t>$</w:t>
      </w:r>
      <w:r w:rsidR="00A44669" w:rsidRPr="000A6734">
        <w:rPr>
          <w:rFonts w:ascii="Times New Roman" w:hAnsi="Times New Roman" w:cs="Times New Roman"/>
        </w:rPr>
        <w:t>7.</w:t>
      </w:r>
      <w:r w:rsidR="000A6734" w:rsidRPr="000A6734">
        <w:rPr>
          <w:rFonts w:ascii="Times New Roman" w:hAnsi="Times New Roman" w:cs="Times New Roman"/>
        </w:rPr>
        <w:t>13</w:t>
      </w:r>
      <w:r w:rsidRPr="000A6734">
        <w:rPr>
          <w:rFonts w:ascii="Times New Roman" w:hAnsi="Times New Roman" w:cs="Times New Roman"/>
        </w:rPr>
        <w:t xml:space="preserve"> per month, or a </w:t>
      </w:r>
      <w:r w:rsidR="000A6734" w:rsidRPr="000A6734">
        <w:rPr>
          <w:rFonts w:ascii="Times New Roman" w:hAnsi="Times New Roman" w:cs="Times New Roman"/>
        </w:rPr>
        <w:t>9.3</w:t>
      </w:r>
      <w:r w:rsidR="00944313" w:rsidRPr="000A6734">
        <w:rPr>
          <w:rFonts w:ascii="Times New Roman" w:hAnsi="Times New Roman" w:cs="Times New Roman"/>
        </w:rPr>
        <w:t>%</w:t>
      </w:r>
      <w:r w:rsidRPr="000A6734">
        <w:rPr>
          <w:rFonts w:ascii="Times New Roman" w:hAnsi="Times New Roman" w:cs="Times New Roman"/>
        </w:rPr>
        <w:t xml:space="preserve"> increase in their electric bill</w:t>
      </w:r>
      <w:r w:rsidR="00BC5C99" w:rsidRPr="000A6734">
        <w:rPr>
          <w:rFonts w:ascii="Times New Roman" w:hAnsi="Times New Roman" w:cs="Times New Roman"/>
        </w:rPr>
        <w:t xml:space="preserve">.  </w:t>
      </w:r>
      <w:r w:rsidRPr="000A6734">
        <w:rPr>
          <w:rFonts w:ascii="Times New Roman" w:hAnsi="Times New Roman" w:cs="Times New Roman"/>
        </w:rPr>
        <w:t xml:space="preserve">The present bill for </w:t>
      </w:r>
      <w:r w:rsidR="00A44669" w:rsidRPr="000A6734">
        <w:rPr>
          <w:rFonts w:ascii="Times New Roman" w:hAnsi="Times New Roman" w:cs="Times New Roman"/>
        </w:rPr>
        <w:t>977</w:t>
      </w:r>
      <w:r w:rsidRPr="000A6734">
        <w:rPr>
          <w:rFonts w:ascii="Times New Roman" w:hAnsi="Times New Roman" w:cs="Times New Roman"/>
        </w:rPr>
        <w:t xml:space="preserve"> kWhs is $</w:t>
      </w:r>
      <w:r w:rsidR="00A44669" w:rsidRPr="000A6734">
        <w:rPr>
          <w:rFonts w:ascii="Times New Roman" w:hAnsi="Times New Roman" w:cs="Times New Roman"/>
        </w:rPr>
        <w:t>77.01</w:t>
      </w:r>
      <w:r w:rsidRPr="000A6734">
        <w:rPr>
          <w:rFonts w:ascii="Times New Roman" w:hAnsi="Times New Roman" w:cs="Times New Roman"/>
        </w:rPr>
        <w:t xml:space="preserve"> compared to the proposed level of $</w:t>
      </w:r>
      <w:r w:rsidR="00A44669" w:rsidRPr="000A6734">
        <w:rPr>
          <w:rFonts w:ascii="Times New Roman" w:hAnsi="Times New Roman" w:cs="Times New Roman"/>
        </w:rPr>
        <w:t>84.</w:t>
      </w:r>
      <w:r w:rsidR="000A6734" w:rsidRPr="000A6734">
        <w:rPr>
          <w:rFonts w:ascii="Times New Roman" w:hAnsi="Times New Roman" w:cs="Times New Roman"/>
        </w:rPr>
        <w:t>14</w:t>
      </w:r>
      <w:r w:rsidRPr="000A6734">
        <w:rPr>
          <w:rFonts w:ascii="Times New Roman" w:hAnsi="Times New Roman" w:cs="Times New Roman"/>
        </w:rPr>
        <w:t>, including all rate</w:t>
      </w:r>
      <w:r w:rsidRPr="00BC5C99">
        <w:rPr>
          <w:rFonts w:ascii="Times New Roman" w:hAnsi="Times New Roman" w:cs="Times New Roman"/>
        </w:rPr>
        <w:t xml:space="preserve"> adjustments.</w:t>
      </w:r>
      <w:r w:rsidR="00593603">
        <w:rPr>
          <w:rFonts w:ascii="Times New Roman" w:hAnsi="Times New Roman" w:cs="Times New Roman"/>
        </w:rPr>
        <w:t xml:space="preserve">  The Company is also proposing to change the basic charge from $6.00 per month </w:t>
      </w:r>
      <w:r w:rsidR="00593603" w:rsidRPr="00DB7F95">
        <w:rPr>
          <w:rFonts w:ascii="Times New Roman" w:hAnsi="Times New Roman" w:cs="Times New Roman"/>
        </w:rPr>
        <w:t>to $9.00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11833">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DB7F95" w:rsidRPr="00DB7F95" w:rsidRDefault="005540EB" w:rsidP="00DB7F95">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t>Proposed Natural Gas Increase</w:t>
      </w:r>
    </w:p>
    <w:p w:rsidR="00643147" w:rsidRPr="00643147"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t xml:space="preserve">How is the Company proposing to spread the overall natural gas increase of </w:t>
      </w:r>
      <w:r w:rsidR="00987E07" w:rsidRPr="00A001E8">
        <w:rPr>
          <w:rFonts w:ascii="Times New Roman" w:hAnsi="Times New Roman" w:cs="Times New Roman"/>
        </w:rPr>
        <w:t>$</w:t>
      </w:r>
      <w:r w:rsidR="00DB7F95" w:rsidRPr="00A001E8">
        <w:rPr>
          <w:rFonts w:ascii="Times New Roman" w:hAnsi="Times New Roman" w:cs="Times New Roman"/>
        </w:rPr>
        <w:t>6,2</w:t>
      </w:r>
      <w:r w:rsidR="00133769" w:rsidRPr="00A001E8">
        <w:rPr>
          <w:rFonts w:ascii="Times New Roman" w:hAnsi="Times New Roman" w:cs="Times New Roman"/>
        </w:rPr>
        <w:t>07</w:t>
      </w:r>
      <w:r w:rsidR="00DB7F95" w:rsidRPr="00A001E8">
        <w:rPr>
          <w:rFonts w:ascii="Times New Roman" w:hAnsi="Times New Roman" w:cs="Times New Roman"/>
        </w:rPr>
        <w:t>,000</w:t>
      </w:r>
      <w:r w:rsidR="00987E07" w:rsidRPr="00A001E8">
        <w:rPr>
          <w:rFonts w:ascii="Times New Roman" w:hAnsi="Times New Roman" w:cs="Times New Roman"/>
        </w:rPr>
        <w:t xml:space="preserve">, or </w:t>
      </w:r>
      <w:r w:rsidR="00DB7F95" w:rsidRPr="00A001E8">
        <w:rPr>
          <w:rFonts w:ascii="Times New Roman" w:hAnsi="Times New Roman" w:cs="Times New Roman"/>
        </w:rPr>
        <w:t>4.0</w:t>
      </w:r>
      <w:r w:rsidR="00987E07" w:rsidRPr="00A001E8">
        <w:rPr>
          <w:rFonts w:ascii="Times New Roman" w:hAnsi="Times New Roman" w:cs="Times New Roman"/>
        </w:rPr>
        <w:t xml:space="preserve">% </w:t>
      </w:r>
      <w:r w:rsidRPr="00A001E8">
        <w:rPr>
          <w:rFonts w:ascii="Times New Roman" w:hAnsi="Times New Roman" w:cs="Times New Roman"/>
        </w:rPr>
        <w:t>by service</w:t>
      </w:r>
      <w:r w:rsidRPr="005540EB">
        <w:rPr>
          <w:rFonts w:ascii="Times New Roman" w:hAnsi="Times New Roman" w:cs="Times New Roman"/>
        </w:rPr>
        <w:t xml:space="preserve"> schedule?</w:t>
      </w:r>
      <w:r w:rsidR="00643147">
        <w:rPr>
          <w:rFonts w:ascii="Times New Roman" w:hAnsi="Times New Roman" w:cs="Times New Roman"/>
        </w:rPr>
        <w:br w:type="page"/>
      </w:r>
    </w:p>
    <w:p w:rsidR="005540EB" w:rsidRDefault="005540EB" w:rsidP="00711833">
      <w:pPr>
        <w:pStyle w:val="P190"/>
        <w:jc w:val="both"/>
        <w:rPr>
          <w:rFonts w:ascii="Times New Roman" w:hAnsi="Times New Roman" w:cs="Times New Roman"/>
        </w:rPr>
      </w:pPr>
      <w:r w:rsidRPr="005540EB">
        <w:rPr>
          <w:rFonts w:ascii="Times New Roman" w:hAnsi="Times New Roman" w:cs="Times New Roman"/>
        </w:rPr>
        <w:lastRenderedPageBreak/>
        <w:t>A.</w:t>
      </w:r>
      <w:r w:rsidRPr="005540EB">
        <w:rPr>
          <w:rFonts w:ascii="Times New Roman" w:hAnsi="Times New Roman" w:cs="Times New Roman"/>
        </w:rPr>
        <w:tab/>
        <w:t xml:space="preserve">The Company is proposing the following </w:t>
      </w:r>
      <w:r w:rsidR="004A5E9F" w:rsidRPr="004A5E9F">
        <w:rPr>
          <w:rFonts w:ascii="Times New Roman" w:hAnsi="Times New Roman" w:cs="Times New Roman"/>
          <w:u w:val="single"/>
        </w:rPr>
        <w:t>base</w:t>
      </w:r>
      <w:r w:rsidR="004A5E9F">
        <w:rPr>
          <w:rFonts w:ascii="Times New Roman" w:hAnsi="Times New Roman" w:cs="Times New Roman"/>
        </w:rPr>
        <w:t xml:space="preserve"> </w:t>
      </w:r>
      <w:r w:rsidRPr="005540EB">
        <w:rPr>
          <w:rFonts w:ascii="Times New Roman" w:hAnsi="Times New Roman" w:cs="Times New Roman"/>
        </w:rPr>
        <w:t>revenue</w:t>
      </w:r>
      <w:r w:rsidR="001D224A">
        <w:rPr>
          <w:rFonts w:ascii="Times New Roman" w:hAnsi="Times New Roman" w:cs="Times New Roman"/>
        </w:rPr>
        <w:t xml:space="preserve"> </w:t>
      </w:r>
      <w:r w:rsidRPr="005540EB">
        <w:rPr>
          <w:rFonts w:ascii="Times New Roman" w:hAnsi="Times New Roman" w:cs="Times New Roman"/>
        </w:rPr>
        <w:t>changes by rate schedule</w:t>
      </w:r>
      <w:r w:rsidR="00916D0F">
        <w:rPr>
          <w:rStyle w:val="FootnoteReference"/>
          <w:rFonts w:ascii="Times New Roman" w:hAnsi="Times New Roman"/>
        </w:rPr>
        <w:footnoteReference w:id="1"/>
      </w:r>
      <w:r w:rsidRPr="005540EB">
        <w:rPr>
          <w:rFonts w:ascii="Times New Roman" w:hAnsi="Times New Roman" w:cs="Times New Roman"/>
        </w:rPr>
        <w:t>:</w:t>
      </w:r>
    </w:p>
    <w:p w:rsidR="00B5246C" w:rsidRDefault="001D224A" w:rsidP="00711833">
      <w:pPr>
        <w:pStyle w:val="P190"/>
        <w:ind w:firstLine="0"/>
        <w:jc w:val="both"/>
        <w:rPr>
          <w:rFonts w:ascii="Times New Roman" w:hAnsi="Times New Roman" w:cs="Times New Roman"/>
        </w:rPr>
      </w:pPr>
      <w:r w:rsidRPr="001D224A">
        <w:rPr>
          <w:noProof/>
        </w:rPr>
        <w:drawing>
          <wp:anchor distT="0" distB="0" distL="114300" distR="114300" simplePos="0" relativeHeight="251757056" behindDoc="1" locked="0" layoutInCell="1" allowOverlap="1">
            <wp:simplePos x="0" y="0"/>
            <wp:positionH relativeFrom="column">
              <wp:posOffset>512826</wp:posOffset>
            </wp:positionH>
            <wp:positionV relativeFrom="paragraph">
              <wp:posOffset>1219</wp:posOffset>
            </wp:positionV>
            <wp:extent cx="5108905" cy="1580083"/>
            <wp:effectExtent l="1905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08905" cy="1580083"/>
                    </a:xfrm>
                    <a:prstGeom prst="rect">
                      <a:avLst/>
                    </a:prstGeom>
                    <a:noFill/>
                    <a:ln w="9525">
                      <a:noFill/>
                      <a:miter lim="800000"/>
                      <a:headEnd/>
                      <a:tailEnd/>
                    </a:ln>
                  </pic:spPr>
                </pic:pic>
              </a:graphicData>
            </a:graphic>
          </wp:anchor>
        </w:drawing>
      </w:r>
    </w:p>
    <w:p w:rsidR="00F17ED7" w:rsidRDefault="00F17ED7" w:rsidP="00711833">
      <w:pPr>
        <w:pStyle w:val="P190"/>
        <w:ind w:firstLine="0"/>
        <w:jc w:val="both"/>
        <w:rPr>
          <w:rFonts w:ascii="Times New Roman" w:hAnsi="Times New Roman" w:cs="Times New Roman"/>
        </w:rPr>
      </w:pPr>
    </w:p>
    <w:p w:rsidR="00F17ED7" w:rsidRDefault="00F17ED7" w:rsidP="00711833">
      <w:pPr>
        <w:pStyle w:val="P190"/>
        <w:ind w:firstLine="0"/>
        <w:jc w:val="both"/>
        <w:rPr>
          <w:rFonts w:ascii="Times New Roman" w:hAnsi="Times New Roman" w:cs="Times New Roman"/>
        </w:rPr>
      </w:pPr>
    </w:p>
    <w:p w:rsidR="00F17ED7" w:rsidRDefault="00F17ED7" w:rsidP="00711833">
      <w:pPr>
        <w:pStyle w:val="P190"/>
        <w:ind w:firstLine="0"/>
        <w:jc w:val="both"/>
        <w:rPr>
          <w:rFonts w:ascii="Times New Roman" w:hAnsi="Times New Roman" w:cs="Times New Roman"/>
        </w:rPr>
      </w:pPr>
    </w:p>
    <w:p w:rsidR="00F17ED7" w:rsidRDefault="00F17ED7" w:rsidP="00711833">
      <w:pPr>
        <w:pStyle w:val="P190"/>
        <w:ind w:firstLine="0"/>
        <w:jc w:val="both"/>
        <w:rPr>
          <w:rFonts w:ascii="Times New Roman" w:hAnsi="Times New Roman" w:cs="Times New Roman"/>
        </w:rPr>
      </w:pPr>
    </w:p>
    <w:p w:rsidR="005540EB" w:rsidRPr="005540EB" w:rsidRDefault="005540EB" w:rsidP="00711833">
      <w:pPr>
        <w:pStyle w:val="P249"/>
        <w:tabs>
          <w:tab w:val="left" w:pos="720"/>
        </w:tabs>
        <w:jc w:val="both"/>
        <w:rPr>
          <w:rFonts w:ascii="Times New Roman" w:hAnsi="Times New Roman" w:cs="Times New Roman"/>
        </w:rPr>
      </w:pPr>
      <w:r w:rsidRPr="005540EB">
        <w:rPr>
          <w:rFonts w:ascii="Times New Roman" w:hAnsi="Times New Roman" w:cs="Times New Roman"/>
        </w:rPr>
        <w:tab/>
      </w:r>
      <w:r w:rsidR="00545B95">
        <w:rPr>
          <w:rFonts w:ascii="Times New Roman" w:hAnsi="Times New Roman" w:cs="Times New Roman"/>
        </w:rPr>
        <w:tab/>
      </w:r>
      <w:r w:rsidRPr="005540EB">
        <w:rPr>
          <w:rFonts w:ascii="Times New Roman" w:hAnsi="Times New Roman" w:cs="Times New Roman"/>
        </w:rPr>
        <w:t>This information is also shown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The Company utilized the results of the natural gas cost of service study, sponsored by Witness Knox, </w:t>
      </w:r>
      <w:r w:rsidR="00593603">
        <w:rPr>
          <w:rFonts w:ascii="Times New Roman" w:hAnsi="Times New Roman" w:cs="Times New Roman"/>
        </w:rPr>
        <w:t>to spread</w:t>
      </w:r>
      <w:r w:rsidRPr="005540EB">
        <w:rPr>
          <w:rFonts w:ascii="Times New Roman" w:hAnsi="Times New Roman" w:cs="Times New Roman"/>
        </w:rPr>
        <w:t xml:space="preserve"> the overall revenue increase to its natural gas service schedules.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5540EB" w:rsidRPr="005540EB" w:rsidRDefault="004C2025" w:rsidP="00711833">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increase for a residential customer using an average of </w:t>
      </w:r>
      <w:r>
        <w:rPr>
          <w:rFonts w:ascii="Times New Roman" w:hAnsi="Times New Roman" w:cs="Times New Roman"/>
        </w:rPr>
        <w:t>6</w:t>
      </w:r>
      <w:r w:rsidR="00A44669">
        <w:rPr>
          <w:rFonts w:ascii="Times New Roman" w:hAnsi="Times New Roman" w:cs="Times New Roman"/>
        </w:rPr>
        <w:t>7</w:t>
      </w:r>
      <w:r w:rsidRPr="005540EB">
        <w:rPr>
          <w:rFonts w:ascii="Times New Roman" w:hAnsi="Times New Roman" w:cs="Times New Roman"/>
        </w:rPr>
        <w:t xml:space="preserve"> therms of </w:t>
      </w:r>
      <w:r w:rsidR="001D224A">
        <w:rPr>
          <w:rFonts w:ascii="Times New Roman" w:hAnsi="Times New Roman" w:cs="Times New Roman"/>
        </w:rPr>
        <w:t xml:space="preserve">natural </w:t>
      </w:r>
      <w:r w:rsidRPr="005540EB">
        <w:rPr>
          <w:rFonts w:ascii="Times New Roman" w:hAnsi="Times New Roman" w:cs="Times New Roman"/>
        </w:rPr>
        <w:t xml:space="preserve">gas per month </w:t>
      </w:r>
      <w:r w:rsidRPr="00987E07">
        <w:rPr>
          <w:rFonts w:ascii="Times New Roman" w:hAnsi="Times New Roman" w:cs="Times New Roman"/>
        </w:rPr>
        <w:t xml:space="preserve">would be </w:t>
      </w:r>
      <w:r w:rsidRPr="00A001E8">
        <w:rPr>
          <w:rFonts w:ascii="Times New Roman" w:hAnsi="Times New Roman" w:cs="Times New Roman"/>
        </w:rPr>
        <w:t>$</w:t>
      </w:r>
      <w:r w:rsidR="00DB7F95" w:rsidRPr="00A001E8">
        <w:rPr>
          <w:rFonts w:ascii="Times New Roman" w:hAnsi="Times New Roman" w:cs="Times New Roman"/>
        </w:rPr>
        <w:t>3.2</w:t>
      </w:r>
      <w:r w:rsidR="00A44669" w:rsidRPr="00A001E8">
        <w:rPr>
          <w:rFonts w:ascii="Times New Roman" w:hAnsi="Times New Roman" w:cs="Times New Roman"/>
        </w:rPr>
        <w:t>6</w:t>
      </w:r>
      <w:r w:rsidRPr="00A001E8">
        <w:rPr>
          <w:rFonts w:ascii="Times New Roman" w:hAnsi="Times New Roman" w:cs="Times New Roman"/>
        </w:rPr>
        <w:t xml:space="preserve"> per month, or </w:t>
      </w:r>
      <w:r w:rsidR="00DB7F95" w:rsidRPr="00A001E8">
        <w:rPr>
          <w:rFonts w:ascii="Times New Roman" w:hAnsi="Times New Roman" w:cs="Times New Roman"/>
        </w:rPr>
        <w:t>5.</w:t>
      </w:r>
      <w:r w:rsidR="00A44669" w:rsidRPr="00A001E8">
        <w:rPr>
          <w:rFonts w:ascii="Times New Roman" w:hAnsi="Times New Roman" w:cs="Times New Roman"/>
        </w:rPr>
        <w:t>1</w:t>
      </w:r>
      <w:r w:rsidRPr="00A001E8">
        <w:rPr>
          <w:rFonts w:ascii="Times New Roman" w:hAnsi="Times New Roman" w:cs="Times New Roman"/>
        </w:rPr>
        <w:t>%.  A bill for 6</w:t>
      </w:r>
      <w:r w:rsidR="00A44669" w:rsidRPr="00A001E8">
        <w:rPr>
          <w:rFonts w:ascii="Times New Roman" w:hAnsi="Times New Roman" w:cs="Times New Roman"/>
        </w:rPr>
        <w:t>7</w:t>
      </w:r>
      <w:r w:rsidRPr="00A001E8">
        <w:rPr>
          <w:rFonts w:ascii="Times New Roman" w:hAnsi="Times New Roman" w:cs="Times New Roman"/>
        </w:rPr>
        <w:t xml:space="preserve"> therms per month would increase from the present level of $</w:t>
      </w:r>
      <w:r w:rsidR="00A44669" w:rsidRPr="00A001E8">
        <w:rPr>
          <w:rFonts w:ascii="Times New Roman" w:hAnsi="Times New Roman" w:cs="Times New Roman"/>
        </w:rPr>
        <w:t>63.45</w:t>
      </w:r>
      <w:r w:rsidRPr="00A001E8">
        <w:rPr>
          <w:rFonts w:ascii="Times New Roman" w:hAnsi="Times New Roman" w:cs="Times New Roman"/>
        </w:rPr>
        <w:t xml:space="preserve"> to a proposed level of $</w:t>
      </w:r>
      <w:r w:rsidR="00A44669" w:rsidRPr="00A001E8">
        <w:rPr>
          <w:rFonts w:ascii="Times New Roman" w:hAnsi="Times New Roman" w:cs="Times New Roman"/>
        </w:rPr>
        <w:t>66.71</w:t>
      </w:r>
      <w:r w:rsidRPr="00987E07">
        <w:rPr>
          <w:rFonts w:ascii="Times New Roman" w:hAnsi="Times New Roman" w:cs="Times New Roman"/>
        </w:rPr>
        <w:t xml:space="preserve">.  </w:t>
      </w:r>
      <w:r w:rsidR="00BC5C99">
        <w:rPr>
          <w:rFonts w:ascii="Times New Roman" w:hAnsi="Times New Roman" w:cs="Times New Roman"/>
        </w:rPr>
        <w:t xml:space="preserve">The Company is </w:t>
      </w:r>
      <w:r w:rsidR="00F40195">
        <w:rPr>
          <w:rFonts w:ascii="Times New Roman" w:hAnsi="Times New Roman" w:cs="Times New Roman"/>
        </w:rPr>
        <w:t xml:space="preserve">also </w:t>
      </w:r>
      <w:r w:rsidR="00BC5C99">
        <w:rPr>
          <w:rFonts w:ascii="Times New Roman" w:hAnsi="Times New Roman" w:cs="Times New Roman"/>
        </w:rPr>
        <w:t>proposing to change the basic charge f</w:t>
      </w:r>
      <w:r w:rsidR="00F40195">
        <w:rPr>
          <w:rFonts w:ascii="Times New Roman" w:hAnsi="Times New Roman" w:cs="Times New Roman"/>
        </w:rPr>
        <w:t>rom</w:t>
      </w:r>
      <w:r w:rsidR="00BC5C99">
        <w:rPr>
          <w:rFonts w:ascii="Times New Roman" w:hAnsi="Times New Roman" w:cs="Times New Roman"/>
        </w:rPr>
        <w:t xml:space="preserve"> </w:t>
      </w:r>
      <w:r w:rsidR="00F40195">
        <w:rPr>
          <w:rFonts w:ascii="Times New Roman" w:hAnsi="Times New Roman" w:cs="Times New Roman"/>
        </w:rPr>
        <w:t xml:space="preserve">$6.00 per month </w:t>
      </w:r>
      <w:r w:rsidR="00F40195" w:rsidRPr="00DB7F95">
        <w:rPr>
          <w:rFonts w:ascii="Times New Roman" w:hAnsi="Times New Roman" w:cs="Times New Roman"/>
        </w:rPr>
        <w:t>to $</w:t>
      </w:r>
      <w:r w:rsidR="00DB7F95" w:rsidRPr="00DB7F95">
        <w:rPr>
          <w:rFonts w:ascii="Times New Roman" w:hAnsi="Times New Roman" w:cs="Times New Roman"/>
        </w:rPr>
        <w:t>9</w:t>
      </w:r>
      <w:r w:rsidR="00F40195" w:rsidRPr="00DB7F95">
        <w:rPr>
          <w:rFonts w:ascii="Times New Roman" w:hAnsi="Times New Roman" w:cs="Times New Roman"/>
        </w:rPr>
        <w:t>.00</w:t>
      </w:r>
      <w:r w:rsidR="00F40195">
        <w:rPr>
          <w:rFonts w:ascii="Times New Roman" w:hAnsi="Times New Roman" w:cs="Times New Roman"/>
        </w:rPr>
        <w:t xml:space="preserve"> per month.</w:t>
      </w:r>
    </w:p>
    <w:p w:rsidR="005540EB" w:rsidRPr="005540EB" w:rsidRDefault="005540EB" w:rsidP="005540EB">
      <w:pPr>
        <w:pStyle w:val="P271"/>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  PROPOSED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lastRenderedPageBreak/>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711833">
      <w:pPr>
        <w:pStyle w:val="P260"/>
        <w:tabs>
          <w:tab w:val="left" w:pos="720"/>
        </w:tabs>
        <w:jc w:val="both"/>
        <w:rPr>
          <w:rFonts w:ascii="Times New Roman" w:hAnsi="Times New Roman" w:cs="Times New Roman"/>
          <w:b w:val="0"/>
        </w:rPr>
      </w:pPr>
      <w:r w:rsidRPr="005540EB">
        <w:rPr>
          <w:rStyle w:val="T13"/>
          <w:rFonts w:ascii="Times New Roman" w:hAnsi="Times New Roman" w:cs="Times New Roman"/>
          <w:b w:val="0"/>
        </w:rPr>
        <w:tab/>
        <w:t>A.</w:t>
      </w:r>
      <w:r w:rsidRPr="005540EB">
        <w:rPr>
          <w:rStyle w:val="T13"/>
          <w:rFonts w:ascii="Times New Roman" w:hAnsi="Times New Roman" w:cs="Times New Roman"/>
          <w:b w:val="0"/>
        </w:rPr>
        <w:tab/>
      </w:r>
      <w:r w:rsidRPr="005540EB">
        <w:rPr>
          <w:rFonts w:ascii="Times New Roman" w:hAnsi="Times New Roman" w:cs="Times New Roman"/>
          <w:b w:val="0"/>
        </w:rPr>
        <w:t>Exhibit No._</w:t>
      </w:r>
      <w:r w:rsidR="0043473F">
        <w:rPr>
          <w:rFonts w:ascii="Times New Roman" w:hAnsi="Times New Roman" w:cs="Times New Roman"/>
          <w:b w:val="0"/>
        </w:rPr>
        <w:t>__</w:t>
      </w:r>
      <w:r w:rsidRPr="005540EB">
        <w:rPr>
          <w:rFonts w:ascii="Times New Roman" w:hAnsi="Times New Roman" w:cs="Times New Roman"/>
          <w:b w:val="0"/>
        </w:rPr>
        <w:t>(</w:t>
      </w:r>
      <w:r w:rsidR="00D8699E">
        <w:rPr>
          <w:rFonts w:ascii="Times New Roman" w:hAnsi="Times New Roman" w:cs="Times New Roman"/>
          <w:b w:val="0"/>
        </w:rPr>
        <w:t>PDE</w:t>
      </w:r>
      <w:r w:rsidRPr="005540EB">
        <w:rPr>
          <w:rFonts w:ascii="Times New Roman" w:hAnsi="Times New Roman" w:cs="Times New Roman"/>
          <w:b w:val="0"/>
        </w:rPr>
        <w:t>-4)</w:t>
      </w:r>
      <w:r w:rsidRPr="005540EB">
        <w:rPr>
          <w:rStyle w:val="T13"/>
          <w:rFonts w:ascii="Times New Roman" w:hAnsi="Times New Roman" w:cs="Times New Roman"/>
          <w:b w:val="0"/>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b w:val="0"/>
          <w:u w:val="none"/>
        </w:rPr>
        <w:t>base tariff</w:t>
      </w:r>
      <w:r w:rsidRPr="005540EB">
        <w:rPr>
          <w:rStyle w:val="T13"/>
          <w:rFonts w:ascii="Times New Roman" w:hAnsi="Times New Roman" w:cs="Times New Roman"/>
          <w:b w:val="0"/>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b w:val="0"/>
        </w:rPr>
        <w:t>,</w:t>
      </w:r>
      <w:r w:rsidRPr="005540EB">
        <w:rPr>
          <w:rStyle w:val="T13"/>
          <w:rFonts w:ascii="Times New Roman" w:hAnsi="Times New Roman" w:cs="Times New Roman"/>
          <w:b w:val="0"/>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32.  Additionally, the Company provides Street Lighting Service under Schedules 41-46, and Area Lighting Service under Schedules 47-48.  Schedules 12, 22, 32, and 48 exist for residential and farm service customers who qualify for the Residential </w:t>
      </w:r>
      <w:r w:rsidRPr="00894CE2">
        <w:rPr>
          <w:rFonts w:ascii="Times New Roman" w:hAnsi="Times New Roman"/>
        </w:rPr>
        <w:lastRenderedPageBreak/>
        <w:t xml:space="preserve">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Exchange rate credit.  </w:t>
      </w:r>
    </w:p>
    <w:p w:rsidR="00894CE2" w:rsidRDefault="005540EB" w:rsidP="00711833">
      <w:pPr>
        <w:pStyle w:val="P43"/>
        <w:jc w:val="both"/>
        <w:rPr>
          <w:rFonts w:ascii="Times New Roman" w:hAnsi="Times New Roman"/>
        </w:rPr>
      </w:pPr>
      <w:r w:rsidRPr="00894CE2">
        <w:rPr>
          <w:rFonts w:ascii="Times New Roman" w:hAnsi="Times New Roman"/>
        </w:rPr>
        <w:t>The following table shows the type and number of customers served in Washington (as of December 20</w:t>
      </w:r>
      <w:r w:rsidR="00BC5C99">
        <w:rPr>
          <w:rFonts w:ascii="Times New Roman" w:hAnsi="Times New Roman"/>
        </w:rPr>
        <w:t>10</w:t>
      </w:r>
      <w:r w:rsidRPr="00894CE2">
        <w:rPr>
          <w:rFonts w:ascii="Times New Roman" w:hAnsi="Times New Roman"/>
        </w:rPr>
        <w:t>) under each of the service schedules:</w:t>
      </w:r>
    </w:p>
    <w:p w:rsidR="005540EB" w:rsidRDefault="00DB7F95" w:rsidP="00711833">
      <w:pPr>
        <w:pStyle w:val="P43"/>
        <w:ind w:firstLine="0"/>
        <w:jc w:val="both"/>
        <w:rPr>
          <w:rFonts w:ascii="Times New Roman" w:hAnsi="Times New Roman"/>
          <w:b/>
          <w:u w:val="single"/>
        </w:rPr>
      </w:pPr>
      <w:bookmarkStart w:id="0" w:name="OLE_LINK1"/>
      <w:r>
        <w:rPr>
          <w:rFonts w:ascii="Times New Roman" w:hAnsi="Times New Roman"/>
          <w:b/>
          <w:noProof/>
          <w:u w:val="single"/>
        </w:rPr>
        <w:drawing>
          <wp:anchor distT="0" distB="0" distL="114300" distR="114300" simplePos="0" relativeHeight="251709952" behindDoc="1" locked="0" layoutInCell="1" allowOverlap="1">
            <wp:simplePos x="0" y="0"/>
            <wp:positionH relativeFrom="column">
              <wp:posOffset>651815</wp:posOffset>
            </wp:positionH>
            <wp:positionV relativeFrom="paragraph">
              <wp:posOffset>82906</wp:posOffset>
            </wp:positionV>
            <wp:extent cx="4892955" cy="1360627"/>
            <wp:effectExtent l="19050" t="0" r="2895"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92955" cy="1360627"/>
                    </a:xfrm>
                    <a:prstGeom prst="rect">
                      <a:avLst/>
                    </a:prstGeom>
                    <a:noFill/>
                    <a:ln w="9525">
                      <a:noFill/>
                      <a:miter lim="800000"/>
                      <a:headEnd/>
                      <a:tailEnd/>
                    </a:ln>
                  </pic:spPr>
                </pic:pic>
              </a:graphicData>
            </a:graphic>
          </wp:anchor>
        </w:drawing>
      </w:r>
    </w:p>
    <w:bookmarkEnd w:id="0"/>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5540EB" w:rsidRPr="005540EB" w:rsidRDefault="005540EB" w:rsidP="00711833">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request of </w:t>
      </w:r>
      <w:r w:rsidRPr="00CB3A2C">
        <w:rPr>
          <w:rStyle w:val="T11"/>
          <w:rFonts w:ascii="Times New Roman" w:hAnsi="Times New Roman" w:cs="Times New Roman"/>
        </w:rPr>
        <w:t>$</w:t>
      </w:r>
      <w:r w:rsidR="00DB7F95">
        <w:rPr>
          <w:rStyle w:val="T11"/>
          <w:rFonts w:ascii="Times New Roman" w:hAnsi="Times New Roman" w:cs="Times New Roman"/>
        </w:rPr>
        <w:t>38,</w:t>
      </w:r>
      <w:r w:rsidR="00593603">
        <w:rPr>
          <w:rStyle w:val="T11"/>
          <w:rFonts w:ascii="Times New Roman" w:hAnsi="Times New Roman" w:cs="Times New Roman"/>
        </w:rPr>
        <w:t>274</w:t>
      </w:r>
      <w:r w:rsidR="00DB7F95">
        <w:rPr>
          <w:rStyle w:val="T11"/>
          <w:rFonts w:ascii="Times New Roman" w:hAnsi="Times New Roman" w:cs="Times New Roman"/>
        </w:rPr>
        <w:t>,</w:t>
      </w:r>
      <w:r w:rsidR="009F186A">
        <w:rPr>
          <w:rStyle w:val="T11"/>
          <w:rFonts w:ascii="Times New Roman" w:hAnsi="Times New Roman" w:cs="Times New Roman"/>
        </w:rPr>
        <w:t>000</w:t>
      </w:r>
      <w:r w:rsidRPr="005540EB">
        <w:rPr>
          <w:rStyle w:val="T11"/>
          <w:rFonts w:ascii="Times New Roman" w:hAnsi="Times New Roman" w:cs="Times New Roman"/>
        </w:rPr>
        <w:t xml:space="preserve"> among its various rate schedules?</w:t>
      </w:r>
    </w:p>
    <w:p w:rsidR="005540EB" w:rsidRPr="005540EB" w:rsidRDefault="001D224A" w:rsidP="00711833">
      <w:pPr>
        <w:pStyle w:val="P166"/>
        <w:numPr>
          <w:ilvl w:val="0"/>
          <w:numId w:val="28"/>
        </w:numPr>
        <w:tabs>
          <w:tab w:val="num" w:pos="1440"/>
        </w:tabs>
        <w:ind w:left="0" w:firstLine="720"/>
        <w:jc w:val="both"/>
        <w:rPr>
          <w:rFonts w:ascii="Times New Roman" w:hAnsi="Times New Roman" w:cs="Times New Roman"/>
        </w:rPr>
      </w:pPr>
      <w:r>
        <w:rPr>
          <w:rFonts w:ascii="Times New Roman" w:hAnsi="Times New Roman" w:cs="Times New Roman"/>
          <w:noProof/>
        </w:rPr>
        <w:drawing>
          <wp:anchor distT="0" distB="0" distL="114300" distR="114300" simplePos="0" relativeHeight="251758080" behindDoc="1" locked="0" layoutInCell="1" allowOverlap="1">
            <wp:simplePos x="0" y="0"/>
            <wp:positionH relativeFrom="column">
              <wp:posOffset>556260</wp:posOffset>
            </wp:positionH>
            <wp:positionV relativeFrom="paragraph">
              <wp:posOffset>652145</wp:posOffset>
            </wp:positionV>
            <wp:extent cx="4991735" cy="1740535"/>
            <wp:effectExtent l="1905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991735" cy="1740535"/>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The Company is proposing that the overall requested revenue increase be spread on the following basis</w:t>
      </w:r>
      <w:r w:rsidR="00944313">
        <w:rPr>
          <w:rFonts w:ascii="Times New Roman" w:hAnsi="Times New Roman" w:cs="Times New Roman"/>
        </w:rPr>
        <w:t>:</w:t>
      </w: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0E2E27" w:rsidRDefault="000E2E27" w:rsidP="00711833">
      <w:pPr>
        <w:pStyle w:val="P85"/>
        <w:jc w:val="both"/>
        <w:rPr>
          <w:rFonts w:ascii="Times New Roman" w:hAnsi="Times New Roman" w:cs="Times New Roman"/>
        </w:rPr>
      </w:pPr>
    </w:p>
    <w:p w:rsidR="005540EB" w:rsidRPr="004C1B9A" w:rsidRDefault="005540EB" w:rsidP="00711833">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information is shown </w:t>
      </w:r>
      <w:r w:rsidR="001D224A">
        <w:rPr>
          <w:rFonts w:ascii="Times New Roman" w:hAnsi="Times New Roman" w:cs="Times New Roman"/>
        </w:rPr>
        <w:t>with more</w:t>
      </w:r>
      <w:r w:rsidRPr="004C1B9A">
        <w:rPr>
          <w:rFonts w:ascii="Times New Roman" w:hAnsi="Times New Roman" w:cs="Times New Roman"/>
        </w:rPr>
        <w:t xml:space="preserve"> detail on Page 1 of Exhibit No._</w:t>
      </w:r>
      <w:r w:rsidR="0043473F" w:rsidRPr="004C1B9A">
        <w:rPr>
          <w:rFonts w:ascii="Times New Roman" w:hAnsi="Times New Roman" w:cs="Times New Roman"/>
        </w:rPr>
        <w:t>__</w:t>
      </w:r>
      <w:r w:rsidRPr="004C1B9A">
        <w:rPr>
          <w:rFonts w:ascii="Times New Roman" w:hAnsi="Times New Roman" w:cs="Times New Roman"/>
        </w:rPr>
        <w:t>(</w:t>
      </w:r>
      <w:r w:rsidR="00D8699E" w:rsidRPr="004C1B9A">
        <w:rPr>
          <w:rFonts w:ascii="Times New Roman" w:hAnsi="Times New Roman" w:cs="Times New Roman"/>
        </w:rPr>
        <w:t>PDE</w:t>
      </w:r>
      <w:r w:rsidRPr="004C1B9A">
        <w:rPr>
          <w:rFonts w:ascii="Times New Roman" w:hAnsi="Times New Roman" w:cs="Times New Roman"/>
        </w:rPr>
        <w:t xml:space="preserve">-4). </w:t>
      </w:r>
    </w:p>
    <w:p w:rsidR="005540EB" w:rsidRPr="004C1B9A"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4C1B9A">
        <w:rPr>
          <w:rStyle w:val="T11"/>
          <w:rFonts w:ascii="Times New Roman" w:hAnsi="Times New Roman" w:cs="Times New Roman"/>
        </w:rPr>
        <w:t>What rationale did the C</w:t>
      </w:r>
      <w:r w:rsidR="005540EB" w:rsidRPr="004C1B9A">
        <w:rPr>
          <w:rStyle w:val="T11"/>
          <w:rFonts w:ascii="Times New Roman" w:hAnsi="Times New Roman" w:cs="Times New Roman"/>
        </w:rPr>
        <w:t>ompany use in developing the proposed general increase by rate schedule?</w:t>
      </w:r>
    </w:p>
    <w:p w:rsidR="00EB1E66" w:rsidRDefault="005540EB" w:rsidP="0012369E">
      <w:pPr>
        <w:pStyle w:val="P179"/>
        <w:tabs>
          <w:tab w:val="clear" w:pos="1260"/>
          <w:tab w:val="left" w:pos="1440"/>
        </w:tabs>
        <w:ind w:left="0" w:firstLine="720"/>
        <w:jc w:val="both"/>
        <w:rPr>
          <w:rStyle w:val="T13"/>
        </w:rPr>
      </w:pPr>
      <w:r w:rsidRPr="004C1B9A">
        <w:rPr>
          <w:rFonts w:ascii="Times New Roman" w:hAnsi="Times New Roman" w:cs="Times New Roman"/>
          <w:b w:val="0"/>
        </w:rPr>
        <w:lastRenderedPageBreak/>
        <w:t>A.</w:t>
      </w:r>
      <w:r w:rsidRPr="004C1B9A">
        <w:rPr>
          <w:rFonts w:ascii="Times New Roman" w:hAnsi="Times New Roman" w:cs="Times New Roman"/>
          <w:b w:val="0"/>
        </w:rPr>
        <w:tab/>
      </w:r>
      <w:r w:rsidR="0043473F" w:rsidRPr="004C1B9A">
        <w:rPr>
          <w:rStyle w:val="T13"/>
          <w:rFonts w:ascii="Times New Roman" w:hAnsi="Times New Roman" w:cs="Times New Roman"/>
          <w:b w:val="0"/>
        </w:rPr>
        <w:t>The C</w:t>
      </w:r>
      <w:r w:rsidRPr="004C1B9A">
        <w:rPr>
          <w:rStyle w:val="T13"/>
          <w:rFonts w:ascii="Times New Roman" w:hAnsi="Times New Roman" w:cs="Times New Roman"/>
          <w:b w:val="0"/>
        </w:rPr>
        <w:t xml:space="preserve">ompany used the results of the cost of service study (sponsored by </w:t>
      </w:r>
      <w:r w:rsidR="0043473F" w:rsidRPr="004C1B9A">
        <w:rPr>
          <w:rStyle w:val="T13"/>
          <w:rFonts w:ascii="Times New Roman" w:hAnsi="Times New Roman" w:cs="Times New Roman"/>
          <w:b w:val="0"/>
        </w:rPr>
        <w:t>Ms.</w:t>
      </w:r>
      <w:r w:rsidRPr="004C1B9A">
        <w:rPr>
          <w:rStyle w:val="T13"/>
          <w:rFonts w:ascii="Times New Roman" w:hAnsi="Times New Roman" w:cs="Times New Roman"/>
          <w:b w:val="0"/>
        </w:rPr>
        <w:t xml:space="preserve"> Knox) as a guide to spread the general increase.  The spread of the proposed increase generally results in the rates of return for the various service schedules moving </w:t>
      </w:r>
      <w:r w:rsidR="00F50FF3" w:rsidRPr="009F186A">
        <w:rPr>
          <w:rStyle w:val="T13"/>
          <w:rFonts w:ascii="Times New Roman" w:hAnsi="Times New Roman" w:cs="Times New Roman"/>
          <w:b w:val="0"/>
        </w:rPr>
        <w:t>approximately one-</w:t>
      </w:r>
      <w:r w:rsidR="00593603">
        <w:rPr>
          <w:rStyle w:val="T13"/>
          <w:rFonts w:ascii="Times New Roman" w:hAnsi="Times New Roman" w:cs="Times New Roman"/>
          <w:b w:val="0"/>
        </w:rPr>
        <w:t>fifth</w:t>
      </w:r>
      <w:r w:rsidR="00F50FF3" w:rsidRPr="009F186A">
        <w:rPr>
          <w:rStyle w:val="T13"/>
          <w:rFonts w:ascii="Times New Roman" w:hAnsi="Times New Roman" w:cs="Times New Roman"/>
          <w:b w:val="0"/>
        </w:rPr>
        <w:t xml:space="preserve"> </w:t>
      </w:r>
      <w:r w:rsidRPr="009F186A">
        <w:rPr>
          <w:rStyle w:val="T13"/>
          <w:rFonts w:ascii="Times New Roman" w:hAnsi="Times New Roman" w:cs="Times New Roman"/>
          <w:b w:val="0"/>
        </w:rPr>
        <w:t>closer</w:t>
      </w:r>
      <w:r w:rsidRPr="004C1B9A">
        <w:rPr>
          <w:rStyle w:val="T13"/>
          <w:rFonts w:ascii="Times New Roman" w:hAnsi="Times New Roman" w:cs="Times New Roman"/>
          <w:b w:val="0"/>
        </w:rPr>
        <w:t xml:space="preserve"> to the overall rate of return (unity).  The table below shows the relative rates of return (schedule rate of return divided by overall rate of return) before and after application of the proposed general increase, as well as the relative rate of return based on the application of the </w:t>
      </w:r>
      <w:r w:rsidR="001D224A">
        <w:rPr>
          <w:rStyle w:val="T13"/>
          <w:rFonts w:ascii="Times New Roman" w:hAnsi="Times New Roman" w:cs="Times New Roman"/>
          <w:b w:val="0"/>
        </w:rPr>
        <w:t>base rate</w:t>
      </w:r>
      <w:r w:rsidRPr="004C1B9A">
        <w:rPr>
          <w:rStyle w:val="T13"/>
          <w:rFonts w:ascii="Times New Roman" w:hAnsi="Times New Roman" w:cs="Times New Roman"/>
          <w:b w:val="0"/>
        </w:rPr>
        <w:t xml:space="preserve"> increase on a uniform percentage basis (</w:t>
      </w:r>
      <w:r w:rsidR="006A2F58">
        <w:rPr>
          <w:rStyle w:val="T13"/>
          <w:rFonts w:ascii="Times New Roman" w:hAnsi="Times New Roman" w:cs="Times New Roman"/>
          <w:b w:val="0"/>
        </w:rPr>
        <w:t>9.</w:t>
      </w:r>
      <w:r w:rsidR="00593603">
        <w:rPr>
          <w:rStyle w:val="T13"/>
          <w:rFonts w:ascii="Times New Roman" w:hAnsi="Times New Roman" w:cs="Times New Roman"/>
          <w:b w:val="0"/>
        </w:rPr>
        <w:t>1</w:t>
      </w:r>
      <w:r w:rsidRPr="004C1B9A">
        <w:rPr>
          <w:rStyle w:val="T13"/>
          <w:rFonts w:ascii="Times New Roman" w:hAnsi="Times New Roman" w:cs="Times New Roman"/>
          <w:b w:val="0"/>
        </w:rPr>
        <w:t>%) to all rate schedules:</w:t>
      </w:r>
    </w:p>
    <w:p w:rsidR="00944313" w:rsidRDefault="00580834" w:rsidP="009F186A">
      <w:pPr>
        <w:pStyle w:val="P179"/>
        <w:ind w:left="0" w:firstLine="720"/>
        <w:jc w:val="both"/>
        <w:rPr>
          <w:b w:val="0"/>
        </w:rPr>
      </w:pPr>
      <w:r w:rsidRPr="00580834">
        <w:rPr>
          <w:noProof/>
        </w:rPr>
        <w:drawing>
          <wp:anchor distT="0" distB="0" distL="114300" distR="114300" simplePos="0" relativeHeight="251760128" behindDoc="1" locked="0" layoutInCell="1" allowOverlap="1">
            <wp:simplePos x="0" y="0"/>
            <wp:positionH relativeFrom="column">
              <wp:posOffset>271424</wp:posOffset>
            </wp:positionH>
            <wp:positionV relativeFrom="paragraph">
              <wp:posOffset>-2438</wp:posOffset>
            </wp:positionV>
            <wp:extent cx="5583758" cy="2092147"/>
            <wp:effectExtent l="19050" t="0" r="0"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583758" cy="2092147"/>
                    </a:xfrm>
                    <a:prstGeom prst="rect">
                      <a:avLst/>
                    </a:prstGeom>
                    <a:noFill/>
                    <a:ln w="9525">
                      <a:noFill/>
                      <a:miter lim="800000"/>
                      <a:headEnd/>
                      <a:tailEnd/>
                    </a:ln>
                  </pic:spPr>
                </pic:pic>
              </a:graphicData>
            </a:graphic>
          </wp:anchor>
        </w:drawing>
      </w: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0A6734" w:rsidRDefault="000A6734" w:rsidP="00711833">
      <w:pPr>
        <w:pStyle w:val="P167"/>
        <w:tabs>
          <w:tab w:val="clear" w:pos="720"/>
          <w:tab w:val="left" w:pos="900"/>
        </w:tabs>
        <w:ind w:left="0" w:firstLine="720"/>
        <w:jc w:val="both"/>
        <w:rPr>
          <w:rFonts w:ascii="Times New Roman" w:hAnsi="Times New Roman" w:cs="Times New Roman"/>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4C1B9A">
        <w:rPr>
          <w:rFonts w:ascii="Times New Roman" w:hAnsi="Times New Roman" w:cs="Times New Roman"/>
        </w:rPr>
        <w:t>As shown, for those s</w:t>
      </w:r>
      <w:r w:rsidR="005540EB" w:rsidRPr="004C1B9A">
        <w:rPr>
          <w:rFonts w:ascii="Times New Roman" w:hAnsi="Times New Roman" w:cs="Times New Roman"/>
        </w:rPr>
        <w:t xml:space="preserve">chedules where the present rates are substantially above or below the cost of service, the proposed </w:t>
      </w:r>
      <w:r w:rsidR="001D224A">
        <w:rPr>
          <w:rFonts w:ascii="Times New Roman" w:hAnsi="Times New Roman" w:cs="Times New Roman"/>
        </w:rPr>
        <w:t>rate spread provides some</w:t>
      </w:r>
      <w:r w:rsidR="005540EB" w:rsidRPr="004C1B9A">
        <w:rPr>
          <w:rFonts w:ascii="Times New Roman" w:hAnsi="Times New Roman" w:cs="Times New Roman"/>
        </w:rPr>
        <w:t xml:space="preserve"> movement toward</w:t>
      </w:r>
      <w:r w:rsidR="001D224A">
        <w:rPr>
          <w:rFonts w:ascii="Times New Roman" w:hAnsi="Times New Roman" w:cs="Times New Roman"/>
        </w:rPr>
        <w:t>s</w:t>
      </w:r>
      <w:r w:rsidR="005540EB" w:rsidRPr="004C1B9A">
        <w:rPr>
          <w:rFonts w:ascii="Times New Roman" w:hAnsi="Times New Roman" w:cs="Times New Roman"/>
        </w:rPr>
        <w:t xml:space="preserve"> unity (1.00).  </w:t>
      </w:r>
    </w:p>
    <w:p w:rsidR="005540EB" w:rsidRPr="004C1B9A" w:rsidRDefault="005540EB" w:rsidP="0012369E">
      <w:pPr>
        <w:pStyle w:val="P24"/>
        <w:tabs>
          <w:tab w:val="left" w:pos="1440"/>
        </w:tabs>
        <w:spacing w:line="480" w:lineRule="auto"/>
        <w:ind w:firstLine="720"/>
        <w:jc w:val="both"/>
        <w:rPr>
          <w:rStyle w:val="T11"/>
          <w:rFonts w:ascii="Times New Roman" w:hAnsi="Times New Roman" w:cs="Times New Roman"/>
        </w:rPr>
      </w:pPr>
      <w:r w:rsidRPr="004C1B9A">
        <w:rPr>
          <w:rStyle w:val="T11"/>
          <w:rFonts w:ascii="Times New Roman" w:hAnsi="Times New Roman" w:cs="Times New Roman"/>
        </w:rPr>
        <w:t>Q.</w:t>
      </w:r>
      <w:r w:rsidRPr="004C1B9A">
        <w:rPr>
          <w:rStyle w:val="T11"/>
          <w:rFonts w:ascii="Times New Roman" w:hAnsi="Times New Roman" w:cs="Times New Roman"/>
        </w:rPr>
        <w:tab/>
        <w:t xml:space="preserve">Looking at the results in the table above, it appears that the relative rates of return </w:t>
      </w:r>
      <w:r w:rsidRPr="00593603">
        <w:rPr>
          <w:rStyle w:val="T11"/>
          <w:rFonts w:ascii="Times New Roman" w:hAnsi="Times New Roman" w:cs="Times New Roman"/>
        </w:rPr>
        <w:t>aren’t sub</w:t>
      </w:r>
      <w:r w:rsidR="0043473F" w:rsidRPr="00593603">
        <w:rPr>
          <w:rStyle w:val="T11"/>
          <w:rFonts w:ascii="Times New Roman" w:hAnsi="Times New Roman" w:cs="Times New Roman"/>
        </w:rPr>
        <w:t>stantially different under the C</w:t>
      </w:r>
      <w:r w:rsidRPr="00593603">
        <w:rPr>
          <w:rStyle w:val="T11"/>
          <w:rFonts w:ascii="Times New Roman" w:hAnsi="Times New Roman" w:cs="Times New Roman"/>
        </w:rPr>
        <w:t>ompany’s proposed rate spread compared to a uniform percenta</w:t>
      </w:r>
      <w:r w:rsidR="0043473F" w:rsidRPr="00593603">
        <w:rPr>
          <w:rStyle w:val="T11"/>
          <w:rFonts w:ascii="Times New Roman" w:hAnsi="Times New Roman" w:cs="Times New Roman"/>
        </w:rPr>
        <w:t>ge application.  Why isn’t the C</w:t>
      </w:r>
      <w:r w:rsidRPr="00593603">
        <w:rPr>
          <w:rStyle w:val="T11"/>
          <w:rFonts w:ascii="Times New Roman" w:hAnsi="Times New Roman" w:cs="Times New Roman"/>
        </w:rPr>
        <w:t>ompany just proposing to spread the general increase on a uniform percentage basis to the rate schedules?</w:t>
      </w:r>
    </w:p>
    <w:p w:rsidR="005540EB" w:rsidRPr="004C1B9A" w:rsidRDefault="005540EB" w:rsidP="0012369E">
      <w:pPr>
        <w:pStyle w:val="P24"/>
        <w:tabs>
          <w:tab w:val="left" w:pos="1440"/>
        </w:tabs>
        <w:spacing w:line="480" w:lineRule="auto"/>
        <w:ind w:firstLine="720"/>
        <w:jc w:val="both"/>
        <w:rPr>
          <w:rStyle w:val="T11"/>
          <w:rFonts w:ascii="Times New Roman" w:hAnsi="Times New Roman" w:cs="Times New Roman"/>
          <w:b w:val="0"/>
        </w:rPr>
      </w:pPr>
      <w:r w:rsidRPr="004C1B9A">
        <w:rPr>
          <w:rStyle w:val="T11"/>
          <w:rFonts w:ascii="Times New Roman" w:hAnsi="Times New Roman" w:cs="Times New Roman"/>
          <w:b w:val="0"/>
        </w:rPr>
        <w:lastRenderedPageBreak/>
        <w:t>A.</w:t>
      </w:r>
      <w:r w:rsidRPr="004C1B9A">
        <w:rPr>
          <w:rStyle w:val="T11"/>
          <w:rFonts w:ascii="Times New Roman" w:hAnsi="Times New Roman" w:cs="Times New Roman"/>
          <w:b w:val="0"/>
        </w:rPr>
        <w:tab/>
      </w:r>
      <w:r w:rsidR="008832F2" w:rsidRPr="00593603">
        <w:rPr>
          <w:rStyle w:val="T11"/>
          <w:rFonts w:ascii="Times New Roman" w:hAnsi="Times New Roman" w:cs="Times New Roman"/>
          <w:b w:val="0"/>
        </w:rPr>
        <w:t>As explained by Ms. Knox, Avista completed a load study</w:t>
      </w:r>
      <w:r w:rsidR="00593603" w:rsidRPr="00593603">
        <w:rPr>
          <w:rStyle w:val="T11"/>
          <w:rFonts w:ascii="Times New Roman" w:hAnsi="Times New Roman" w:cs="Times New Roman"/>
          <w:b w:val="0"/>
        </w:rPr>
        <w:t xml:space="preserve"> in 2010</w:t>
      </w:r>
      <w:r w:rsidR="008832F2" w:rsidRPr="00593603">
        <w:rPr>
          <w:rStyle w:val="T11"/>
          <w:rFonts w:ascii="Times New Roman" w:hAnsi="Times New Roman" w:cs="Times New Roman"/>
          <w:b w:val="0"/>
        </w:rPr>
        <w:t>, and incorporated the results of that study into its cost of service study.  In addition, Ms. Knox also explains a change to the peak credit methodology for demand allocation.</w:t>
      </w:r>
      <w:r w:rsidR="008832F2">
        <w:rPr>
          <w:rStyle w:val="T11"/>
          <w:rFonts w:ascii="Times New Roman" w:hAnsi="Times New Roman" w:cs="Times New Roman"/>
          <w:b w:val="0"/>
        </w:rPr>
        <w:t xml:space="preserve">  While we believe it is reasonable and appropriate to use the cost of service study results as the basis for rate spread, we have tempered the amount of movement toward unity proposed in this case due </w:t>
      </w:r>
      <w:r w:rsidR="008832F2" w:rsidRPr="00593603">
        <w:rPr>
          <w:rStyle w:val="T11"/>
          <w:rFonts w:ascii="Times New Roman" w:hAnsi="Times New Roman" w:cs="Times New Roman"/>
          <w:b w:val="0"/>
        </w:rPr>
        <w:t xml:space="preserve">primarily to the overall level of the proposed increase.  Our proposal represents approximately </w:t>
      </w:r>
      <w:r w:rsidR="00916D0F" w:rsidRPr="00593603">
        <w:rPr>
          <w:rStyle w:val="T11"/>
          <w:rFonts w:ascii="Times New Roman" w:hAnsi="Times New Roman" w:cs="Times New Roman"/>
          <w:b w:val="0"/>
        </w:rPr>
        <w:t xml:space="preserve">a </w:t>
      </w:r>
      <w:r w:rsidR="008832F2" w:rsidRPr="00593603">
        <w:rPr>
          <w:rStyle w:val="T11"/>
          <w:rFonts w:ascii="Times New Roman" w:hAnsi="Times New Roman" w:cs="Times New Roman"/>
          <w:b w:val="0"/>
        </w:rPr>
        <w:t>one-</w:t>
      </w:r>
      <w:r w:rsidR="00593603" w:rsidRPr="00593603">
        <w:rPr>
          <w:rStyle w:val="T11"/>
          <w:rFonts w:ascii="Times New Roman" w:hAnsi="Times New Roman" w:cs="Times New Roman"/>
          <w:b w:val="0"/>
        </w:rPr>
        <w:t>fifth</w:t>
      </w:r>
      <w:r w:rsidR="008832F2" w:rsidRPr="00593603">
        <w:rPr>
          <w:rStyle w:val="T11"/>
          <w:rFonts w:ascii="Times New Roman" w:hAnsi="Times New Roman" w:cs="Times New Roman"/>
          <w:b w:val="0"/>
        </w:rPr>
        <w:t xml:space="preserve"> movement toward unity, and slightly greater movement toward unity </w:t>
      </w:r>
      <w:r w:rsidR="00F40EED">
        <w:rPr>
          <w:rStyle w:val="T11"/>
          <w:rFonts w:ascii="Times New Roman" w:hAnsi="Times New Roman" w:cs="Times New Roman"/>
          <w:b w:val="0"/>
        </w:rPr>
        <w:t>than would</w:t>
      </w:r>
      <w:r w:rsidR="00916D0F" w:rsidRPr="00593603">
        <w:rPr>
          <w:rStyle w:val="T11"/>
          <w:rFonts w:ascii="Times New Roman" w:hAnsi="Times New Roman" w:cs="Times New Roman"/>
          <w:b w:val="0"/>
        </w:rPr>
        <w:t xml:space="preserve"> </w:t>
      </w:r>
      <w:r w:rsidR="008832F2" w:rsidRPr="00593603">
        <w:rPr>
          <w:rStyle w:val="T11"/>
          <w:rFonts w:ascii="Times New Roman" w:hAnsi="Times New Roman" w:cs="Times New Roman"/>
          <w:b w:val="0"/>
        </w:rPr>
        <w:t>occur with the application of</w:t>
      </w:r>
      <w:r w:rsidR="008832F2">
        <w:rPr>
          <w:rStyle w:val="T11"/>
          <w:rFonts w:ascii="Times New Roman" w:hAnsi="Times New Roman" w:cs="Times New Roman"/>
          <w:b w:val="0"/>
        </w:rPr>
        <w:t xml:space="preserve"> a uniform percentage increase across rate schedules.  The Company would plan to propose additional movement toward unity in future proceedings.   </w:t>
      </w:r>
    </w:p>
    <w:p w:rsidR="00AD2C96" w:rsidRDefault="00AD2C96" w:rsidP="00711833">
      <w:pPr>
        <w:pStyle w:val="P252"/>
        <w:jc w:val="both"/>
        <w:outlineLvl w:val="0"/>
        <w:rPr>
          <w:rFonts w:ascii="Times New Roman" w:hAnsi="Times New Roman" w:cs="Times New Roman"/>
        </w:rPr>
      </w:pPr>
    </w:p>
    <w:p w:rsidR="005540EB" w:rsidRPr="005540EB" w:rsidRDefault="005540EB" w:rsidP="00711833">
      <w:pPr>
        <w:pStyle w:val="P252"/>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Pr>
          <w:rFonts w:ascii="Times New Roman" w:hAnsi="Times New Roman" w:cs="Times New Roman"/>
        </w:rPr>
        <w:t>each of the schedules, column (</w:t>
      </w:r>
      <w:r w:rsidR="00916D0F">
        <w:rPr>
          <w:rFonts w:ascii="Times New Roman" w:hAnsi="Times New Roman" w:cs="Times New Roman"/>
        </w:rPr>
        <w:t>f</w:t>
      </w:r>
      <w:r w:rsidRPr="005540EB">
        <w:rPr>
          <w:rFonts w:ascii="Times New Roman" w:hAnsi="Times New Roman" w:cs="Times New Roman"/>
        </w:rPr>
        <w:t xml:space="preserve">) shows the proposed </w:t>
      </w:r>
      <w:r w:rsidRPr="005540EB">
        <w:rPr>
          <w:rStyle w:val="T5"/>
          <w:rFonts w:ascii="Times New Roman" w:hAnsi="Times New Roman" w:cs="Times New Roman"/>
        </w:rPr>
        <w:t>billing</w:t>
      </w:r>
      <w:r w:rsidRPr="005540EB">
        <w:rPr>
          <w:rFonts w:ascii="Times New Roman" w:hAnsi="Times New Roman" w:cs="Times New Roman"/>
        </w:rPr>
        <w:t xml:space="preserve"> rates and column (</w:t>
      </w:r>
      <w:r w:rsidR="00916D0F">
        <w:rPr>
          <w:rFonts w:ascii="Times New Roman" w:hAnsi="Times New Roman" w:cs="Times New Roman"/>
        </w:rPr>
        <w:t>g</w:t>
      </w:r>
      <w:r w:rsidRPr="005540EB">
        <w:rPr>
          <w:rFonts w:ascii="Times New Roman" w:hAnsi="Times New Roman" w:cs="Times New Roman"/>
        </w:rPr>
        <w:t xml:space="preserve">) shows the proposed </w:t>
      </w:r>
      <w:r w:rsidRPr="005540EB">
        <w:rPr>
          <w:rStyle w:val="T5"/>
          <w:rFonts w:ascii="Times New Roman" w:hAnsi="Times New Roman" w:cs="Times New Roman"/>
        </w:rPr>
        <w:t>base tariff</w:t>
      </w:r>
      <w:r w:rsidRPr="005540EB">
        <w:rPr>
          <w:rFonts w:ascii="Times New Roman" w:hAnsi="Times New Roman" w:cs="Times New Roman"/>
        </w:rPr>
        <w:t xml:space="preserve"> rates.</w:t>
      </w:r>
    </w:p>
    <w:p w:rsidR="005540EB" w:rsidRPr="005540EB" w:rsidRDefault="005540EB" w:rsidP="00711833">
      <w:pPr>
        <w:pStyle w:val="P133"/>
        <w:numPr>
          <w:ilvl w:val="0"/>
          <w:numId w:val="15"/>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existing rate structures </w:t>
      </w:r>
      <w:r w:rsidRPr="005540EB">
        <w:rPr>
          <w:rFonts w:ascii="Times New Roman" w:hAnsi="Times New Roman" w:cs="Times New Roman"/>
        </w:rPr>
        <w:lastRenderedPageBreak/>
        <w:t>within its rate schedules?</w:t>
      </w:r>
    </w:p>
    <w:p w:rsidR="005540EB" w:rsidRPr="005540EB" w:rsidRDefault="005540EB" w:rsidP="00711833">
      <w:pPr>
        <w:pStyle w:val="P177"/>
        <w:numPr>
          <w:ilvl w:val="0"/>
          <w:numId w:val="20"/>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No, it is not. </w:t>
      </w:r>
    </w:p>
    <w:p w:rsidR="005540EB" w:rsidRPr="005540EB" w:rsidRDefault="005540EB" w:rsidP="00711833">
      <w:pPr>
        <w:pStyle w:val="P141"/>
        <w:numPr>
          <w:ilvl w:val="0"/>
          <w:numId w:val="13"/>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Turning to Residential Service Schedule 1, could you please describe the present rate structure under this schedule?</w:t>
      </w:r>
    </w:p>
    <w:p w:rsidR="005540EB" w:rsidRPr="005540EB" w:rsidRDefault="005540EB" w:rsidP="00711833">
      <w:pPr>
        <w:pStyle w:val="P160"/>
        <w:numPr>
          <w:ilvl w:val="0"/>
          <w:numId w:val="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Pr="005540EB">
        <w:rPr>
          <w:rFonts w:ascii="Times New Roman" w:hAnsi="Times New Roman" w:cs="Times New Roman"/>
        </w:rPr>
        <w:t xml:space="preserve"> basic charge of $</w:t>
      </w:r>
      <w:r w:rsidR="00D23716">
        <w:rPr>
          <w:rFonts w:ascii="Times New Roman" w:hAnsi="Times New Roman" w:cs="Times New Roman"/>
        </w:rPr>
        <w:t>6.00</w:t>
      </w:r>
      <w:r w:rsidRPr="005540EB">
        <w:rPr>
          <w:rFonts w:ascii="Times New Roman" w:hAnsi="Times New Roman" w:cs="Times New Roman"/>
        </w:rPr>
        <w:t xml:space="preserve"> per month and three energy rate blocks:  0-600 kWhs, 601-1,300 kWhs and over 1,300 kWhs.  The present base tariff rate for the first 600 kWhs per month is </w:t>
      </w:r>
      <w:r w:rsidR="00D23716">
        <w:rPr>
          <w:rFonts w:ascii="Times New Roman" w:hAnsi="Times New Roman" w:cs="Times New Roman"/>
        </w:rPr>
        <w:t>6.</w:t>
      </w:r>
      <w:r w:rsidR="00830886">
        <w:rPr>
          <w:rFonts w:ascii="Times New Roman" w:hAnsi="Times New Roman" w:cs="Times New Roman"/>
        </w:rPr>
        <w:t>627</w:t>
      </w:r>
      <w:r w:rsidRPr="005540EB">
        <w:rPr>
          <w:rFonts w:ascii="Times New Roman" w:hAnsi="Times New Roman" w:cs="Times New Roman"/>
        </w:rPr>
        <w:t xml:space="preserve"> cents per kWh, </w:t>
      </w:r>
      <w:r w:rsidR="00D23716">
        <w:rPr>
          <w:rFonts w:ascii="Times New Roman" w:hAnsi="Times New Roman" w:cs="Times New Roman"/>
        </w:rPr>
        <w:t>7.</w:t>
      </w:r>
      <w:r w:rsidR="00830886">
        <w:rPr>
          <w:rFonts w:ascii="Times New Roman" w:hAnsi="Times New Roman" w:cs="Times New Roman"/>
        </w:rPr>
        <w:t>710</w:t>
      </w:r>
      <w:r w:rsidRPr="005540EB">
        <w:rPr>
          <w:rFonts w:ascii="Times New Roman" w:hAnsi="Times New Roman" w:cs="Times New Roman"/>
        </w:rPr>
        <w:t xml:space="preserve"> cents per kWh for the next 700 kWhs and </w:t>
      </w:r>
      <w:r w:rsidR="00830886">
        <w:rPr>
          <w:rFonts w:ascii="Times New Roman" w:hAnsi="Times New Roman" w:cs="Times New Roman"/>
        </w:rPr>
        <w:t>9.037</w:t>
      </w:r>
      <w:r w:rsidRPr="005540EB">
        <w:rPr>
          <w:rFonts w:ascii="Times New Roman" w:hAnsi="Times New Roman" w:cs="Times New Roman"/>
        </w:rPr>
        <w:t xml:space="preserve"> cents for all kWhs over 1,300.  </w:t>
      </w:r>
    </w:p>
    <w:p w:rsidR="005540EB" w:rsidRPr="005540EB" w:rsidRDefault="005540EB" w:rsidP="00711833">
      <w:pPr>
        <w:pStyle w:val="P134"/>
        <w:numPr>
          <w:ilvl w:val="0"/>
          <w:numId w:val="27"/>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How does the Company propose to spread the proposed revenue increase </w:t>
      </w:r>
      <w:r w:rsidRPr="00944313">
        <w:rPr>
          <w:rFonts w:ascii="Times New Roman" w:hAnsi="Times New Roman" w:cs="Times New Roman"/>
        </w:rPr>
        <w:t>of $</w:t>
      </w:r>
      <w:r w:rsidR="000A6734">
        <w:rPr>
          <w:rFonts w:ascii="Times New Roman" w:hAnsi="Times New Roman" w:cs="Times New Roman"/>
        </w:rPr>
        <w:t>17,659</w:t>
      </w:r>
      <w:r w:rsidR="006E11B2">
        <w:rPr>
          <w:rFonts w:ascii="Times New Roman" w:hAnsi="Times New Roman" w:cs="Times New Roman"/>
        </w:rPr>
        <w:t>,000</w:t>
      </w:r>
      <w:r w:rsidRPr="005540EB">
        <w:rPr>
          <w:rFonts w:ascii="Times New Roman" w:hAnsi="Times New Roman" w:cs="Times New Roman"/>
        </w:rPr>
        <w:t xml:space="preserve"> to Schedule 1?</w:t>
      </w:r>
    </w:p>
    <w:p w:rsidR="006A2F58" w:rsidRPr="006A2F58" w:rsidRDefault="006A2F58" w:rsidP="006A2F58">
      <w:pPr>
        <w:pStyle w:val="P161"/>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r>
      <w:r w:rsidR="005540EB" w:rsidRPr="00AC3ADC">
        <w:rPr>
          <w:rFonts w:ascii="Times New Roman" w:hAnsi="Times New Roman" w:cs="Times New Roman"/>
        </w:rPr>
        <w:t xml:space="preserve">The proposed increase to the energy rate for the first block is </w:t>
      </w:r>
      <w:r w:rsidR="00AC3ADC" w:rsidRPr="00AC3ADC">
        <w:rPr>
          <w:rFonts w:ascii="Times New Roman" w:hAnsi="Times New Roman" w:cs="Times New Roman"/>
        </w:rPr>
        <w:t>0.</w:t>
      </w:r>
      <w:r w:rsidR="000A6734">
        <w:rPr>
          <w:rFonts w:ascii="Times New Roman" w:hAnsi="Times New Roman" w:cs="Times New Roman"/>
        </w:rPr>
        <w:t>398</w:t>
      </w:r>
      <w:r w:rsidR="005540EB" w:rsidRPr="00AC3ADC">
        <w:rPr>
          <w:rFonts w:ascii="Times New Roman" w:hAnsi="Times New Roman" w:cs="Times New Roman"/>
        </w:rPr>
        <w:t xml:space="preserve"> cents/kWh, </w:t>
      </w:r>
      <w:r w:rsidR="00AC3ADC" w:rsidRPr="00AC3ADC">
        <w:rPr>
          <w:rFonts w:ascii="Times New Roman" w:hAnsi="Times New Roman" w:cs="Times New Roman"/>
        </w:rPr>
        <w:t>0.</w:t>
      </w:r>
      <w:r w:rsidR="000A6734">
        <w:rPr>
          <w:rFonts w:ascii="Times New Roman" w:hAnsi="Times New Roman" w:cs="Times New Roman"/>
        </w:rPr>
        <w:t>463</w:t>
      </w:r>
      <w:r w:rsidR="005540EB" w:rsidRPr="00AC3ADC">
        <w:rPr>
          <w:rFonts w:ascii="Times New Roman" w:hAnsi="Times New Roman" w:cs="Times New Roman"/>
        </w:rPr>
        <w:t xml:space="preserve"> cents per kWh for the second block and </w:t>
      </w:r>
      <w:r w:rsidR="00AC3ADC" w:rsidRPr="00AC3ADC">
        <w:rPr>
          <w:rFonts w:ascii="Times New Roman" w:hAnsi="Times New Roman" w:cs="Times New Roman"/>
        </w:rPr>
        <w:t>0.</w:t>
      </w:r>
      <w:r w:rsidR="000A6734">
        <w:rPr>
          <w:rFonts w:ascii="Times New Roman" w:hAnsi="Times New Roman" w:cs="Times New Roman"/>
        </w:rPr>
        <w:t>542</w:t>
      </w:r>
      <w:r w:rsidR="005540EB" w:rsidRPr="00AC3ADC">
        <w:rPr>
          <w:rFonts w:ascii="Times New Roman" w:hAnsi="Times New Roman" w:cs="Times New Roman"/>
        </w:rPr>
        <w:t xml:space="preserve"> cents per</w:t>
      </w:r>
      <w:r w:rsidR="005540EB" w:rsidRPr="005540EB">
        <w:rPr>
          <w:rFonts w:ascii="Times New Roman" w:hAnsi="Times New Roman" w:cs="Times New Roman"/>
        </w:rPr>
        <w:t xml:space="preserve"> kWh for the tail-block.  The proposed rates for the </w:t>
      </w:r>
      <w:r w:rsidR="00AC3ADC">
        <w:rPr>
          <w:rFonts w:ascii="Times New Roman" w:hAnsi="Times New Roman" w:cs="Times New Roman"/>
        </w:rPr>
        <w:t xml:space="preserve">three </w:t>
      </w:r>
      <w:r w:rsidR="005540EB" w:rsidRPr="005540EB">
        <w:rPr>
          <w:rFonts w:ascii="Times New Roman" w:hAnsi="Times New Roman" w:cs="Times New Roman"/>
        </w:rPr>
        <w:t xml:space="preserve">block rates reflect </w:t>
      </w:r>
      <w:r w:rsidR="00CF6646">
        <w:rPr>
          <w:rFonts w:ascii="Times New Roman" w:hAnsi="Times New Roman" w:cs="Times New Roman"/>
        </w:rPr>
        <w:t xml:space="preserve">a uniform percentage </w:t>
      </w:r>
      <w:r w:rsidR="00FE07FB">
        <w:rPr>
          <w:rFonts w:ascii="Times New Roman" w:hAnsi="Times New Roman" w:cs="Times New Roman"/>
        </w:rPr>
        <w:t xml:space="preserve">increase </w:t>
      </w:r>
      <w:r w:rsidR="00CF6646">
        <w:rPr>
          <w:rFonts w:ascii="Times New Roman" w:hAnsi="Times New Roman" w:cs="Times New Roman"/>
        </w:rPr>
        <w:t xml:space="preserve">of </w:t>
      </w:r>
      <w:r w:rsidR="000A6734">
        <w:rPr>
          <w:rFonts w:ascii="Times New Roman" w:hAnsi="Times New Roman" w:cs="Times New Roman"/>
        </w:rPr>
        <w:t>6.0</w:t>
      </w:r>
      <w:r w:rsidR="00CF6646">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6A2F58">
      <w:pPr>
        <w:pStyle w:val="P161"/>
        <w:tabs>
          <w:tab w:val="num" w:pos="144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$6.00 to $</w:t>
      </w:r>
      <w:r>
        <w:rPr>
          <w:rFonts w:ascii="Times New Roman" w:hAnsi="Times New Roman" w:cs="Times New Roman"/>
          <w:b/>
        </w:rPr>
        <w:t>9</w:t>
      </w:r>
      <w:r w:rsidRPr="006A2F58">
        <w:rPr>
          <w:rFonts w:ascii="Times New Roman" w:hAnsi="Times New Roman" w:cs="Times New Roman"/>
          <w:b/>
        </w:rPr>
        <w:t>.00 per month?</w:t>
      </w:r>
    </w:p>
    <w:p w:rsidR="005540EB" w:rsidRPr="006A2F58" w:rsidRDefault="006A2F58" w:rsidP="006A2F58">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 in my testimony I will provide greater detail as to why the Company believes the monthly customer charge should increase by $3.00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What is the average monthly electric usage for a residential customer, and what is the effect of the proposed increase on a customer’s bill?</w:t>
      </w:r>
    </w:p>
    <w:p w:rsidR="005540EB" w:rsidRPr="005540EB" w:rsidRDefault="005540EB" w:rsidP="00711833">
      <w:pPr>
        <w:pStyle w:val="P175"/>
        <w:numPr>
          <w:ilvl w:val="0"/>
          <w:numId w:val="26"/>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average monthly usage for a residential customer is </w:t>
      </w:r>
      <w:r w:rsidR="000D7C83">
        <w:rPr>
          <w:rFonts w:ascii="Times New Roman" w:hAnsi="Times New Roman" w:cs="Times New Roman"/>
        </w:rPr>
        <w:t xml:space="preserve">approximately </w:t>
      </w:r>
      <w:r w:rsidR="00A44669">
        <w:rPr>
          <w:rFonts w:ascii="Times New Roman" w:hAnsi="Times New Roman" w:cs="Times New Roman"/>
        </w:rPr>
        <w:t>977</w:t>
      </w:r>
      <w:r w:rsidRPr="006A2F58">
        <w:rPr>
          <w:rFonts w:ascii="Times New Roman" w:hAnsi="Times New Roman" w:cs="Times New Roman"/>
        </w:rPr>
        <w:t xml:space="preserve"> kWhs.  Based on the proposed increase, the average monthly increase would be $</w:t>
      </w:r>
      <w:r w:rsidR="00A44669">
        <w:rPr>
          <w:rFonts w:ascii="Times New Roman" w:hAnsi="Times New Roman" w:cs="Times New Roman"/>
        </w:rPr>
        <w:t>7.</w:t>
      </w:r>
      <w:r w:rsidR="000A6734">
        <w:rPr>
          <w:rFonts w:ascii="Times New Roman" w:hAnsi="Times New Roman" w:cs="Times New Roman"/>
        </w:rPr>
        <w:t>13</w:t>
      </w:r>
      <w:r w:rsidRPr="006A2F58">
        <w:rPr>
          <w:rFonts w:ascii="Times New Roman" w:hAnsi="Times New Roman" w:cs="Times New Roman"/>
        </w:rPr>
        <w:t xml:space="preserve">, or </w:t>
      </w:r>
      <w:r w:rsidR="000A6734">
        <w:rPr>
          <w:rFonts w:ascii="Times New Roman" w:hAnsi="Times New Roman" w:cs="Times New Roman"/>
        </w:rPr>
        <w:t>9.3</w:t>
      </w:r>
      <w:r w:rsidRPr="006A2F58">
        <w:rPr>
          <w:rFonts w:ascii="Times New Roman" w:hAnsi="Times New Roman" w:cs="Times New Roman"/>
        </w:rPr>
        <w:t xml:space="preserve">%.  The present monthly bill for </w:t>
      </w:r>
      <w:r w:rsidR="00C06F9C">
        <w:rPr>
          <w:rFonts w:ascii="Times New Roman" w:hAnsi="Times New Roman" w:cs="Times New Roman"/>
        </w:rPr>
        <w:t>977</w:t>
      </w:r>
      <w:r w:rsidRPr="006A2F58">
        <w:rPr>
          <w:rFonts w:ascii="Times New Roman" w:hAnsi="Times New Roman" w:cs="Times New Roman"/>
        </w:rPr>
        <w:t xml:space="preserve"> kWhs of usage is $</w:t>
      </w:r>
      <w:r w:rsidR="00A44669">
        <w:rPr>
          <w:rFonts w:ascii="Times New Roman" w:hAnsi="Times New Roman" w:cs="Times New Roman"/>
        </w:rPr>
        <w:t>77.01</w:t>
      </w:r>
      <w:r w:rsidRPr="006A2F58">
        <w:rPr>
          <w:rFonts w:ascii="Times New Roman" w:hAnsi="Times New Roman" w:cs="Times New Roman"/>
        </w:rPr>
        <w:t xml:space="preserve"> and the proposed monthly bill would be $</w:t>
      </w:r>
      <w:r w:rsidR="00A44669">
        <w:rPr>
          <w:rFonts w:ascii="Times New Roman" w:hAnsi="Times New Roman" w:cs="Times New Roman"/>
        </w:rPr>
        <w:t>84.</w:t>
      </w:r>
      <w:r w:rsidR="000A6734">
        <w:rPr>
          <w:rFonts w:ascii="Times New Roman" w:hAnsi="Times New Roman" w:cs="Times New Roman"/>
        </w:rPr>
        <w:t>14</w:t>
      </w:r>
      <w:r w:rsidRPr="005540EB">
        <w:rPr>
          <w:rFonts w:ascii="Times New Roman" w:hAnsi="Times New Roman" w:cs="Times New Roman"/>
        </w:rPr>
        <w:t>.</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10.00</w:t>
      </w:r>
      <w:r w:rsidRPr="005540EB">
        <w:rPr>
          <w:rFonts w:ascii="Times New Roman" w:hAnsi="Times New Roman" w:cs="Times New Roman"/>
        </w:rPr>
        <w:t xml:space="preserve">, an energy rate of </w:t>
      </w:r>
      <w:r w:rsidR="00830886">
        <w:rPr>
          <w:rFonts w:ascii="Times New Roman" w:hAnsi="Times New Roman" w:cs="Times New Roman"/>
        </w:rPr>
        <w:t>10.037</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D23716">
        <w:rPr>
          <w:rFonts w:ascii="Times New Roman" w:hAnsi="Times New Roman" w:cs="Times New Roman"/>
        </w:rPr>
        <w:t>9.</w:t>
      </w:r>
      <w:r w:rsidR="00830886">
        <w:rPr>
          <w:rFonts w:ascii="Times New Roman" w:hAnsi="Times New Roman" w:cs="Times New Roman"/>
        </w:rPr>
        <w:t>393</w:t>
      </w:r>
      <w:r w:rsidRPr="005540EB">
        <w:rPr>
          <w:rFonts w:ascii="Times New Roman" w:hAnsi="Times New Roman" w:cs="Times New Roman"/>
        </w:rPr>
        <w:t xml:space="preserve"> cents per kWh for usage over 3,650 kWhs per month.  There is also a demand charge of $</w:t>
      </w:r>
      <w:r w:rsidR="00830886">
        <w:rPr>
          <w:rFonts w:ascii="Times New Roman" w:hAnsi="Times New Roman" w:cs="Times New Roman"/>
        </w:rPr>
        <w:t>5.00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F04603" w:rsidP="00711833">
      <w:pPr>
        <w:pStyle w:val="P138"/>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r>
      <w:r w:rsidR="005540EB" w:rsidRPr="00C86EB1">
        <w:rPr>
          <w:rFonts w:ascii="Times New Roman" w:hAnsi="Times New Roman" w:cs="Times New Roman"/>
        </w:rPr>
        <w:t>How is the Company proposing to apply the proposed general revenue increase of $</w:t>
      </w:r>
      <w:r w:rsidR="00645683" w:rsidRPr="00C86EB1">
        <w:rPr>
          <w:rFonts w:ascii="Times New Roman" w:hAnsi="Times New Roman" w:cs="Times New Roman"/>
        </w:rPr>
        <w:t>3,87</w:t>
      </w:r>
      <w:r w:rsidR="004B4017">
        <w:rPr>
          <w:rFonts w:ascii="Times New Roman" w:hAnsi="Times New Roman" w:cs="Times New Roman"/>
        </w:rPr>
        <w:t>7</w:t>
      </w:r>
      <w:r w:rsidR="005540EB" w:rsidRPr="00C86EB1">
        <w:rPr>
          <w:rFonts w:ascii="Times New Roman" w:hAnsi="Times New Roman" w:cs="Times New Roman"/>
        </w:rPr>
        <w:t>,000 to</w:t>
      </w:r>
      <w:r w:rsidR="005540EB" w:rsidRPr="005540EB">
        <w:rPr>
          <w:rFonts w:ascii="Times New Roman" w:hAnsi="Times New Roman" w:cs="Times New Roman"/>
        </w:rPr>
        <w:t xml:space="preserve"> the rates under Schedule 11? </w:t>
      </w:r>
    </w:p>
    <w:p w:rsidR="005540EB" w:rsidRDefault="00F04603" w:rsidP="00711833">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C86EB1">
        <w:rPr>
          <w:rFonts w:ascii="Times New Roman" w:hAnsi="Times New Roman" w:cs="Times New Roman"/>
        </w:rPr>
        <w:t>2</w:t>
      </w:r>
      <w:r w:rsidR="006A2F58" w:rsidRPr="00E42AAE">
        <w:rPr>
          <w:rFonts w:ascii="Times New Roman" w:hAnsi="Times New Roman" w:cs="Times New Roman"/>
        </w:rPr>
        <w:t>.00</w:t>
      </w:r>
      <w:r w:rsidR="005540EB" w:rsidRPr="00E42AAE">
        <w:rPr>
          <w:rFonts w:ascii="Times New Roman" w:hAnsi="Times New Roman" w:cs="Times New Roman"/>
        </w:rPr>
        <w:t>, from $</w:t>
      </w:r>
      <w:r w:rsidR="00830886" w:rsidRPr="00E42AAE">
        <w:rPr>
          <w:rFonts w:ascii="Times New Roman" w:hAnsi="Times New Roman" w:cs="Times New Roman"/>
        </w:rPr>
        <w:t>10.00</w:t>
      </w:r>
      <w:r w:rsidR="005540EB" w:rsidRPr="00E42AAE">
        <w:rPr>
          <w:rFonts w:ascii="Times New Roman" w:hAnsi="Times New Roman" w:cs="Times New Roman"/>
        </w:rPr>
        <w:t xml:space="preserve"> to $</w:t>
      </w:r>
      <w:r w:rsidR="00AC3ADC" w:rsidRPr="00E42AAE">
        <w:rPr>
          <w:rFonts w:ascii="Times New Roman" w:hAnsi="Times New Roman" w:cs="Times New Roman"/>
        </w:rPr>
        <w:t>1</w:t>
      </w:r>
      <w:r w:rsidR="00C86EB1">
        <w:rPr>
          <w:rFonts w:ascii="Times New Roman" w:hAnsi="Times New Roman" w:cs="Times New Roman"/>
        </w:rPr>
        <w:t>2</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C86EB1">
        <w:rPr>
          <w:rFonts w:ascii="Times New Roman" w:hAnsi="Times New Roman" w:cs="Times New Roman"/>
        </w:rPr>
        <w:t>75</w:t>
      </w:r>
      <w:r w:rsidR="005540EB" w:rsidRPr="00E42AAE">
        <w:rPr>
          <w:rFonts w:ascii="Times New Roman" w:hAnsi="Times New Roman" w:cs="Times New Roman"/>
        </w:rPr>
        <w:t xml:space="preserve"> per kW, from $</w:t>
      </w:r>
      <w:r w:rsidR="00830886" w:rsidRPr="00E42AAE">
        <w:rPr>
          <w:rFonts w:ascii="Times New Roman" w:hAnsi="Times New Roman" w:cs="Times New Roman"/>
        </w:rPr>
        <w:t>5.00</w:t>
      </w:r>
      <w:r w:rsidR="005540EB" w:rsidRPr="00E42AAE">
        <w:rPr>
          <w:rFonts w:ascii="Times New Roman" w:hAnsi="Times New Roman" w:cs="Times New Roman"/>
        </w:rPr>
        <w:t xml:space="preserve"> to $</w:t>
      </w:r>
      <w:r w:rsidR="00AC3ADC" w:rsidRPr="00C86EB1">
        <w:rPr>
          <w:rFonts w:ascii="Times New Roman" w:hAnsi="Times New Roman" w:cs="Times New Roman"/>
        </w:rPr>
        <w:t>5</w:t>
      </w:r>
      <w:r w:rsidR="00C86EB1" w:rsidRPr="00C86EB1">
        <w:rPr>
          <w:rFonts w:ascii="Times New Roman" w:hAnsi="Times New Roman" w:cs="Times New Roman"/>
        </w:rPr>
        <w:t>.75</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5678FA">
        <w:rPr>
          <w:rFonts w:ascii="Times New Roman" w:hAnsi="Times New Roman" w:cs="Times New Roman"/>
        </w:rPr>
        <w:t>T</w:t>
      </w:r>
      <w:r w:rsidR="00F97D0D">
        <w:rPr>
          <w:rFonts w:ascii="Times New Roman" w:hAnsi="Times New Roman" w:cs="Times New Roman"/>
        </w:rPr>
        <w:t xml:space="preserve">he Company is proposing not only to recover the remaining revenue requirement in the first block, but is also proposing to move additional revenue recovery from the second </w:t>
      </w:r>
      <w:r w:rsidR="00F97D0D" w:rsidRPr="00C86EB1">
        <w:rPr>
          <w:rFonts w:ascii="Times New Roman" w:hAnsi="Times New Roman" w:cs="Times New Roman"/>
        </w:rPr>
        <w:t>block to the first block.  The proposed rate for the first block is $0.1</w:t>
      </w:r>
      <w:r w:rsidR="00C86EB1" w:rsidRPr="00C86EB1">
        <w:rPr>
          <w:rFonts w:ascii="Times New Roman" w:hAnsi="Times New Roman" w:cs="Times New Roman"/>
        </w:rPr>
        <w:t>1198</w:t>
      </w:r>
      <w:r w:rsidR="00E42AAE" w:rsidRPr="00C86EB1">
        <w:rPr>
          <w:rFonts w:ascii="Times New Roman" w:hAnsi="Times New Roman" w:cs="Times New Roman"/>
        </w:rPr>
        <w:t xml:space="preserve"> per kWh, an increase of $0.0</w:t>
      </w:r>
      <w:r w:rsidR="00C86EB1" w:rsidRPr="00C86EB1">
        <w:rPr>
          <w:rFonts w:ascii="Times New Roman" w:hAnsi="Times New Roman" w:cs="Times New Roman"/>
        </w:rPr>
        <w:t>1161</w:t>
      </w:r>
      <w:r w:rsidR="00E42AAE" w:rsidRPr="00C86EB1">
        <w:rPr>
          <w:rFonts w:ascii="Times New Roman" w:hAnsi="Times New Roman" w:cs="Times New Roman"/>
        </w:rPr>
        <w:t xml:space="preserve"> per kWh</w:t>
      </w:r>
      <w:r w:rsidR="00F97D0D" w:rsidRPr="00C86EB1">
        <w:rPr>
          <w:rFonts w:ascii="Times New Roman" w:hAnsi="Times New Roman" w:cs="Times New Roman"/>
        </w:rPr>
        <w:t>, and the proposed rate for the second block</w:t>
      </w:r>
      <w:r w:rsidR="005540EB" w:rsidRPr="00C86EB1">
        <w:rPr>
          <w:rFonts w:ascii="Times New Roman" w:hAnsi="Times New Roman" w:cs="Times New Roman"/>
        </w:rPr>
        <w:t xml:space="preserve"> </w:t>
      </w:r>
      <w:r w:rsidR="00E42AAE" w:rsidRPr="00C86EB1">
        <w:rPr>
          <w:rFonts w:ascii="Times New Roman" w:hAnsi="Times New Roman" w:cs="Times New Roman"/>
        </w:rPr>
        <w:t>$0.</w:t>
      </w:r>
      <w:r w:rsidR="00C86EB1" w:rsidRPr="00C86EB1">
        <w:rPr>
          <w:rFonts w:ascii="Times New Roman" w:hAnsi="Times New Roman" w:cs="Times New Roman"/>
        </w:rPr>
        <w:t>08312</w:t>
      </w:r>
      <w:r w:rsidR="00E42AAE" w:rsidRPr="00C86EB1">
        <w:rPr>
          <w:rFonts w:ascii="Times New Roman" w:hAnsi="Times New Roman" w:cs="Times New Roman"/>
        </w:rPr>
        <w:t xml:space="preserve"> per kWh, a reduction of $0.01</w:t>
      </w:r>
      <w:r w:rsidR="00C86EB1" w:rsidRPr="00C86EB1">
        <w:rPr>
          <w:rFonts w:ascii="Times New Roman" w:hAnsi="Times New Roman" w:cs="Times New Roman"/>
        </w:rPr>
        <w:t>081</w:t>
      </w:r>
      <w:r w:rsidR="00E42AAE" w:rsidRPr="00C86EB1">
        <w:rPr>
          <w:rFonts w:ascii="Times New Roman" w:hAnsi="Times New Roman" w:cs="Times New Roman"/>
        </w:rPr>
        <w:t xml:space="preserve"> per kWh</w:t>
      </w:r>
      <w:r w:rsidR="00E42AAE">
        <w:rPr>
          <w:rFonts w:ascii="Times New Roman" w:hAnsi="Times New Roman" w:cs="Times New Roman"/>
        </w:rPr>
        <w:t>.</w:t>
      </w:r>
      <w:r w:rsidR="005540EB" w:rsidRPr="005540EB">
        <w:rPr>
          <w:rFonts w:ascii="Times New Roman" w:hAnsi="Times New Roman" w:cs="Times New Roman"/>
        </w:rPr>
        <w:t xml:space="preserve"> </w:t>
      </w:r>
      <w:r w:rsidR="005D0943">
        <w:rPr>
          <w:rFonts w:ascii="Times New Roman" w:hAnsi="Times New Roman" w:cs="Times New Roman"/>
        </w:rPr>
        <w:t xml:space="preserve">  Finally, the Company is proposing to increase the minimum charge </w:t>
      </w:r>
      <w:r w:rsidR="005D0943">
        <w:rPr>
          <w:rFonts w:ascii="Times New Roman" w:hAnsi="Times New Roman" w:cs="Times New Roman"/>
        </w:rPr>
        <w:lastRenderedPageBreak/>
        <w:t xml:space="preserve">for 3-phase service from $13.10 to $19.35.  </w:t>
      </w:r>
    </w:p>
    <w:p w:rsidR="004868D1" w:rsidRPr="004868D1" w:rsidRDefault="004868D1" w:rsidP="004868D1">
      <w:pPr>
        <w:pStyle w:val="P163"/>
        <w:tabs>
          <w:tab w:val="left" w:pos="180"/>
        </w:tabs>
        <w:ind w:left="0"/>
        <w:jc w:val="both"/>
        <w:rPr>
          <w:rFonts w:ascii="Times New Roman" w:hAnsi="Times New Roman" w:cs="Times New Roman"/>
          <w:b/>
        </w:rPr>
      </w:pPr>
      <w:r w:rsidRPr="004868D1">
        <w:rPr>
          <w:rFonts w:ascii="Times New Roman" w:hAnsi="Times New Roman" w:cs="Times New Roman"/>
          <w:b/>
        </w:rPr>
        <w:tab/>
      </w:r>
      <w:r w:rsidRPr="004868D1">
        <w:rPr>
          <w:rFonts w:ascii="Times New Roman" w:hAnsi="Times New Roman" w:cs="Times New Roman"/>
          <w:b/>
        </w:rPr>
        <w:tab/>
      </w:r>
      <w:r w:rsidRPr="004868D1">
        <w:rPr>
          <w:rFonts w:ascii="Times New Roman" w:hAnsi="Times New Roman" w:cs="Times New Roman"/>
          <w:b/>
        </w:rPr>
        <w:tab/>
        <w:t xml:space="preserve">Q. </w:t>
      </w:r>
      <w:r w:rsidRPr="004868D1">
        <w:rPr>
          <w:rFonts w:ascii="Times New Roman" w:hAnsi="Times New Roman" w:cs="Times New Roman"/>
          <w:b/>
        </w:rPr>
        <w:tab/>
      </w:r>
      <w:r w:rsidR="001D224A">
        <w:rPr>
          <w:rFonts w:ascii="Times New Roman" w:hAnsi="Times New Roman" w:cs="Times New Roman"/>
          <w:b/>
        </w:rPr>
        <w:t>Please explain the proposed changes to</w:t>
      </w:r>
      <w:r>
        <w:rPr>
          <w:rFonts w:ascii="Times New Roman" w:hAnsi="Times New Roman" w:cs="Times New Roman"/>
          <w:b/>
        </w:rPr>
        <w:t xml:space="preserve"> the </w:t>
      </w:r>
      <w:r w:rsidR="00BF7A34">
        <w:rPr>
          <w:rFonts w:ascii="Times New Roman" w:hAnsi="Times New Roman" w:cs="Times New Roman"/>
          <w:b/>
        </w:rPr>
        <w:t xml:space="preserve">block </w:t>
      </w:r>
      <w:r>
        <w:rPr>
          <w:rFonts w:ascii="Times New Roman" w:hAnsi="Times New Roman" w:cs="Times New Roman"/>
          <w:b/>
        </w:rPr>
        <w:t>rate</w:t>
      </w:r>
      <w:r w:rsidR="00BF7A34">
        <w:rPr>
          <w:rFonts w:ascii="Times New Roman" w:hAnsi="Times New Roman" w:cs="Times New Roman"/>
          <w:b/>
        </w:rPr>
        <w:t>s</w:t>
      </w:r>
      <w:r>
        <w:rPr>
          <w:rFonts w:ascii="Times New Roman" w:hAnsi="Times New Roman" w:cs="Times New Roman"/>
          <w:b/>
        </w:rPr>
        <w:t xml:space="preserve"> for Schedule 11</w:t>
      </w:r>
      <w:r w:rsidRPr="004868D1">
        <w:rPr>
          <w:rFonts w:ascii="Times New Roman" w:hAnsi="Times New Roman" w:cs="Times New Roman"/>
          <w:b/>
        </w:rPr>
        <w:t xml:space="preserve">? </w:t>
      </w:r>
    </w:p>
    <w:p w:rsidR="00E42AAE" w:rsidRDefault="004868D1" w:rsidP="004868D1">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r>
      <w:r w:rsidR="00C53F95">
        <w:rPr>
          <w:rFonts w:ascii="Times New Roman" w:hAnsi="Times New Roman" w:cs="Times New Roman"/>
        </w:rPr>
        <w:t xml:space="preserve">Currently, present rates under Schedule 11 result in a higher average kWh charge to larger-use customers than smaller-use customers with the same load factor.  </w:t>
      </w:r>
      <w:r w:rsidR="00CB616E">
        <w:rPr>
          <w:rFonts w:ascii="Times New Roman" w:hAnsi="Times New Roman" w:cs="Times New Roman"/>
        </w:rPr>
        <w:t xml:space="preserve">Generally, larger-usage customers under the Schedule are less costly to serve than smaller-usage customers on a cost per kWh basis, as fixed costs are spread over a larger base of usage.  A lower incremental or average rate for service to larger use customers under a Schedule generally is supportable on a cost of service basis.  </w:t>
      </w:r>
      <w:r w:rsidR="00C53F95">
        <w:rPr>
          <w:rFonts w:ascii="Times New Roman" w:hAnsi="Times New Roman" w:cs="Times New Roman"/>
        </w:rPr>
        <w:t>The proposed changes to the rates in Schedule 11 will resolve this issue.</w:t>
      </w:r>
      <w:r w:rsidR="00C53F95" w:rsidRPr="00C53F95">
        <w:rPr>
          <w:rFonts w:ascii="Times New Roman" w:hAnsi="Times New Roman" w:cs="Times New Roman"/>
        </w:rPr>
        <w:t xml:space="preserve"> </w:t>
      </w:r>
      <w:r w:rsidR="00C53F95">
        <w:rPr>
          <w:rFonts w:ascii="Times New Roman" w:hAnsi="Times New Roman" w:cs="Times New Roman"/>
        </w:rPr>
        <w:t xml:space="preserve"> </w:t>
      </w:r>
      <w:r w:rsidR="00F33810">
        <w:rPr>
          <w:rFonts w:ascii="Times New Roman" w:hAnsi="Times New Roman" w:cs="Times New Roman"/>
        </w:rPr>
        <w:t xml:space="preserve">Table </w:t>
      </w:r>
      <w:r w:rsidR="00133769">
        <w:rPr>
          <w:rFonts w:ascii="Times New Roman" w:hAnsi="Times New Roman" w:cs="Times New Roman"/>
        </w:rPr>
        <w:t>6</w:t>
      </w:r>
      <w:r w:rsidR="00F33810">
        <w:rPr>
          <w:rFonts w:ascii="Times New Roman" w:hAnsi="Times New Roman" w:cs="Times New Roman"/>
        </w:rPr>
        <w:t xml:space="preserve"> below</w:t>
      </w:r>
      <w:r w:rsidR="00C53F95">
        <w:rPr>
          <w:rFonts w:ascii="Times New Roman" w:hAnsi="Times New Roman" w:cs="Times New Roman"/>
        </w:rPr>
        <w:t xml:space="preserve"> shows the average rate per kWh f</w:t>
      </w:r>
      <w:r w:rsidR="00E42AAE">
        <w:rPr>
          <w:rFonts w:ascii="Times New Roman" w:hAnsi="Times New Roman" w:cs="Times New Roman"/>
        </w:rPr>
        <w:t xml:space="preserve">or several different </w:t>
      </w:r>
      <w:r w:rsidR="001D224A">
        <w:rPr>
          <w:rFonts w:ascii="Times New Roman" w:hAnsi="Times New Roman" w:cs="Times New Roman"/>
        </w:rPr>
        <w:t>demand, load factor and energy-usage scenarios, which I will refer to as customer scenarios</w:t>
      </w:r>
      <w:r w:rsidR="00E42AAE">
        <w:rPr>
          <w:rFonts w:ascii="Times New Roman" w:hAnsi="Times New Roman" w:cs="Times New Roman"/>
        </w:rPr>
        <w:t>:</w:t>
      </w:r>
    </w:p>
    <w:p w:rsidR="00E42AAE" w:rsidRDefault="00C86EB1" w:rsidP="004868D1">
      <w:pPr>
        <w:pStyle w:val="P163"/>
        <w:tabs>
          <w:tab w:val="left" w:pos="180"/>
        </w:tabs>
        <w:ind w:left="0"/>
        <w:jc w:val="both"/>
        <w:rPr>
          <w:rFonts w:ascii="Times New Roman" w:hAnsi="Times New Roman" w:cs="Times New Roman"/>
        </w:rPr>
      </w:pPr>
      <w:r w:rsidRPr="00C86EB1">
        <w:rPr>
          <w:noProof/>
        </w:rPr>
        <w:drawing>
          <wp:anchor distT="0" distB="0" distL="114300" distR="114300" simplePos="0" relativeHeight="251743744" behindDoc="1" locked="0" layoutInCell="1" allowOverlap="1">
            <wp:simplePos x="0" y="0"/>
            <wp:positionH relativeFrom="column">
              <wp:posOffset>20955</wp:posOffset>
            </wp:positionH>
            <wp:positionV relativeFrom="paragraph">
              <wp:posOffset>1905</wp:posOffset>
            </wp:positionV>
            <wp:extent cx="5753982" cy="1866900"/>
            <wp:effectExtent l="19050" t="0" r="0" b="0"/>
            <wp:wrapNone/>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753982" cy="1866900"/>
                    </a:xfrm>
                    <a:prstGeom prst="rect">
                      <a:avLst/>
                    </a:prstGeom>
                    <a:noFill/>
                    <a:ln w="9525">
                      <a:noFill/>
                      <a:miter lim="800000"/>
                      <a:headEnd/>
                      <a:tailEnd/>
                    </a:ln>
                  </pic:spPr>
                </pic:pic>
              </a:graphicData>
            </a:graphic>
          </wp:anchor>
        </w:drawing>
      </w: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C53F95" w:rsidRDefault="00C53F95" w:rsidP="004868D1">
      <w:pPr>
        <w:pStyle w:val="P163"/>
        <w:tabs>
          <w:tab w:val="left" w:pos="180"/>
        </w:tabs>
        <w:ind w:left="0"/>
        <w:jc w:val="both"/>
        <w:rPr>
          <w:rFonts w:ascii="Times New Roman" w:hAnsi="Times New Roman" w:cs="Times New Roman"/>
        </w:rPr>
      </w:pPr>
      <w:r>
        <w:rPr>
          <w:rFonts w:ascii="Times New Roman" w:hAnsi="Times New Roman" w:cs="Times New Roman"/>
        </w:rPr>
        <w:t>Column (e) shows the average rate per kWh under present rates and column (g) shows the average rate under the proposed rates.  Lines 1-3 show three different customer</w:t>
      </w:r>
      <w:r w:rsidR="001D224A">
        <w:rPr>
          <w:rFonts w:ascii="Times New Roman" w:hAnsi="Times New Roman" w:cs="Times New Roman"/>
        </w:rPr>
        <w:t xml:space="preserve"> </w:t>
      </w:r>
      <w:r>
        <w:rPr>
          <w:rFonts w:ascii="Times New Roman" w:hAnsi="Times New Roman" w:cs="Times New Roman"/>
        </w:rPr>
        <w:t>s</w:t>
      </w:r>
      <w:r w:rsidR="001D224A">
        <w:rPr>
          <w:rFonts w:ascii="Times New Roman" w:hAnsi="Times New Roman" w:cs="Times New Roman"/>
        </w:rPr>
        <w:t>cenarios</w:t>
      </w:r>
      <w:r>
        <w:rPr>
          <w:rFonts w:ascii="Times New Roman" w:hAnsi="Times New Roman" w:cs="Times New Roman"/>
        </w:rPr>
        <w:t xml:space="preserve"> with different usage levels</w:t>
      </w:r>
      <w:r w:rsidR="001D224A">
        <w:rPr>
          <w:rFonts w:ascii="Times New Roman" w:hAnsi="Times New Roman" w:cs="Times New Roman"/>
        </w:rPr>
        <w:t xml:space="preserve">, but all with a </w:t>
      </w:r>
      <w:r>
        <w:rPr>
          <w:rFonts w:ascii="Times New Roman" w:hAnsi="Times New Roman" w:cs="Times New Roman"/>
        </w:rPr>
        <w:t>25% load factor.  Lines 4-6 show three customer</w:t>
      </w:r>
      <w:r w:rsidR="001D224A">
        <w:rPr>
          <w:rFonts w:ascii="Times New Roman" w:hAnsi="Times New Roman" w:cs="Times New Roman"/>
        </w:rPr>
        <w:t xml:space="preserve"> </w:t>
      </w:r>
      <w:r>
        <w:rPr>
          <w:rFonts w:ascii="Times New Roman" w:hAnsi="Times New Roman" w:cs="Times New Roman"/>
        </w:rPr>
        <w:t>s</w:t>
      </w:r>
      <w:r w:rsidR="001D224A">
        <w:rPr>
          <w:rFonts w:ascii="Times New Roman" w:hAnsi="Times New Roman" w:cs="Times New Roman"/>
        </w:rPr>
        <w:t>cenarios</w:t>
      </w:r>
      <w:r>
        <w:rPr>
          <w:rFonts w:ascii="Times New Roman" w:hAnsi="Times New Roman" w:cs="Times New Roman"/>
        </w:rPr>
        <w:t xml:space="preserve"> with different usage levels</w:t>
      </w:r>
      <w:r w:rsidR="001D224A">
        <w:rPr>
          <w:rFonts w:ascii="Times New Roman" w:hAnsi="Times New Roman" w:cs="Times New Roman"/>
        </w:rPr>
        <w:t>, but with</w:t>
      </w:r>
      <w:r>
        <w:rPr>
          <w:rFonts w:ascii="Times New Roman" w:hAnsi="Times New Roman" w:cs="Times New Roman"/>
        </w:rPr>
        <w:t xml:space="preserve"> a 50% load factor.  As show</w:t>
      </w:r>
      <w:r w:rsidR="00BF7A34">
        <w:rPr>
          <w:rFonts w:ascii="Times New Roman" w:hAnsi="Times New Roman" w:cs="Times New Roman"/>
        </w:rPr>
        <w:t>n</w:t>
      </w:r>
      <w:r>
        <w:rPr>
          <w:rFonts w:ascii="Times New Roman" w:hAnsi="Times New Roman" w:cs="Times New Roman"/>
        </w:rPr>
        <w:t xml:space="preserve"> in column (e), a higher-use customer always pay</w:t>
      </w:r>
      <w:r w:rsidR="001D224A">
        <w:rPr>
          <w:rFonts w:ascii="Times New Roman" w:hAnsi="Times New Roman" w:cs="Times New Roman"/>
        </w:rPr>
        <w:t>s</w:t>
      </w:r>
      <w:r>
        <w:rPr>
          <w:rFonts w:ascii="Times New Roman" w:hAnsi="Times New Roman" w:cs="Times New Roman"/>
        </w:rPr>
        <w:t xml:space="preserve"> a higher average rate than a smaller-use customer with a similar load factor.  </w:t>
      </w:r>
      <w:r w:rsidR="00F33810">
        <w:rPr>
          <w:rFonts w:ascii="Times New Roman" w:hAnsi="Times New Roman" w:cs="Times New Roman"/>
        </w:rPr>
        <w:t xml:space="preserve">Not only does it not seem fair to charge a higher effective kWh rate </w:t>
      </w:r>
      <w:r w:rsidR="00F33810">
        <w:rPr>
          <w:rFonts w:ascii="Times New Roman" w:hAnsi="Times New Roman" w:cs="Times New Roman"/>
        </w:rPr>
        <w:lastRenderedPageBreak/>
        <w:t xml:space="preserve">to </w:t>
      </w:r>
      <w:r w:rsidR="00B56F17">
        <w:rPr>
          <w:rFonts w:ascii="Times New Roman" w:hAnsi="Times New Roman" w:cs="Times New Roman"/>
        </w:rPr>
        <w:t>higher-use customers, but it may also drive these customers to use more energy than they otherwise would have for purposes of qualifying for Schedule 21 which could result in a lower effective kWh rate.</w:t>
      </w:r>
    </w:p>
    <w:p w:rsidR="00C53F95" w:rsidRPr="004868D1" w:rsidRDefault="00C53F95" w:rsidP="00C53F95">
      <w:pPr>
        <w:pStyle w:val="P163"/>
        <w:tabs>
          <w:tab w:val="left" w:pos="180"/>
        </w:tabs>
        <w:ind w:left="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868D1">
        <w:rPr>
          <w:rFonts w:ascii="Times New Roman" w:hAnsi="Times New Roman" w:cs="Times New Roman"/>
          <w:b/>
        </w:rPr>
        <w:t xml:space="preserve">Q. </w:t>
      </w:r>
      <w:r w:rsidRPr="004868D1">
        <w:rPr>
          <w:rFonts w:ascii="Times New Roman" w:hAnsi="Times New Roman" w:cs="Times New Roman"/>
          <w:b/>
        </w:rPr>
        <w:tab/>
      </w:r>
      <w:r>
        <w:rPr>
          <w:rFonts w:ascii="Times New Roman" w:hAnsi="Times New Roman" w:cs="Times New Roman"/>
          <w:b/>
        </w:rPr>
        <w:t>What are the causes of this rate design problem for Schedule 11</w:t>
      </w:r>
      <w:r w:rsidRPr="004868D1">
        <w:rPr>
          <w:rFonts w:ascii="Times New Roman" w:hAnsi="Times New Roman" w:cs="Times New Roman"/>
          <w:b/>
        </w:rPr>
        <w:t xml:space="preserve">? </w:t>
      </w:r>
    </w:p>
    <w:p w:rsidR="00416D8E" w:rsidRDefault="00C53F95" w:rsidP="006E11B2">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t xml:space="preserve">I believe there are two primary causes.  First, </w:t>
      </w:r>
      <w:r w:rsidR="004868D1">
        <w:rPr>
          <w:rFonts w:ascii="Times New Roman" w:hAnsi="Times New Roman" w:cs="Times New Roman"/>
        </w:rPr>
        <w:t>since the Company instituted the second block for Schedule 11</w:t>
      </w:r>
      <w:r w:rsidR="00BF7A34">
        <w:rPr>
          <w:rFonts w:ascii="Times New Roman" w:hAnsi="Times New Roman" w:cs="Times New Roman"/>
        </w:rPr>
        <w:t xml:space="preserve"> in January 2006</w:t>
      </w:r>
      <w:r w:rsidR="004868D1">
        <w:rPr>
          <w:rFonts w:ascii="Times New Roman" w:hAnsi="Times New Roman" w:cs="Times New Roman"/>
        </w:rPr>
        <w:t xml:space="preserve">, the rate differential between the first block and the second block has been </w:t>
      </w:r>
      <w:r w:rsidR="005678FA">
        <w:rPr>
          <w:rFonts w:ascii="Times New Roman" w:hAnsi="Times New Roman" w:cs="Times New Roman"/>
        </w:rPr>
        <w:t>relatively</w:t>
      </w:r>
      <w:r w:rsidR="004868D1">
        <w:rPr>
          <w:rFonts w:ascii="Times New Roman" w:hAnsi="Times New Roman" w:cs="Times New Roman"/>
        </w:rPr>
        <w:t xml:space="preserve"> small on a percentage basis.  For example, the differential based on current base rates between the blocks for Schedule 11 is </w:t>
      </w:r>
      <w:r w:rsidR="00BF7A34">
        <w:rPr>
          <w:rFonts w:ascii="Times New Roman" w:hAnsi="Times New Roman" w:cs="Times New Roman"/>
        </w:rPr>
        <w:t xml:space="preserve">approximately </w:t>
      </w:r>
      <w:r w:rsidR="004868D1">
        <w:rPr>
          <w:rFonts w:ascii="Times New Roman" w:hAnsi="Times New Roman" w:cs="Times New Roman"/>
        </w:rPr>
        <w:t xml:space="preserve">6.4%.  </w:t>
      </w:r>
      <w:r w:rsidR="00BF7A34">
        <w:rPr>
          <w:rFonts w:ascii="Times New Roman" w:hAnsi="Times New Roman" w:cs="Times New Roman"/>
        </w:rPr>
        <w:t>For comparison purposes, t</w:t>
      </w:r>
      <w:r w:rsidR="004868D1">
        <w:rPr>
          <w:rFonts w:ascii="Times New Roman" w:hAnsi="Times New Roman" w:cs="Times New Roman"/>
        </w:rPr>
        <w:t xml:space="preserve">he rate differential for Schedule 21, which is also a two block declining rate </w:t>
      </w:r>
      <w:r w:rsidR="004868D1" w:rsidRPr="0082656C">
        <w:rPr>
          <w:rFonts w:ascii="Times New Roman" w:hAnsi="Times New Roman" w:cs="Times New Roman"/>
        </w:rPr>
        <w:t>structure</w:t>
      </w:r>
      <w:r w:rsidR="0082656C">
        <w:rPr>
          <w:rFonts w:ascii="Times New Roman" w:hAnsi="Times New Roman" w:cs="Times New Roman"/>
        </w:rPr>
        <w:t>,</w:t>
      </w:r>
      <w:r w:rsidR="004868D1" w:rsidRPr="0082656C">
        <w:rPr>
          <w:rFonts w:ascii="Times New Roman" w:hAnsi="Times New Roman" w:cs="Times New Roman"/>
        </w:rPr>
        <w:t xml:space="preserve"> is </w:t>
      </w:r>
      <w:r w:rsidR="00BF7A34">
        <w:rPr>
          <w:rFonts w:ascii="Times New Roman" w:hAnsi="Times New Roman" w:cs="Times New Roman"/>
        </w:rPr>
        <w:t xml:space="preserve">approximately </w:t>
      </w:r>
      <w:r w:rsidR="004868D1" w:rsidRPr="0082656C">
        <w:rPr>
          <w:rFonts w:ascii="Times New Roman" w:hAnsi="Times New Roman" w:cs="Times New Roman"/>
        </w:rPr>
        <w:t>10.6%.</w:t>
      </w:r>
      <w:r>
        <w:rPr>
          <w:rFonts w:ascii="Times New Roman" w:hAnsi="Times New Roman" w:cs="Times New Roman"/>
        </w:rPr>
        <w:t xml:space="preserve">  The result </w:t>
      </w:r>
      <w:r w:rsidR="0082656C">
        <w:rPr>
          <w:rFonts w:ascii="Times New Roman" w:hAnsi="Times New Roman" w:cs="Times New Roman"/>
        </w:rPr>
        <w:t xml:space="preserve">of the current rate structure </w:t>
      </w:r>
      <w:r>
        <w:rPr>
          <w:rFonts w:ascii="Times New Roman" w:hAnsi="Times New Roman" w:cs="Times New Roman"/>
        </w:rPr>
        <w:t xml:space="preserve">is that as a customer moves into the second block, they do not receive much of a </w:t>
      </w:r>
      <w:r w:rsidR="00416D8E">
        <w:rPr>
          <w:rFonts w:ascii="Times New Roman" w:hAnsi="Times New Roman" w:cs="Times New Roman"/>
        </w:rPr>
        <w:t xml:space="preserve">rate </w:t>
      </w:r>
      <w:r>
        <w:rPr>
          <w:rFonts w:ascii="Times New Roman" w:hAnsi="Times New Roman" w:cs="Times New Roman"/>
        </w:rPr>
        <w:t xml:space="preserve">discount, even though generally a larger-use customer is less expensive to serve </w:t>
      </w:r>
      <w:r w:rsidR="0082656C">
        <w:rPr>
          <w:rFonts w:ascii="Times New Roman" w:hAnsi="Times New Roman" w:cs="Times New Roman"/>
        </w:rPr>
        <w:t>than</w:t>
      </w:r>
      <w:r>
        <w:rPr>
          <w:rFonts w:ascii="Times New Roman" w:hAnsi="Times New Roman" w:cs="Times New Roman"/>
        </w:rPr>
        <w:t xml:space="preserve"> a smaller-use customer.</w:t>
      </w:r>
      <w:r w:rsidR="004868D1">
        <w:rPr>
          <w:rFonts w:ascii="Times New Roman" w:hAnsi="Times New Roman" w:cs="Times New Roman"/>
        </w:rPr>
        <w:t xml:space="preserve">  </w:t>
      </w:r>
    </w:p>
    <w:p w:rsidR="00CB616E" w:rsidRPr="00CB616E" w:rsidRDefault="00416D8E" w:rsidP="00CB616E">
      <w:pPr>
        <w:pStyle w:val="P163"/>
        <w:tabs>
          <w:tab w:val="left" w:pos="180"/>
        </w:tabs>
        <w:ind w:left="0"/>
        <w:jc w:val="both"/>
        <w:rPr>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53F95">
        <w:rPr>
          <w:rFonts w:ascii="Times New Roman" w:hAnsi="Times New Roman" w:cs="Times New Roman"/>
        </w:rPr>
        <w:t>The second cause</w:t>
      </w:r>
      <w:r>
        <w:rPr>
          <w:rFonts w:ascii="Times New Roman" w:hAnsi="Times New Roman" w:cs="Times New Roman"/>
        </w:rPr>
        <w:t xml:space="preserve"> of this problem</w:t>
      </w:r>
      <w:r w:rsidR="00C53F95">
        <w:rPr>
          <w:rFonts w:ascii="Times New Roman" w:hAnsi="Times New Roman" w:cs="Times New Roman"/>
        </w:rPr>
        <w:t xml:space="preserve"> is </w:t>
      </w:r>
      <w:r w:rsidR="004868D1">
        <w:rPr>
          <w:rFonts w:ascii="Times New Roman" w:hAnsi="Times New Roman" w:cs="Times New Roman"/>
        </w:rPr>
        <w:t xml:space="preserve">the current rate structure </w:t>
      </w:r>
      <w:r w:rsidR="00C53F95">
        <w:rPr>
          <w:rFonts w:ascii="Times New Roman" w:hAnsi="Times New Roman" w:cs="Times New Roman"/>
        </w:rPr>
        <w:t>as it relates to demand charges.  Schedule 11 c</w:t>
      </w:r>
      <w:r w:rsidR="004868D1">
        <w:rPr>
          <w:rFonts w:ascii="Times New Roman" w:hAnsi="Times New Roman" w:cs="Times New Roman"/>
        </w:rPr>
        <w:t xml:space="preserve">ustomers are not charged for their first 20 kW </w:t>
      </w:r>
      <w:r w:rsidR="00C53F95">
        <w:rPr>
          <w:rFonts w:ascii="Times New Roman" w:hAnsi="Times New Roman" w:cs="Times New Roman"/>
        </w:rPr>
        <w:t xml:space="preserve">of demand. Demand in excess of 20 kW are charged $5.00 per kW in current rates.  </w:t>
      </w:r>
      <w:r w:rsidR="00DD0A5E">
        <w:rPr>
          <w:rFonts w:ascii="Times New Roman" w:hAnsi="Times New Roman" w:cs="Times New Roman"/>
        </w:rPr>
        <w:t xml:space="preserve">Under the current </w:t>
      </w:r>
      <w:r w:rsidR="0082656C">
        <w:rPr>
          <w:rFonts w:ascii="Times New Roman" w:hAnsi="Times New Roman" w:cs="Times New Roman"/>
        </w:rPr>
        <w:t xml:space="preserve">rate </w:t>
      </w:r>
      <w:r w:rsidR="00DD0A5E">
        <w:rPr>
          <w:rFonts w:ascii="Times New Roman" w:hAnsi="Times New Roman" w:cs="Times New Roman"/>
        </w:rPr>
        <w:t xml:space="preserve">structure, high use customers pay the incremental demand charge, and </w:t>
      </w:r>
      <w:r w:rsidR="0082656C">
        <w:rPr>
          <w:rFonts w:ascii="Times New Roman" w:hAnsi="Times New Roman" w:cs="Times New Roman"/>
        </w:rPr>
        <w:t xml:space="preserve">when </w:t>
      </w:r>
      <w:r w:rsidR="00DD0A5E">
        <w:rPr>
          <w:rFonts w:ascii="Times New Roman" w:hAnsi="Times New Roman" w:cs="Times New Roman"/>
        </w:rPr>
        <w:t xml:space="preserve">coupled with a relatively narrow rate spread between the blocks, </w:t>
      </w:r>
      <w:r w:rsidR="005678FA">
        <w:rPr>
          <w:rFonts w:ascii="Times New Roman" w:hAnsi="Times New Roman" w:cs="Times New Roman"/>
        </w:rPr>
        <w:t xml:space="preserve">this </w:t>
      </w:r>
      <w:r w:rsidR="004868D1">
        <w:rPr>
          <w:rFonts w:ascii="Times New Roman" w:hAnsi="Times New Roman" w:cs="Times New Roman"/>
        </w:rPr>
        <w:t>results in a higher average rate for higher-use custome</w:t>
      </w:r>
      <w:r w:rsidR="00F33810">
        <w:rPr>
          <w:rFonts w:ascii="Times New Roman" w:hAnsi="Times New Roman" w:cs="Times New Roman"/>
        </w:rPr>
        <w:t xml:space="preserve">rs than smaller-use customers. </w:t>
      </w:r>
      <w:r w:rsidR="00CB616E">
        <w:rPr>
          <w:rFonts w:ascii="Times New Roman" w:hAnsi="Times New Roman" w:cs="Times New Roman"/>
          <w:b/>
        </w:rPr>
        <w:br w:type="page"/>
      </w:r>
    </w:p>
    <w:p w:rsidR="00E42AAE" w:rsidRPr="00E42AAE" w:rsidRDefault="00CB616E" w:rsidP="00E42AAE">
      <w:pPr>
        <w:pStyle w:val="P163"/>
        <w:tabs>
          <w:tab w:val="left" w:pos="180"/>
        </w:tabs>
        <w:ind w:left="0"/>
        <w:jc w:val="both"/>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sidR="00E42AAE" w:rsidRPr="00E42AAE">
        <w:rPr>
          <w:rFonts w:ascii="Times New Roman" w:hAnsi="Times New Roman" w:cs="Times New Roman"/>
          <w:b/>
        </w:rPr>
        <w:t xml:space="preserve">Q. </w:t>
      </w:r>
      <w:r w:rsidR="00E42AAE" w:rsidRPr="00E42AAE">
        <w:rPr>
          <w:rFonts w:ascii="Times New Roman" w:hAnsi="Times New Roman" w:cs="Times New Roman"/>
          <w:b/>
        </w:rPr>
        <w:tab/>
        <w:t xml:space="preserve">What is the rate impact </w:t>
      </w:r>
      <w:r w:rsidR="008C49C5">
        <w:rPr>
          <w:rFonts w:ascii="Times New Roman" w:hAnsi="Times New Roman" w:cs="Times New Roman"/>
          <w:b/>
        </w:rPr>
        <w:t>to customers on Schedule 11 from the Company’s proposed rate design</w:t>
      </w:r>
      <w:r w:rsidR="00E42AAE" w:rsidRPr="00E42AAE">
        <w:rPr>
          <w:rFonts w:ascii="Times New Roman" w:hAnsi="Times New Roman" w:cs="Times New Roman"/>
          <w:b/>
        </w:rPr>
        <w:t xml:space="preserve">? </w:t>
      </w:r>
    </w:p>
    <w:p w:rsidR="00E42AAE" w:rsidRDefault="00CB616E" w:rsidP="00E42AAE">
      <w:pPr>
        <w:pStyle w:val="P163"/>
        <w:tabs>
          <w:tab w:val="left" w:pos="180"/>
        </w:tabs>
        <w:ind w:left="0"/>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E42AAE" w:rsidRPr="00E42AAE">
        <w:rPr>
          <w:rFonts w:ascii="Times New Roman" w:hAnsi="Times New Roman" w:cs="Times New Roman"/>
          <w:bCs/>
        </w:rPr>
        <w:t>A.</w:t>
      </w:r>
      <w:r w:rsidR="00E42AAE" w:rsidRPr="00E42AAE">
        <w:rPr>
          <w:rFonts w:ascii="Times New Roman" w:hAnsi="Times New Roman" w:cs="Times New Roman"/>
          <w:bCs/>
        </w:rPr>
        <w:tab/>
      </w:r>
      <w:r w:rsidR="00E42AAE">
        <w:rPr>
          <w:rFonts w:ascii="Times New Roman" w:hAnsi="Times New Roman" w:cs="Times New Roman"/>
          <w:bCs/>
        </w:rPr>
        <w:t>Table 7 below shows the impact to various customers on Schedule 11:</w:t>
      </w:r>
    </w:p>
    <w:p w:rsidR="006E11B2" w:rsidRDefault="00416D8E" w:rsidP="00E42AAE">
      <w:pPr>
        <w:pStyle w:val="P163"/>
        <w:tabs>
          <w:tab w:val="left" w:pos="180"/>
        </w:tabs>
        <w:ind w:left="0"/>
        <w:jc w:val="both"/>
        <w:rPr>
          <w:rFonts w:ascii="Times New Roman" w:hAnsi="Times New Roman" w:cs="Times New Roman"/>
          <w:bCs/>
        </w:rPr>
      </w:pPr>
      <w:r w:rsidRPr="00416D8E">
        <w:rPr>
          <w:noProof/>
        </w:rPr>
        <w:drawing>
          <wp:anchor distT="0" distB="0" distL="114300" distR="114300" simplePos="0" relativeHeight="251749888" behindDoc="1" locked="0" layoutInCell="1" allowOverlap="1">
            <wp:simplePos x="0" y="0"/>
            <wp:positionH relativeFrom="column">
              <wp:posOffset>22708</wp:posOffset>
            </wp:positionH>
            <wp:positionV relativeFrom="paragraph">
              <wp:posOffset>3073</wp:posOffset>
            </wp:positionV>
            <wp:extent cx="5580583" cy="1880007"/>
            <wp:effectExtent l="19050" t="0" r="1067"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580583" cy="1880007"/>
                    </a:xfrm>
                    <a:prstGeom prst="rect">
                      <a:avLst/>
                    </a:prstGeom>
                    <a:noFill/>
                    <a:ln w="9525">
                      <a:noFill/>
                      <a:miter lim="800000"/>
                      <a:headEnd/>
                      <a:tailEnd/>
                    </a:ln>
                  </pic:spPr>
                </pic:pic>
              </a:graphicData>
            </a:graphic>
          </wp:anchor>
        </w:drawing>
      </w:r>
    </w:p>
    <w:p w:rsidR="006E11B2" w:rsidRDefault="006E11B2" w:rsidP="00E42AAE">
      <w:pPr>
        <w:pStyle w:val="P163"/>
        <w:tabs>
          <w:tab w:val="left" w:pos="180"/>
        </w:tabs>
        <w:ind w:left="0"/>
        <w:jc w:val="both"/>
        <w:rPr>
          <w:rFonts w:ascii="Times New Roman" w:hAnsi="Times New Roman" w:cs="Times New Roman"/>
          <w:bCs/>
        </w:rPr>
      </w:pPr>
    </w:p>
    <w:p w:rsidR="006E11B2" w:rsidRDefault="006E11B2" w:rsidP="00E42AAE">
      <w:pPr>
        <w:pStyle w:val="P163"/>
        <w:tabs>
          <w:tab w:val="left" w:pos="180"/>
        </w:tabs>
        <w:ind w:left="0"/>
        <w:jc w:val="both"/>
        <w:rPr>
          <w:rFonts w:ascii="Times New Roman" w:hAnsi="Times New Roman" w:cs="Times New Roman"/>
          <w:bCs/>
        </w:rPr>
      </w:pPr>
    </w:p>
    <w:p w:rsidR="006E11B2" w:rsidRDefault="006E11B2" w:rsidP="00E42AAE">
      <w:pPr>
        <w:pStyle w:val="P163"/>
        <w:tabs>
          <w:tab w:val="left" w:pos="180"/>
        </w:tabs>
        <w:ind w:left="0"/>
        <w:jc w:val="both"/>
        <w:rPr>
          <w:rFonts w:ascii="Times New Roman" w:hAnsi="Times New Roman" w:cs="Times New Roman"/>
          <w:bCs/>
        </w:rPr>
      </w:pPr>
    </w:p>
    <w:p w:rsidR="006E11B2" w:rsidRDefault="006E11B2" w:rsidP="00E42AAE">
      <w:pPr>
        <w:pStyle w:val="P163"/>
        <w:tabs>
          <w:tab w:val="left" w:pos="180"/>
        </w:tabs>
        <w:ind w:left="0"/>
        <w:jc w:val="both"/>
        <w:rPr>
          <w:rFonts w:ascii="Times New Roman" w:hAnsi="Times New Roman" w:cs="Times New Roman"/>
          <w:bCs/>
        </w:rPr>
      </w:pPr>
    </w:p>
    <w:p w:rsidR="00CB616E" w:rsidRDefault="00CB616E" w:rsidP="00E42AAE">
      <w:pPr>
        <w:pStyle w:val="P163"/>
        <w:tabs>
          <w:tab w:val="left" w:pos="180"/>
        </w:tabs>
        <w:ind w:left="0"/>
        <w:jc w:val="both"/>
        <w:rPr>
          <w:rFonts w:ascii="Times New Roman" w:hAnsi="Times New Roman" w:cs="Times New Roman"/>
          <w:bCs/>
        </w:rPr>
      </w:pPr>
    </w:p>
    <w:p w:rsidR="00E42AAE" w:rsidRDefault="008C49C5" w:rsidP="00E42AAE">
      <w:pPr>
        <w:pStyle w:val="P163"/>
        <w:tabs>
          <w:tab w:val="left" w:pos="180"/>
        </w:tabs>
        <w:ind w:left="0"/>
        <w:jc w:val="both"/>
        <w:rPr>
          <w:rFonts w:ascii="Times New Roman" w:hAnsi="Times New Roman" w:cs="Times New Roman"/>
          <w:bCs/>
        </w:rPr>
      </w:pPr>
      <w:r>
        <w:rPr>
          <w:rFonts w:ascii="Times New Roman" w:hAnsi="Times New Roman" w:cs="Times New Roman"/>
          <w:bCs/>
        </w:rPr>
        <w:t>The</w:t>
      </w:r>
      <w:r w:rsidR="00E42AAE">
        <w:rPr>
          <w:rFonts w:ascii="Times New Roman" w:hAnsi="Times New Roman" w:cs="Times New Roman"/>
          <w:bCs/>
        </w:rPr>
        <w:t xml:space="preserve"> </w:t>
      </w:r>
      <w:r w:rsidR="00CB616E">
        <w:rPr>
          <w:rFonts w:ascii="Times New Roman" w:hAnsi="Times New Roman" w:cs="Times New Roman"/>
          <w:bCs/>
        </w:rPr>
        <w:t xml:space="preserve">proposed </w:t>
      </w:r>
      <w:r w:rsidR="006E11B2">
        <w:rPr>
          <w:rFonts w:ascii="Times New Roman" w:hAnsi="Times New Roman" w:cs="Times New Roman"/>
          <w:bCs/>
        </w:rPr>
        <w:t xml:space="preserve">rate design </w:t>
      </w:r>
      <w:r>
        <w:rPr>
          <w:rFonts w:ascii="Times New Roman" w:hAnsi="Times New Roman" w:cs="Times New Roman"/>
          <w:bCs/>
        </w:rPr>
        <w:t xml:space="preserve">results in a bill decrease for larger-use customers on Schedule 11, and a slightly higher bill increase for </w:t>
      </w:r>
      <w:r w:rsidR="006E11B2">
        <w:rPr>
          <w:rFonts w:ascii="Times New Roman" w:hAnsi="Times New Roman" w:cs="Times New Roman"/>
          <w:bCs/>
        </w:rPr>
        <w:t xml:space="preserve">lower use </w:t>
      </w:r>
      <w:r>
        <w:rPr>
          <w:rFonts w:ascii="Times New Roman" w:hAnsi="Times New Roman" w:cs="Times New Roman"/>
          <w:bCs/>
        </w:rPr>
        <w:t>customers than</w:t>
      </w:r>
      <w:r w:rsidR="0082656C">
        <w:rPr>
          <w:rFonts w:ascii="Times New Roman" w:hAnsi="Times New Roman" w:cs="Times New Roman"/>
          <w:bCs/>
        </w:rPr>
        <w:t xml:space="preserve"> the Company’s overall requested percentage increase</w:t>
      </w:r>
      <w:r w:rsidR="006E11B2">
        <w:rPr>
          <w:rFonts w:ascii="Times New Roman" w:hAnsi="Times New Roman" w:cs="Times New Roman"/>
          <w:bCs/>
        </w:rPr>
        <w:t xml:space="preserve"> in this case.</w:t>
      </w:r>
    </w:p>
    <w:p w:rsidR="009C54AD" w:rsidRPr="00DD0A5E" w:rsidRDefault="00E42AAE" w:rsidP="009C54AD">
      <w:pPr>
        <w:pStyle w:val="P163"/>
        <w:tabs>
          <w:tab w:val="left" w:pos="18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54AD" w:rsidRPr="00E42AAE">
        <w:rPr>
          <w:rFonts w:ascii="Times New Roman" w:hAnsi="Times New Roman" w:cs="Times New Roman"/>
          <w:b/>
        </w:rPr>
        <w:t xml:space="preserve">Q. </w:t>
      </w:r>
      <w:r w:rsidR="009C54AD" w:rsidRPr="00E42AAE">
        <w:rPr>
          <w:rFonts w:ascii="Times New Roman" w:hAnsi="Times New Roman" w:cs="Times New Roman"/>
          <w:b/>
        </w:rPr>
        <w:tab/>
      </w:r>
      <w:r w:rsidR="009C54AD">
        <w:rPr>
          <w:rFonts w:ascii="Times New Roman" w:hAnsi="Times New Roman" w:cs="Times New Roman"/>
          <w:b/>
        </w:rPr>
        <w:t>Does the proposed rate design change improve a customer’s transition from Schedule 11 to Schedule 21</w:t>
      </w:r>
      <w:r w:rsidR="009C54AD" w:rsidRPr="00DD0A5E">
        <w:rPr>
          <w:rFonts w:ascii="Times New Roman" w:hAnsi="Times New Roman" w:cs="Times New Roman"/>
          <w:b/>
        </w:rPr>
        <w:t xml:space="preserve">? </w:t>
      </w:r>
    </w:p>
    <w:p w:rsidR="009C54AD" w:rsidRDefault="009C54AD" w:rsidP="009C54AD">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Yes</w:t>
      </w:r>
      <w:r w:rsidR="005678FA">
        <w:rPr>
          <w:rFonts w:ascii="Times New Roman" w:hAnsi="Times New Roman" w:cs="Times New Roman"/>
        </w:rPr>
        <w:t>,</w:t>
      </w:r>
      <w:r>
        <w:rPr>
          <w:rFonts w:ascii="Times New Roman" w:hAnsi="Times New Roman" w:cs="Times New Roman"/>
        </w:rPr>
        <w:t xml:space="preserve"> i</w:t>
      </w:r>
      <w:r w:rsidR="005678FA">
        <w:rPr>
          <w:rFonts w:ascii="Times New Roman" w:hAnsi="Times New Roman" w:cs="Times New Roman"/>
        </w:rPr>
        <w:t>t</w:t>
      </w:r>
      <w:r>
        <w:rPr>
          <w:rFonts w:ascii="Times New Roman" w:hAnsi="Times New Roman" w:cs="Times New Roman"/>
        </w:rPr>
        <w:t xml:space="preserve"> does.  Currently the difference in the present rates under Schedule 11 and Schedule 21 is substantial.  There are a number of large customers served under Schedule 11 that are similar in size and usage to smaller Schedule 21 customers.  Because of this rate differential, a customer switching from Schedule 11 to Schedule 21 can see a lower annual energy bill under present rates, which represents a revenue/margin loss to the Company until it is recovered as a result of a general rate change.  This rate disparity may also cause customers to increase their usage in order to qualify for Schedule 21, which is inconsistent with the goals of energy efficiency.  Therefore, the Company’s proposed rate design change will result in lower effective per kWh rates</w:t>
      </w:r>
      <w:r w:rsidR="00CB616E">
        <w:rPr>
          <w:rFonts w:ascii="Times New Roman" w:hAnsi="Times New Roman" w:cs="Times New Roman"/>
        </w:rPr>
        <w:t xml:space="preserve"> for larger customers</w:t>
      </w:r>
      <w:r>
        <w:rPr>
          <w:rFonts w:ascii="Times New Roman" w:hAnsi="Times New Roman" w:cs="Times New Roman"/>
        </w:rPr>
        <w:t xml:space="preserve"> which are </w:t>
      </w:r>
      <w:r>
        <w:rPr>
          <w:rFonts w:ascii="Times New Roman" w:hAnsi="Times New Roman" w:cs="Times New Roman"/>
        </w:rPr>
        <w:lastRenderedPageBreak/>
        <w:t>closer to Schedule 21 effective per kWh rates.</w:t>
      </w:r>
    </w:p>
    <w:p w:rsidR="008C49C5" w:rsidRPr="00DD0A5E" w:rsidRDefault="009C54AD" w:rsidP="008C49C5">
      <w:pPr>
        <w:pStyle w:val="P163"/>
        <w:tabs>
          <w:tab w:val="left" w:pos="18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C49C5" w:rsidRPr="00E42AAE">
        <w:rPr>
          <w:rFonts w:ascii="Times New Roman" w:hAnsi="Times New Roman" w:cs="Times New Roman"/>
          <w:b/>
        </w:rPr>
        <w:t xml:space="preserve">Q. </w:t>
      </w:r>
      <w:r w:rsidR="008C49C5" w:rsidRPr="00E42AAE">
        <w:rPr>
          <w:rFonts w:ascii="Times New Roman" w:hAnsi="Times New Roman" w:cs="Times New Roman"/>
          <w:b/>
        </w:rPr>
        <w:tab/>
      </w:r>
      <w:r w:rsidR="00CB616E">
        <w:rPr>
          <w:rFonts w:ascii="Times New Roman" w:hAnsi="Times New Roman" w:cs="Times New Roman"/>
          <w:b/>
        </w:rPr>
        <w:t>Does</w:t>
      </w:r>
      <w:r w:rsidR="008C49C5">
        <w:rPr>
          <w:rFonts w:ascii="Times New Roman" w:hAnsi="Times New Roman" w:cs="Times New Roman"/>
          <w:b/>
        </w:rPr>
        <w:t xml:space="preserve"> the proposed rate design change for Schedule 11 result in an inappropriate price signal in the second block for customers</w:t>
      </w:r>
      <w:r w:rsidR="008C49C5" w:rsidRPr="00DD0A5E">
        <w:rPr>
          <w:rFonts w:ascii="Times New Roman" w:hAnsi="Times New Roman" w:cs="Times New Roman"/>
          <w:b/>
        </w:rPr>
        <w:t xml:space="preserve">? </w:t>
      </w:r>
    </w:p>
    <w:p w:rsidR="008C49C5" w:rsidRDefault="008C49C5" w:rsidP="00DD0A5E">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No</w:t>
      </w:r>
      <w:r w:rsidR="005678FA">
        <w:rPr>
          <w:rFonts w:ascii="Times New Roman" w:hAnsi="Times New Roman" w:cs="Times New Roman"/>
        </w:rPr>
        <w:t>,</w:t>
      </w:r>
      <w:r>
        <w:rPr>
          <w:rFonts w:ascii="Times New Roman" w:hAnsi="Times New Roman" w:cs="Times New Roman"/>
        </w:rPr>
        <w:t xml:space="preserve"> it does not.  Column (g) of Table 6 shows the effective kWh rate for the various customer scenarios discussed earlier.  Even with the proposed rate design changes, the effective kWh rate for larger Schedule 11 customers is 9.9 cents per kWh.  In looking at the second block in isolation, the rate of </w:t>
      </w:r>
      <w:r w:rsidR="00207D6E">
        <w:rPr>
          <w:rFonts w:ascii="Times New Roman" w:hAnsi="Times New Roman" w:cs="Times New Roman"/>
        </w:rPr>
        <w:t>8.3 cents</w:t>
      </w:r>
      <w:r>
        <w:rPr>
          <w:rFonts w:ascii="Times New Roman" w:hAnsi="Times New Roman" w:cs="Times New Roman"/>
        </w:rPr>
        <w:t xml:space="preserve"> is </w:t>
      </w:r>
      <w:r w:rsidRPr="008C49C5">
        <w:rPr>
          <w:rFonts w:ascii="Times New Roman" w:hAnsi="Times New Roman" w:cs="Times New Roman"/>
        </w:rPr>
        <w:t xml:space="preserve">higher than </w:t>
      </w:r>
      <w:r w:rsidRPr="008C49C5">
        <w:rPr>
          <w:rFonts w:ascii="Times New Roman" w:hAnsi="Times New Roman" w:cs="Times New Roman"/>
          <w:bCs/>
        </w:rPr>
        <w:t>t</w:t>
      </w:r>
      <w:r w:rsidR="003F5EB7">
        <w:rPr>
          <w:rFonts w:ascii="Times New Roman" w:hAnsi="Times New Roman" w:cs="Times New Roman"/>
          <w:bCs/>
        </w:rPr>
        <w:t>he Company’s levelized 20 year new resource cost f</w:t>
      </w:r>
      <w:r w:rsidRPr="008C49C5">
        <w:rPr>
          <w:rFonts w:ascii="Times New Roman" w:hAnsi="Times New Roman" w:cs="Times New Roman"/>
          <w:bCs/>
        </w:rPr>
        <w:t>orecast</w:t>
      </w:r>
      <w:r w:rsidR="003F5EB7">
        <w:rPr>
          <w:rFonts w:ascii="Times New Roman" w:hAnsi="Times New Roman" w:cs="Times New Roman"/>
          <w:bCs/>
        </w:rPr>
        <w:t xml:space="preserve"> of</w:t>
      </w:r>
      <w:r w:rsidRPr="008C49C5">
        <w:rPr>
          <w:rFonts w:ascii="Times New Roman" w:hAnsi="Times New Roman" w:cs="Times New Roman"/>
          <w:bCs/>
        </w:rPr>
        <w:t xml:space="preserve"> </w:t>
      </w:r>
      <w:r w:rsidR="00207D6E">
        <w:rPr>
          <w:rFonts w:ascii="Times New Roman" w:hAnsi="Times New Roman" w:cs="Times New Roman"/>
          <w:bCs/>
        </w:rPr>
        <w:t>7.9 cents</w:t>
      </w:r>
      <w:r w:rsidRPr="008C49C5">
        <w:rPr>
          <w:rFonts w:ascii="Times New Roman" w:hAnsi="Times New Roman" w:cs="Times New Roman"/>
          <w:bCs/>
        </w:rPr>
        <w:t xml:space="preserve"> per kWh</w:t>
      </w:r>
      <w:r w:rsidRPr="008C49C5">
        <w:rPr>
          <w:rStyle w:val="FootnoteReference"/>
          <w:rFonts w:ascii="Times New Roman" w:hAnsi="Times New Roman"/>
          <w:bCs/>
        </w:rPr>
        <w:footnoteReference w:id="2"/>
      </w:r>
      <w:r>
        <w:rPr>
          <w:rFonts w:ascii="Times New Roman" w:hAnsi="Times New Roman" w:cs="Times New Roman"/>
          <w:bCs/>
        </w:rPr>
        <w:t>.</w:t>
      </w:r>
    </w:p>
    <w:p w:rsidR="00F04603" w:rsidRPr="00DD0A5E" w:rsidRDefault="008C49C5" w:rsidP="00DD0A5E">
      <w:pPr>
        <w:pStyle w:val="P163"/>
        <w:tabs>
          <w:tab w:val="left" w:pos="18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04603" w:rsidRPr="00E42AAE">
        <w:rPr>
          <w:rFonts w:ascii="Times New Roman" w:hAnsi="Times New Roman" w:cs="Times New Roman"/>
          <w:b/>
        </w:rPr>
        <w:t xml:space="preserve">Q. </w:t>
      </w:r>
      <w:r w:rsidR="00F04603" w:rsidRPr="00E42AAE">
        <w:rPr>
          <w:rFonts w:ascii="Times New Roman" w:hAnsi="Times New Roman" w:cs="Times New Roman"/>
          <w:b/>
        </w:rPr>
        <w:tab/>
        <w:t>Why is</w:t>
      </w:r>
      <w:r w:rsidR="00F04603"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2C0C2F">
        <w:rPr>
          <w:rFonts w:ascii="Times New Roman" w:hAnsi="Times New Roman" w:cs="Times New Roman"/>
          <w:b/>
        </w:rPr>
        <w:t>15%</w:t>
      </w:r>
      <w:r w:rsidR="00CF6646" w:rsidRPr="00DD0A5E">
        <w:rPr>
          <w:rFonts w:ascii="Times New Roman" w:hAnsi="Times New Roman" w:cs="Times New Roman"/>
          <w:b/>
        </w:rPr>
        <w:t xml:space="preserve"> 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00F04603" w:rsidRPr="00DD0A5E">
        <w:rPr>
          <w:rFonts w:ascii="Times New Roman" w:hAnsi="Times New Roman" w:cs="Times New Roman"/>
          <w:b/>
        </w:rPr>
        <w:t xml:space="preserve">? </w:t>
      </w:r>
    </w:p>
    <w:p w:rsidR="002C0C2F" w:rsidRPr="00171B4C" w:rsidRDefault="002C0C2F" w:rsidP="002C0C2F">
      <w:pPr>
        <w:pStyle w:val="BodyText2"/>
        <w:ind w:firstLine="720"/>
        <w:rPr>
          <w:bCs/>
        </w:rPr>
      </w:pPr>
      <w:r>
        <w:rPr>
          <w:bCs/>
        </w:rPr>
        <w:t>A.</w:t>
      </w:r>
      <w:r>
        <w:rPr>
          <w:bCs/>
        </w:rPr>
        <w:tab/>
        <w:t xml:space="preserve">The system allocated demand cost from the cost of service study is </w:t>
      </w:r>
      <w:r w:rsidRPr="0082656C">
        <w:rPr>
          <w:bCs/>
        </w:rPr>
        <w:t>approximately $16.41 per kilowatt (kW) month</w:t>
      </w:r>
      <w:r w:rsidRPr="0082656C">
        <w:rPr>
          <w:rStyle w:val="FootnoteReference"/>
          <w:bCs/>
        </w:rPr>
        <w:footnoteReference w:id="3"/>
      </w:r>
      <w:r w:rsidRPr="0082656C">
        <w:rPr>
          <w:bCs/>
        </w:rPr>
        <w:t>.  The Company’s present monthly demand charges range from $4.75–$5.75/kW</w:t>
      </w:r>
      <w:r>
        <w:rPr>
          <w:bCs/>
        </w:rPr>
        <w:t xml:space="preserve">, depending on service schedule.  While the exact level of costs classified as demand-related can be debated, clearly the levels of demand charges will continue to be well below demand-related costs.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ustomers need to receive the proper price signal to encourage a reduction in their peak demand, i.e., higher demand charges.</w:t>
      </w:r>
    </w:p>
    <w:p w:rsidR="00AD2C96" w:rsidRDefault="002C0C2F" w:rsidP="00AD2C96">
      <w:pPr>
        <w:pStyle w:val="BodyText2"/>
        <w:ind w:firstLine="720"/>
        <w:rPr>
          <w:bCs/>
        </w:rPr>
      </w:pPr>
      <w:r>
        <w:rPr>
          <w:bCs/>
        </w:rPr>
        <w:lastRenderedPageBreak/>
        <w:t>For these reasons, t</w:t>
      </w:r>
      <w:r w:rsidR="00F04603" w:rsidRPr="005141FE">
        <w:rPr>
          <w:bCs/>
        </w:rPr>
        <w:t xml:space="preserve">he </w:t>
      </w:r>
      <w:r w:rsidR="005141FE">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xml:space="preserve">, </w:t>
      </w:r>
      <w:r w:rsidR="00614DB9" w:rsidRPr="00416D8E">
        <w:rPr>
          <w:bCs/>
          <w:u w:val="single"/>
        </w:rPr>
        <w:t>as well as</w:t>
      </w:r>
      <w:r w:rsidR="00614DB9">
        <w:rPr>
          <w:bCs/>
        </w:rPr>
        <w:t xml:space="preserve"> for Schedules</w:t>
      </w:r>
      <w:r w:rsidR="00C73089">
        <w:rPr>
          <w:bCs/>
        </w:rPr>
        <w:t xml:space="preserve"> 21 and 25</w:t>
      </w:r>
      <w:r w:rsidR="00C86EA5">
        <w:rPr>
          <w:bCs/>
        </w:rPr>
        <w:t xml:space="preserve">, by a percentage greater than that </w:t>
      </w:r>
      <w:r w:rsidR="00CF6646">
        <w:rPr>
          <w:bCs/>
        </w:rPr>
        <w:t xml:space="preserve">applied </w:t>
      </w:r>
      <w:r w:rsidR="00C86EA5">
        <w:rPr>
          <w:bCs/>
        </w:rPr>
        <w:t xml:space="preserve">to the </w:t>
      </w:r>
      <w:r w:rsidR="00CF6646">
        <w:rPr>
          <w:bCs/>
        </w:rPr>
        <w:t>energy</w:t>
      </w:r>
      <w:r w:rsidR="00C86EA5">
        <w:rPr>
          <w:bCs/>
        </w:rPr>
        <w:t xml:space="preserve"> rates</w:t>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chedule and how the Company is proposing to apply the increase of $</w:t>
      </w:r>
      <w:r w:rsidR="00645683" w:rsidRPr="00645683">
        <w:rPr>
          <w:rStyle w:val="T11"/>
          <w:rFonts w:ascii="Times New Roman" w:hAnsi="Times New Roman" w:cs="Times New Roman"/>
        </w:rPr>
        <w:t>11</w:t>
      </w:r>
      <w:r w:rsidR="00614DB9" w:rsidRPr="00645683">
        <w:rPr>
          <w:rStyle w:val="T11"/>
          <w:rFonts w:ascii="Times New Roman" w:hAnsi="Times New Roman" w:cs="Times New Roman"/>
        </w:rPr>
        <w:t>,</w:t>
      </w:r>
      <w:r w:rsidR="00645683" w:rsidRPr="00645683">
        <w:rPr>
          <w:rStyle w:val="T11"/>
          <w:rFonts w:ascii="Times New Roman" w:hAnsi="Times New Roman" w:cs="Times New Roman"/>
        </w:rPr>
        <w:t>051</w:t>
      </w:r>
      <w:r w:rsidR="00614DB9" w:rsidRPr="00645683">
        <w:rPr>
          <w:rStyle w:val="T11"/>
          <w:rFonts w:ascii="Times New Roman" w:hAnsi="Times New Roman" w:cs="Times New Roman"/>
        </w:rPr>
        <w:t>,000</w:t>
      </w:r>
      <w:r w:rsidRPr="00645683">
        <w:rPr>
          <w:rStyle w:val="T11"/>
          <w:rFonts w:ascii="Times New Roman" w:hAnsi="Times New Roman" w:cs="Times New Roman"/>
        </w:rPr>
        <w:t xml:space="preserve"> to the rates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704982" w:rsidRPr="00645683">
        <w:rPr>
          <w:rFonts w:ascii="Times New Roman" w:hAnsi="Times New Roman" w:cs="Times New Roman"/>
        </w:rPr>
        <w:t>3</w:t>
      </w:r>
      <w:r w:rsidR="00830886" w:rsidRPr="00645683">
        <w:rPr>
          <w:rFonts w:ascii="Times New Roman" w:hAnsi="Times New Roman" w:cs="Times New Roman"/>
        </w:rPr>
        <w:t>5</w:t>
      </w:r>
      <w:r w:rsidR="00704982" w:rsidRPr="00645683">
        <w:rPr>
          <w:rFonts w:ascii="Times New Roman" w:hAnsi="Times New Roman" w:cs="Times New Roman"/>
        </w:rPr>
        <w:t>0.00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830886" w:rsidRPr="00645683">
        <w:rPr>
          <w:rFonts w:ascii="Times New Roman" w:hAnsi="Times New Roman" w:cs="Times New Roman"/>
        </w:rPr>
        <w:t>4.75</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6.</w:t>
      </w:r>
      <w:r w:rsidR="00830886" w:rsidRPr="00645683">
        <w:rPr>
          <w:rFonts w:ascii="Times New Roman" w:hAnsi="Times New Roman" w:cs="Times New Roman"/>
        </w:rPr>
        <w:t>572</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5.</w:t>
      </w:r>
      <w:r w:rsidR="00830886" w:rsidRPr="00645683">
        <w:rPr>
          <w:rFonts w:ascii="Times New Roman" w:hAnsi="Times New Roman" w:cs="Times New Roman"/>
        </w:rPr>
        <w:t>876</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704982" w:rsidRPr="00645683">
        <w:rPr>
          <w:rFonts w:ascii="Times New Roman" w:hAnsi="Times New Roman" w:cs="Times New Roman"/>
        </w:rPr>
        <w:t>3</w:t>
      </w:r>
      <w:r w:rsidR="00830886" w:rsidRPr="00645683">
        <w:rPr>
          <w:rFonts w:ascii="Times New Roman" w:hAnsi="Times New Roman" w:cs="Times New Roman"/>
        </w:rPr>
        <w:t>5</w:t>
      </w:r>
      <w:r w:rsidR="00704982" w:rsidRPr="00645683">
        <w:rPr>
          <w:rFonts w:ascii="Times New Roman" w:hAnsi="Times New Roman" w:cs="Times New Roman"/>
        </w:rPr>
        <w:t>0</w:t>
      </w:r>
      <w:r w:rsidRPr="00645683">
        <w:rPr>
          <w:rFonts w:ascii="Times New Roman" w:hAnsi="Times New Roman" w:cs="Times New Roman"/>
        </w:rPr>
        <w:t>.00 to $</w:t>
      </w:r>
      <w:r w:rsidR="006E11B2" w:rsidRPr="00645683">
        <w:rPr>
          <w:rFonts w:ascii="Times New Roman" w:hAnsi="Times New Roman" w:cs="Times New Roman"/>
        </w:rPr>
        <w:t>400.00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704982" w:rsidRPr="00645683">
        <w:rPr>
          <w:rFonts w:ascii="Times New Roman" w:hAnsi="Times New Roman" w:cs="Times New Roman"/>
        </w:rPr>
        <w:t>4.</w:t>
      </w:r>
      <w:r w:rsidR="00830886" w:rsidRPr="00645683">
        <w:rPr>
          <w:rFonts w:ascii="Times New Roman" w:hAnsi="Times New Roman" w:cs="Times New Roman"/>
        </w:rPr>
        <w:t>75</w:t>
      </w:r>
      <w:r w:rsidRPr="00645683">
        <w:rPr>
          <w:rFonts w:ascii="Times New Roman" w:hAnsi="Times New Roman" w:cs="Times New Roman"/>
        </w:rPr>
        <w:t xml:space="preserve"> to $</w:t>
      </w:r>
      <w:r w:rsidR="006E11B2" w:rsidRPr="00645683">
        <w:rPr>
          <w:rFonts w:ascii="Times New Roman" w:hAnsi="Times New Roman" w:cs="Times New Roman"/>
        </w:rPr>
        <w:t>5.25</w:t>
      </w:r>
      <w:r w:rsidR="00614DB9" w:rsidRPr="00645683">
        <w:rPr>
          <w:rFonts w:ascii="Times New Roman" w:hAnsi="Times New Roman" w:cs="Times New Roman"/>
        </w:rPr>
        <w:t>, for 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645683">
        <w:rPr>
          <w:rFonts w:ascii="Times New Roman" w:hAnsi="Times New Roman" w:cs="Times New Roman"/>
        </w:rPr>
        <w:t xml:space="preserve">approximately </w:t>
      </w:r>
      <w:r w:rsidR="00645683" w:rsidRPr="00645683">
        <w:rPr>
          <w:rFonts w:ascii="Times New Roman" w:hAnsi="Times New Roman" w:cs="Times New Roman"/>
        </w:rPr>
        <w:t>8.2</w:t>
      </w:r>
      <w:r w:rsidRPr="00645683">
        <w:rPr>
          <w:rFonts w:ascii="Times New Roman" w:hAnsi="Times New Roman" w:cs="Times New Roman"/>
        </w:rPr>
        <w:t xml:space="preserve">% applied to the two energy </w:t>
      </w:r>
      <w:r w:rsidR="008B4398" w:rsidRPr="00645683">
        <w:rPr>
          <w:rFonts w:ascii="Times New Roman" w:hAnsi="Times New Roman" w:cs="Times New Roman"/>
        </w:rPr>
        <w:t xml:space="preserve">block </w:t>
      </w:r>
      <w:r w:rsidRPr="00645683">
        <w:rPr>
          <w:rFonts w:ascii="Times New Roman" w:hAnsi="Times New Roman" w:cs="Times New Roman"/>
        </w:rPr>
        <w:t xml:space="preserve">rates.  The proposed increase for the </w:t>
      </w:r>
      <w:r w:rsidRPr="00645683">
        <w:rPr>
          <w:rFonts w:ascii="Times New Roman" w:hAnsi="Times New Roman" w:cs="Times New Roman"/>
        </w:rPr>
        <w:lastRenderedPageBreak/>
        <w:t xml:space="preserve">first 250,000 kWhs used per month under the schedule is </w:t>
      </w:r>
      <w:r w:rsidR="00614DB9" w:rsidRPr="00645683">
        <w:rPr>
          <w:rFonts w:ascii="Times New Roman" w:hAnsi="Times New Roman" w:cs="Times New Roman"/>
        </w:rPr>
        <w:t>0.</w:t>
      </w:r>
      <w:r w:rsidR="00645683" w:rsidRPr="00645683">
        <w:rPr>
          <w:rFonts w:ascii="Times New Roman" w:hAnsi="Times New Roman" w:cs="Times New Roman"/>
        </w:rPr>
        <w:t>538</w:t>
      </w:r>
      <w:r w:rsidRPr="00645683">
        <w:rPr>
          <w:rFonts w:ascii="Times New Roman" w:hAnsi="Times New Roman" w:cs="Times New Roman"/>
        </w:rPr>
        <w:t xml:space="preserve"> cents per kWh, and an increase of </w:t>
      </w:r>
      <w:r w:rsidR="00614DB9" w:rsidRPr="00645683">
        <w:rPr>
          <w:rFonts w:ascii="Times New Roman" w:hAnsi="Times New Roman" w:cs="Times New Roman"/>
        </w:rPr>
        <w:t>0.</w:t>
      </w:r>
      <w:r w:rsidR="006E11B2" w:rsidRPr="00645683">
        <w:rPr>
          <w:rFonts w:ascii="Times New Roman" w:hAnsi="Times New Roman" w:cs="Times New Roman"/>
        </w:rPr>
        <w:t>4</w:t>
      </w:r>
      <w:r w:rsidR="00645683" w:rsidRPr="00645683">
        <w:rPr>
          <w:rFonts w:ascii="Times New Roman" w:hAnsi="Times New Roman" w:cs="Times New Roman"/>
        </w:rPr>
        <w:t>82</w:t>
      </w:r>
      <w:r w:rsidRPr="00645683">
        <w:rPr>
          <w:rFonts w:ascii="Times New Roman" w:hAnsi="Times New Roman" w:cs="Times New Roman"/>
        </w:rPr>
        <w:t xml:space="preserve"> cents per kWh for usage</w:t>
      </w:r>
      <w:r w:rsidRPr="00F820B5">
        <w:rPr>
          <w:rFonts w:ascii="Times New Roman" w:hAnsi="Times New Roman" w:cs="Times New Roman"/>
        </w:rPr>
        <w:t xml:space="preserve"> over 250,000 kWhs per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672D65">
        <w:rPr>
          <w:rStyle w:val="T11"/>
          <w:rFonts w:ascii="Times New Roman" w:hAnsi="Times New Roman" w:cs="Times New Roman"/>
        </w:rPr>
        <w:t>increase of $</w:t>
      </w:r>
      <w:r w:rsidR="00C62791" w:rsidRPr="00672D65">
        <w:rPr>
          <w:rStyle w:val="T11"/>
          <w:rFonts w:ascii="Times New Roman" w:hAnsi="Times New Roman" w:cs="Times New Roman"/>
        </w:rPr>
        <w:t>4,</w:t>
      </w:r>
      <w:r w:rsidR="00672D65" w:rsidRPr="00672D65">
        <w:rPr>
          <w:rStyle w:val="T11"/>
          <w:rFonts w:ascii="Times New Roman" w:hAnsi="Times New Roman" w:cs="Times New Roman"/>
        </w:rPr>
        <w:t>283</w:t>
      </w:r>
      <w:r w:rsidR="00100091" w:rsidRPr="00672D65">
        <w:rPr>
          <w:rStyle w:val="T11"/>
          <w:rFonts w:ascii="Times New Roman" w:hAnsi="Times New Roman" w:cs="Times New Roman"/>
        </w:rPr>
        <w:t>,000</w:t>
      </w:r>
      <w:r w:rsidRPr="00672D65">
        <w:rPr>
          <w:rStyle w:val="T11"/>
          <w:rFonts w:ascii="Times New Roman" w:hAnsi="Times New Roman" w:cs="Times New Roman"/>
        </w:rPr>
        <w:t xml:space="preserve"> to the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$1</w:t>
      </w:r>
      <w:r w:rsidR="00830886">
        <w:rPr>
          <w:rFonts w:ascii="Times New Roman" w:hAnsi="Times New Roman" w:cs="Times New Roman"/>
        </w:rPr>
        <w:t>2,5</w:t>
      </w:r>
      <w:r w:rsidRPr="005540EB">
        <w:rPr>
          <w:rFonts w:ascii="Times New Roman" w:hAnsi="Times New Roman" w:cs="Times New Roman"/>
        </w:rPr>
        <w:t>00.00 for the first 3,000 kVa or less, a demand charge of $</w:t>
      </w:r>
      <w:r w:rsidR="00830886">
        <w:rPr>
          <w:rFonts w:ascii="Times New Roman" w:hAnsi="Times New Roman" w:cs="Times New Roman"/>
        </w:rPr>
        <w:t>4.0</w:t>
      </w:r>
      <w:r w:rsidR="00704982">
        <w:rPr>
          <w:rFonts w:ascii="Times New Roman" w:hAnsi="Times New Roman" w:cs="Times New Roman"/>
        </w:rPr>
        <w:t>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830886">
        <w:rPr>
          <w:rFonts w:ascii="Times New Roman" w:hAnsi="Times New Roman" w:cs="Times New Roman"/>
        </w:rPr>
        <w:t>5.218</w:t>
      </w:r>
      <w:r w:rsidRPr="005540EB">
        <w:rPr>
          <w:rFonts w:ascii="Times New Roman" w:hAnsi="Times New Roman" w:cs="Times New Roman"/>
        </w:rPr>
        <w:t xml:space="preserve"> cents per kWh for the first 500,000 kWhs per month, </w:t>
      </w:r>
      <w:r w:rsidR="00830886">
        <w:rPr>
          <w:rFonts w:ascii="Times New Roman" w:hAnsi="Times New Roman" w:cs="Times New Roman"/>
        </w:rPr>
        <w:t>4.695</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4.327</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100091" w:rsidRPr="00C62791">
        <w:rPr>
          <w:rFonts w:ascii="Times New Roman" w:hAnsi="Times New Roman" w:cs="Times New Roman"/>
        </w:rPr>
        <w:t>1,</w:t>
      </w:r>
      <w:r w:rsidR="00C62791" w:rsidRPr="00C62791">
        <w:rPr>
          <w:rFonts w:ascii="Times New Roman" w:hAnsi="Times New Roman" w:cs="Times New Roman"/>
        </w:rPr>
        <w:t>250</w:t>
      </w:r>
      <w:r w:rsidRPr="00C62791">
        <w:rPr>
          <w:rFonts w:ascii="Times New Roman" w:hAnsi="Times New Roman" w:cs="Times New Roman"/>
        </w:rPr>
        <w:t xml:space="preserve"> per month, from $</w:t>
      </w:r>
      <w:r w:rsidR="00830886" w:rsidRPr="00C62791">
        <w:rPr>
          <w:rFonts w:ascii="Times New Roman" w:hAnsi="Times New Roman" w:cs="Times New Roman"/>
        </w:rPr>
        <w:t>12,500</w:t>
      </w:r>
      <w:r w:rsidRPr="00C62791">
        <w:rPr>
          <w:rFonts w:ascii="Times New Roman" w:hAnsi="Times New Roman" w:cs="Times New Roman"/>
        </w:rPr>
        <w:t xml:space="preserve"> to $</w:t>
      </w:r>
      <w:r w:rsidR="00C62791" w:rsidRPr="00C62791">
        <w:rPr>
          <w:rFonts w:ascii="Times New Roman" w:hAnsi="Times New Roman" w:cs="Times New Roman"/>
        </w:rPr>
        <w:t>13,750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C62791" w:rsidRPr="00C62791">
        <w:rPr>
          <w:rFonts w:ascii="Times New Roman" w:hAnsi="Times New Roman" w:cs="Times New Roman"/>
        </w:rPr>
        <w:t xml:space="preserve">75 </w:t>
      </w:r>
      <w:r w:rsidRPr="00C62791">
        <w:rPr>
          <w:rFonts w:ascii="Times New Roman" w:hAnsi="Times New Roman" w:cs="Times New Roman"/>
        </w:rPr>
        <w:t>per kVa, from $</w:t>
      </w:r>
      <w:r w:rsidR="00830886" w:rsidRPr="00C62791">
        <w:rPr>
          <w:rFonts w:ascii="Times New Roman" w:hAnsi="Times New Roman" w:cs="Times New Roman"/>
        </w:rPr>
        <w:t>4.00</w:t>
      </w:r>
      <w:r w:rsidRPr="00C62791">
        <w:rPr>
          <w:rFonts w:ascii="Times New Roman" w:hAnsi="Times New Roman" w:cs="Times New Roman"/>
        </w:rPr>
        <w:t xml:space="preserve"> to $</w:t>
      </w:r>
      <w:r w:rsidR="00100091" w:rsidRPr="00C62791">
        <w:rPr>
          <w:rFonts w:ascii="Times New Roman" w:hAnsi="Times New Roman" w:cs="Times New Roman"/>
        </w:rPr>
        <w:t>4.</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increase of </w:t>
      </w:r>
      <w:r w:rsidR="00100091" w:rsidRPr="00672D65">
        <w:rPr>
          <w:rFonts w:ascii="Times New Roman" w:hAnsi="Times New Roman" w:cs="Times New Roman"/>
        </w:rPr>
        <w:t xml:space="preserve">approximately </w:t>
      </w:r>
      <w:r w:rsidR="00672D65" w:rsidRPr="00672D65">
        <w:rPr>
          <w:rFonts w:ascii="Times New Roman" w:hAnsi="Times New Roman" w:cs="Times New Roman"/>
        </w:rPr>
        <w:t>6.4</w:t>
      </w:r>
      <w:r w:rsidR="008B4398" w:rsidRPr="00672D65">
        <w:rPr>
          <w:rFonts w:ascii="Times New Roman" w:hAnsi="Times New Roman" w:cs="Times New Roman"/>
        </w:rPr>
        <w:t xml:space="preserve">% applied to the three </w:t>
      </w:r>
      <w:r w:rsidRPr="00672D65">
        <w:rPr>
          <w:rFonts w:ascii="Times New Roman" w:hAnsi="Times New Roman" w:cs="Times New Roman"/>
        </w:rPr>
        <w:t xml:space="preserve">energy </w:t>
      </w:r>
      <w:r w:rsidR="008B4398" w:rsidRPr="00672D65">
        <w:rPr>
          <w:rFonts w:ascii="Times New Roman" w:hAnsi="Times New Roman" w:cs="Times New Roman"/>
        </w:rPr>
        <w:t xml:space="preserve">block </w:t>
      </w:r>
      <w:r w:rsidRPr="00672D65">
        <w:rPr>
          <w:rFonts w:ascii="Times New Roman" w:hAnsi="Times New Roman" w:cs="Times New Roman"/>
        </w:rPr>
        <w:t>rates.  The proposed energy rate increase for the first 500,000 kWhs used per month is 0.</w:t>
      </w:r>
      <w:r w:rsidR="00672D65" w:rsidRPr="00672D65">
        <w:rPr>
          <w:rFonts w:ascii="Times New Roman" w:hAnsi="Times New Roman" w:cs="Times New Roman"/>
        </w:rPr>
        <w:t>335</w:t>
      </w:r>
      <w:r w:rsidRPr="00672D65">
        <w:rPr>
          <w:rFonts w:ascii="Times New Roman" w:hAnsi="Times New Roman" w:cs="Times New Roman"/>
        </w:rPr>
        <w:t xml:space="preserve"> cents per kWh, 0.</w:t>
      </w:r>
      <w:r w:rsidR="00672D65" w:rsidRPr="00672D65">
        <w:rPr>
          <w:rFonts w:ascii="Times New Roman" w:hAnsi="Times New Roman" w:cs="Times New Roman"/>
        </w:rPr>
        <w:t>302</w:t>
      </w:r>
      <w:r w:rsidRPr="00672D65">
        <w:rPr>
          <w:rFonts w:ascii="Times New Roman" w:hAnsi="Times New Roman" w:cs="Times New Roman"/>
        </w:rPr>
        <w:t xml:space="preserve"> cents per kWh for the next 5.5 million, and 0.</w:t>
      </w:r>
      <w:r w:rsidR="00672D65" w:rsidRPr="00672D65">
        <w:rPr>
          <w:rFonts w:ascii="Times New Roman" w:hAnsi="Times New Roman" w:cs="Times New Roman"/>
        </w:rPr>
        <w:t>278</w:t>
      </w:r>
      <w:r w:rsidRPr="00672D65">
        <w:rPr>
          <w:rFonts w:ascii="Times New Roman" w:hAnsi="Times New Roman" w:cs="Times New Roman"/>
        </w:rPr>
        <w:t xml:space="preserve"> cents</w:t>
      </w:r>
      <w:r w:rsidRPr="00100091">
        <w:rPr>
          <w:rFonts w:ascii="Times New Roman" w:hAnsi="Times New Roman" w:cs="Times New Roman"/>
        </w:rPr>
        <w:t xml:space="preserve"> per kWh for all usage over 6 million kWhs per month.</w:t>
      </w:r>
      <w:r w:rsidRPr="005540EB">
        <w:rPr>
          <w:rFonts w:ascii="Times New Roman" w:hAnsi="Times New Roman" w:cs="Times New Roman"/>
        </w:rPr>
        <w:t xml:space="preserve">  </w:t>
      </w:r>
    </w:p>
    <w:p w:rsidR="005540EB" w:rsidRPr="005540EB" w:rsidRDefault="005540EB" w:rsidP="00711833">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increase </w:t>
      </w:r>
      <w:r w:rsidRPr="00585860">
        <w:rPr>
          <w:rStyle w:val="T11"/>
          <w:rFonts w:ascii="Times New Roman" w:hAnsi="Times New Roman" w:cs="Times New Roman"/>
        </w:rPr>
        <w:t>of $</w:t>
      </w:r>
      <w:r w:rsidR="00BC395A" w:rsidRPr="00585860">
        <w:rPr>
          <w:rStyle w:val="T11"/>
          <w:rFonts w:ascii="Times New Roman" w:hAnsi="Times New Roman" w:cs="Times New Roman"/>
        </w:rPr>
        <w:t>8</w:t>
      </w:r>
      <w:r w:rsidR="00585860" w:rsidRPr="00585860">
        <w:rPr>
          <w:rStyle w:val="T11"/>
          <w:rFonts w:ascii="Times New Roman" w:hAnsi="Times New Roman" w:cs="Times New Roman"/>
        </w:rPr>
        <w:t>32</w:t>
      </w:r>
      <w:r w:rsidRPr="00585860">
        <w:rPr>
          <w:rStyle w:val="T11"/>
          <w:rFonts w:ascii="Times New Roman" w:hAnsi="Times New Roman" w:cs="Times New Roman"/>
        </w:rPr>
        <w:t>,000?</w:t>
      </w:r>
    </w:p>
    <w:p w:rsidR="005540EB" w:rsidRPr="005540EB" w:rsidRDefault="005540EB" w:rsidP="00711833">
      <w:pPr>
        <w:pStyle w:val="P176"/>
        <w:numPr>
          <w:ilvl w:val="0"/>
          <w:numId w:val="7"/>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The Company is proposing that the customer charge be increased by $</w:t>
      </w:r>
      <w:r w:rsidR="00BC395A">
        <w:rPr>
          <w:rFonts w:ascii="Times New Roman" w:hAnsi="Times New Roman" w:cs="Times New Roman"/>
        </w:rPr>
        <w:t>2.25</w:t>
      </w:r>
      <w:r w:rsidR="00711833">
        <w:rPr>
          <w:rFonts w:ascii="Times New Roman" w:hAnsi="Times New Roman" w:cs="Times New Roman"/>
        </w:rPr>
        <w:t>, from $7</w:t>
      </w:r>
      <w:r w:rsidRPr="005540EB">
        <w:rPr>
          <w:rFonts w:ascii="Times New Roman" w:hAnsi="Times New Roman" w:cs="Times New Roman"/>
        </w:rPr>
        <w:t>.</w:t>
      </w:r>
      <w:r w:rsidR="00704982">
        <w:rPr>
          <w:rFonts w:ascii="Times New Roman" w:hAnsi="Times New Roman" w:cs="Times New Roman"/>
        </w:rPr>
        <w:t>7</w:t>
      </w:r>
      <w:r w:rsidRPr="005540EB">
        <w:rPr>
          <w:rFonts w:ascii="Times New Roman" w:hAnsi="Times New Roman" w:cs="Times New Roman"/>
        </w:rPr>
        <w:t>5 to $</w:t>
      </w:r>
      <w:r w:rsidR="00BC395A">
        <w:rPr>
          <w:rFonts w:ascii="Times New Roman" w:hAnsi="Times New Roman" w:cs="Times New Roman"/>
        </w:rPr>
        <w:t>10.00</w:t>
      </w:r>
      <w:r w:rsidRPr="00100091">
        <w:rPr>
          <w:rFonts w:ascii="Times New Roman" w:hAnsi="Times New Roman" w:cs="Times New Roman"/>
        </w:rPr>
        <w:t xml:space="preserve"> p</w:t>
      </w:r>
      <w:r w:rsidRPr="005540EB">
        <w:rPr>
          <w:rFonts w:ascii="Times New Roman" w:hAnsi="Times New Roman" w:cs="Times New Roman"/>
        </w:rPr>
        <w:t xml:space="preserve">er month, with the remaining revenue increase spread on a uniform percentage increase of </w:t>
      </w:r>
      <w:r w:rsidR="00BC395A" w:rsidRPr="00585860">
        <w:rPr>
          <w:rFonts w:ascii="Times New Roman" w:hAnsi="Times New Roman" w:cs="Times New Roman"/>
        </w:rPr>
        <w:t>9.</w:t>
      </w:r>
      <w:r w:rsidR="00585860" w:rsidRPr="00585860">
        <w:rPr>
          <w:rFonts w:ascii="Times New Roman" w:hAnsi="Times New Roman" w:cs="Times New Roman"/>
        </w:rPr>
        <w:t>0</w:t>
      </w:r>
      <w:r w:rsidRPr="00585860">
        <w:rPr>
          <w:rFonts w:ascii="Times New Roman" w:hAnsi="Times New Roman" w:cs="Times New Roman"/>
        </w:rPr>
        <w:t xml:space="preserve">% to the two energy rate blocks under the </w:t>
      </w:r>
      <w:r w:rsidR="001020C1" w:rsidRPr="00585860">
        <w:rPr>
          <w:rFonts w:ascii="Times New Roman" w:hAnsi="Times New Roman" w:cs="Times New Roman"/>
        </w:rPr>
        <w:t>s</w:t>
      </w:r>
      <w:r w:rsidRPr="00585860">
        <w:rPr>
          <w:rFonts w:ascii="Times New Roman" w:hAnsi="Times New Roman" w:cs="Times New Roman"/>
        </w:rPr>
        <w:t xml:space="preserve">chedule.  The </w:t>
      </w:r>
      <w:r w:rsidRPr="00585860">
        <w:rPr>
          <w:rFonts w:ascii="Times New Roman" w:hAnsi="Times New Roman" w:cs="Times New Roman"/>
        </w:rPr>
        <w:lastRenderedPageBreak/>
        <w:t xml:space="preserve">proposed increase in the first block rate is </w:t>
      </w:r>
      <w:r w:rsidR="00BC395A" w:rsidRPr="00585860">
        <w:rPr>
          <w:rFonts w:ascii="Times New Roman" w:hAnsi="Times New Roman" w:cs="Times New Roman"/>
        </w:rPr>
        <w:t>0.</w:t>
      </w:r>
      <w:r w:rsidR="00585860" w:rsidRPr="00585860">
        <w:rPr>
          <w:rFonts w:ascii="Times New Roman" w:hAnsi="Times New Roman" w:cs="Times New Roman"/>
        </w:rPr>
        <w:t>789</w:t>
      </w:r>
      <w:r w:rsidRPr="00585860">
        <w:rPr>
          <w:rFonts w:ascii="Times New Roman" w:hAnsi="Times New Roman" w:cs="Times New Roman"/>
        </w:rPr>
        <w:t xml:space="preserve"> cents per kWh and the increase in the second </w:t>
      </w:r>
      <w:r w:rsidR="002369E0" w:rsidRPr="00585860">
        <w:rPr>
          <w:rFonts w:ascii="Times New Roman" w:hAnsi="Times New Roman" w:cs="Times New Roman"/>
        </w:rPr>
        <w:t xml:space="preserve">block rate is </w:t>
      </w:r>
      <w:r w:rsidR="00100091" w:rsidRPr="00585860">
        <w:rPr>
          <w:rFonts w:ascii="Times New Roman" w:hAnsi="Times New Roman" w:cs="Times New Roman"/>
        </w:rPr>
        <w:t>0.</w:t>
      </w:r>
      <w:r w:rsidR="00585860" w:rsidRPr="00585860">
        <w:rPr>
          <w:rFonts w:ascii="Times New Roman" w:hAnsi="Times New Roman" w:cs="Times New Roman"/>
        </w:rPr>
        <w:t>56</w:t>
      </w:r>
      <w:r w:rsidR="00416D8E">
        <w:rPr>
          <w:rFonts w:ascii="Times New Roman" w:hAnsi="Times New Roman" w:cs="Times New Roman"/>
        </w:rPr>
        <w:t>3</w:t>
      </w:r>
      <w:r w:rsidR="002369E0" w:rsidRPr="00585860">
        <w:rPr>
          <w:rFonts w:ascii="Times New Roman" w:hAnsi="Times New Roman" w:cs="Times New Roman"/>
        </w:rPr>
        <w:t xml:space="preserve"> cents per kW</w:t>
      </w:r>
      <w:r w:rsidRPr="00585860">
        <w:rPr>
          <w:rFonts w:ascii="Times New Roman" w:hAnsi="Times New Roman" w:cs="Times New Roman"/>
        </w:rPr>
        <w:t>h.</w:t>
      </w:r>
      <w:r w:rsidRPr="005540EB">
        <w:rPr>
          <w:rFonts w:ascii="Times New Roman" w:hAnsi="Times New Roman" w:cs="Times New Roman"/>
        </w:rPr>
        <w:t xml:space="preserve">  </w:t>
      </w:r>
    </w:p>
    <w:p w:rsidR="005540EB" w:rsidRPr="005540EB" w:rsidRDefault="005540EB" w:rsidP="00711833">
      <w:pPr>
        <w:pStyle w:val="P130"/>
        <w:numPr>
          <w:ilvl w:val="0"/>
          <w:numId w:val="21"/>
        </w:numPr>
        <w:tabs>
          <w:tab w:val="num" w:pos="1440"/>
        </w:tabs>
        <w:ind w:left="0" w:firstLine="720"/>
        <w:jc w:val="both"/>
        <w:rPr>
          <w:rFonts w:ascii="Times New Roman" w:hAnsi="Times New Roman" w:cs="Times New Roman"/>
        </w:rPr>
      </w:pPr>
      <w:r w:rsidRPr="005540EB">
        <w:rPr>
          <w:rFonts w:ascii="Times New Roman" w:hAnsi="Times New Roman" w:cs="Times New Roman"/>
        </w:rPr>
        <w:t>How is the Company proposing to spread the proposed revenue increase of $</w:t>
      </w:r>
      <w:r w:rsidR="00BC395A">
        <w:rPr>
          <w:rFonts w:ascii="Times New Roman" w:hAnsi="Times New Roman" w:cs="Times New Roman"/>
        </w:rPr>
        <w:t>57</w:t>
      </w:r>
      <w:r w:rsidR="00CB616E">
        <w:rPr>
          <w:rFonts w:ascii="Times New Roman" w:hAnsi="Times New Roman" w:cs="Times New Roman"/>
        </w:rPr>
        <w:t>2</w:t>
      </w:r>
      <w:r w:rsidR="00BC395A">
        <w:rPr>
          <w:rFonts w:ascii="Times New Roman" w:hAnsi="Times New Roman" w:cs="Times New Roman"/>
        </w:rPr>
        <w:t>,000</w:t>
      </w:r>
      <w:r w:rsidRPr="005540EB">
        <w:rPr>
          <w:rFonts w:ascii="Times New Roman" w:hAnsi="Times New Roman" w:cs="Times New Roman"/>
        </w:rPr>
        <w:t xml:space="preserve"> applicable to Street and Area Light schedules to the rates contained in those schedules (Schedules 41-48)?</w:t>
      </w:r>
    </w:p>
    <w:p w:rsidR="005540EB" w:rsidRDefault="005540EB" w:rsidP="00711833">
      <w:pPr>
        <w:pStyle w:val="P164"/>
        <w:numPr>
          <w:ilvl w:val="0"/>
          <w:numId w:val="30"/>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proposes to increase present street and area light (base) rates on a uniform percentage basis.  </w:t>
      </w:r>
      <w:r w:rsidR="00704982">
        <w:rPr>
          <w:rFonts w:ascii="Times New Roman" w:hAnsi="Times New Roman" w:cs="Times New Roman"/>
        </w:rPr>
        <w:t>T</w:t>
      </w:r>
      <w:r w:rsidRPr="005540EB">
        <w:rPr>
          <w:rFonts w:ascii="Times New Roman" w:hAnsi="Times New Roman" w:cs="Times New Roman"/>
        </w:rPr>
        <w:t xml:space="preserve">he proposed increase for all lighting rates is </w:t>
      </w:r>
      <w:r w:rsidR="00BC395A">
        <w:rPr>
          <w:rFonts w:ascii="Times New Roman" w:hAnsi="Times New Roman" w:cs="Times New Roman"/>
        </w:rPr>
        <w:t>9.</w:t>
      </w:r>
      <w:r w:rsidR="00585860">
        <w:rPr>
          <w:rFonts w:ascii="Times New Roman" w:hAnsi="Times New Roman" w:cs="Times New Roman"/>
        </w:rPr>
        <w:t>1</w:t>
      </w:r>
      <w:r w:rsidRPr="005540EB">
        <w:rPr>
          <w:rFonts w:ascii="Times New Roman" w:hAnsi="Times New Roman" w:cs="Times New Roman"/>
        </w:rPr>
        <w:t>%.  The (base tariff) rates are shown in the tariffs for those schedules,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w:t>
      </w:r>
      <w:r w:rsidR="00916D0F">
        <w:rPr>
          <w:rFonts w:ascii="Times New Roman" w:hAnsi="Times New Roman" w:cs="Times New Roman"/>
        </w:rPr>
        <w:t>3</w:t>
      </w:r>
      <w:r w:rsidRPr="005540EB">
        <w:rPr>
          <w:rFonts w:ascii="Times New Roman" w:hAnsi="Times New Roman" w:cs="Times New Roman"/>
        </w:rPr>
        <w:t>).</w:t>
      </w:r>
    </w:p>
    <w:p w:rsidR="004E4650" w:rsidRPr="003508A2" w:rsidRDefault="005E25D7" w:rsidP="00711833">
      <w:pPr>
        <w:pStyle w:val="P148"/>
        <w:tabs>
          <w:tab w:val="clear" w:pos="2340"/>
          <w:tab w:val="left" w:pos="720"/>
          <w:tab w:val="num" w:pos="1440"/>
        </w:tabs>
        <w:ind w:left="0"/>
        <w:jc w:val="both"/>
        <w:rPr>
          <w:rFonts w:ascii="Times New Roman" w:hAnsi="Times New Roman" w:cs="Times New Roman"/>
          <w:szCs w:val="24"/>
        </w:rPr>
      </w:pPr>
      <w:r>
        <w:rPr>
          <w:rFonts w:ascii="Times New Roman" w:hAnsi="Times New Roman" w:cs="Times New Roman"/>
          <w:szCs w:val="24"/>
        </w:rPr>
        <w:tab/>
      </w:r>
      <w:r w:rsidR="004E4650" w:rsidRPr="003508A2">
        <w:rPr>
          <w:rFonts w:ascii="Times New Roman" w:hAnsi="Times New Roman" w:cs="Times New Roman"/>
          <w:szCs w:val="24"/>
        </w:rPr>
        <w:t xml:space="preserve">Q.  </w:t>
      </w:r>
      <w:r w:rsidR="004E4650" w:rsidRPr="003508A2">
        <w:rPr>
          <w:rFonts w:ascii="Times New Roman" w:hAnsi="Times New Roman" w:cs="Times New Roman"/>
          <w:szCs w:val="24"/>
        </w:rPr>
        <w:tab/>
        <w:t>Are you proposing any other changes to the Company’s electric service tariffs?</w:t>
      </w:r>
    </w:p>
    <w:p w:rsidR="004E4650" w:rsidRPr="003508A2" w:rsidRDefault="004E4650" w:rsidP="00711833">
      <w:pPr>
        <w:pStyle w:val="BodyText2"/>
        <w:tabs>
          <w:tab w:val="left" w:pos="810"/>
        </w:tabs>
        <w:ind w:firstLine="720"/>
      </w:pPr>
      <w:r w:rsidRPr="003508A2">
        <w:t xml:space="preserve">A. </w:t>
      </w:r>
      <w:r w:rsidRPr="003508A2">
        <w:tab/>
        <w:t xml:space="preserve">Yes.  The Company is proposing to add language under Extra Large General Service Schedule 25 that would require a customer to execute a special contract for service of a new incremental load requirement of 25 </w:t>
      </w:r>
      <w:proofErr w:type="spellStart"/>
      <w:r w:rsidRPr="003508A2">
        <w:t>MVA</w:t>
      </w:r>
      <w:proofErr w:type="spellEnd"/>
      <w:r w:rsidRPr="003508A2">
        <w:t xml:space="preserve"> or greater.  Specifically, under the “Special Terms and Conditions” section of the tariff, the proposed language states:  </w:t>
      </w:r>
    </w:p>
    <w:p w:rsidR="004E4650" w:rsidRPr="003508A2" w:rsidRDefault="004E4650" w:rsidP="00711833">
      <w:pPr>
        <w:pStyle w:val="BodyText2"/>
        <w:tabs>
          <w:tab w:val="left" w:pos="810"/>
        </w:tabs>
        <w:spacing w:line="240" w:lineRule="auto"/>
        <w:ind w:left="810"/>
      </w:pPr>
      <w:r w:rsidRPr="003508A2">
        <w:t xml:space="preserve">A new or existing customer with an incremental electric demand requirement of 25,000 kVa or greater must execute a special contract for service, wherein the rates, terms and conditions for service may be different than those set forth under this schedule.  The special contract will be subject to approval by the Washington Utilities and Transportation Commission (WUTC), and if the Company and the customer cannot agree on the rates, terms and conditions of service, the matter will be brought before the WUTC for resolution.  </w:t>
      </w:r>
    </w:p>
    <w:p w:rsidR="004E4650" w:rsidRPr="003508A2" w:rsidRDefault="004E4650" w:rsidP="00711833">
      <w:pPr>
        <w:pStyle w:val="BodyText2"/>
        <w:tabs>
          <w:tab w:val="left" w:pos="810"/>
        </w:tabs>
        <w:spacing w:line="240" w:lineRule="auto"/>
      </w:pPr>
    </w:p>
    <w:p w:rsidR="004E4650" w:rsidRPr="003508A2" w:rsidRDefault="004E4650" w:rsidP="00711833">
      <w:pPr>
        <w:pStyle w:val="BodyText2"/>
        <w:tabs>
          <w:tab w:val="left" w:pos="810"/>
        </w:tabs>
        <w:rPr>
          <w:b/>
        </w:rPr>
      </w:pPr>
      <w:r w:rsidRPr="003508A2">
        <w:rPr>
          <w:b/>
        </w:rPr>
        <w:tab/>
        <w:t>Q.</w:t>
      </w:r>
      <w:r w:rsidRPr="003508A2">
        <w:rPr>
          <w:b/>
        </w:rPr>
        <w:tab/>
        <w:t>Did the Company propose this same language in its last general rate case (Docket UE-100467)?</w:t>
      </w:r>
    </w:p>
    <w:p w:rsidR="004E4650" w:rsidRPr="003508A2" w:rsidRDefault="004E4650" w:rsidP="00711833">
      <w:pPr>
        <w:pStyle w:val="BodyText2"/>
        <w:tabs>
          <w:tab w:val="left" w:pos="810"/>
        </w:tabs>
      </w:pPr>
      <w:r w:rsidRPr="003508A2">
        <w:lastRenderedPageBreak/>
        <w:tab/>
        <w:t>A.</w:t>
      </w:r>
      <w:r w:rsidRPr="003508A2">
        <w:tab/>
        <w:t>Yes, this is the same language that the Company proposed in that Docket.  As a part of the settlement, the Company withdrew its request for the tariff modifications.</w:t>
      </w:r>
    </w:p>
    <w:p w:rsidR="004E4650" w:rsidRPr="003508A2" w:rsidRDefault="004E4650" w:rsidP="00711833">
      <w:pPr>
        <w:pStyle w:val="BodyText2"/>
        <w:numPr>
          <w:ilvl w:val="0"/>
          <w:numId w:val="36"/>
        </w:numPr>
        <w:tabs>
          <w:tab w:val="num" w:pos="1440"/>
        </w:tabs>
        <w:ind w:left="0" w:firstLine="720"/>
        <w:rPr>
          <w:b/>
        </w:rPr>
      </w:pPr>
      <w:r w:rsidRPr="003508A2">
        <w:rPr>
          <w:b/>
        </w:rPr>
        <w:t>What is the Company’s rationale for this proposed provision?</w:t>
      </w:r>
    </w:p>
    <w:p w:rsidR="004E4650" w:rsidRPr="003508A2" w:rsidRDefault="004E4650" w:rsidP="00711833">
      <w:pPr>
        <w:pStyle w:val="BodyText2"/>
        <w:numPr>
          <w:ilvl w:val="0"/>
          <w:numId w:val="37"/>
        </w:numPr>
        <w:tabs>
          <w:tab w:val="num" w:pos="1440"/>
        </w:tabs>
        <w:ind w:left="0" w:firstLine="720"/>
      </w:pPr>
      <w:r w:rsidRPr="003508A2">
        <w:t xml:space="preserve">The incremental cost associated with serving a new load of 25 megawatts or more could be substantial.  Under the present Schedule 25 tariff, there is no provision limiting service at the rates set forth under this schedule.  A customer with a new load requirement of 25, 50, or even 100 megawatts could request, and perhaps demand, service at Schedule 25 rates.  The proposed provision would allow the Company and the Commission to consider the incremental costs required to provide the requested service.  </w:t>
      </w:r>
    </w:p>
    <w:p w:rsidR="004E4650" w:rsidRPr="003508A2" w:rsidRDefault="004E4650" w:rsidP="00711833">
      <w:pPr>
        <w:pStyle w:val="BodyText2"/>
        <w:numPr>
          <w:ilvl w:val="0"/>
          <w:numId w:val="35"/>
        </w:numPr>
        <w:tabs>
          <w:tab w:val="left" w:pos="810"/>
        </w:tabs>
        <w:ind w:left="0" w:firstLine="720"/>
        <w:rPr>
          <w:b/>
        </w:rPr>
      </w:pPr>
      <w:r w:rsidRPr="003508A2">
        <w:rPr>
          <w:b/>
        </w:rPr>
        <w:t>Does the Company have a similar provision in its Idaho tariff?</w:t>
      </w:r>
    </w:p>
    <w:p w:rsidR="004E4650" w:rsidRPr="003508A2" w:rsidRDefault="004E4650" w:rsidP="00711833">
      <w:pPr>
        <w:pStyle w:val="BodyText2"/>
        <w:numPr>
          <w:ilvl w:val="0"/>
          <w:numId w:val="38"/>
        </w:numPr>
        <w:tabs>
          <w:tab w:val="num" w:pos="1440"/>
        </w:tabs>
        <w:ind w:left="0" w:firstLine="720"/>
        <w:rPr>
          <w:b/>
        </w:rPr>
      </w:pPr>
      <w:r w:rsidRPr="003508A2">
        <w:t xml:space="preserve">Yes, however, the provision in the Idaho Schedule 25 tariff states that customers whose </w:t>
      </w:r>
      <w:r w:rsidRPr="003508A2">
        <w:rPr>
          <w:u w:val="single"/>
        </w:rPr>
        <w:t>total</w:t>
      </w:r>
      <w:r w:rsidRPr="003508A2">
        <w:t xml:space="preserve"> demand requirement exceeds 25,000 kVa may be served under a special contract.  This provision has been in effect in Idaho since 1992.  The only customer the Company serves in Idaho that exceeds this level is Clearwater Paper. </w:t>
      </w:r>
      <w:r w:rsidRPr="003508A2">
        <w:rPr>
          <w:b/>
        </w:rPr>
        <w:t xml:space="preserve"> </w:t>
      </w:r>
    </w:p>
    <w:p w:rsidR="004E4650" w:rsidRPr="003508A2" w:rsidRDefault="004E4650" w:rsidP="00711833">
      <w:pPr>
        <w:pStyle w:val="BodyText2"/>
        <w:ind w:firstLine="720"/>
        <w:rPr>
          <w:b/>
        </w:rPr>
      </w:pPr>
      <w:r w:rsidRPr="003508A2">
        <w:rPr>
          <w:b/>
        </w:rPr>
        <w:t>Q.</w:t>
      </w:r>
      <w:r w:rsidRPr="003508A2">
        <w:rPr>
          <w:b/>
        </w:rPr>
        <w:tab/>
        <w:t xml:space="preserve">Why isn’t the Company proposing specific service rates or a banded-rate associated with this incremental load provision?  </w:t>
      </w:r>
    </w:p>
    <w:p w:rsidR="004E4650" w:rsidRPr="003508A2" w:rsidRDefault="004E4650" w:rsidP="00711833">
      <w:pPr>
        <w:pStyle w:val="BodyText2"/>
        <w:tabs>
          <w:tab w:val="left" w:pos="1440"/>
        </w:tabs>
        <w:ind w:firstLine="720"/>
      </w:pPr>
      <w:r w:rsidRPr="003508A2">
        <w:t>A.</w:t>
      </w:r>
      <w:r w:rsidRPr="003508A2">
        <w:tab/>
        <w:t>The rates for service to an incremental load of this size should consider all of the specific load characteristics unique to that customer/load that could have a substantial effect on the cost of service.  These factors would include estimated energy usage and peak demand by month, day and hour, potential interruptibility, and distribution facility requirements, etc.</w:t>
      </w:r>
    </w:p>
    <w:p w:rsidR="004E4650" w:rsidRPr="003508A2" w:rsidRDefault="004E4650" w:rsidP="00711833">
      <w:pPr>
        <w:pStyle w:val="BodyText2"/>
        <w:tabs>
          <w:tab w:val="left" w:pos="810"/>
          <w:tab w:val="left" w:pos="1440"/>
        </w:tabs>
        <w:ind w:firstLine="720"/>
        <w:rPr>
          <w:b/>
        </w:rPr>
      </w:pPr>
      <w:r w:rsidRPr="003508A2">
        <w:rPr>
          <w:b/>
        </w:rPr>
        <w:t>Q.</w:t>
      </w:r>
      <w:r w:rsidRPr="003508A2">
        <w:rPr>
          <w:b/>
        </w:rPr>
        <w:tab/>
        <w:t xml:space="preserve">Even though there are no specific rates associated with the proposed provision, could the provision itself be considered “unduly discriminatory” when the </w:t>
      </w:r>
      <w:r w:rsidRPr="003508A2">
        <w:rPr>
          <w:b/>
        </w:rPr>
        <w:lastRenderedPageBreak/>
        <w:t>Company is already serving customers whose load requirements exceed 25 megawatts (25,000 kVa)?</w:t>
      </w:r>
    </w:p>
    <w:p w:rsidR="004E4650" w:rsidRPr="003508A2" w:rsidRDefault="004E4650" w:rsidP="00711833">
      <w:pPr>
        <w:pStyle w:val="BodyText2"/>
        <w:ind w:firstLine="720"/>
      </w:pPr>
      <w:r w:rsidRPr="003508A2">
        <w:t>A.</w:t>
      </w:r>
      <w:r w:rsidRPr="003508A2">
        <w:tab/>
        <w:t xml:space="preserve">No.  The provision states that, “the rates for service </w:t>
      </w:r>
      <w:r w:rsidRPr="003508A2">
        <w:rPr>
          <w:iCs/>
          <w:u w:val="single"/>
        </w:rPr>
        <w:t>may</w:t>
      </w:r>
      <w:r w:rsidRPr="003508A2">
        <w:t xml:space="preserve"> be different than those set forth under this Schedule”.  The provision does not state that the rates </w:t>
      </w:r>
      <w:r w:rsidRPr="003508A2">
        <w:rPr>
          <w:iCs/>
          <w:u w:val="single"/>
        </w:rPr>
        <w:t>will</w:t>
      </w:r>
      <w:r w:rsidRPr="003508A2">
        <w:rPr>
          <w:i/>
          <w:iCs/>
        </w:rPr>
        <w:t xml:space="preserve"> </w:t>
      </w:r>
      <w:r w:rsidRPr="003508A2">
        <w:t xml:space="preserve">be different.  If the Company were to be presented with a new large load over 25,000 kVa, there would be opportunity to determine whether the characteristics of the new load warrant service rates different than those set forth under Schedule 25.  Any special contract proposed under this provision would be subject to Commission review to determine if the rates for service are fair, just, reasonable and sufficient, and are not unduly discriminatory. </w:t>
      </w:r>
    </w:p>
    <w:p w:rsidR="004E4650" w:rsidRPr="00BD0A6C" w:rsidRDefault="004E4650" w:rsidP="00711833">
      <w:pPr>
        <w:spacing w:line="480" w:lineRule="auto"/>
        <w:ind w:firstLine="720"/>
        <w:jc w:val="both"/>
        <w:rPr>
          <w:b/>
        </w:rPr>
      </w:pPr>
      <w:r w:rsidRPr="00BD0A6C">
        <w:rPr>
          <w:b/>
        </w:rPr>
        <w:t>Q.</w:t>
      </w:r>
      <w:r w:rsidRPr="00BD0A6C">
        <w:rPr>
          <w:b/>
        </w:rPr>
        <w:tab/>
        <w:t>Are there any other changes to Schedule 25 being proposed in this case?</w:t>
      </w:r>
    </w:p>
    <w:p w:rsidR="004E4650" w:rsidRPr="00BD0A6C" w:rsidRDefault="004E4650" w:rsidP="00711833">
      <w:pPr>
        <w:spacing w:line="480" w:lineRule="auto"/>
        <w:ind w:firstLine="720"/>
        <w:jc w:val="both"/>
      </w:pPr>
      <w:r w:rsidRPr="00BD0A6C">
        <w:t>A.</w:t>
      </w:r>
      <w:r w:rsidRPr="00BD0A6C">
        <w:tab/>
        <w:t>Yes.  The Company is proposing to revise the language relating to the Annual Minimum.  Currently, the language states:</w:t>
      </w:r>
    </w:p>
    <w:p w:rsidR="004E4650" w:rsidRDefault="004E4650" w:rsidP="00711833">
      <w:pPr>
        <w:ind w:left="720"/>
        <w:jc w:val="both"/>
      </w:pPr>
      <w:r w:rsidRPr="00BD0A6C">
        <w:t>Any annual minimum deficiency will be determined during the April billing cycle for the previous 12-month period.  For a customer who has taken service on this schedule for  less than 12 months, the annual minimum will be prorated based on the actual months of service.</w:t>
      </w:r>
    </w:p>
    <w:p w:rsidR="004E4650" w:rsidRDefault="004E4650" w:rsidP="00711833">
      <w:pPr>
        <w:ind w:left="720"/>
        <w:jc w:val="both"/>
      </w:pPr>
    </w:p>
    <w:p w:rsidR="004E4650" w:rsidRPr="00BD0A6C" w:rsidRDefault="004E4650" w:rsidP="00711833">
      <w:pPr>
        <w:spacing w:line="480" w:lineRule="auto"/>
        <w:jc w:val="both"/>
      </w:pPr>
      <w:r w:rsidRPr="00BD0A6C">
        <w:t>The proposed language states:</w:t>
      </w:r>
    </w:p>
    <w:p w:rsidR="004E4650" w:rsidRDefault="004E4650" w:rsidP="00711833">
      <w:pPr>
        <w:ind w:left="720"/>
        <w:jc w:val="both"/>
        <w:rPr>
          <w:color w:val="000000"/>
        </w:rPr>
      </w:pPr>
      <w:r w:rsidRPr="00BD0A6C">
        <w:rPr>
          <w:color w:val="000000"/>
        </w:rPr>
        <w:t xml:space="preserve">Any annual minimum deficiency will be determined during the April billing cycle for the previous 12-month period.  For a customer who has taken service on this schedule for less than 12 months, the annual minimum will be prorated based on the actual months of service.   The annual minimum will also be prorated if base rates change during the 12-month period.  The annual minimum is based on 916,667 kWh’s per month (11,000,000 kWhs annually), plus twelve months multiplied by the monthly minimum demand charge for the first 3,000 kVA of demand.  The annual minimum reflected above is based on base revenues only.  Any other revenues paid by customers in their billed rates (such as the DSM Tariff Rider Schedule 91) do not factor in to the annual minimum calculation. </w:t>
      </w:r>
    </w:p>
    <w:p w:rsidR="004E4650" w:rsidRPr="00BD0A6C" w:rsidRDefault="004E4650" w:rsidP="00711833">
      <w:pPr>
        <w:ind w:left="720"/>
        <w:jc w:val="both"/>
        <w:rPr>
          <w:color w:val="000000"/>
        </w:rPr>
      </w:pPr>
    </w:p>
    <w:p w:rsidR="004E4650" w:rsidRPr="00BD0A6C" w:rsidRDefault="004E4650" w:rsidP="00711833">
      <w:pPr>
        <w:spacing w:line="480" w:lineRule="auto"/>
        <w:ind w:firstLine="720"/>
        <w:jc w:val="both"/>
        <w:rPr>
          <w:b/>
        </w:rPr>
      </w:pPr>
      <w:r w:rsidRPr="00BD0A6C">
        <w:rPr>
          <w:b/>
        </w:rPr>
        <w:lastRenderedPageBreak/>
        <w:t>Q.</w:t>
      </w:r>
      <w:r w:rsidRPr="00BD0A6C">
        <w:rPr>
          <w:b/>
        </w:rPr>
        <w:tab/>
        <w:t>Why is the Company proposing this change to the annual minimum language?</w:t>
      </w:r>
    </w:p>
    <w:p w:rsidR="00AD2C96" w:rsidRDefault="004E4650" w:rsidP="00AD2C96">
      <w:pPr>
        <w:spacing w:line="480" w:lineRule="auto"/>
        <w:ind w:firstLine="720"/>
        <w:jc w:val="both"/>
      </w:pPr>
      <w:r w:rsidRPr="00BD0A6C">
        <w:t>A.</w:t>
      </w:r>
      <w:r w:rsidRPr="00BD0A6C">
        <w:tab/>
        <w:t>There are two main reasons for the requested change.  First, it was not clear</w:t>
      </w:r>
      <w:r w:rsidR="00711833">
        <w:t xml:space="preserve"> to customers</w:t>
      </w:r>
      <w:r w:rsidRPr="00BD0A6C">
        <w:t xml:space="preserve"> as to what the base level of kWh’s were for purposes of determining the annual minimum.  Second, it was not clear</w:t>
      </w:r>
      <w:r w:rsidR="00F820B5">
        <w:t xml:space="preserve"> in the tariff language</w:t>
      </w:r>
      <w:r w:rsidRPr="00BD0A6C">
        <w:t xml:space="preserve"> that the annual minimum </w:t>
      </w:r>
      <w:r w:rsidR="00711833">
        <w:t xml:space="preserve">relates to </w:t>
      </w:r>
      <w:r w:rsidR="00711833" w:rsidRPr="00F820B5">
        <w:t>b</w:t>
      </w:r>
      <w:r w:rsidRPr="00F820B5">
        <w:t>ase</w:t>
      </w:r>
      <w:r w:rsidRPr="00BD0A6C">
        <w:t xml:space="preserve"> </w:t>
      </w:r>
      <w:r w:rsidR="00711833">
        <w:t>r</w:t>
      </w:r>
      <w:r w:rsidRPr="00BD0A6C">
        <w:t>evenues</w:t>
      </w:r>
      <w:r w:rsidR="00711833">
        <w:t xml:space="preserve">, </w:t>
      </w:r>
      <w:r w:rsidRPr="00F820B5">
        <w:rPr>
          <w:u w:val="single"/>
        </w:rPr>
        <w:t>not</w:t>
      </w:r>
      <w:r w:rsidRPr="00BD0A6C">
        <w:t xml:space="preserve"> </w:t>
      </w:r>
      <w:r w:rsidR="00711833">
        <w:t>b</w:t>
      </w:r>
      <w:r w:rsidRPr="00BD0A6C">
        <w:t xml:space="preserve">illing </w:t>
      </w:r>
      <w:r w:rsidR="00711833">
        <w:t>r</w:t>
      </w:r>
      <w:r w:rsidRPr="00BD0A6C">
        <w:t xml:space="preserve">evenues.  </w:t>
      </w:r>
      <w:r w:rsidR="00711833">
        <w:t>T</w:t>
      </w:r>
      <w:r w:rsidRPr="00BD0A6C">
        <w:t>he annual minimum language need</w:t>
      </w:r>
      <w:r w:rsidR="00711833">
        <w:t>s</w:t>
      </w:r>
      <w:r w:rsidRPr="00BD0A6C">
        <w:t xml:space="preserve"> to reflect</w:t>
      </w:r>
      <w:r w:rsidR="00711833">
        <w:t xml:space="preserve"> the fact that</w:t>
      </w:r>
      <w:r w:rsidRPr="00BD0A6C">
        <w:t xml:space="preserve"> other tariff </w:t>
      </w:r>
      <w:r w:rsidR="00711833">
        <w:t>schedules t</w:t>
      </w:r>
      <w:r w:rsidRPr="00BD0A6C">
        <w:t xml:space="preserve">hat impact </w:t>
      </w:r>
      <w:r w:rsidRPr="00F820B5">
        <w:t>billed</w:t>
      </w:r>
      <w:r w:rsidRPr="00BD0A6C">
        <w:t xml:space="preserve"> rates </w:t>
      </w:r>
      <w:r w:rsidR="00416D8E">
        <w:t>d</w:t>
      </w:r>
      <w:r w:rsidRPr="00BD0A6C">
        <w:t xml:space="preserve">o not impact the annual minimum, and are not </w:t>
      </w:r>
      <w:r w:rsidR="00711833">
        <w:t>included in the annual minimum</w:t>
      </w:r>
      <w:r w:rsidRPr="00BD0A6C">
        <w:t xml:space="preserve"> calculation.</w:t>
      </w:r>
    </w:p>
    <w:p w:rsidR="00515008" w:rsidRDefault="00515008" w:rsidP="00AD2C96">
      <w:pPr>
        <w:spacing w:line="480" w:lineRule="auto"/>
        <w:ind w:firstLine="720"/>
        <w:jc w:val="both"/>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contains information regarding the proposed spread of the natural gas revenue increase among the service schedules and the proposed changes to 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w:t>
      </w:r>
      <w:r w:rsidRPr="005540EB">
        <w:rPr>
          <w:rFonts w:ascii="Times New Roman" w:hAnsi="Times New Roman" w:cs="Times New Roman"/>
        </w:rPr>
        <w:lastRenderedPageBreak/>
        <w:t>schedules, and the proposed rates after application of the changes.  These pages will be referred to later in my testimony.</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gas for customers whose annual requirements exceed 250,000 therms.  Schedule 148 is a banded-rate transportation tariff that allows for a negotiated service rate with large customers that have an economic alternative to taking 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at one time were provided 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gas costs </w:t>
      </w:r>
      <w:r w:rsidRPr="005540EB">
        <w:rPr>
          <w:rFonts w:ascii="Times New Roman" w:hAnsi="Times New Roman" w:cs="Times New Roman"/>
        </w:rPr>
        <w:lastRenderedPageBreak/>
        <w:t xml:space="preserve">approved by the Commission in the prior PGA.  Because of their size, transportation service customers are analyzed individually to determine their appropriate share of deferred gas costs.  If those customers switch back to sales service, the Company continues to analyze those customers individually; otherwise, those customers would receive gas costs deferrals which are not due them, thus the need for Schedules 112, 122 and 132.  There are presently </w:t>
      </w:r>
      <w:r w:rsidRPr="00BC395A">
        <w:rPr>
          <w:rFonts w:ascii="Times New Roman" w:hAnsi="Times New Roman" w:cs="Times New Roman"/>
        </w:rPr>
        <w:t xml:space="preserve">only </w:t>
      </w:r>
      <w:r w:rsidRPr="00BC395A">
        <w:rPr>
          <w:rStyle w:val="T12"/>
          <w:rFonts w:ascii="Times New Roman" w:hAnsi="Times New Roman" w:cs="Times New Roman"/>
        </w:rPr>
        <w:t>ten</w:t>
      </w:r>
      <w:r w:rsidRPr="00BC395A">
        <w:rPr>
          <w:rFonts w:ascii="Times New Roman" w:hAnsi="Times New Roman" w:cs="Times New Roman"/>
        </w:rPr>
        <w:t xml:space="preserve"> customers served</w:t>
      </w:r>
      <w:r w:rsidRPr="005540EB">
        <w:rPr>
          <w:rFonts w:ascii="Times New Roman" w:hAnsi="Times New Roman" w:cs="Times New Roman"/>
        </w:rPr>
        <w:t xml:space="preserve"> under these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many customers does the Company serve under each of its natural gas rate schedules?</w:t>
      </w:r>
    </w:p>
    <w:p w:rsidR="005540EB" w:rsidRPr="005540EB" w:rsidRDefault="00BC395A" w:rsidP="005540EB">
      <w:pPr>
        <w:pStyle w:val="P204"/>
        <w:jc w:val="both"/>
        <w:rPr>
          <w:rFonts w:ascii="Times New Roman" w:hAnsi="Times New Roman" w:cs="Times New Roman"/>
        </w:rPr>
      </w:pPr>
      <w:r>
        <w:rPr>
          <w:rFonts w:ascii="Times New Roman" w:hAnsi="Times New Roman" w:cs="Times New Roman"/>
          <w:noProof/>
        </w:rPr>
        <w:drawing>
          <wp:anchor distT="0" distB="0" distL="114300" distR="114300" simplePos="0" relativeHeight="251718144" behindDoc="1" locked="0" layoutInCell="1" allowOverlap="1">
            <wp:simplePos x="0" y="0"/>
            <wp:positionH relativeFrom="column">
              <wp:posOffset>477520</wp:posOffset>
            </wp:positionH>
            <wp:positionV relativeFrom="paragraph">
              <wp:posOffset>635635</wp:posOffset>
            </wp:positionV>
            <wp:extent cx="4880610" cy="1405890"/>
            <wp:effectExtent l="19050" t="0" r="0" b="0"/>
            <wp:wrapNone/>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4880610" cy="1405890"/>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As of December 20</w:t>
      </w:r>
      <w:r w:rsidR="00F40195">
        <w:rPr>
          <w:rFonts w:ascii="Times New Roman" w:hAnsi="Times New Roman" w:cs="Times New Roman"/>
        </w:rPr>
        <w:t>10</w:t>
      </w:r>
      <w:r w:rsidR="005540EB" w:rsidRPr="005540EB">
        <w:rPr>
          <w:rFonts w:ascii="Times New Roman" w:hAnsi="Times New Roman" w:cs="Times New Roman"/>
        </w:rPr>
        <w:t>, the Company provided service to the following number of customers under each of its schedules:</w:t>
      </w:r>
    </w:p>
    <w:p w:rsidR="00F17ED7" w:rsidRDefault="005540EB" w:rsidP="00AD2C96">
      <w:pPr>
        <w:pStyle w:val="P246"/>
        <w:outlineLvl w:val="0"/>
        <w:rPr>
          <w:rFonts w:ascii="Times New Roman" w:hAnsi="Times New Roman" w:cs="Times New Roman"/>
        </w:rPr>
      </w:pPr>
      <w:r w:rsidRPr="00AE4671">
        <w:rPr>
          <w:rFonts w:ascii="Times New Roman" w:hAnsi="Times New Roman" w:cs="Times New Roman"/>
          <w:b w:val="0"/>
          <w:u w:val="none"/>
          <w:lang w:val="fr-FR"/>
        </w:rPr>
        <w:tab/>
      </w: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540EB" w:rsidRDefault="005540EB" w:rsidP="005540EB">
      <w:pPr>
        <w:pStyle w:val="P24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does the Company propose to spread the overall revenue increase of $</w:t>
      </w:r>
      <w:r w:rsidR="00BC395A">
        <w:rPr>
          <w:rFonts w:ascii="Times New Roman" w:hAnsi="Times New Roman" w:cs="Times New Roman"/>
        </w:rPr>
        <w:t>6,2</w:t>
      </w:r>
      <w:r w:rsidR="00F820B5">
        <w:rPr>
          <w:rFonts w:ascii="Times New Roman" w:hAnsi="Times New Roman" w:cs="Times New Roman"/>
        </w:rPr>
        <w:t>07</w:t>
      </w:r>
      <w:r w:rsidR="00987E07">
        <w:rPr>
          <w:rFonts w:ascii="Times New Roman" w:hAnsi="Times New Roman" w:cs="Times New Roman"/>
        </w:rPr>
        <w:t>,000</w:t>
      </w:r>
      <w:r w:rsidRPr="005540EB">
        <w:rPr>
          <w:rFonts w:ascii="Times New Roman" w:hAnsi="Times New Roman" w:cs="Times New Roman"/>
        </w:rPr>
        <w:t xml:space="preserve">, or </w:t>
      </w:r>
      <w:r w:rsidR="00BC395A">
        <w:rPr>
          <w:rFonts w:ascii="Times New Roman" w:hAnsi="Times New Roman" w:cs="Times New Roman"/>
        </w:rPr>
        <w:t>4.0</w:t>
      </w:r>
      <w:r w:rsidRPr="005540EB">
        <w:rPr>
          <w:rFonts w:ascii="Times New Roman" w:hAnsi="Times New Roman" w:cs="Times New Roman"/>
        </w:rPr>
        <w:t>%, among its natural gas general service schedules?</w:t>
      </w:r>
    </w:p>
    <w:p w:rsidR="00515008" w:rsidRPr="00515008" w:rsidRDefault="005540EB" w:rsidP="00515008">
      <w:pPr>
        <w:pStyle w:val="P208"/>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The Company is proposing the following revenue/rate changes by rate schedule:</w:t>
      </w:r>
      <w:r w:rsidR="00515008">
        <w:rPr>
          <w:rFonts w:ascii="Times New Roman" w:hAnsi="Times New Roman" w:cs="Times New Roman"/>
        </w:rPr>
        <w:br w:type="page"/>
      </w:r>
    </w:p>
    <w:p w:rsidR="00F02AD8" w:rsidRDefault="00580834" w:rsidP="00FD0FCC">
      <w:pPr>
        <w:pStyle w:val="TestBody"/>
        <w:widowControl w:val="0"/>
        <w:tabs>
          <w:tab w:val="left" w:pos="1440"/>
        </w:tabs>
        <w:spacing w:line="480" w:lineRule="auto"/>
        <w:ind w:left="0" w:right="-100" w:firstLine="0"/>
        <w:jc w:val="center"/>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759104" behindDoc="1" locked="0" layoutInCell="1" allowOverlap="1">
            <wp:simplePos x="0" y="0"/>
            <wp:positionH relativeFrom="column">
              <wp:posOffset>570865</wp:posOffset>
            </wp:positionH>
            <wp:positionV relativeFrom="paragraph">
              <wp:posOffset>25400</wp:posOffset>
            </wp:positionV>
            <wp:extent cx="4991735" cy="1579880"/>
            <wp:effectExtent l="1905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991735" cy="1579880"/>
                    </a:xfrm>
                    <a:prstGeom prst="rect">
                      <a:avLst/>
                    </a:prstGeom>
                    <a:noFill/>
                    <a:ln w="9525">
                      <a:noFill/>
                      <a:miter lim="800000"/>
                      <a:headEnd/>
                      <a:tailEnd/>
                    </a:ln>
                  </pic:spPr>
                </pic:pic>
              </a:graphicData>
            </a:graphic>
          </wp:anchor>
        </w:drawing>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increase for Transportation Schedule 146 is not comparable to the proposed increases for the other (sales) service schedules, as Schedule 146 revenue does not include an amount for the cost of 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Transportation customers acquire their own 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87E07">
        <w:rPr>
          <w:rFonts w:ascii="Times New Roman" w:hAnsi="Times New Roman" w:cs="Times New Roman"/>
        </w:rPr>
        <w:t>4</w:t>
      </w:r>
      <w:r w:rsidRPr="005540EB">
        <w:rPr>
          <w:rFonts w:ascii="Times New Roman" w:hAnsi="Times New Roman" w:cs="Times New Roman"/>
        </w:rPr>
        <w:t xml:space="preserve">0.0 cents per therm for the cost of gas and pipeline transportation, the proposed increase to Schedule 146 rates represents an average increase </w:t>
      </w:r>
      <w:r w:rsidRPr="00524EA6">
        <w:rPr>
          <w:rFonts w:ascii="Times New Roman" w:hAnsi="Times New Roman" w:cs="Times New Roman"/>
        </w:rPr>
        <w:t xml:space="preserve">of </w:t>
      </w:r>
      <w:r w:rsidR="00524EA6" w:rsidRPr="00524EA6">
        <w:rPr>
          <w:rFonts w:ascii="Times New Roman" w:hAnsi="Times New Roman" w:cs="Times New Roman"/>
        </w:rPr>
        <w:t>0.7</w:t>
      </w:r>
      <w:r w:rsidRPr="00524EA6">
        <w:rPr>
          <w:rFonts w:ascii="Times New Roman" w:hAnsi="Times New Roman" w:cs="Times New Roman"/>
        </w:rPr>
        <w:t>%</w:t>
      </w:r>
      <w:r w:rsidRPr="005540EB">
        <w:rPr>
          <w:rFonts w:ascii="Times New Roman" w:hAnsi="Times New Roman" w:cs="Times New Roman"/>
        </w:rPr>
        <w:t xml:space="preserve"> in those customers’ total gas bill</w:t>
      </w:r>
      <w:r w:rsidR="00987E07">
        <w:rPr>
          <w:rFonts w:ascii="Times New Roman" w:hAnsi="Times New Roman" w:cs="Times New Roman"/>
        </w:rPr>
        <w:t>.</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information did the Company use to develop the proposed spread of the overall increase to the various rate schedules?</w:t>
      </w:r>
    </w:p>
    <w:p w:rsidR="00515008" w:rsidRPr="00515008" w:rsidRDefault="005540EB" w:rsidP="00515008">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utilized the results of </w:t>
      </w:r>
      <w:r w:rsidR="0028794F">
        <w:rPr>
          <w:rFonts w:ascii="Times New Roman" w:hAnsi="Times New Roman" w:cs="Times New Roman"/>
        </w:rPr>
        <w:t xml:space="preserve">the </w:t>
      </w:r>
      <w:r w:rsidRPr="005540EB">
        <w:rPr>
          <w:rFonts w:ascii="Times New Roman" w:hAnsi="Times New Roman" w:cs="Times New Roman"/>
        </w:rPr>
        <w:t xml:space="preserve">cost of service study, as sponsored by </w:t>
      </w:r>
      <w:r w:rsidR="00667220">
        <w:rPr>
          <w:rFonts w:ascii="Times New Roman" w:hAnsi="Times New Roman" w:cs="Times New Roman"/>
        </w:rPr>
        <w:t>Ms.</w:t>
      </w:r>
      <w:r w:rsidRPr="005540EB">
        <w:rPr>
          <w:rFonts w:ascii="Times New Roman" w:hAnsi="Times New Roman" w:cs="Times New Roman"/>
        </w:rPr>
        <w:t xml:space="preserve"> Knox, as a guide in developing the proposed rate spread.  </w:t>
      </w:r>
      <w:r w:rsidR="00F40195">
        <w:rPr>
          <w:rFonts w:ascii="Times New Roman" w:hAnsi="Times New Roman" w:cs="Times New Roman"/>
        </w:rPr>
        <w:t>T</w:t>
      </w:r>
      <w:r w:rsidRPr="005540EB">
        <w:rPr>
          <w:rFonts w:ascii="Times New Roman" w:hAnsi="Times New Roman" w:cs="Times New Roman"/>
        </w:rPr>
        <w:t>he relative rates of return before and after application of the proposed increases by schedule are as follows:</w:t>
      </w:r>
      <w:r w:rsidR="00515008">
        <w:rPr>
          <w:rFonts w:ascii="Times New Roman" w:hAnsi="Times New Roman" w:cs="Times New Roman"/>
        </w:rPr>
        <w:br w:type="page"/>
      </w:r>
    </w:p>
    <w:p w:rsidR="00667220" w:rsidRDefault="00F820B5" w:rsidP="000E2E27">
      <w:pPr>
        <w:pStyle w:val="P190"/>
        <w:jc w:val="both"/>
        <w:rPr>
          <w:rFonts w:ascii="Times New Roman" w:hAnsi="Times New Roman" w:cs="Times New Roman"/>
          <w:b/>
        </w:rPr>
      </w:pPr>
      <w:r w:rsidRPr="00F820B5">
        <w:rPr>
          <w:noProof/>
        </w:rPr>
        <w:lastRenderedPageBreak/>
        <w:drawing>
          <wp:anchor distT="0" distB="0" distL="114300" distR="114300" simplePos="0" relativeHeight="251738624" behindDoc="1" locked="0" layoutInCell="1" allowOverlap="1">
            <wp:simplePos x="0" y="0"/>
            <wp:positionH relativeFrom="column">
              <wp:posOffset>245062</wp:posOffset>
            </wp:positionH>
            <wp:positionV relativeFrom="paragraph">
              <wp:posOffset>-2875</wp:posOffset>
            </wp:positionV>
            <wp:extent cx="5105041" cy="1828800"/>
            <wp:effectExtent l="19050" t="0" r="359"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105041" cy="1828800"/>
                    </a:xfrm>
                    <a:prstGeom prst="rect">
                      <a:avLst/>
                    </a:prstGeom>
                    <a:noFill/>
                    <a:ln w="9525">
                      <a:noFill/>
                      <a:miter lim="800000"/>
                      <a:headEnd/>
                      <a:tailEnd/>
                    </a:ln>
                  </pic:spPr>
                </pic:pic>
              </a:graphicData>
            </a:graphic>
          </wp:anchor>
        </w:drawing>
      </w: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5540EB" w:rsidRPr="00797C30" w:rsidRDefault="005540EB" w:rsidP="005540EB">
      <w:pPr>
        <w:pStyle w:val="P253"/>
        <w:jc w:val="both"/>
        <w:outlineLvl w:val="0"/>
        <w:rPr>
          <w:rFonts w:ascii="Times New Roman" w:hAnsi="Times New Roman" w:cs="Times New Roman"/>
          <w:b w:val="0"/>
          <w:szCs w:val="24"/>
          <w:u w:val="none"/>
        </w:rPr>
      </w:pPr>
      <w:r w:rsidRPr="00797C30">
        <w:rPr>
          <w:rFonts w:ascii="Times New Roman" w:hAnsi="Times New Roman" w:cs="Times New Roman"/>
          <w:b w:val="0"/>
          <w:szCs w:val="24"/>
          <w:u w:val="none"/>
        </w:rPr>
        <w:t>Page 2 of Exhibit No._</w:t>
      </w:r>
      <w:r w:rsidR="00667220" w:rsidRPr="00797C30">
        <w:rPr>
          <w:rFonts w:ascii="Times New Roman" w:hAnsi="Times New Roman" w:cs="Times New Roman"/>
          <w:b w:val="0"/>
          <w:szCs w:val="24"/>
          <w:u w:val="none"/>
        </w:rPr>
        <w:t>__</w:t>
      </w:r>
      <w:r w:rsidRPr="00797C30">
        <w:rPr>
          <w:rFonts w:ascii="Times New Roman" w:hAnsi="Times New Roman" w:cs="Times New Roman"/>
          <w:b w:val="0"/>
          <w:szCs w:val="24"/>
          <w:u w:val="none"/>
        </w:rPr>
        <w:t>(</w:t>
      </w:r>
      <w:r w:rsidR="00D8699E" w:rsidRPr="00797C30">
        <w:rPr>
          <w:rFonts w:ascii="Times New Roman" w:hAnsi="Times New Roman" w:cs="Times New Roman"/>
          <w:b w:val="0"/>
          <w:szCs w:val="24"/>
          <w:u w:val="none"/>
        </w:rPr>
        <w:t>PDE</w:t>
      </w:r>
      <w:r w:rsidRPr="00797C30">
        <w:rPr>
          <w:rFonts w:ascii="Times New Roman" w:hAnsi="Times New Roman" w:cs="Times New Roman"/>
          <w:b w:val="0"/>
          <w:szCs w:val="24"/>
          <w:u w:val="none"/>
        </w:rPr>
        <w:t>-7) shows this information in more detail.</w:t>
      </w:r>
    </w:p>
    <w:p w:rsidR="005540EB" w:rsidRDefault="00CF6646" w:rsidP="005540EB">
      <w:pPr>
        <w:pStyle w:val="P253"/>
        <w:jc w:val="both"/>
        <w:outlineLvl w:val="0"/>
        <w:rPr>
          <w:rFonts w:ascii="Times New Roman" w:hAnsi="Times New Roman" w:cs="Times New Roman"/>
          <w:b w:val="0"/>
          <w:szCs w:val="24"/>
          <w:u w:val="none"/>
        </w:rPr>
      </w:pPr>
      <w:r>
        <w:rPr>
          <w:rFonts w:ascii="Times New Roman" w:hAnsi="Times New Roman" w:cs="Times New Roman"/>
          <w:b w:val="0"/>
          <w:szCs w:val="24"/>
          <w:u w:val="none"/>
        </w:rPr>
        <w:tab/>
      </w:r>
      <w:r w:rsidR="00797C30" w:rsidRPr="00797C30">
        <w:rPr>
          <w:rFonts w:ascii="Times New Roman" w:hAnsi="Times New Roman" w:cs="Times New Roman"/>
          <w:b w:val="0"/>
          <w:szCs w:val="24"/>
          <w:u w:val="none"/>
        </w:rPr>
        <w:t xml:space="preserve">The Company </w:t>
      </w:r>
      <w:r w:rsidR="00625666">
        <w:rPr>
          <w:rFonts w:ascii="Times New Roman" w:hAnsi="Times New Roman" w:cs="Times New Roman"/>
          <w:b w:val="0"/>
          <w:szCs w:val="24"/>
          <w:u w:val="none"/>
        </w:rPr>
        <w:t xml:space="preserve">believes </w:t>
      </w:r>
      <w:r w:rsidR="00BC395A">
        <w:rPr>
          <w:rFonts w:ascii="Times New Roman" w:hAnsi="Times New Roman" w:cs="Times New Roman"/>
          <w:b w:val="0"/>
          <w:szCs w:val="24"/>
          <w:u w:val="none"/>
        </w:rPr>
        <w:t xml:space="preserve">that, given the results of the Cost of Service study sponsored by Ms. Knox, all of the rate schedules </w:t>
      </w:r>
      <w:r w:rsidR="0031526F">
        <w:rPr>
          <w:rFonts w:ascii="Times New Roman" w:hAnsi="Times New Roman" w:cs="Times New Roman"/>
          <w:b w:val="0"/>
          <w:szCs w:val="24"/>
          <w:u w:val="none"/>
        </w:rPr>
        <w:t>sh</w:t>
      </w:r>
      <w:r w:rsidR="00BC395A">
        <w:rPr>
          <w:rFonts w:ascii="Times New Roman" w:hAnsi="Times New Roman" w:cs="Times New Roman"/>
          <w:b w:val="0"/>
          <w:szCs w:val="24"/>
          <w:u w:val="none"/>
        </w:rPr>
        <w:t xml:space="preserve">ould be moved to unity.  General Service Schedule 101 was the only schedule that has a present relative rate of return that is </w:t>
      </w:r>
      <w:r w:rsidR="0031526F">
        <w:rPr>
          <w:rFonts w:ascii="Times New Roman" w:hAnsi="Times New Roman" w:cs="Times New Roman"/>
          <w:b w:val="0"/>
          <w:szCs w:val="24"/>
          <w:u w:val="none"/>
        </w:rPr>
        <w:t xml:space="preserve">currently </w:t>
      </w:r>
      <w:r w:rsidR="00BC395A">
        <w:rPr>
          <w:rFonts w:ascii="Times New Roman" w:hAnsi="Times New Roman" w:cs="Times New Roman"/>
          <w:b w:val="0"/>
          <w:szCs w:val="24"/>
          <w:u w:val="none"/>
        </w:rPr>
        <w:t>below cost of service.  Given their proximity to unity, the Company believed that a full movement was in order, which would relieve the subsidization of Schedule 101 by the other four service schedules.</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Could you please explain the present rate design within each of the Company’s present 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chedule contains a single rate per therm for all 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lastRenderedPageBreak/>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 131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w:t>
      </w:r>
      <w:r w:rsidR="00F40195">
        <w:rPr>
          <w:rFonts w:ascii="Times New Roman" w:hAnsi="Times New Roman" w:cs="Times New Roman"/>
        </w:rPr>
        <w:t>225</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Is the Company proposing any changes to the present rate structures contained in its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t xml:space="preserve">You stated earlier in your testimony that the Company is proposing an overall increase of </w:t>
      </w:r>
      <w:r w:rsidR="0031526F">
        <w:rPr>
          <w:rStyle w:val="T11"/>
          <w:rFonts w:ascii="Times New Roman" w:hAnsi="Times New Roman" w:cs="Times New Roman"/>
        </w:rPr>
        <w:t>5</w:t>
      </w:r>
      <w:r w:rsidR="00257659">
        <w:rPr>
          <w:rStyle w:val="T11"/>
          <w:rFonts w:ascii="Times New Roman" w:hAnsi="Times New Roman" w:cs="Times New Roman"/>
        </w:rPr>
        <w:t>.0</w:t>
      </w:r>
      <w:r w:rsidRPr="005540EB">
        <w:rPr>
          <w:rStyle w:val="T11"/>
          <w:rFonts w:ascii="Times New Roman" w:hAnsi="Times New Roman" w:cs="Times New Roman"/>
        </w:rPr>
        <w:t>% to the 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CE5121" w:rsidRDefault="005540EB" w:rsidP="00580834">
      <w:pPr>
        <w:spacing w:line="480" w:lineRule="auto"/>
        <w:ind w:firstLine="720"/>
        <w:jc w:val="both"/>
      </w:pPr>
      <w:r w:rsidRPr="005540EB">
        <w:t>A.</w:t>
      </w:r>
      <w:r w:rsidRPr="005540EB">
        <w:tab/>
        <w:t>Yes.  The Company is proposing to increase the basic/customer charge from $</w:t>
      </w:r>
      <w:r w:rsidR="001A4278">
        <w:t>6.00</w:t>
      </w:r>
      <w:r w:rsidRPr="005540EB">
        <w:t xml:space="preserve"> to </w:t>
      </w:r>
      <w:r w:rsidR="00257659">
        <w:t>$9.00</w:t>
      </w:r>
      <w:r w:rsidR="00CE5121">
        <w:t xml:space="preserve"> per month, as </w:t>
      </w:r>
      <w:r w:rsidR="00CE5121" w:rsidRPr="00CE5121">
        <w:rPr>
          <w:rStyle w:val="T11"/>
          <w:b w:val="0"/>
        </w:rPr>
        <w:t>t</w:t>
      </w:r>
      <w:r w:rsidRPr="005540EB">
        <w:t xml:space="preserve">he Company believes that the customer/basic charge should recover a reasonable portion of the fixed costs of providing service.  </w:t>
      </w:r>
      <w:r w:rsidR="00580834">
        <w:rPr>
          <w:kern w:val="24"/>
        </w:rPr>
        <w:t>Later in my testimony I will provide greater detail as to why the Company believes the monthly customer charge should increase by $3.00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257659">
        <w:rPr>
          <w:rFonts w:ascii="Times New Roman" w:hAnsi="Times New Roman" w:cs="Times New Roman"/>
        </w:rPr>
        <w:t xml:space="preserve">The Company, </w:t>
      </w:r>
      <w:r w:rsidRPr="00257659">
        <w:rPr>
          <w:rFonts w:ascii="Times New Roman" w:hAnsi="Times New Roman" w:cs="Times New Roman"/>
        </w:rPr>
        <w:t>as shown in column (e), page 3 of Exhibit No._</w:t>
      </w:r>
      <w:r w:rsidR="00667220" w:rsidRPr="00257659">
        <w:rPr>
          <w:rFonts w:ascii="Times New Roman" w:hAnsi="Times New Roman" w:cs="Times New Roman"/>
        </w:rPr>
        <w:t>__</w:t>
      </w:r>
      <w:r w:rsidRPr="00257659">
        <w:rPr>
          <w:rFonts w:ascii="Times New Roman" w:hAnsi="Times New Roman" w:cs="Times New Roman"/>
        </w:rPr>
        <w:t>(</w:t>
      </w:r>
      <w:r w:rsidR="00D8699E" w:rsidRPr="00257659">
        <w:rPr>
          <w:rFonts w:ascii="Times New Roman" w:hAnsi="Times New Roman" w:cs="Times New Roman"/>
        </w:rPr>
        <w:t>PDE</w:t>
      </w:r>
      <w:r w:rsidRPr="00257659">
        <w:rPr>
          <w:rFonts w:ascii="Times New Roman" w:hAnsi="Times New Roman" w:cs="Times New Roman"/>
        </w:rPr>
        <w:t>-7)</w:t>
      </w:r>
      <w:r w:rsidR="00434EE0" w:rsidRPr="00257659">
        <w:rPr>
          <w:rFonts w:ascii="Times New Roman" w:hAnsi="Times New Roman" w:cs="Times New Roman"/>
        </w:rPr>
        <w:t xml:space="preserve">, </w:t>
      </w:r>
      <w:r w:rsidR="00257659">
        <w:rPr>
          <w:rFonts w:ascii="Times New Roman" w:hAnsi="Times New Roman" w:cs="Times New Roman"/>
        </w:rPr>
        <w:t xml:space="preserve">has </w:t>
      </w:r>
      <w:r w:rsidR="00257659" w:rsidRPr="00257659">
        <w:rPr>
          <w:rFonts w:ascii="Times New Roman" w:hAnsi="Times New Roman" w:cs="Times New Roman"/>
        </w:rPr>
        <w:t xml:space="preserve">proposed to </w:t>
      </w:r>
      <w:r w:rsidR="00434EE0" w:rsidRPr="00257659">
        <w:rPr>
          <w:rFonts w:ascii="Times New Roman" w:hAnsi="Times New Roman" w:cs="Times New Roman"/>
        </w:rPr>
        <w:t>change the per therm rate for Schedule 101 customers</w:t>
      </w:r>
      <w:r w:rsidR="00257659" w:rsidRPr="00257659">
        <w:rPr>
          <w:rFonts w:ascii="Times New Roman" w:hAnsi="Times New Roman" w:cs="Times New Roman"/>
        </w:rPr>
        <w:t xml:space="preserve"> by $0.00</w:t>
      </w:r>
      <w:r w:rsidR="0031526F">
        <w:rPr>
          <w:rFonts w:ascii="Times New Roman" w:hAnsi="Times New Roman" w:cs="Times New Roman"/>
        </w:rPr>
        <w:t>393</w:t>
      </w:r>
      <w:r w:rsidR="00257659" w:rsidRPr="00257659">
        <w:rPr>
          <w:rFonts w:ascii="Times New Roman" w:hAnsi="Times New Roman" w:cs="Times New Roman"/>
        </w:rPr>
        <w:t xml:space="preserve"> per therm</w:t>
      </w:r>
      <w:r w:rsidR="00257659">
        <w:rPr>
          <w:rFonts w:ascii="Times New Roman" w:hAnsi="Times New Roman" w:cs="Times New Roman"/>
        </w:rPr>
        <w:t>, from the current rate of $0.86979 per therm to $0.873</w:t>
      </w:r>
      <w:r w:rsidR="00F820B5">
        <w:rPr>
          <w:rFonts w:ascii="Times New Roman" w:hAnsi="Times New Roman" w:cs="Times New Roman"/>
        </w:rPr>
        <w:t>72</w:t>
      </w:r>
      <w:r w:rsidR="00257659">
        <w:rPr>
          <w:rFonts w:ascii="Times New Roman" w:hAnsi="Times New Roman" w:cs="Times New Roman"/>
        </w:rPr>
        <w:t xml:space="preserve"> per therm</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580834">
        <w:rPr>
          <w:rFonts w:ascii="Times New Roman" w:hAnsi="Times New Roman" w:cs="Times New Roman"/>
        </w:rPr>
        <w:t xml:space="preserve">The increase for a residential customer using an average of </w:t>
      </w:r>
      <w:r w:rsidR="00434EE0" w:rsidRPr="00580834">
        <w:rPr>
          <w:rFonts w:ascii="Times New Roman" w:hAnsi="Times New Roman" w:cs="Times New Roman"/>
        </w:rPr>
        <w:t>6</w:t>
      </w:r>
      <w:r w:rsidR="00A44669" w:rsidRPr="00580834">
        <w:rPr>
          <w:rFonts w:ascii="Times New Roman" w:hAnsi="Times New Roman" w:cs="Times New Roman"/>
        </w:rPr>
        <w:t>7</w:t>
      </w:r>
      <w:r w:rsidRPr="00580834">
        <w:rPr>
          <w:rFonts w:ascii="Times New Roman" w:hAnsi="Times New Roman" w:cs="Times New Roman"/>
        </w:rPr>
        <w:t xml:space="preserve"> therms of</w:t>
      </w:r>
      <w:r w:rsidR="00580834" w:rsidRPr="00580834">
        <w:rPr>
          <w:rFonts w:ascii="Times New Roman" w:hAnsi="Times New Roman" w:cs="Times New Roman"/>
        </w:rPr>
        <w:t xml:space="preserve"> natural </w:t>
      </w:r>
      <w:r w:rsidRPr="00580834">
        <w:rPr>
          <w:rFonts w:ascii="Times New Roman" w:hAnsi="Times New Roman" w:cs="Times New Roman"/>
        </w:rPr>
        <w:t>gas per month would be $</w:t>
      </w:r>
      <w:r w:rsidR="00257659" w:rsidRPr="00580834">
        <w:rPr>
          <w:rFonts w:ascii="Times New Roman" w:hAnsi="Times New Roman" w:cs="Times New Roman"/>
        </w:rPr>
        <w:t>3.2</w:t>
      </w:r>
      <w:r w:rsidR="00A44669" w:rsidRPr="00580834">
        <w:rPr>
          <w:rFonts w:ascii="Times New Roman" w:hAnsi="Times New Roman" w:cs="Times New Roman"/>
        </w:rPr>
        <w:t>6</w:t>
      </w:r>
      <w:r w:rsidRPr="00580834">
        <w:rPr>
          <w:rFonts w:ascii="Times New Roman" w:hAnsi="Times New Roman" w:cs="Times New Roman"/>
        </w:rPr>
        <w:t xml:space="preserve"> per month, or </w:t>
      </w:r>
      <w:r w:rsidR="00257659" w:rsidRPr="00580834">
        <w:rPr>
          <w:rFonts w:ascii="Times New Roman" w:hAnsi="Times New Roman" w:cs="Times New Roman"/>
        </w:rPr>
        <w:t>5.</w:t>
      </w:r>
      <w:r w:rsidR="00A44669" w:rsidRPr="00580834">
        <w:rPr>
          <w:rFonts w:ascii="Times New Roman" w:hAnsi="Times New Roman" w:cs="Times New Roman"/>
        </w:rPr>
        <w:t>1</w:t>
      </w:r>
      <w:r w:rsidRPr="00580834">
        <w:rPr>
          <w:rFonts w:ascii="Times New Roman" w:hAnsi="Times New Roman" w:cs="Times New Roman"/>
        </w:rPr>
        <w:t xml:space="preserve">%.  A bill for </w:t>
      </w:r>
      <w:r w:rsidR="00434EE0" w:rsidRPr="00580834">
        <w:rPr>
          <w:rFonts w:ascii="Times New Roman" w:hAnsi="Times New Roman" w:cs="Times New Roman"/>
        </w:rPr>
        <w:t>6</w:t>
      </w:r>
      <w:r w:rsidR="00A44669" w:rsidRPr="00580834">
        <w:rPr>
          <w:rFonts w:ascii="Times New Roman" w:hAnsi="Times New Roman" w:cs="Times New Roman"/>
        </w:rPr>
        <w:t>7</w:t>
      </w:r>
      <w:r w:rsidRPr="00580834">
        <w:rPr>
          <w:rFonts w:ascii="Times New Roman" w:hAnsi="Times New Roman" w:cs="Times New Roman"/>
        </w:rPr>
        <w:t xml:space="preserve"> therms per month would increase from the present level of $</w:t>
      </w:r>
      <w:r w:rsidR="00A44669" w:rsidRPr="00580834">
        <w:rPr>
          <w:rFonts w:ascii="Times New Roman" w:hAnsi="Times New Roman" w:cs="Times New Roman"/>
        </w:rPr>
        <w:t>63.45</w:t>
      </w:r>
      <w:r w:rsidRPr="00580834">
        <w:rPr>
          <w:rFonts w:ascii="Times New Roman" w:hAnsi="Times New Roman" w:cs="Times New Roman"/>
        </w:rPr>
        <w:t xml:space="preserve"> to a proposed level of $</w:t>
      </w:r>
      <w:r w:rsidR="00257659" w:rsidRPr="00580834">
        <w:rPr>
          <w:rFonts w:ascii="Times New Roman" w:hAnsi="Times New Roman" w:cs="Times New Roman"/>
        </w:rPr>
        <w:t>6</w:t>
      </w:r>
      <w:r w:rsidR="00A44669" w:rsidRPr="00580834">
        <w:rPr>
          <w:rFonts w:ascii="Times New Roman" w:hAnsi="Times New Roman" w:cs="Times New Roman"/>
        </w:rPr>
        <w:t>6.71</w:t>
      </w:r>
      <w:r w:rsidRPr="00580834">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 xml:space="preserve">The present rates for Schedules 101, 111, and 121 provide a clear distinction for customer placement:  customers who use less than 200 therms/month should </w:t>
      </w:r>
      <w:r w:rsidRPr="005540EB">
        <w:rPr>
          <w:rFonts w:ascii="Times New Roman" w:hAnsi="Times New Roman" w:cs="Times New Roman"/>
        </w:rPr>
        <w:lastRenderedPageBreak/>
        <w:t>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placement for customers and a reasonable classification for cost analysis.  </w:t>
      </w:r>
      <w:r w:rsidRPr="00257659">
        <w:rPr>
          <w:rFonts w:ascii="Times New Roman" w:hAnsi="Times New Roman" w:cs="Times New Roman"/>
        </w:rPr>
        <w:t xml:space="preserve">The proposed increase to the minimum charge for Schedule 111 (for 200 therms or less) of </w:t>
      </w:r>
      <w:r w:rsidR="00257659" w:rsidRPr="00257659">
        <w:rPr>
          <w:rFonts w:ascii="Times New Roman" w:hAnsi="Times New Roman" w:cs="Times New Roman"/>
        </w:rPr>
        <w:t>$3.</w:t>
      </w:r>
      <w:r w:rsidR="00F820B5">
        <w:rPr>
          <w:rFonts w:ascii="Times New Roman" w:hAnsi="Times New Roman" w:cs="Times New Roman"/>
        </w:rPr>
        <w:t>79</w:t>
      </w:r>
      <w:r w:rsidRPr="00257659">
        <w:rPr>
          <w:rFonts w:ascii="Times New Roman" w:hAnsi="Times New Roman" w:cs="Times New Roman"/>
        </w:rPr>
        <w:t xml:space="preserve"> per month is </w:t>
      </w:r>
      <w:r w:rsidR="00257659" w:rsidRPr="00257659">
        <w:rPr>
          <w:rFonts w:ascii="Times New Roman" w:hAnsi="Times New Roman" w:cs="Times New Roman"/>
        </w:rPr>
        <w:t xml:space="preserve">a function of the </w:t>
      </w:r>
      <w:r w:rsidR="00FF02B4" w:rsidRPr="00257659">
        <w:rPr>
          <w:rFonts w:ascii="Times New Roman" w:hAnsi="Times New Roman" w:cs="Times New Roman"/>
        </w:rPr>
        <w:t>basic</w:t>
      </w:r>
      <w:r w:rsidRPr="00257659">
        <w:rPr>
          <w:rFonts w:ascii="Times New Roman" w:hAnsi="Times New Roman" w:cs="Times New Roman"/>
        </w:rPr>
        <w:t xml:space="preserve"> charge increase of </w:t>
      </w:r>
      <w:r w:rsidR="00797C30" w:rsidRPr="00257659">
        <w:rPr>
          <w:rFonts w:ascii="Times New Roman" w:hAnsi="Times New Roman" w:cs="Times New Roman"/>
        </w:rPr>
        <w:t>$</w:t>
      </w:r>
      <w:r w:rsidR="00257659" w:rsidRPr="00257659">
        <w:rPr>
          <w:rFonts w:ascii="Times New Roman" w:hAnsi="Times New Roman" w:cs="Times New Roman"/>
        </w:rPr>
        <w:t>3</w:t>
      </w:r>
      <w:r w:rsidR="00797C30" w:rsidRPr="00257659">
        <w:rPr>
          <w:rFonts w:ascii="Times New Roman" w:hAnsi="Times New Roman" w:cs="Times New Roman"/>
        </w:rPr>
        <w:t>.00</w:t>
      </w:r>
      <w:r w:rsidR="008B5C02" w:rsidRPr="00257659">
        <w:rPr>
          <w:rFonts w:ascii="Times New Roman" w:hAnsi="Times New Roman" w:cs="Times New Roman"/>
        </w:rPr>
        <w:t xml:space="preserve"> under Schedule 101</w:t>
      </w:r>
      <w:r w:rsidR="00257659" w:rsidRPr="00257659">
        <w:rPr>
          <w:rFonts w:ascii="Times New Roman" w:hAnsi="Times New Roman" w:cs="Times New Roman"/>
        </w:rPr>
        <w:t xml:space="preserve"> as well as the increased Schedule 101 variable rate</w:t>
      </w:r>
      <w:r w:rsidR="00257659" w:rsidRPr="00257659">
        <w:rPr>
          <w:rStyle w:val="FootnoteReference"/>
          <w:rFonts w:ascii="Times New Roman" w:hAnsi="Times New Roman"/>
        </w:rPr>
        <w:footnoteReference w:id="4"/>
      </w:r>
      <w:r w:rsidR="00797C30" w:rsidRPr="00257659">
        <w:rPr>
          <w:rFonts w:ascii="Times New Roman" w:hAnsi="Times New Roman" w:cs="Times New Roman"/>
        </w:rPr>
        <w:t xml:space="preserve">.  </w:t>
      </w:r>
      <w:r w:rsidRPr="00257659">
        <w:rPr>
          <w:rFonts w:ascii="Times New Roman" w:hAnsi="Times New Roman" w:cs="Times New Roman"/>
        </w:rPr>
        <w:t xml:space="preserve">This methodology maintains the present relationship between the schedules, and will minimize customer shifting.  The remaining proposed revenue increase for Schedule 111 was then spread on a uniform percentage increase of </w:t>
      </w:r>
      <w:r w:rsidR="00257659" w:rsidRPr="00257659">
        <w:rPr>
          <w:rFonts w:ascii="Times New Roman" w:hAnsi="Times New Roman" w:cs="Times New Roman"/>
        </w:rPr>
        <w:t>0.9</w:t>
      </w:r>
      <w:r w:rsidRPr="00257659">
        <w:rPr>
          <w:rFonts w:ascii="Times New Roman" w:hAnsi="Times New Roman" w:cs="Times New Roman"/>
        </w:rPr>
        <w:t>% to the remai</w:t>
      </w:r>
      <w:r w:rsidR="00B312FA" w:rsidRPr="00257659">
        <w:rPr>
          <w:rFonts w:ascii="Times New Roman" w:hAnsi="Times New Roman" w:cs="Times New Roman"/>
        </w:rPr>
        <w:t>ning two rate blocks under the s</w:t>
      </w:r>
      <w:r w:rsidRPr="00257659">
        <w:rPr>
          <w:rFonts w:ascii="Times New Roman" w:hAnsi="Times New Roman" w:cs="Times New Roman"/>
        </w:rPr>
        <w:t xml:space="preserve">chedule, resulting in an overall revenue increase of </w:t>
      </w:r>
      <w:r w:rsidR="00257659" w:rsidRPr="00257659">
        <w:rPr>
          <w:rFonts w:ascii="Times New Roman" w:hAnsi="Times New Roman" w:cs="Times New Roman"/>
        </w:rPr>
        <w:t>1.1</w:t>
      </w:r>
      <w:r w:rsidR="00B312FA" w:rsidRPr="00257659">
        <w:rPr>
          <w:rFonts w:ascii="Times New Roman" w:hAnsi="Times New Roman" w:cs="Times New Roman"/>
        </w:rPr>
        <w:t>% for the</w:t>
      </w:r>
      <w:r w:rsidR="00B312FA">
        <w:rPr>
          <w:rFonts w:ascii="Times New Roman" w:hAnsi="Times New Roman" w:cs="Times New Roman"/>
        </w:rPr>
        <w:t xml:space="preserve"> s</w:t>
      </w:r>
      <w:r w:rsidRPr="00D07D43">
        <w:rPr>
          <w:rFonts w:ascii="Times New Roman" w:hAnsi="Times New Roman" w:cs="Times New Roman"/>
        </w:rPr>
        <w:t>chedule.</w:t>
      </w:r>
    </w:p>
    <w:p w:rsidR="00515008" w:rsidRPr="00515008" w:rsidRDefault="005540EB" w:rsidP="00515008">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257659">
        <w:rPr>
          <w:rFonts w:ascii="Times New Roman" w:hAnsi="Times New Roman" w:cs="Times New Roman"/>
        </w:rPr>
        <w:t xml:space="preserve">For Schedule 121, the increase in the minimum charge (for 500 therms or less) </w:t>
      </w:r>
      <w:r w:rsidR="00CF6646" w:rsidRPr="00257659">
        <w:rPr>
          <w:rFonts w:ascii="Times New Roman" w:hAnsi="Times New Roman" w:cs="Times New Roman"/>
        </w:rPr>
        <w:t>is</w:t>
      </w:r>
      <w:r w:rsidRPr="00257659">
        <w:rPr>
          <w:rFonts w:ascii="Times New Roman" w:hAnsi="Times New Roman" w:cs="Times New Roman"/>
        </w:rPr>
        <w:t xml:space="preserve"> $</w:t>
      </w:r>
      <w:r w:rsidR="00257659" w:rsidRPr="00257659">
        <w:rPr>
          <w:rFonts w:ascii="Times New Roman" w:hAnsi="Times New Roman" w:cs="Times New Roman"/>
        </w:rPr>
        <w:t>5.</w:t>
      </w:r>
      <w:r w:rsidR="00F820B5">
        <w:rPr>
          <w:rFonts w:ascii="Times New Roman" w:hAnsi="Times New Roman" w:cs="Times New Roman"/>
        </w:rPr>
        <w:t>29</w:t>
      </w:r>
      <w:r w:rsidRPr="00257659">
        <w:rPr>
          <w:rFonts w:ascii="Times New Roman" w:hAnsi="Times New Roman" w:cs="Times New Roman"/>
        </w:rPr>
        <w:t xml:space="preserve"> </w:t>
      </w:r>
      <w:r w:rsidR="008B5C02" w:rsidRPr="00257659">
        <w:rPr>
          <w:rFonts w:ascii="Times New Roman" w:hAnsi="Times New Roman" w:cs="Times New Roman"/>
        </w:rPr>
        <w:t>for a total charge of $</w:t>
      </w:r>
      <w:r w:rsidR="00257659" w:rsidRPr="00257659">
        <w:rPr>
          <w:rFonts w:ascii="Times New Roman" w:hAnsi="Times New Roman" w:cs="Times New Roman"/>
        </w:rPr>
        <w:t>370.9</w:t>
      </w:r>
      <w:r w:rsidR="00F820B5">
        <w:rPr>
          <w:rFonts w:ascii="Times New Roman" w:hAnsi="Times New Roman" w:cs="Times New Roman"/>
        </w:rPr>
        <w:t>3</w:t>
      </w:r>
      <w:r w:rsidRPr="00257659">
        <w:rPr>
          <w:rFonts w:ascii="Times New Roman" w:hAnsi="Times New Roman" w:cs="Times New Roman"/>
        </w:rPr>
        <w:t xml:space="preserve">. </w:t>
      </w:r>
      <w:r w:rsidR="00D503E1" w:rsidRPr="00257659">
        <w:rPr>
          <w:rFonts w:ascii="Times New Roman" w:hAnsi="Times New Roman" w:cs="Times New Roman"/>
        </w:rPr>
        <w:t xml:space="preserve">  </w:t>
      </w:r>
      <w:r w:rsidR="00265299" w:rsidRPr="00257659">
        <w:rPr>
          <w:rFonts w:ascii="Times New Roman" w:hAnsi="Times New Roman" w:cs="Times New Roman"/>
        </w:rPr>
        <w:t xml:space="preserve">The minimum charge </w:t>
      </w:r>
      <w:r w:rsidR="00CF6646" w:rsidRPr="00257659">
        <w:rPr>
          <w:rFonts w:ascii="Times New Roman" w:hAnsi="Times New Roman" w:cs="Times New Roman"/>
        </w:rPr>
        <w:t>is</w:t>
      </w:r>
      <w:r w:rsidR="00265299" w:rsidRPr="00257659">
        <w:rPr>
          <w:rFonts w:ascii="Times New Roman" w:hAnsi="Times New Roman" w:cs="Times New Roman"/>
        </w:rPr>
        <w:t xml:space="preserve"> derived by adding the </w:t>
      </w:r>
      <w:r w:rsidR="008B5C02" w:rsidRPr="00257659">
        <w:rPr>
          <w:rFonts w:ascii="Times New Roman" w:hAnsi="Times New Roman" w:cs="Times New Roman"/>
        </w:rPr>
        <w:t>proposed S</w:t>
      </w:r>
      <w:r w:rsidR="00931621" w:rsidRPr="00257659">
        <w:rPr>
          <w:rFonts w:ascii="Times New Roman" w:hAnsi="Times New Roman" w:cs="Times New Roman"/>
        </w:rPr>
        <w:t>chedule</w:t>
      </w:r>
      <w:r w:rsidR="00265299" w:rsidRPr="00257659">
        <w:rPr>
          <w:rFonts w:ascii="Times New Roman" w:hAnsi="Times New Roman" w:cs="Times New Roman"/>
        </w:rPr>
        <w:t xml:space="preserve"> 101 </w:t>
      </w:r>
      <w:r w:rsidR="0040013A" w:rsidRPr="00257659">
        <w:rPr>
          <w:rFonts w:ascii="Times New Roman" w:hAnsi="Times New Roman" w:cs="Times New Roman"/>
        </w:rPr>
        <w:t>basic</w:t>
      </w:r>
      <w:r w:rsidR="00265299" w:rsidRPr="00257659">
        <w:rPr>
          <w:rFonts w:ascii="Times New Roman" w:hAnsi="Times New Roman" w:cs="Times New Roman"/>
        </w:rPr>
        <w:t xml:space="preserve"> charge of $</w:t>
      </w:r>
      <w:r w:rsidR="00257659" w:rsidRPr="00257659">
        <w:rPr>
          <w:rFonts w:ascii="Times New Roman" w:hAnsi="Times New Roman" w:cs="Times New Roman"/>
        </w:rPr>
        <w:t>9</w:t>
      </w:r>
      <w:r w:rsidR="00265299" w:rsidRPr="00257659">
        <w:rPr>
          <w:rFonts w:ascii="Times New Roman" w:hAnsi="Times New Roman" w:cs="Times New Roman"/>
        </w:rPr>
        <w:t xml:space="preserve"> to the</w:t>
      </w:r>
      <w:r w:rsidR="00265299">
        <w:rPr>
          <w:rFonts w:ascii="Times New Roman" w:hAnsi="Times New Roman" w:cs="Times New Roman"/>
        </w:rPr>
        <w:t xml:space="preserve"> product of 500 therms multiplied by the difference between the rate in Schedule 101 and the minimum rate under Schedule 121.  </w:t>
      </w:r>
      <w:r w:rsidR="00515008">
        <w:rPr>
          <w:rFonts w:ascii="Times New Roman" w:hAnsi="Times New Roman" w:cs="Times New Roman"/>
        </w:rPr>
        <w:br w:type="page"/>
      </w:r>
    </w:p>
    <w:p w:rsidR="005A10A8" w:rsidRDefault="00337649" w:rsidP="00936BE1">
      <w:pPr>
        <w:pStyle w:val="TestBody"/>
        <w:widowControl w:val="0"/>
        <w:tabs>
          <w:tab w:val="left" w:pos="810"/>
          <w:tab w:val="left" w:pos="1440"/>
          <w:tab w:val="left" w:pos="2520"/>
        </w:tabs>
        <w:spacing w:line="480" w:lineRule="auto"/>
        <w:ind w:left="0" w:right="-100" w:firstLine="0"/>
      </w:pPr>
      <w:r>
        <w:rPr>
          <w:rFonts w:ascii="Times New Roman" w:hAnsi="Times New Roman" w:cs="Times New Roman"/>
          <w:noProof/>
        </w:rPr>
        <w:lastRenderedPageBreak/>
        <w:drawing>
          <wp:anchor distT="0" distB="0" distL="114300" distR="114300" simplePos="0" relativeHeight="251739648" behindDoc="1" locked="0" layoutInCell="1" allowOverlap="1">
            <wp:simplePos x="0" y="0"/>
            <wp:positionH relativeFrom="column">
              <wp:posOffset>1150836</wp:posOffset>
            </wp:positionH>
            <wp:positionV relativeFrom="paragraph">
              <wp:posOffset>122495</wp:posOffset>
            </wp:positionV>
            <wp:extent cx="3631565" cy="2122099"/>
            <wp:effectExtent l="19050" t="0" r="6985"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631565" cy="2122099"/>
                    </a:xfrm>
                    <a:prstGeom prst="rect">
                      <a:avLst/>
                    </a:prstGeom>
                    <a:noFill/>
                    <a:ln w="9525">
                      <a:noFill/>
                      <a:miter lim="800000"/>
                      <a:headEnd/>
                      <a:tailEnd/>
                    </a:ln>
                  </pic:spPr>
                </pic:pic>
              </a:graphicData>
            </a:graphic>
          </wp:anchor>
        </w:drawing>
      </w:r>
      <w:r w:rsidR="00265299">
        <w:rPr>
          <w:rFonts w:ascii="Times New Roman" w:hAnsi="Times New Roman" w:cs="Times New Roman"/>
        </w:rPr>
        <w:t>Below is the calculation:</w:t>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sidRPr="0087366D">
        <w:rPr>
          <w:rFonts w:ascii="Times New Roman" w:hAnsi="Times New Roman" w:cs="Times New Roman"/>
        </w:rPr>
        <w:t xml:space="preserve">approximately </w:t>
      </w:r>
      <w:r w:rsidR="0087366D" w:rsidRPr="0087366D">
        <w:rPr>
          <w:rFonts w:ascii="Times New Roman" w:hAnsi="Times New Roman" w:cs="Times New Roman"/>
        </w:rPr>
        <w:t>1.</w:t>
      </w:r>
      <w:r w:rsidR="00337649">
        <w:rPr>
          <w:rFonts w:ascii="Times New Roman" w:hAnsi="Times New Roman" w:cs="Times New Roman"/>
        </w:rPr>
        <w:t>8</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 and 121.  </w:t>
      </w:r>
      <w:r w:rsidRPr="0087366D">
        <w:rPr>
          <w:rFonts w:ascii="Times New Roman" w:hAnsi="Times New Roman" w:cs="Times New Roman"/>
        </w:rPr>
        <w:t xml:space="preserve">The </w:t>
      </w:r>
      <w:r w:rsidR="00265299" w:rsidRPr="0087366D">
        <w:rPr>
          <w:rFonts w:ascii="Times New Roman" w:hAnsi="Times New Roman" w:cs="Times New Roman"/>
        </w:rPr>
        <w:t>fifth block was not adjusted</w:t>
      </w:r>
      <w:r w:rsidR="00CF6646" w:rsidRPr="0087366D">
        <w:rPr>
          <w:rFonts w:ascii="Times New Roman" w:hAnsi="Times New Roman" w:cs="Times New Roman"/>
        </w:rPr>
        <w:t xml:space="preserve"> in order to provide a more meaningful spread between the rate blocks</w:t>
      </w:r>
      <w:r w:rsidRPr="0087366D">
        <w:rPr>
          <w:rFonts w:ascii="Times New Roman" w:hAnsi="Times New Roman" w:cs="Times New Roman"/>
        </w:rPr>
        <w:t>, resulting</w:t>
      </w:r>
      <w:r w:rsidR="0087366D">
        <w:rPr>
          <w:rFonts w:ascii="Times New Roman" w:hAnsi="Times New Roman" w:cs="Times New Roman"/>
        </w:rPr>
        <w:t xml:space="preserve"> in an overall revenue increase of 1.5% </w:t>
      </w:r>
      <w:r w:rsidR="00B312FA">
        <w:rPr>
          <w:rFonts w:ascii="Times New Roman" w:hAnsi="Times New Roman" w:cs="Times New Roman"/>
        </w:rPr>
        <w:t>for the s</w:t>
      </w:r>
      <w:r w:rsidRPr="005540EB">
        <w:rPr>
          <w:rFonts w:ascii="Times New Roman" w:hAnsi="Times New Roman" w:cs="Times New Roman"/>
        </w:rPr>
        <w:t xml:space="preserve">chedule.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Company proposing to spread the proposed increase of </w:t>
      </w:r>
      <w:r w:rsidRPr="00265299">
        <w:rPr>
          <w:rFonts w:ascii="Times New Roman" w:hAnsi="Times New Roman" w:cs="Times New Roman"/>
          <w:b/>
          <w:bCs/>
        </w:rPr>
        <w:t>$</w:t>
      </w:r>
      <w:r w:rsidR="0082656C">
        <w:rPr>
          <w:rFonts w:ascii="Times New Roman" w:hAnsi="Times New Roman" w:cs="Times New Roman"/>
          <w:b/>
          <w:bCs/>
        </w:rPr>
        <w:t>8,000</w:t>
      </w:r>
      <w:r w:rsidRPr="00265299">
        <w:rPr>
          <w:rFonts w:ascii="Times New Roman" w:hAnsi="Times New Roman" w:cs="Times New Roman"/>
          <w:b/>
          <w:bCs/>
        </w:rPr>
        <w:t xml:space="preserve"> </w:t>
      </w:r>
      <w:r w:rsidRPr="005540EB">
        <w:rPr>
          <w:rFonts w:ascii="Times New Roman" w:hAnsi="Times New Roman" w:cs="Times New Roman"/>
          <w:b/>
          <w:bCs/>
        </w:rPr>
        <w:t>to the rates under Interruptible Schedule 131?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increase the present four block rates under the schedule by a uniform percentage increase of </w:t>
      </w:r>
      <w:r w:rsidR="00337649">
        <w:rPr>
          <w:rFonts w:ascii="Times New Roman" w:hAnsi="Times New Roman" w:cs="Times New Roman"/>
        </w:rPr>
        <w:t xml:space="preserve">approximately </w:t>
      </w:r>
      <w:r w:rsidR="0087366D">
        <w:rPr>
          <w:rFonts w:ascii="Times New Roman" w:hAnsi="Times New Roman" w:cs="Times New Roman"/>
        </w:rPr>
        <w:t>1.8</w:t>
      </w:r>
      <w:r w:rsidRPr="005540EB">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 xml:space="preserve">The Company is proposing to adjust the basic charge </w:t>
      </w:r>
      <w:r w:rsidR="0087366D">
        <w:rPr>
          <w:rFonts w:ascii="Times New Roman" w:hAnsi="Times New Roman" w:cs="Times New Roman"/>
        </w:rPr>
        <w:t>by $15 per month</w:t>
      </w:r>
      <w:r w:rsidR="00CF1C5E">
        <w:rPr>
          <w:rFonts w:ascii="Times New Roman" w:hAnsi="Times New Roman" w:cs="Times New Roman"/>
        </w:rPr>
        <w:t xml:space="preserve">, </w:t>
      </w:r>
      <w:r w:rsidR="0087366D">
        <w:rPr>
          <w:rFonts w:ascii="Times New Roman" w:hAnsi="Times New Roman" w:cs="Times New Roman"/>
        </w:rPr>
        <w:t>which is</w:t>
      </w:r>
      <w:r w:rsidR="00CF1C5E">
        <w:rPr>
          <w:rFonts w:ascii="Times New Roman" w:hAnsi="Times New Roman" w:cs="Times New Roman"/>
        </w:rPr>
        <w:t xml:space="preserve"> an </w:t>
      </w:r>
      <w:r w:rsidR="007E74EA">
        <w:rPr>
          <w:rFonts w:ascii="Times New Roman" w:hAnsi="Times New Roman" w:cs="Times New Roman"/>
        </w:rPr>
        <w:t>increase from $225</w:t>
      </w:r>
      <w:r w:rsidR="00A11C96">
        <w:rPr>
          <w:rFonts w:ascii="Times New Roman" w:hAnsi="Times New Roman" w:cs="Times New Roman"/>
        </w:rPr>
        <w:t xml:space="preserve"> to </w:t>
      </w:r>
      <w:r w:rsidR="0087366D">
        <w:rPr>
          <w:rFonts w:ascii="Times New Roman" w:hAnsi="Times New Roman" w:cs="Times New Roman"/>
        </w:rPr>
        <w:t>$240</w:t>
      </w:r>
      <w:r w:rsidR="00A11C96">
        <w:rPr>
          <w:rFonts w:ascii="Times New Roman" w:hAnsi="Times New Roman" w:cs="Times New Roman"/>
        </w:rPr>
        <w:t xml:space="preserve"> per month.  For the remaining revenue requirement,  t</w:t>
      </w:r>
      <w:r w:rsidRPr="005540EB">
        <w:rPr>
          <w:rFonts w:ascii="Times New Roman" w:hAnsi="Times New Roman" w:cs="Times New Roman"/>
        </w:rPr>
        <w:t xml:space="preserve">he Company is proposing to </w:t>
      </w:r>
      <w:r w:rsidRPr="0087366D">
        <w:rPr>
          <w:rFonts w:ascii="Times New Roman" w:hAnsi="Times New Roman" w:cs="Times New Roman"/>
        </w:rPr>
        <w:t xml:space="preserve">spread the increase on a uniform percentage basis </w:t>
      </w:r>
      <w:r w:rsidR="0087366D">
        <w:rPr>
          <w:rFonts w:ascii="Times New Roman" w:hAnsi="Times New Roman" w:cs="Times New Roman"/>
        </w:rPr>
        <w:t xml:space="preserve">of </w:t>
      </w:r>
      <w:r w:rsidR="00337649">
        <w:rPr>
          <w:rFonts w:ascii="Times New Roman" w:hAnsi="Times New Roman" w:cs="Times New Roman"/>
        </w:rPr>
        <w:t xml:space="preserve">approximately </w:t>
      </w:r>
      <w:r w:rsidR="0087366D">
        <w:rPr>
          <w:rFonts w:ascii="Times New Roman" w:hAnsi="Times New Roman" w:cs="Times New Roman"/>
        </w:rPr>
        <w:t>4.</w:t>
      </w:r>
      <w:r w:rsidR="00337649">
        <w:rPr>
          <w:rFonts w:ascii="Times New Roman" w:hAnsi="Times New Roman" w:cs="Times New Roman"/>
        </w:rPr>
        <w:t>2</w:t>
      </w:r>
      <w:r w:rsidR="0087366D">
        <w:rPr>
          <w:rFonts w:ascii="Times New Roman" w:hAnsi="Times New Roman" w:cs="Times New Roman"/>
        </w:rPr>
        <w:t xml:space="preserve">% </w:t>
      </w:r>
      <w:r w:rsidRPr="0087366D">
        <w:rPr>
          <w:rFonts w:ascii="Times New Roman" w:hAnsi="Times New Roman" w:cs="Times New Roman"/>
        </w:rPr>
        <w:t>to each of the</w:t>
      </w:r>
      <w:r w:rsidRPr="005540EB">
        <w:rPr>
          <w:rFonts w:ascii="Times New Roman" w:hAnsi="Times New Roman" w:cs="Times New Roman"/>
        </w:rPr>
        <w:t xml:space="preserve"> present five block rates under the schedule.  The proposed increase to each of the block rates, as well as the present and proposed rates, are shown at the bottom of page 3 of Exhibit No.__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w:t>
      </w:r>
    </w:p>
    <w:p w:rsidR="005540EB" w:rsidRPr="00147D24" w:rsidRDefault="005540EB" w:rsidP="005540EB">
      <w:pPr>
        <w:pStyle w:val="P242"/>
        <w:jc w:val="both"/>
        <w:rPr>
          <w:rFonts w:ascii="Times New Roman" w:hAnsi="Times New Roman" w:cs="Times New Roman"/>
        </w:rPr>
      </w:pPr>
      <w:r w:rsidRPr="00147D24">
        <w:rPr>
          <w:rFonts w:ascii="Times New Roman" w:hAnsi="Times New Roman" w:cs="Times New Roman"/>
        </w:rPr>
        <w:t>Q.</w:t>
      </w:r>
      <w:r w:rsidRPr="00147D24">
        <w:rPr>
          <w:rFonts w:ascii="Times New Roman" w:hAnsi="Times New Roman" w:cs="Times New Roman"/>
        </w:rPr>
        <w:tab/>
        <w:t xml:space="preserve">Is the Company proposing any other changes to its natural gas service </w:t>
      </w:r>
      <w:r w:rsidRPr="00147D24">
        <w:rPr>
          <w:rFonts w:ascii="Times New Roman" w:hAnsi="Times New Roman" w:cs="Times New Roman"/>
        </w:rPr>
        <w:lastRenderedPageBreak/>
        <w:t>schedules?</w:t>
      </w:r>
    </w:p>
    <w:p w:rsidR="00180519" w:rsidRDefault="005540EB" w:rsidP="00F10C1F">
      <w:pPr>
        <w:pStyle w:val="P105"/>
        <w:jc w:val="both"/>
        <w:rPr>
          <w:rFonts w:ascii="Times New Roman" w:hAnsi="Times New Roman" w:cs="Times New Roman"/>
        </w:rPr>
      </w:pPr>
      <w:r w:rsidRPr="00147D24">
        <w:rPr>
          <w:rFonts w:ascii="Times New Roman" w:hAnsi="Times New Roman" w:cs="Times New Roman"/>
        </w:rPr>
        <w:t xml:space="preserve">A.  </w:t>
      </w:r>
      <w:r w:rsidR="005E25D7">
        <w:rPr>
          <w:rFonts w:ascii="Times New Roman" w:hAnsi="Times New Roman" w:cs="Times New Roman"/>
        </w:rPr>
        <w:tab/>
      </w:r>
      <w:r w:rsidR="00147D24" w:rsidRPr="00147D24">
        <w:rPr>
          <w:rFonts w:ascii="Times New Roman" w:hAnsi="Times New Roman" w:cs="Times New Roman"/>
        </w:rPr>
        <w:t>Yes</w:t>
      </w:r>
      <w:r w:rsidR="00147D24">
        <w:rPr>
          <w:rFonts w:ascii="Times New Roman" w:hAnsi="Times New Roman" w:cs="Times New Roman"/>
        </w:rPr>
        <w:t>.</w:t>
      </w:r>
      <w:r w:rsidR="00147D24" w:rsidRPr="00147D24">
        <w:rPr>
          <w:rFonts w:ascii="Times New Roman" w:hAnsi="Times New Roman" w:cs="Times New Roman"/>
        </w:rPr>
        <w:t xml:space="preserve">  The rates contained in Purchase Gas Cost Adjustment Schedule 15</w:t>
      </w:r>
      <w:r w:rsidR="00CB6730">
        <w:rPr>
          <w:rFonts w:ascii="Times New Roman" w:hAnsi="Times New Roman" w:cs="Times New Roman"/>
        </w:rPr>
        <w:t>0</w:t>
      </w:r>
      <w:r w:rsidR="00147D24" w:rsidRPr="00147D24">
        <w:rPr>
          <w:rFonts w:ascii="Times New Roman" w:hAnsi="Times New Roman" w:cs="Times New Roman"/>
        </w:rPr>
        <w:t xml:space="preserve"> have been incorporated into the present and </w:t>
      </w:r>
      <w:r w:rsidR="00147D24" w:rsidRPr="002041A4">
        <w:rPr>
          <w:rFonts w:ascii="Times New Roman" w:hAnsi="Times New Roman" w:cs="Times New Roman"/>
        </w:rPr>
        <w:t xml:space="preserve">proposed rates shown on Page </w:t>
      </w:r>
      <w:r w:rsidR="002041A4" w:rsidRPr="002041A4">
        <w:rPr>
          <w:rFonts w:ascii="Times New Roman" w:hAnsi="Times New Roman" w:cs="Times New Roman"/>
        </w:rPr>
        <w:t>3 of Exhibit</w:t>
      </w:r>
      <w:r w:rsidR="002041A4" w:rsidRPr="005540EB">
        <w:rPr>
          <w:rFonts w:ascii="Times New Roman" w:hAnsi="Times New Roman" w:cs="Times New Roman"/>
        </w:rPr>
        <w:t xml:space="preserve"> No._</w:t>
      </w:r>
      <w:r w:rsidR="002041A4">
        <w:rPr>
          <w:rFonts w:ascii="Times New Roman" w:hAnsi="Times New Roman" w:cs="Times New Roman"/>
        </w:rPr>
        <w:t>__</w:t>
      </w:r>
      <w:r w:rsidR="002041A4" w:rsidRPr="005540EB">
        <w:rPr>
          <w:rFonts w:ascii="Times New Roman" w:hAnsi="Times New Roman" w:cs="Times New Roman"/>
        </w:rPr>
        <w:t>(</w:t>
      </w:r>
      <w:r w:rsidR="002041A4">
        <w:rPr>
          <w:rFonts w:ascii="Times New Roman" w:hAnsi="Times New Roman" w:cs="Times New Roman"/>
        </w:rPr>
        <w:t>PDE</w:t>
      </w:r>
      <w:r w:rsidR="002041A4" w:rsidRPr="005540EB">
        <w:rPr>
          <w:rFonts w:ascii="Times New Roman" w:hAnsi="Times New Roman" w:cs="Times New Roman"/>
        </w:rPr>
        <w:t>-</w:t>
      </w:r>
      <w:r w:rsidR="001279B7">
        <w:rPr>
          <w:rFonts w:ascii="Times New Roman" w:hAnsi="Times New Roman" w:cs="Times New Roman"/>
        </w:rPr>
        <w:t>7</w:t>
      </w:r>
      <w:r w:rsidR="002041A4" w:rsidRPr="005540EB">
        <w:rPr>
          <w:rFonts w:ascii="Times New Roman" w:hAnsi="Times New Roman" w:cs="Times New Roman"/>
        </w:rPr>
        <w:t>)</w:t>
      </w:r>
      <w:r w:rsidR="00147D24" w:rsidRPr="00147D24">
        <w:rPr>
          <w:rFonts w:ascii="Times New Roman" w:hAnsi="Times New Roman" w:cs="Times New Roman"/>
        </w:rPr>
        <w:t>.  Further, a revised Schedule 15</w:t>
      </w:r>
      <w:r w:rsidR="00CB6730">
        <w:rPr>
          <w:rFonts w:ascii="Times New Roman" w:hAnsi="Times New Roman" w:cs="Times New Roman"/>
        </w:rPr>
        <w:t>0</w:t>
      </w:r>
      <w:r w:rsidR="00147D24" w:rsidRPr="00147D24">
        <w:rPr>
          <w:rFonts w:ascii="Times New Roman" w:hAnsi="Times New Roman" w:cs="Times New Roman"/>
        </w:rPr>
        <w:t xml:space="preserve"> is filed as part of </w:t>
      </w:r>
      <w:r w:rsidR="00147D24" w:rsidRPr="005540EB">
        <w:rPr>
          <w:rFonts w:ascii="Times New Roman" w:hAnsi="Times New Roman" w:cs="Times New Roman"/>
        </w:rPr>
        <w:t>Exhibit No._</w:t>
      </w:r>
      <w:r w:rsidR="00147D24">
        <w:rPr>
          <w:rFonts w:ascii="Times New Roman" w:hAnsi="Times New Roman" w:cs="Times New Roman"/>
        </w:rPr>
        <w:t>__</w:t>
      </w:r>
      <w:r w:rsidR="00147D24" w:rsidRPr="005540EB">
        <w:rPr>
          <w:rFonts w:ascii="Times New Roman" w:hAnsi="Times New Roman" w:cs="Times New Roman"/>
        </w:rPr>
        <w:t>(</w:t>
      </w:r>
      <w:r w:rsidR="00147D24">
        <w:rPr>
          <w:rFonts w:ascii="Times New Roman" w:hAnsi="Times New Roman" w:cs="Times New Roman"/>
        </w:rPr>
        <w:t>PDE</w:t>
      </w:r>
      <w:r w:rsidR="00147D24" w:rsidRPr="005540EB">
        <w:rPr>
          <w:rFonts w:ascii="Times New Roman" w:hAnsi="Times New Roman" w:cs="Times New Roman"/>
        </w:rPr>
        <w:t>-6)</w:t>
      </w:r>
      <w:r w:rsidR="00147D24" w:rsidRPr="00147D24">
        <w:rPr>
          <w:rFonts w:ascii="Times New Roman" w:hAnsi="Times New Roman" w:cs="Times New Roman"/>
        </w:rPr>
        <w:t>, where</w:t>
      </w:r>
      <w:r w:rsidR="00B312FA">
        <w:rPr>
          <w:rFonts w:ascii="Times New Roman" w:hAnsi="Times New Roman" w:cs="Times New Roman"/>
        </w:rPr>
        <w:t>by the present rates under the s</w:t>
      </w:r>
      <w:r w:rsidR="00147D24" w:rsidRPr="00147D24">
        <w:rPr>
          <w:rFonts w:ascii="Times New Roman" w:hAnsi="Times New Roman" w:cs="Times New Roman"/>
        </w:rPr>
        <w:t>chedule have been zeroed-out and included in the Company’s proposed general service tariffs.</w:t>
      </w:r>
    </w:p>
    <w:p w:rsidR="00F10C1F" w:rsidRPr="008B41AB" w:rsidRDefault="00F10C1F" w:rsidP="00F10C1F">
      <w:pPr>
        <w:pStyle w:val="P267"/>
        <w:tabs>
          <w:tab w:val="clear" w:pos="360"/>
          <w:tab w:val="left" w:pos="0"/>
        </w:tabs>
        <w:ind w:left="0"/>
        <w:jc w:val="center"/>
        <w:rPr>
          <w:rFonts w:ascii="Times New Roman" w:hAnsi="Times New Roman" w:cs="Times New Roman"/>
        </w:rPr>
      </w:pPr>
      <w:r w:rsidRPr="008B41AB">
        <w:rPr>
          <w:rFonts w:ascii="Times New Roman" w:hAnsi="Times New Roman" w:cs="Times New Roman"/>
        </w:rPr>
        <w:t>V.  BASIC CHARGE</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charge from $6.00 to $</w:t>
      </w:r>
      <w:r>
        <w:rPr>
          <w:b/>
          <w:bCs/>
        </w:rPr>
        <w:t>9</w:t>
      </w:r>
      <w:r w:rsidRPr="008B41AB">
        <w:rPr>
          <w:b/>
          <w:bCs/>
        </w:rPr>
        <w:t>.00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 xml:space="preserve">A significant portion of the Company’s costs are fixed and do not vary with customer usage.  These costs include distribution plant and operating costs to provide reliable service to customers.  Upon evaluation of the </w:t>
      </w:r>
      <w:r w:rsidRPr="008B41AB">
        <w:rPr>
          <w:u w:val="single"/>
        </w:rPr>
        <w:t>total customer allocated costs</w:t>
      </w:r>
      <w:r w:rsidRPr="008B41AB">
        <w:t>, as shown in Exhibit No</w:t>
      </w:r>
      <w:r w:rsidRPr="00336CAF">
        <w:t xml:space="preserve">. __(TLK-4), page </w:t>
      </w:r>
      <w:r w:rsidR="00D23105">
        <w:t>4</w:t>
      </w:r>
      <w:r w:rsidRPr="00336CAF">
        <w:t xml:space="preserve">, line </w:t>
      </w:r>
      <w:r w:rsidR="00D23105">
        <w:t>25</w:t>
      </w:r>
      <w:r w:rsidRPr="00336CAF">
        <w:t xml:space="preserve">, those costs are </w:t>
      </w:r>
      <w:r w:rsidRPr="00336CAF">
        <w:rPr>
          <w:u w:val="single"/>
        </w:rPr>
        <w:t>$10.</w:t>
      </w:r>
      <w:r w:rsidR="00336CAF" w:rsidRPr="00336CAF">
        <w:rPr>
          <w:u w:val="single"/>
        </w:rPr>
        <w:t>8</w:t>
      </w:r>
      <w:r w:rsidR="00D23105">
        <w:rPr>
          <w:u w:val="single"/>
        </w:rPr>
        <w:t>8</w:t>
      </w:r>
      <w:r w:rsidRPr="00336CAF">
        <w:t xml:space="preserve"> per customer per month.  Factoring in </w:t>
      </w:r>
      <w:r w:rsidRPr="00336CAF">
        <w:rPr>
          <w:u w:val="single"/>
        </w:rPr>
        <w:t>distribution demand cost</w:t>
      </w:r>
      <w:r w:rsidRPr="00336CAF">
        <w:t xml:space="preserve"> per customer per month of </w:t>
      </w:r>
      <w:r w:rsidRPr="00336CAF">
        <w:rPr>
          <w:u w:val="single"/>
        </w:rPr>
        <w:t>$18.</w:t>
      </w:r>
      <w:r w:rsidR="00D23105">
        <w:rPr>
          <w:u w:val="single"/>
        </w:rPr>
        <w:t>97</w:t>
      </w:r>
      <w:r w:rsidRPr="00336CAF">
        <w:t>, as shown in Exhibit No. __(TLK-4), page 4,</w:t>
      </w:r>
      <w:r w:rsidR="00D23105">
        <w:t xml:space="preserve"> line 27,</w:t>
      </w:r>
      <w:r w:rsidRPr="00336CAF">
        <w:t xml:space="preserve"> the total customer and distribut</w:t>
      </w:r>
      <w:r w:rsidR="00580834">
        <w:t>ion</w:t>
      </w:r>
      <w:r w:rsidRPr="00336CAF">
        <w:t xml:space="preserve"> demand monthly cost is </w:t>
      </w:r>
      <w:r w:rsidRPr="00336CAF">
        <w:rPr>
          <w:u w:val="single"/>
        </w:rPr>
        <w:t>$</w:t>
      </w:r>
      <w:r w:rsidR="00336CAF" w:rsidRPr="00336CAF">
        <w:rPr>
          <w:u w:val="single"/>
        </w:rPr>
        <w:t>29.</w:t>
      </w:r>
      <w:r w:rsidR="00D23105">
        <w:rPr>
          <w:u w:val="single"/>
        </w:rPr>
        <w:t>86</w:t>
      </w:r>
      <w:r w:rsidRPr="00336CAF">
        <w:t>.  These are</w:t>
      </w:r>
      <w:r w:rsidRPr="008B41AB">
        <w:t xml:space="preserve"> essentially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Why is the Company now proposing an increase of $</w:t>
      </w:r>
      <w:r>
        <w:rPr>
          <w:b/>
          <w:bCs/>
        </w:rPr>
        <w:t>3</w:t>
      </w:r>
      <w:r w:rsidRPr="008B41AB">
        <w:rPr>
          <w:b/>
          <w:bCs/>
        </w:rPr>
        <w:t>.00 per month in this filing?</w:t>
      </w:r>
    </w:p>
    <w:p w:rsidR="00F10C1F" w:rsidRPr="008B41AB" w:rsidRDefault="00F10C1F" w:rsidP="00F10C1F">
      <w:pPr>
        <w:pStyle w:val="BodyText2"/>
        <w:tabs>
          <w:tab w:val="left" w:pos="720"/>
          <w:tab w:val="left" w:pos="1440"/>
        </w:tabs>
        <w:rPr>
          <w:bCs/>
        </w:rPr>
      </w:pPr>
      <w:r w:rsidRPr="008B41AB">
        <w:rPr>
          <w:b/>
          <w:bCs/>
        </w:rPr>
        <w:lastRenderedPageBreak/>
        <w:tab/>
      </w:r>
      <w:r w:rsidRPr="008B41AB">
        <w:rPr>
          <w:bCs/>
        </w:rPr>
        <w:t>A.</w:t>
      </w:r>
      <w:r w:rsidRPr="008B41AB">
        <w:rPr>
          <w:bCs/>
        </w:rPr>
        <w:tab/>
        <w:t xml:space="preserve">One of the arguments against higher residential basic charges in the past was one of customer understandability and acceptance.  </w:t>
      </w:r>
      <w:r w:rsidR="00D602F1">
        <w:rPr>
          <w:bCs/>
        </w:rPr>
        <w:t>W</w:t>
      </w:r>
      <w:r w:rsidRPr="008B41AB">
        <w:rPr>
          <w:bCs/>
        </w:rPr>
        <w:t xml:space="preserve">e believe it is increasingly important that our charges to customers more accurately reflect the actual costs to serve customers. With regard to fixed charges, many other utility assessments (phone, television, internet)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have become accustomed to paying a relatively constant monthly fee for service or system access.  </w:t>
      </w:r>
    </w:p>
    <w:p w:rsidR="00F10C1F" w:rsidRPr="00294B78" w:rsidRDefault="00F10C1F" w:rsidP="00F10C1F">
      <w:pPr>
        <w:pStyle w:val="BodyText2"/>
        <w:tabs>
          <w:tab w:val="left" w:pos="720"/>
          <w:tab w:val="left" w:pos="1440"/>
        </w:tabs>
        <w:rPr>
          <w:bCs/>
        </w:rPr>
      </w:pPr>
      <w:r w:rsidRPr="008B41AB">
        <w:rPr>
          <w:bCs/>
        </w:rPr>
        <w:tab/>
        <w:t xml:space="preserve">Publicly-owned electric utilities have been charging higher monthly customer charges for years in order to more accurately reflect (and recover) the fixed costs of providing service.  For example, </w:t>
      </w:r>
      <w:r w:rsidRPr="008B41AB">
        <w:rPr>
          <w:rStyle w:val="apple-style-span"/>
          <w:rFonts w:ascii="ITC Zapf Dingbats" w:hAnsi="ITC Zapf Dingbats"/>
          <w:color w:val="000000"/>
        </w:rPr>
        <w:t>Avista’s</w:t>
      </w:r>
      <w:r w:rsidRPr="008B41AB">
        <w:rPr>
          <w:rStyle w:val="apple-style-span"/>
          <w:rFonts w:ascii="ITC Zapf Dingbats" w:hAnsi="ITC Zapf Dingbats" w:hint="eastAsia"/>
          <w:color w:val="000000"/>
        </w:rPr>
        <w:t xml:space="preserve"> </w:t>
      </w:r>
      <w:r w:rsidRPr="008B41AB">
        <w:rPr>
          <w:rStyle w:val="apple-style-span"/>
          <w:rFonts w:ascii="ITC Zapf Dingbats" w:hAnsi="ITC Zapf Dingbats"/>
          <w:color w:val="000000"/>
        </w:rPr>
        <w:t xml:space="preserve">nearest neighbors in Eastern Washington and North Idaho, Inland Power and Light </w:t>
      </w:r>
      <w:r w:rsidRPr="00294B78">
        <w:rPr>
          <w:rStyle w:val="apple-style-span"/>
          <w:rFonts w:ascii="ITC Zapf Dingbats" w:hAnsi="ITC Zapf Dingbats"/>
          <w:color w:val="000000"/>
        </w:rPr>
        <w:t xml:space="preserve">and Kootenai Electric Cooperative, have a </w:t>
      </w:r>
      <w:r w:rsidR="00D602F1">
        <w:rPr>
          <w:rStyle w:val="apple-style-span"/>
          <w:rFonts w:ascii="ITC Zapf Dingbats" w:hAnsi="ITC Zapf Dingbats"/>
          <w:color w:val="000000"/>
        </w:rPr>
        <w:t xml:space="preserve">monthly </w:t>
      </w:r>
      <w:r w:rsidRPr="00294B78">
        <w:rPr>
          <w:rStyle w:val="apple-style-span"/>
          <w:rFonts w:ascii="ITC Zapf Dingbats" w:hAnsi="ITC Zapf Dingbats"/>
          <w:color w:val="000000"/>
        </w:rPr>
        <w:t xml:space="preserve">basic charge of $16.80 and $16.50 respectively.   </w:t>
      </w:r>
    </w:p>
    <w:p w:rsidR="00F10C1F" w:rsidRPr="00294B78" w:rsidRDefault="00F10C1F" w:rsidP="00F10C1F">
      <w:pPr>
        <w:pStyle w:val="BodyText2"/>
        <w:tabs>
          <w:tab w:val="left" w:pos="720"/>
          <w:tab w:val="left" w:pos="1440"/>
        </w:tabs>
        <w:rPr>
          <w:b/>
          <w:bCs/>
        </w:rPr>
      </w:pPr>
      <w:r w:rsidRPr="00294B78">
        <w:rPr>
          <w:b/>
          <w:bCs/>
        </w:rPr>
        <w:tab/>
        <w:t>Q.</w:t>
      </w:r>
      <w:r w:rsidRPr="00294B78">
        <w:rPr>
          <w:b/>
          <w:bCs/>
        </w:rPr>
        <w:tab/>
        <w:t xml:space="preserve">Turning now to </w:t>
      </w:r>
      <w:r w:rsidRPr="00294B78">
        <w:rPr>
          <w:b/>
          <w:bCs/>
          <w:u w:val="single"/>
        </w:rPr>
        <w:t>natural gas</w:t>
      </w:r>
      <w:r w:rsidRPr="00294B78">
        <w:rPr>
          <w:b/>
          <w:bCs/>
        </w:rPr>
        <w:t>, why is the Company proposing to increase that monthly customer charge from $6.00 to $9.00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 xml:space="preserve">Upon evaluation of the </w:t>
      </w:r>
      <w:r w:rsidRPr="008B41AB">
        <w:rPr>
          <w:u w:val="single"/>
        </w:rPr>
        <w:t>total customer allocated costs</w:t>
      </w:r>
      <w:r w:rsidRPr="008B41AB">
        <w:t>, as shown in Exhibit No. __(TLK-</w:t>
      </w:r>
      <w:r w:rsidR="004B4017">
        <w:t>6</w:t>
      </w:r>
      <w:r w:rsidRPr="008B41AB">
        <w:t xml:space="preserve">), </w:t>
      </w:r>
      <w:r w:rsidRPr="001210ED">
        <w:t xml:space="preserve">page </w:t>
      </w:r>
      <w:r w:rsidR="001210ED" w:rsidRPr="001210ED">
        <w:t>4</w:t>
      </w:r>
      <w:r w:rsidRPr="001210ED">
        <w:t xml:space="preserve">, line 24, those costs are </w:t>
      </w:r>
      <w:r w:rsidRPr="001210ED">
        <w:rPr>
          <w:u w:val="single"/>
        </w:rPr>
        <w:t>$16.</w:t>
      </w:r>
      <w:r w:rsidR="001210ED" w:rsidRPr="001210ED">
        <w:rPr>
          <w:u w:val="single"/>
        </w:rPr>
        <w:t>32</w:t>
      </w:r>
      <w:r w:rsidRPr="001210ED">
        <w:t xml:space="preserve"> per customer per month. </w:t>
      </w:r>
      <w:r w:rsidR="005678FA">
        <w:t xml:space="preserve"> Included in t</w:t>
      </w:r>
      <w:r w:rsidRPr="001210ED">
        <w:t>he fixed costs</w:t>
      </w:r>
      <w:r w:rsidR="00D602F1">
        <w:t xml:space="preserve"> included in the $16.32</w:t>
      </w:r>
      <w:r w:rsidR="005678FA">
        <w:t xml:space="preserve"> noted above are the </w:t>
      </w:r>
      <w:r w:rsidRPr="001210ED">
        <w:t>cost of the meter and service, and the costs associated with billing and providing customer service</w:t>
      </w:r>
      <w:r w:rsidR="005678FA">
        <w:t>, which amounts to</w:t>
      </w:r>
      <w:r w:rsidRPr="001210ED">
        <w:rPr>
          <w:b/>
        </w:rPr>
        <w:t xml:space="preserve"> </w:t>
      </w:r>
      <w:r w:rsidRPr="001210ED">
        <w:rPr>
          <w:u w:val="single"/>
        </w:rPr>
        <w:t>$11.</w:t>
      </w:r>
      <w:r w:rsidR="00664B41">
        <w:rPr>
          <w:u w:val="single"/>
        </w:rPr>
        <w:t>66</w:t>
      </w:r>
      <w:r w:rsidRPr="001210ED">
        <w:t xml:space="preserve"> per customer per month, as shown in Exhibit No. __(TLK-</w:t>
      </w:r>
      <w:r w:rsidR="004B4017">
        <w:t>6</w:t>
      </w:r>
      <w:r w:rsidRPr="001210ED">
        <w:t xml:space="preserve">), page 4 line 22.  </w:t>
      </w:r>
    </w:p>
    <w:p w:rsidR="00F10C1F" w:rsidRPr="008B41AB" w:rsidRDefault="00F10C1F" w:rsidP="00F10C1F">
      <w:pPr>
        <w:pStyle w:val="BodyText2"/>
        <w:tabs>
          <w:tab w:val="left" w:pos="720"/>
          <w:tab w:val="left" w:pos="1440"/>
        </w:tabs>
        <w:rPr>
          <w:b/>
        </w:rPr>
      </w:pPr>
      <w:r w:rsidRPr="008B41AB">
        <w:rPr>
          <w:b/>
          <w:bCs/>
        </w:rPr>
        <w:tab/>
      </w:r>
      <w:r w:rsidRPr="008B41AB">
        <w:rPr>
          <w:b/>
        </w:rPr>
        <w:t>Q.</w:t>
      </w:r>
      <w:r w:rsidRPr="008B41AB">
        <w:rPr>
          <w:b/>
        </w:rPr>
        <w:tab/>
        <w:t>What is the consequence to a customer of a Basic Charge that is priced below the cost of providing customer services to that customer?</w:t>
      </w:r>
    </w:p>
    <w:p w:rsidR="00F10C1F" w:rsidRPr="008B41AB" w:rsidRDefault="00F10C1F" w:rsidP="00F10C1F">
      <w:pPr>
        <w:pStyle w:val="BodyText2"/>
        <w:tabs>
          <w:tab w:val="left" w:pos="720"/>
          <w:tab w:val="left" w:pos="810"/>
          <w:tab w:val="left" w:pos="1440"/>
        </w:tabs>
      </w:pPr>
      <w:r w:rsidRPr="008B41AB">
        <w:lastRenderedPageBreak/>
        <w:tab/>
        <w:t>A.</w:t>
      </w:r>
      <w:r w:rsidRPr="008B41AB">
        <w:tab/>
        <w:t xml:space="preserve">Because rate design is a “zero sum game”, if customer charges are set below the cost of providing </w:t>
      </w:r>
      <w:r w:rsidR="00D602F1">
        <w:t>those</w:t>
      </w:r>
      <w:r w:rsidRPr="008B41AB">
        <w:t xml:space="preserve"> service</w:t>
      </w:r>
      <w:r w:rsidR="00D602F1">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F10C1F" w:rsidRPr="008B41AB" w:rsidRDefault="00F10C1F" w:rsidP="00F10C1F">
      <w:pPr>
        <w:pStyle w:val="BodyText2"/>
        <w:numPr>
          <w:ilvl w:val="0"/>
          <w:numId w:val="45"/>
        </w:numPr>
        <w:tabs>
          <w:tab w:val="left" w:pos="810"/>
          <w:tab w:val="left" w:pos="1440"/>
        </w:tabs>
      </w:pPr>
      <w:r w:rsidRPr="008B41AB">
        <w:t>It results in almost all customers paying more per-customer related costs in the winter, even though their customer costs are not higher in the winter, and vice versa in the summer;</w:t>
      </w:r>
    </w:p>
    <w:p w:rsidR="00F10C1F" w:rsidRPr="008B41AB" w:rsidRDefault="00F10C1F" w:rsidP="00F10C1F">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F10C1F" w:rsidRPr="008B41AB" w:rsidRDefault="00F10C1F" w:rsidP="00F10C1F">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F10C1F" w:rsidRPr="008B41AB" w:rsidRDefault="00F10C1F" w:rsidP="00F10C1F">
      <w:pPr>
        <w:pStyle w:val="answer"/>
        <w:widowControl w:val="0"/>
        <w:ind w:left="0" w:firstLine="0"/>
        <w:jc w:val="both"/>
      </w:pPr>
      <w:r w:rsidRPr="008B41AB">
        <w:t>In summary, setting the basic charge at a rate substantially less than an amount that covers annual customer costs results in rates that are not equitable and are unnecessarily variable.</w:t>
      </w:r>
    </w:p>
    <w:p w:rsidR="00F10C1F" w:rsidRPr="008B41AB" w:rsidRDefault="00F10C1F" w:rsidP="00F10C1F">
      <w:pPr>
        <w:pStyle w:val="BodyText2"/>
        <w:tabs>
          <w:tab w:val="left" w:pos="720"/>
          <w:tab w:val="left" w:pos="810"/>
          <w:tab w:val="left" w:pos="1440"/>
        </w:tabs>
        <w:rPr>
          <w:b/>
          <w:bCs/>
        </w:rPr>
      </w:pPr>
      <w:r w:rsidRPr="008B41AB">
        <w:rPr>
          <w:b/>
          <w:bCs/>
        </w:rPr>
        <w:tab/>
        <w:t>Q.</w:t>
      </w:r>
      <w:r w:rsidRPr="008B41AB">
        <w:rPr>
          <w:b/>
          <w:bCs/>
        </w:rPr>
        <w:tab/>
        <w:t>But won’t increasing the Basic Charge send the wrong price signal through the energy rates?</w:t>
      </w:r>
    </w:p>
    <w:p w:rsidR="00F10C1F" w:rsidRPr="008B41AB" w:rsidRDefault="00F10C1F" w:rsidP="00F10C1F">
      <w:pPr>
        <w:pStyle w:val="BodyText2"/>
        <w:tabs>
          <w:tab w:val="left" w:pos="720"/>
          <w:tab w:val="left" w:pos="810"/>
          <w:tab w:val="left" w:pos="1440"/>
        </w:tabs>
      </w:pPr>
      <w:r w:rsidRPr="008B41AB">
        <w:rPr>
          <w:bCs/>
        </w:rPr>
        <w:tab/>
        <w:t xml:space="preserve">A.  </w:t>
      </w:r>
      <w:r w:rsidRPr="008B41AB">
        <w:rPr>
          <w:bCs/>
        </w:rPr>
        <w:tab/>
      </w:r>
      <w:r w:rsidR="00D602F1">
        <w:rPr>
          <w:bCs/>
        </w:rPr>
        <w:t xml:space="preserve">No.  </w:t>
      </w:r>
      <w:r w:rsidRPr="008B41AB">
        <w:rPr>
          <w:bCs/>
        </w:rPr>
        <w:t xml:space="preserve">Conservation of electricity and natural gas is important for customers and for the Company, and one might argue that a lower basic charge results in higher commodity prices and a stronger price signal related to volume usage.  However, sending a price signal to customers through a residential rate design that contains a three tier increasing block rate for electric (natural gas has just one volumetric rate) was developed for just such a reason.  The more electricity that is used, the higher the rate, and therefore the higher the overall customer bill.  </w:t>
      </w:r>
      <w:r w:rsidRPr="008B41AB">
        <w:t xml:space="preserve">The important distinction in this filing is that the </w:t>
      </w:r>
      <w:r w:rsidRPr="008B41AB">
        <w:lastRenderedPageBreak/>
        <w:t xml:space="preserve">Company is </w:t>
      </w:r>
      <w:r w:rsidRPr="008B41AB">
        <w:rPr>
          <w:u w:val="single"/>
        </w:rPr>
        <w:t>not</w:t>
      </w:r>
      <w:r w:rsidRPr="008B41AB">
        <w:t xml:space="preserve"> requesting to </w:t>
      </w:r>
      <w:r w:rsidRPr="008B41AB">
        <w:rPr>
          <w:u w:val="single"/>
        </w:rPr>
        <w:t>decrease the energy rates, nor is it proposing to reduce the degree of inversion between the rates</w:t>
      </w:r>
      <w:r w:rsidRPr="008B41AB">
        <w:t>.  As such, the volumetric pricing components will still send a very clear price signal to conserve.  It is just not necessary to continue to use an inequitable basic charge to send price signals.</w:t>
      </w:r>
    </w:p>
    <w:p w:rsidR="00F10C1F" w:rsidRPr="008B41AB" w:rsidRDefault="00F10C1F" w:rsidP="00F10C1F">
      <w:pPr>
        <w:pStyle w:val="BodyText2"/>
        <w:tabs>
          <w:tab w:val="left" w:pos="720"/>
          <w:tab w:val="left" w:pos="1440"/>
        </w:tabs>
        <w:rPr>
          <w:b/>
          <w:bCs/>
        </w:rPr>
      </w:pPr>
      <w:r w:rsidRPr="008B41AB">
        <w:tab/>
      </w:r>
      <w:r w:rsidRPr="008B41AB">
        <w:rPr>
          <w:b/>
          <w:bCs/>
        </w:rPr>
        <w:t>Q.</w:t>
      </w:r>
      <w:r w:rsidRPr="008B41AB">
        <w:rPr>
          <w:b/>
          <w:bCs/>
        </w:rPr>
        <w:tab/>
        <w:t>Do you have any additional comments related to “price signals”?</w:t>
      </w:r>
    </w:p>
    <w:p w:rsidR="00F10C1F" w:rsidRPr="008B41AB" w:rsidRDefault="00F10C1F" w:rsidP="00F10C1F">
      <w:pPr>
        <w:tabs>
          <w:tab w:val="left" w:pos="720"/>
        </w:tabs>
        <w:spacing w:line="480" w:lineRule="auto"/>
        <w:ind w:firstLine="720"/>
        <w:jc w:val="both"/>
      </w:pPr>
      <w:r w:rsidRPr="008B41AB">
        <w:rPr>
          <w:bCs/>
        </w:rPr>
        <w:t xml:space="preserve">A.  </w:t>
      </w:r>
      <w:r w:rsidRPr="008B41AB">
        <w:rPr>
          <w:bCs/>
        </w:rPr>
        <w:tab/>
        <w:t xml:space="preserve">Yes.  Sending a proper price signal is important as I noted above, and I believe that the proper price signal is being maintained.  One measure of this it to look to the Company’s IRP’s to see what the incremental cost of electricity and natural gas is on a forward looking basis, as compared to retail rates.  For electricity, the proposed tail-block </w:t>
      </w:r>
      <w:r w:rsidRPr="00737CA1">
        <w:rPr>
          <w:bCs/>
        </w:rPr>
        <w:t>rate of $0.09</w:t>
      </w:r>
      <w:r w:rsidR="00B10A70">
        <w:rPr>
          <w:bCs/>
        </w:rPr>
        <w:t>802</w:t>
      </w:r>
      <w:r w:rsidRPr="00737CA1">
        <w:rPr>
          <w:bCs/>
        </w:rPr>
        <w:t xml:space="preserve"> (usage</w:t>
      </w:r>
      <w:r w:rsidRPr="008B41AB">
        <w:rPr>
          <w:bCs/>
        </w:rPr>
        <w:t xml:space="preserve"> over 1,300 kWh’s) is well above the Company’s levelized 20 year </w:t>
      </w:r>
      <w:r w:rsidR="003F5EB7">
        <w:rPr>
          <w:bCs/>
        </w:rPr>
        <w:t>new resource cost f</w:t>
      </w:r>
      <w:r w:rsidR="003F5EB7" w:rsidRPr="008C49C5">
        <w:rPr>
          <w:bCs/>
        </w:rPr>
        <w:t>orecast</w:t>
      </w:r>
      <w:r w:rsidR="003F5EB7">
        <w:rPr>
          <w:bCs/>
        </w:rPr>
        <w:t xml:space="preserve"> of</w:t>
      </w:r>
      <w:r w:rsidR="003F5EB7" w:rsidRPr="008C49C5">
        <w:rPr>
          <w:bCs/>
        </w:rPr>
        <w:t xml:space="preserve"> </w:t>
      </w:r>
      <w:r w:rsidRPr="008B41AB">
        <w:rPr>
          <w:bCs/>
        </w:rPr>
        <w:t>$0.07956 per kWh.</w:t>
      </w:r>
      <w:r w:rsidRPr="008B41AB">
        <w:rPr>
          <w:rStyle w:val="FootnoteReference"/>
          <w:bCs/>
        </w:rPr>
        <w:footnoteReference w:id="5"/>
      </w:r>
      <w:r w:rsidRPr="008B41AB">
        <w:rPr>
          <w:bCs/>
        </w:rPr>
        <w:t xml:space="preserve">  For natural gas, the Company included several forecasts in </w:t>
      </w:r>
      <w:r w:rsidR="003F5EB7">
        <w:rPr>
          <w:bCs/>
        </w:rPr>
        <w:t>i</w:t>
      </w:r>
      <w:r w:rsidRPr="008B41AB">
        <w:rPr>
          <w:bCs/>
        </w:rPr>
        <w:t>ts 2009 Integrated Resource Plan which, for the most part, all show forecasted natural gas prices at Henry Hub over the next ten years being lower than Avista’s retail rate</w:t>
      </w:r>
      <w:r w:rsidRPr="008B41AB">
        <w:rPr>
          <w:rStyle w:val="FootnoteReference"/>
          <w:bCs/>
        </w:rPr>
        <w:footnoteReference w:id="6"/>
      </w:r>
      <w:r w:rsidRPr="008B41AB">
        <w:rPr>
          <w:bCs/>
        </w:rPr>
        <w:t xml:space="preserve">.   </w:t>
      </w:r>
    </w:p>
    <w:p w:rsidR="00F10C1F" w:rsidRPr="008B41AB" w:rsidRDefault="00F10C1F" w:rsidP="00F10C1F">
      <w:pPr>
        <w:pStyle w:val="BodyText2"/>
        <w:tabs>
          <w:tab w:val="left" w:pos="720"/>
          <w:tab w:val="left" w:pos="810"/>
          <w:tab w:val="left" w:pos="1440"/>
        </w:tabs>
        <w:rPr>
          <w:b/>
          <w:bCs/>
        </w:rPr>
      </w:pPr>
      <w:r w:rsidRPr="008B41AB">
        <w:rPr>
          <w:b/>
          <w:bCs/>
        </w:rPr>
        <w:tab/>
        <w:t>Q.</w:t>
      </w:r>
      <w:r w:rsidRPr="008B41AB">
        <w:rPr>
          <w:b/>
          <w:bCs/>
        </w:rPr>
        <w:tab/>
        <w:t>Have you prepared an analysis to show what impact the proposed rate design changes would have on customers?</w:t>
      </w:r>
    </w:p>
    <w:p w:rsidR="00F10C1F" w:rsidRPr="00D6449A" w:rsidRDefault="00F10C1F" w:rsidP="00F10C1F">
      <w:pPr>
        <w:pStyle w:val="BodyText2"/>
        <w:tabs>
          <w:tab w:val="left" w:pos="720"/>
          <w:tab w:val="left" w:pos="810"/>
          <w:tab w:val="left" w:pos="1440"/>
        </w:tabs>
        <w:rPr>
          <w:bCs/>
          <w:highlight w:val="yellow"/>
        </w:rPr>
      </w:pPr>
      <w:r w:rsidRPr="008B41AB">
        <w:rPr>
          <w:bCs/>
        </w:rPr>
        <w:tab/>
        <w:t xml:space="preserve">A.  </w:t>
      </w:r>
      <w:r w:rsidRPr="008B41AB">
        <w:rPr>
          <w:bCs/>
        </w:rPr>
        <w:tab/>
        <w:t xml:space="preserve">Yes.  The Company completed an analysis showing the impact on low, average, and high use electric and natural gas customers.  The comparison shows the difference in a customer’s bill based on the Basic Charge </w:t>
      </w:r>
      <w:r w:rsidRPr="00737CA1">
        <w:rPr>
          <w:bCs/>
        </w:rPr>
        <w:t xml:space="preserve">and volumetric rates being increased on a uniform percentage basis, versus the Company’s proposed changes.  Table </w:t>
      </w:r>
      <w:r w:rsidR="00737CA1" w:rsidRPr="00737CA1">
        <w:rPr>
          <w:bCs/>
        </w:rPr>
        <w:t>11</w:t>
      </w:r>
      <w:r w:rsidRPr="00737CA1">
        <w:rPr>
          <w:bCs/>
        </w:rPr>
        <w:t xml:space="preserve"> below details results of that analysis for </w:t>
      </w:r>
      <w:r w:rsidRPr="00737CA1">
        <w:rPr>
          <w:bCs/>
          <w:u w:val="single"/>
        </w:rPr>
        <w:t>electric</w:t>
      </w:r>
      <w:r w:rsidRPr="00737CA1">
        <w:rPr>
          <w:bCs/>
        </w:rPr>
        <w:t xml:space="preserve"> customers:</w:t>
      </w:r>
    </w:p>
    <w:p w:rsidR="00F10C1F" w:rsidRPr="00737CA1" w:rsidRDefault="00F10C1F" w:rsidP="00F10C1F">
      <w:pPr>
        <w:pStyle w:val="BodyText2"/>
        <w:tabs>
          <w:tab w:val="left" w:pos="810"/>
          <w:tab w:val="left" w:pos="1440"/>
        </w:tabs>
        <w:outlineLvl w:val="0"/>
        <w:rPr>
          <w:b/>
          <w:bCs/>
          <w:u w:val="single"/>
        </w:rPr>
      </w:pPr>
      <w:r w:rsidRPr="00737CA1">
        <w:rPr>
          <w:b/>
          <w:bCs/>
          <w:u w:val="single"/>
        </w:rPr>
        <w:lastRenderedPageBreak/>
        <w:t xml:space="preserve">Table </w:t>
      </w:r>
      <w:r w:rsidR="00737CA1" w:rsidRPr="00737CA1">
        <w:rPr>
          <w:b/>
          <w:bCs/>
          <w:u w:val="single"/>
        </w:rPr>
        <w:t>11</w:t>
      </w:r>
    </w:p>
    <w:p w:rsidR="00F10C1F" w:rsidRPr="00D6449A" w:rsidRDefault="00B10A70" w:rsidP="00F10C1F">
      <w:pPr>
        <w:pStyle w:val="BodyText2"/>
        <w:tabs>
          <w:tab w:val="left" w:pos="810"/>
          <w:tab w:val="left" w:pos="1440"/>
        </w:tabs>
        <w:outlineLvl w:val="0"/>
        <w:rPr>
          <w:b/>
          <w:bCs/>
          <w:highlight w:val="yellow"/>
          <w:u w:val="single"/>
        </w:rPr>
      </w:pPr>
      <w:r w:rsidRPr="00B10A70">
        <w:rPr>
          <w:noProof/>
        </w:rPr>
        <w:drawing>
          <wp:anchor distT="0" distB="0" distL="114300" distR="114300" simplePos="0" relativeHeight="251745792" behindDoc="1" locked="0" layoutInCell="1" allowOverlap="1">
            <wp:simplePos x="0" y="0"/>
            <wp:positionH relativeFrom="column">
              <wp:posOffset>20955</wp:posOffset>
            </wp:positionH>
            <wp:positionV relativeFrom="paragraph">
              <wp:posOffset>-3810</wp:posOffset>
            </wp:positionV>
            <wp:extent cx="5577840" cy="1581150"/>
            <wp:effectExtent l="19050" t="0" r="3810" b="0"/>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577840" cy="158115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outlineLvl w:val="0"/>
        <w:rPr>
          <w:b/>
          <w:bCs/>
          <w:highlight w:val="yellow"/>
          <w:u w:val="single"/>
        </w:rPr>
      </w:pPr>
    </w:p>
    <w:p w:rsidR="00F10C1F" w:rsidRPr="00D6449A" w:rsidRDefault="00F10C1F" w:rsidP="00F10C1F">
      <w:pPr>
        <w:pStyle w:val="BodyText2"/>
        <w:tabs>
          <w:tab w:val="left" w:pos="810"/>
          <w:tab w:val="left" w:pos="1440"/>
        </w:tabs>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D23105" w:rsidRDefault="00D23105" w:rsidP="000E2E27">
      <w:pPr>
        <w:autoSpaceDE/>
        <w:autoSpaceDN/>
        <w:spacing w:line="480" w:lineRule="auto"/>
        <w:rPr>
          <w:bCs/>
        </w:rPr>
      </w:pPr>
    </w:p>
    <w:p w:rsidR="00F10C1F" w:rsidRPr="00737CA1" w:rsidRDefault="00F10C1F" w:rsidP="000E2E27">
      <w:pPr>
        <w:spacing w:line="480" w:lineRule="auto"/>
        <w:jc w:val="both"/>
        <w:rPr>
          <w:bCs/>
        </w:rPr>
      </w:pPr>
      <w:r w:rsidRPr="00737CA1">
        <w:rPr>
          <w:bCs/>
        </w:rPr>
        <w:t>Table 1</w:t>
      </w:r>
      <w:r w:rsidR="00737CA1" w:rsidRPr="00737CA1">
        <w:rPr>
          <w:bCs/>
        </w:rPr>
        <w:t>2</w:t>
      </w:r>
      <w:r w:rsidRPr="00737CA1">
        <w:rPr>
          <w:bCs/>
        </w:rPr>
        <w:t xml:space="preserve"> below details the analysis for </w:t>
      </w:r>
      <w:r w:rsidRPr="00737CA1">
        <w:rPr>
          <w:bCs/>
          <w:u w:val="single"/>
        </w:rPr>
        <w:t>natural gas</w:t>
      </w:r>
      <w:r w:rsidRPr="00737CA1">
        <w:rPr>
          <w:bCs/>
        </w:rPr>
        <w:t xml:space="preserve"> customers:</w:t>
      </w:r>
    </w:p>
    <w:p w:rsidR="00F10C1F" w:rsidRPr="00737CA1" w:rsidRDefault="00F10C1F" w:rsidP="00F10C1F">
      <w:pPr>
        <w:spacing w:line="480" w:lineRule="auto"/>
        <w:jc w:val="both"/>
        <w:rPr>
          <w:b/>
          <w:bCs/>
          <w:u w:val="single"/>
        </w:rPr>
      </w:pPr>
      <w:r w:rsidRPr="00737CA1">
        <w:rPr>
          <w:b/>
          <w:bCs/>
          <w:u w:val="single"/>
        </w:rPr>
        <w:t>Table 1</w:t>
      </w:r>
      <w:r w:rsidR="00737CA1" w:rsidRPr="00737CA1">
        <w:rPr>
          <w:b/>
          <w:bCs/>
          <w:u w:val="single"/>
        </w:rPr>
        <w:t>2</w:t>
      </w:r>
    </w:p>
    <w:p w:rsidR="00F10C1F" w:rsidRPr="00D6449A" w:rsidRDefault="00A44669" w:rsidP="00F10C1F">
      <w:pPr>
        <w:spacing w:line="480" w:lineRule="auto"/>
        <w:jc w:val="both"/>
        <w:rPr>
          <w:b/>
          <w:bCs/>
          <w:highlight w:val="yellow"/>
          <w:u w:val="single"/>
        </w:rPr>
      </w:pPr>
      <w:r w:rsidRPr="00A44669">
        <w:rPr>
          <w:noProof/>
        </w:rPr>
        <w:drawing>
          <wp:anchor distT="0" distB="0" distL="114300" distR="114300" simplePos="0" relativeHeight="251733504" behindDoc="1" locked="0" layoutInCell="1" allowOverlap="1">
            <wp:simplePos x="0" y="0"/>
            <wp:positionH relativeFrom="column">
              <wp:posOffset>20775</wp:posOffset>
            </wp:positionH>
            <wp:positionV relativeFrom="paragraph">
              <wp:posOffset>-575</wp:posOffset>
            </wp:positionV>
            <wp:extent cx="5510482" cy="158726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510482" cy="158726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8B41AB" w:rsidRDefault="00F10C1F" w:rsidP="00F10C1F">
      <w:pPr>
        <w:pStyle w:val="BodyText2"/>
        <w:tabs>
          <w:tab w:val="left" w:pos="810"/>
          <w:tab w:val="left" w:pos="1440"/>
        </w:tabs>
        <w:rPr>
          <w:b/>
          <w:bCs/>
        </w:rPr>
      </w:pPr>
    </w:p>
    <w:p w:rsidR="00F10C1F" w:rsidRPr="008B41AB" w:rsidRDefault="00F10C1F" w:rsidP="00F10C1F">
      <w:pPr>
        <w:pStyle w:val="BodyText2"/>
        <w:tabs>
          <w:tab w:val="left" w:pos="810"/>
          <w:tab w:val="left" w:pos="1440"/>
        </w:tabs>
        <w:rPr>
          <w:b/>
          <w:bCs/>
        </w:rPr>
      </w:pPr>
      <w:r w:rsidRPr="008B41AB">
        <w:rPr>
          <w:b/>
          <w:bCs/>
        </w:rPr>
        <w:tab/>
      </w:r>
    </w:p>
    <w:p w:rsidR="00D23105" w:rsidRDefault="00D23105" w:rsidP="00F10C1F">
      <w:pPr>
        <w:pStyle w:val="BodyText2"/>
        <w:tabs>
          <w:tab w:val="left" w:pos="810"/>
          <w:tab w:val="left" w:pos="1440"/>
        </w:tabs>
        <w:rPr>
          <w:bCs/>
        </w:rPr>
      </w:pPr>
    </w:p>
    <w:p w:rsidR="00F10C1F" w:rsidRPr="00294B78" w:rsidRDefault="00F10C1F" w:rsidP="00F10C1F">
      <w:pPr>
        <w:pStyle w:val="BodyText2"/>
        <w:tabs>
          <w:tab w:val="left" w:pos="810"/>
          <w:tab w:val="left" w:pos="1440"/>
        </w:tabs>
        <w:rPr>
          <w:bCs/>
        </w:rPr>
      </w:pPr>
      <w:r w:rsidRPr="00294B78">
        <w:rPr>
          <w:bCs/>
        </w:rPr>
        <w:t xml:space="preserve">As you can see, the impact of the Company’s proposed change to the basic charge varies based on monthly consumption.  For an electric customer who uses </w:t>
      </w:r>
      <w:r w:rsidRPr="00294B78">
        <w:rPr>
          <w:bCs/>
          <w:u w:val="single"/>
        </w:rPr>
        <w:t>less</w:t>
      </w:r>
      <w:r w:rsidRPr="00294B78">
        <w:rPr>
          <w:bCs/>
        </w:rPr>
        <w:t xml:space="preserve"> than the average 9</w:t>
      </w:r>
      <w:r w:rsidR="00A44669">
        <w:rPr>
          <w:bCs/>
        </w:rPr>
        <w:t>77</w:t>
      </w:r>
      <w:r w:rsidRPr="00294B78">
        <w:rPr>
          <w:bCs/>
        </w:rPr>
        <w:t xml:space="preserve"> kWh’s and/or 6</w:t>
      </w:r>
      <w:r w:rsidR="00A44669">
        <w:rPr>
          <w:bCs/>
        </w:rPr>
        <w:t>7</w:t>
      </w:r>
      <w:r w:rsidRPr="00294B78">
        <w:rPr>
          <w:bCs/>
        </w:rPr>
        <w:t xml:space="preserve"> therms per month, the percentage impact will be slightly higher than for those customers who use </w:t>
      </w:r>
      <w:r w:rsidRPr="00294B78">
        <w:rPr>
          <w:bCs/>
          <w:u w:val="single"/>
        </w:rPr>
        <w:t>more</w:t>
      </w:r>
      <w:r w:rsidRPr="00294B78">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F10C1F" w:rsidRPr="00294B78" w:rsidRDefault="00F10C1F" w:rsidP="00F10C1F">
      <w:pPr>
        <w:pStyle w:val="BodyText2"/>
        <w:tabs>
          <w:tab w:val="left" w:pos="810"/>
          <w:tab w:val="left" w:pos="1440"/>
        </w:tabs>
        <w:outlineLvl w:val="0"/>
        <w:rPr>
          <w:bCs/>
        </w:rPr>
      </w:pPr>
      <w:r w:rsidRPr="00294B78">
        <w:rPr>
          <w:bCs/>
        </w:rPr>
        <w:tab/>
      </w:r>
      <w:r w:rsidR="00B62488">
        <w:rPr>
          <w:bCs/>
        </w:rPr>
        <w:t>Table 13</w:t>
      </w:r>
      <w:r w:rsidRPr="00294B78">
        <w:rPr>
          <w:bCs/>
        </w:rPr>
        <w:t xml:space="preserve"> below shows a comparison of monthly bills for an electric customer with average usage for a 12-month period.  It shows the difference in the monthly bills with a uniform percentage increase to the basic charge and volumetric rates, versus the </w:t>
      </w:r>
      <w:r w:rsidRPr="00294B78">
        <w:rPr>
          <w:bCs/>
        </w:rPr>
        <w:lastRenderedPageBreak/>
        <w:t xml:space="preserve">Company’s proposal.  The table illustrates the reduction in payment of fixed costs in the winter months, and increased payment in the summer, with the net result being improved alignment of payment of fixed costs by customers with the fixed costs to serve customers, with no </w:t>
      </w:r>
      <w:r w:rsidR="00B10A70">
        <w:rPr>
          <w:bCs/>
        </w:rPr>
        <w:t>significant</w:t>
      </w:r>
      <w:r w:rsidRPr="00294B78">
        <w:rPr>
          <w:bCs/>
        </w:rPr>
        <w:t xml:space="preserve"> annual difference in overall payment.</w:t>
      </w:r>
    </w:p>
    <w:p w:rsidR="00F10C1F" w:rsidRPr="00737CA1" w:rsidRDefault="00B10A70" w:rsidP="00F10C1F">
      <w:pPr>
        <w:pStyle w:val="BodyText2"/>
        <w:tabs>
          <w:tab w:val="left" w:pos="810"/>
          <w:tab w:val="left" w:pos="1440"/>
        </w:tabs>
        <w:outlineLvl w:val="0"/>
        <w:rPr>
          <w:b/>
          <w:bCs/>
          <w:u w:val="single"/>
        </w:rPr>
      </w:pPr>
      <w:r>
        <w:rPr>
          <w:b/>
          <w:bCs/>
          <w:noProof/>
          <w:u w:val="single"/>
        </w:rPr>
        <w:drawing>
          <wp:anchor distT="0" distB="0" distL="114300" distR="114300" simplePos="0" relativeHeight="251747840" behindDoc="0" locked="0" layoutInCell="1" allowOverlap="1">
            <wp:simplePos x="0" y="0"/>
            <wp:positionH relativeFrom="column">
              <wp:posOffset>392430</wp:posOffset>
            </wp:positionH>
            <wp:positionV relativeFrom="paragraph">
              <wp:posOffset>179705</wp:posOffset>
            </wp:positionV>
            <wp:extent cx="4867275" cy="3219450"/>
            <wp:effectExtent l="19050" t="0" r="9525" b="0"/>
            <wp:wrapThrough wrapText="bothSides">
              <wp:wrapPolygon edited="0">
                <wp:start x="-85" y="0"/>
                <wp:lineTo x="-85" y="21344"/>
                <wp:lineTo x="21642" y="21344"/>
                <wp:lineTo x="21642" y="0"/>
                <wp:lineTo x="-85" y="0"/>
              </wp:wrapPolygon>
            </wp:wrapThrough>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4867275" cy="3219450"/>
                    </a:xfrm>
                    <a:prstGeom prst="rect">
                      <a:avLst/>
                    </a:prstGeom>
                    <a:noFill/>
                    <a:ln w="9525">
                      <a:noFill/>
                      <a:miter lim="800000"/>
                      <a:headEnd/>
                      <a:tailEnd/>
                    </a:ln>
                  </pic:spPr>
                </pic:pic>
              </a:graphicData>
            </a:graphic>
          </wp:anchor>
        </w:drawing>
      </w:r>
      <w:r w:rsidR="00F10C1F" w:rsidRPr="00737CA1">
        <w:rPr>
          <w:b/>
          <w:bCs/>
          <w:u w:val="single"/>
        </w:rPr>
        <w:t>Table 1</w:t>
      </w:r>
      <w:r w:rsidR="00737CA1" w:rsidRPr="00737CA1">
        <w:rPr>
          <w:b/>
          <w:bCs/>
          <w:u w:val="single"/>
        </w:rPr>
        <w:t>3</w:t>
      </w: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D602F1" w:rsidRPr="00D602F1" w:rsidRDefault="00B62488" w:rsidP="00D602F1">
      <w:pPr>
        <w:spacing w:line="480" w:lineRule="auto"/>
        <w:jc w:val="both"/>
        <w:rPr>
          <w:bCs/>
          <w:highlight w:val="yellow"/>
        </w:rPr>
      </w:pPr>
      <w:r>
        <w:rPr>
          <w:bCs/>
        </w:rPr>
        <w:t>Table 14</w:t>
      </w:r>
      <w:r w:rsidR="00F10C1F" w:rsidRPr="00294B78">
        <w:rPr>
          <w:bCs/>
        </w:rPr>
        <w:t xml:space="preserve"> below provides a similar comparison for a 12-month period for a natural gas customer with average usage.  The net result is similar to the electric results above, namely a better alignment of payment of fixed costs by customers with the fixed costs to serve customers.</w:t>
      </w:r>
      <w:r w:rsidR="00D602F1">
        <w:rPr>
          <w:b/>
          <w:bCs/>
          <w:u w:val="single"/>
        </w:rPr>
        <w:br w:type="page"/>
      </w:r>
    </w:p>
    <w:p w:rsidR="00F10C1F" w:rsidRPr="00737CA1" w:rsidRDefault="00F10C1F" w:rsidP="00F10C1F">
      <w:pPr>
        <w:spacing w:line="480" w:lineRule="auto"/>
        <w:jc w:val="both"/>
        <w:outlineLvl w:val="0"/>
        <w:rPr>
          <w:b/>
          <w:bCs/>
          <w:u w:val="single"/>
        </w:rPr>
      </w:pPr>
      <w:r w:rsidRPr="00737CA1">
        <w:rPr>
          <w:b/>
          <w:bCs/>
          <w:u w:val="single"/>
        </w:rPr>
        <w:lastRenderedPageBreak/>
        <w:t>Table 1</w:t>
      </w:r>
      <w:r w:rsidR="00737CA1" w:rsidRPr="00737CA1">
        <w:rPr>
          <w:b/>
          <w:bCs/>
          <w:u w:val="single"/>
        </w:rPr>
        <w:t>4</w:t>
      </w:r>
    </w:p>
    <w:p w:rsidR="00F10C1F" w:rsidRPr="00D6449A" w:rsidRDefault="00B10A70" w:rsidP="00F10C1F">
      <w:pPr>
        <w:spacing w:line="480" w:lineRule="auto"/>
        <w:jc w:val="both"/>
        <w:outlineLvl w:val="0"/>
        <w:rPr>
          <w:b/>
          <w:bCs/>
          <w:highlight w:val="yellow"/>
          <w:u w:val="single"/>
        </w:rPr>
      </w:pPr>
      <w:r w:rsidRPr="00B10A70">
        <w:rPr>
          <w:noProof/>
        </w:rPr>
        <w:drawing>
          <wp:anchor distT="0" distB="0" distL="114300" distR="114300" simplePos="0" relativeHeight="251746816" behindDoc="1" locked="0" layoutInCell="1" allowOverlap="1">
            <wp:simplePos x="0" y="0"/>
            <wp:positionH relativeFrom="column">
              <wp:posOffset>525780</wp:posOffset>
            </wp:positionH>
            <wp:positionV relativeFrom="paragraph">
              <wp:posOffset>1905</wp:posOffset>
            </wp:positionV>
            <wp:extent cx="4752975" cy="3209925"/>
            <wp:effectExtent l="19050" t="0" r="9525" b="0"/>
            <wp:wrapNone/>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4752975" cy="3209925"/>
                    </a:xfrm>
                    <a:prstGeom prst="rect">
                      <a:avLst/>
                    </a:prstGeom>
                    <a:noFill/>
                    <a:ln w="9525">
                      <a:noFill/>
                      <a:miter lim="800000"/>
                      <a:headEnd/>
                      <a:tailEnd/>
                    </a:ln>
                  </pic:spPr>
                </pic:pic>
              </a:graphicData>
            </a:graphic>
          </wp:anchor>
        </w:drawing>
      </w:r>
    </w:p>
    <w:p w:rsidR="00F10C1F" w:rsidRPr="00D6449A" w:rsidRDefault="00F10C1F" w:rsidP="00F10C1F">
      <w:pPr>
        <w:spacing w:line="480" w:lineRule="auto"/>
        <w:jc w:val="both"/>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810"/>
          <w:tab w:val="left" w:pos="1440"/>
        </w:tabs>
        <w:rPr>
          <w:b/>
          <w:bCs/>
        </w:rPr>
      </w:pPr>
      <w:r w:rsidRPr="00294B78">
        <w:rPr>
          <w:b/>
          <w:bCs/>
        </w:rPr>
        <w:tab/>
      </w:r>
    </w:p>
    <w:p w:rsidR="00F10C1F" w:rsidRPr="00294B78"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r w:rsidRPr="00F557D5">
        <w:rPr>
          <w:b/>
          <w:bCs/>
        </w:rPr>
        <w:tab/>
        <w:t>Q.</w:t>
      </w:r>
      <w:r w:rsidRPr="00F557D5">
        <w:rPr>
          <w:b/>
          <w:bCs/>
        </w:rPr>
        <w:tab/>
        <w:t>Has the Commission recently commented on what they believe an appropriate basic charge should be?</w:t>
      </w:r>
    </w:p>
    <w:p w:rsidR="00F10C1F" w:rsidRPr="00F557D5" w:rsidRDefault="00F10C1F" w:rsidP="00F10C1F">
      <w:pPr>
        <w:pStyle w:val="BodyText2"/>
        <w:tabs>
          <w:tab w:val="left" w:pos="720"/>
          <w:tab w:val="left" w:pos="1440"/>
        </w:tabs>
        <w:rPr>
          <w:bCs/>
        </w:rPr>
      </w:pPr>
      <w:r w:rsidRPr="00F557D5">
        <w:rPr>
          <w:bCs/>
        </w:rPr>
        <w:tab/>
        <w:t xml:space="preserve">A.  </w:t>
      </w:r>
      <w:r w:rsidRPr="00F557D5">
        <w:rPr>
          <w:bCs/>
        </w:rPr>
        <w:tab/>
        <w:t>Yes.  In 2007, in Puget Sound Energy Dockets UE-060266 and UG-060267 (consolidated), the Commission approved a $8.25 natural gas basic charge (subsequently increased to $10) and stated:</w:t>
      </w:r>
    </w:p>
    <w:p w:rsidR="00F10C1F" w:rsidRPr="00F557D5" w:rsidRDefault="00F10C1F" w:rsidP="00F10C1F">
      <w:pPr>
        <w:pStyle w:val="BodyText2"/>
        <w:tabs>
          <w:tab w:val="left" w:pos="810"/>
          <w:tab w:val="left" w:pos="1440"/>
        </w:tabs>
        <w:spacing w:line="240" w:lineRule="auto"/>
        <w:ind w:left="810"/>
        <w:rPr>
          <w:bCs/>
        </w:rPr>
      </w:pPr>
      <w:r w:rsidRPr="00F557D5">
        <w:rPr>
          <w:bCs/>
        </w:rPr>
        <w:t>This 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customer charge.</w:t>
      </w:r>
      <w:r w:rsidRPr="00F557D5">
        <w:rPr>
          <w:rStyle w:val="FootnoteReference"/>
          <w:bCs/>
        </w:rPr>
        <w:footnoteReference w:id="7"/>
      </w:r>
      <w:r w:rsidRPr="00F557D5">
        <w:rPr>
          <w:bCs/>
        </w:rPr>
        <w:t xml:space="preserve">  </w:t>
      </w:r>
    </w:p>
    <w:p w:rsidR="00F10C1F" w:rsidRPr="00F557D5" w:rsidRDefault="00F10C1F" w:rsidP="00F10C1F">
      <w:pPr>
        <w:pStyle w:val="BodyText2"/>
        <w:tabs>
          <w:tab w:val="left" w:pos="810"/>
          <w:tab w:val="left" w:pos="1440"/>
        </w:tabs>
        <w:spacing w:line="240" w:lineRule="auto"/>
        <w:rPr>
          <w:bCs/>
        </w:rPr>
      </w:pPr>
    </w:p>
    <w:p w:rsidR="00F10C1F" w:rsidRPr="00F557D5" w:rsidRDefault="00F10C1F" w:rsidP="00F10C1F">
      <w:pPr>
        <w:pStyle w:val="BodyText2"/>
        <w:tabs>
          <w:tab w:val="left" w:pos="810"/>
          <w:tab w:val="left" w:pos="1440"/>
        </w:tabs>
        <w:rPr>
          <w:bCs/>
        </w:rPr>
      </w:pPr>
      <w:r w:rsidRPr="00F557D5">
        <w:rPr>
          <w:bCs/>
        </w:rPr>
        <w:t>Avista’s proposed $</w:t>
      </w:r>
      <w:r>
        <w:rPr>
          <w:bCs/>
        </w:rPr>
        <w:t>9</w:t>
      </w:r>
      <w:r w:rsidRPr="00F557D5">
        <w:rPr>
          <w:bCs/>
        </w:rPr>
        <w:t xml:space="preserve"> basic charge is approximately </w:t>
      </w:r>
      <w:r w:rsidR="00737CA1">
        <w:rPr>
          <w:bCs/>
        </w:rPr>
        <w:t>13.1</w:t>
      </w:r>
      <w:r w:rsidRPr="00F557D5">
        <w:rPr>
          <w:bCs/>
        </w:rPr>
        <w:t xml:space="preserve">% of the proposed average </w:t>
      </w:r>
      <w:r w:rsidR="00737CA1">
        <w:rPr>
          <w:bCs/>
        </w:rPr>
        <w:t xml:space="preserve">bill for natural gas customers </w:t>
      </w:r>
      <w:r w:rsidRPr="00737CA1">
        <w:rPr>
          <w:bCs/>
        </w:rPr>
        <w:t xml:space="preserve">and </w:t>
      </w:r>
      <w:r w:rsidR="00737CA1" w:rsidRPr="00737CA1">
        <w:rPr>
          <w:bCs/>
        </w:rPr>
        <w:t>10.</w:t>
      </w:r>
      <w:r w:rsidR="00B10A70">
        <w:rPr>
          <w:bCs/>
        </w:rPr>
        <w:t>7</w:t>
      </w:r>
      <w:r w:rsidRPr="00737CA1">
        <w:rPr>
          <w:bCs/>
        </w:rPr>
        <w:t>% for</w:t>
      </w:r>
      <w:r w:rsidRPr="00F557D5">
        <w:rPr>
          <w:bCs/>
        </w:rPr>
        <w:t xml:space="preserve"> electric customers.  </w:t>
      </w:r>
      <w:r w:rsidR="00B62488">
        <w:rPr>
          <w:bCs/>
        </w:rPr>
        <w:t>I believe t</w:t>
      </w:r>
      <w:r w:rsidRPr="00F557D5">
        <w:rPr>
          <w:bCs/>
        </w:rPr>
        <w:t xml:space="preserve">his is well within the range of reasonableness, especially when viewed as a percentage of base rates.  </w:t>
      </w:r>
    </w:p>
    <w:p w:rsidR="00F10C1F" w:rsidRPr="00F557D5" w:rsidRDefault="00F10C1F" w:rsidP="00F10C1F">
      <w:pPr>
        <w:pStyle w:val="BodyText2"/>
        <w:tabs>
          <w:tab w:val="left" w:pos="720"/>
          <w:tab w:val="left" w:pos="1440"/>
        </w:tabs>
        <w:rPr>
          <w:b/>
          <w:bCs/>
        </w:rPr>
      </w:pPr>
      <w:r w:rsidRPr="00F557D5">
        <w:rPr>
          <w:bCs/>
        </w:rPr>
        <w:lastRenderedPageBreak/>
        <w:tab/>
      </w:r>
      <w:r w:rsidRPr="00F557D5">
        <w:rPr>
          <w:b/>
          <w:bCs/>
        </w:rPr>
        <w:t>Q.</w:t>
      </w:r>
      <w:r w:rsidRPr="00F557D5">
        <w:rPr>
          <w:b/>
          <w:bCs/>
        </w:rPr>
        <w:tab/>
        <w:t>Please discuss your view of the impacts of this request on your limited income customers.</w:t>
      </w:r>
    </w:p>
    <w:p w:rsidR="00F10C1F" w:rsidRPr="00F557D5" w:rsidRDefault="00F10C1F" w:rsidP="00F10C1F">
      <w:pPr>
        <w:pStyle w:val="BodyText2"/>
        <w:tabs>
          <w:tab w:val="left" w:pos="720"/>
          <w:tab w:val="left" w:pos="1440"/>
        </w:tabs>
        <w:rPr>
          <w:bCs/>
        </w:rPr>
      </w:pPr>
      <w:r w:rsidRPr="00F557D5">
        <w:rPr>
          <w:bCs/>
        </w:rPr>
        <w:tab/>
        <w:t xml:space="preserve">A.  </w:t>
      </w:r>
      <w:r w:rsidR="00D602F1">
        <w:rPr>
          <w:bCs/>
        </w:rPr>
        <w:tab/>
      </w:r>
      <w:r w:rsidRPr="00F557D5">
        <w:rPr>
          <w:bCs/>
        </w:rPr>
        <w:t xml:space="preserve">There are two different implications of the Company’s proposal.  The first implication is for </w:t>
      </w:r>
      <w:r w:rsidRPr="00F557D5">
        <w:rPr>
          <w:bCs/>
          <w:u w:val="single"/>
        </w:rPr>
        <w:t>limited income electric customers</w:t>
      </w:r>
      <w:r w:rsidRPr="00F557D5">
        <w:rPr>
          <w:bCs/>
        </w:rPr>
        <w:t xml:space="preserve">, many whom would </w:t>
      </w:r>
      <w:r w:rsidRPr="00F557D5">
        <w:rPr>
          <w:bCs/>
          <w:u w:val="single"/>
        </w:rPr>
        <w:t>benefit</w:t>
      </w:r>
      <w:r w:rsidRPr="00F557D5">
        <w:rPr>
          <w:bCs/>
        </w:rPr>
        <w:t xml:space="preserve"> from the Company’s proposal.  Traditional thinking might lead one to believe that a low income electric customer would tend to be a low user of electricity.  Although the Company has not conducted a demographic survey of its customers in recent years, the limited data that we do have would suggest that just the opposite is true.  </w:t>
      </w:r>
    </w:p>
    <w:p w:rsidR="00F10C1F" w:rsidRPr="00F557D5" w:rsidRDefault="00F10C1F" w:rsidP="00F10C1F">
      <w:pPr>
        <w:pStyle w:val="BodyText2"/>
        <w:tabs>
          <w:tab w:val="left" w:pos="720"/>
          <w:tab w:val="left" w:pos="1440"/>
        </w:tabs>
        <w:rPr>
          <w:bCs/>
        </w:rPr>
      </w:pPr>
      <w:r w:rsidRPr="00F557D5">
        <w:rPr>
          <w:bCs/>
        </w:rPr>
        <w:tab/>
        <w:t xml:space="preserve">A majority of our customers have natural gas for space and water heating, and therefore may have low average electric usage during the winter.  However, many </w:t>
      </w:r>
      <w:r w:rsidRPr="00F557D5">
        <w:rPr>
          <w:bCs/>
          <w:u w:val="single"/>
        </w:rPr>
        <w:t>low income</w:t>
      </w:r>
      <w:r w:rsidRPr="00F557D5">
        <w:rPr>
          <w:bCs/>
        </w:rPr>
        <w:t xml:space="preserve"> customers, I believe, tend to still </w:t>
      </w:r>
      <w:r w:rsidRPr="00F557D5">
        <w:rPr>
          <w:bCs/>
          <w:u w:val="single"/>
        </w:rPr>
        <w:t>use electricity for space and water heating</w:t>
      </w:r>
      <w:r w:rsidRPr="00F557D5">
        <w:rPr>
          <w:bCs/>
        </w:rPr>
        <w:t xml:space="preserve">.  These customers, in my view, tend to live in apartments (which in Avista’s service territory predominantly have electric space and water heat), live in areas where natural gas is not available, or live in areas with natural gas, but cannot afford to convert.  These low income customers, with electric space and water heat, can have electric usage in the tail-block (above 1,300 kWh’s) during the winter months.  Having a lower basic charge and higher tail-block rate penalizes these customers, as these customers are more susceptible to use in the tail-block.  A higher basic charge, on the other hand, would result in lower volumetric rates (than </w:t>
      </w:r>
      <w:r w:rsidR="00D602F1">
        <w:rPr>
          <w:bCs/>
        </w:rPr>
        <w:t xml:space="preserve">would </w:t>
      </w:r>
      <w:r w:rsidRPr="00F557D5">
        <w:rPr>
          <w:bCs/>
        </w:rPr>
        <w:t>otherwise be the case), providing some relief to these high use customers during the winter months.</w:t>
      </w:r>
    </w:p>
    <w:p w:rsidR="00F10C1F" w:rsidRPr="00F557D5" w:rsidRDefault="00F10C1F" w:rsidP="00F10C1F">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F10C1F" w:rsidRPr="0050216C" w:rsidRDefault="00F10C1F" w:rsidP="00F10C1F">
      <w:pPr>
        <w:pStyle w:val="BodyText2"/>
        <w:tabs>
          <w:tab w:val="left" w:pos="720"/>
          <w:tab w:val="left" w:pos="1440"/>
        </w:tabs>
        <w:rPr>
          <w:bCs/>
        </w:rPr>
      </w:pPr>
      <w:r w:rsidRPr="00F557D5">
        <w:rPr>
          <w:bCs/>
        </w:rPr>
        <w:tab/>
        <w:t xml:space="preserve">A.  </w:t>
      </w:r>
      <w:r w:rsidRPr="00F557D5">
        <w:rPr>
          <w:bCs/>
        </w:rPr>
        <w:tab/>
        <w:t>Average</w:t>
      </w:r>
      <w:r w:rsidR="00D602F1">
        <w:rPr>
          <w:bCs/>
        </w:rPr>
        <w:t>-</w:t>
      </w:r>
      <w:r w:rsidRPr="00F557D5">
        <w:rPr>
          <w:bCs/>
        </w:rPr>
        <w:t xml:space="preserve">use limited income natural gas customers would tend to pay slightly higher natural gas bills than they would under the equal percentage methodology </w:t>
      </w:r>
      <w:r w:rsidRPr="00F557D5">
        <w:rPr>
          <w:bCs/>
        </w:rPr>
        <w:lastRenderedPageBreak/>
        <w:t xml:space="preserve">used by the Company as shown in the examples earlier in my testimony.  Data gathered as part of the review of the Company’s </w:t>
      </w:r>
      <w:r w:rsidR="00B62488">
        <w:rPr>
          <w:bCs/>
        </w:rPr>
        <w:t>N</w:t>
      </w:r>
      <w:r w:rsidRPr="00F557D5">
        <w:rPr>
          <w:bCs/>
        </w:rPr>
        <w:t xml:space="preserve">atural </w:t>
      </w:r>
      <w:r w:rsidR="00B62488">
        <w:rPr>
          <w:bCs/>
        </w:rPr>
        <w:t>G</w:t>
      </w:r>
      <w:r w:rsidRPr="00F557D5">
        <w:rPr>
          <w:bCs/>
        </w:rPr>
        <w:t>as Decoupling Mechanism showed that limited income natural gas customers tend to use slightly less natural gas (58 therms per month</w:t>
      </w:r>
      <w:r w:rsidRPr="00F557D5">
        <w:rPr>
          <w:rStyle w:val="FootnoteReference"/>
          <w:bCs/>
        </w:rPr>
        <w:footnoteReference w:id="8"/>
      </w:r>
      <w:r w:rsidRPr="00F557D5">
        <w:rPr>
          <w:bCs/>
        </w:rPr>
        <w:t>) than the traditional residential customer (6</w:t>
      </w:r>
      <w:r w:rsidR="00B62488">
        <w:rPr>
          <w:bCs/>
        </w:rPr>
        <w:t>7</w:t>
      </w:r>
      <w:r w:rsidRPr="00F557D5">
        <w:rPr>
          <w:bCs/>
        </w:rPr>
        <w:t xml:space="preserve"> therms per month).  As shown in the table below, while there is an impact, it is relatively </w:t>
      </w:r>
      <w:r w:rsidRPr="00F557D5">
        <w:rPr>
          <w:bCs/>
          <w:u w:val="single"/>
        </w:rPr>
        <w:t>small</w:t>
      </w:r>
      <w:r w:rsidRPr="00F557D5">
        <w:rPr>
          <w:bCs/>
        </w:rPr>
        <w:t xml:space="preserve"> both on a dollar and percentage </w:t>
      </w:r>
      <w:r w:rsidRPr="0050216C">
        <w:rPr>
          <w:bCs/>
        </w:rPr>
        <w:t xml:space="preserve">basis (between 0% and </w:t>
      </w:r>
      <w:r w:rsidR="0050216C" w:rsidRPr="0050216C">
        <w:rPr>
          <w:bCs/>
        </w:rPr>
        <w:t>0.7</w:t>
      </w:r>
      <w:r w:rsidRPr="0050216C">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 1</w:t>
      </w:r>
      <w:r w:rsidR="00203679" w:rsidRPr="0050216C">
        <w:rPr>
          <w:b/>
          <w:bCs/>
          <w:u w:val="single"/>
        </w:rPr>
        <w:t>5</w:t>
      </w:r>
    </w:p>
    <w:p w:rsidR="00F10C1F" w:rsidRPr="00D6449A" w:rsidRDefault="00203679" w:rsidP="00F10C1F">
      <w:pPr>
        <w:pStyle w:val="BodyText2"/>
        <w:tabs>
          <w:tab w:val="left" w:pos="810"/>
          <w:tab w:val="left" w:pos="1440"/>
        </w:tabs>
        <w:rPr>
          <w:bCs/>
          <w:highlight w:val="yellow"/>
        </w:rPr>
      </w:pPr>
      <w:r w:rsidRPr="00203679">
        <w:rPr>
          <w:noProof/>
        </w:rPr>
        <w:drawing>
          <wp:anchor distT="0" distB="0" distL="114300" distR="114300" simplePos="0" relativeHeight="251736576" behindDoc="1" locked="0" layoutInCell="1" allowOverlap="1">
            <wp:simplePos x="0" y="0"/>
            <wp:positionH relativeFrom="column">
              <wp:posOffset>125730</wp:posOffset>
            </wp:positionH>
            <wp:positionV relativeFrom="paragraph">
              <wp:posOffset>0</wp:posOffset>
            </wp:positionV>
            <wp:extent cx="5505450" cy="2009775"/>
            <wp:effectExtent l="1905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505450" cy="2009775"/>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F10C1F" w:rsidRPr="00F557D5" w:rsidRDefault="00F10C1F" w:rsidP="00F10C1F">
      <w:pPr>
        <w:pStyle w:val="BodyText2"/>
        <w:tabs>
          <w:tab w:val="left" w:pos="720"/>
          <w:tab w:val="left" w:pos="1440"/>
        </w:tabs>
        <w:rPr>
          <w:b/>
          <w:bCs/>
        </w:rPr>
      </w:pPr>
      <w:r w:rsidRPr="00F557D5">
        <w:rPr>
          <w:b/>
          <w:bCs/>
        </w:rPr>
        <w:tab/>
      </w:r>
    </w:p>
    <w:p w:rsidR="00F10C1F" w:rsidRPr="00F557D5"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r w:rsidRPr="00F557D5">
        <w:rPr>
          <w:b/>
          <w:bCs/>
        </w:rPr>
        <w:tab/>
      </w:r>
    </w:p>
    <w:p w:rsidR="00B62488" w:rsidRDefault="00F10C1F" w:rsidP="00D602F1">
      <w:pPr>
        <w:pStyle w:val="BodyText2"/>
        <w:tabs>
          <w:tab w:val="left" w:pos="720"/>
          <w:tab w:val="left" w:pos="1440"/>
        </w:tabs>
        <w:rPr>
          <w:b/>
          <w:szCs w:val="20"/>
          <w:u w:val="single"/>
        </w:rPr>
      </w:pPr>
      <w:r w:rsidRPr="0074529E">
        <w:rPr>
          <w:b/>
          <w:bCs/>
        </w:rPr>
        <w:tab/>
      </w:r>
    </w:p>
    <w:p w:rsidR="00882549" w:rsidRPr="00AD7E0C" w:rsidRDefault="00882549" w:rsidP="00882549">
      <w:pPr>
        <w:pStyle w:val="P267"/>
        <w:tabs>
          <w:tab w:val="clear" w:pos="360"/>
          <w:tab w:val="left" w:pos="0"/>
        </w:tabs>
        <w:ind w:left="0"/>
        <w:jc w:val="center"/>
        <w:rPr>
          <w:rFonts w:ascii="Times New Roman" w:hAnsi="Times New Roman" w:cs="Times New Roman"/>
        </w:rPr>
      </w:pPr>
      <w:r w:rsidRPr="00AD7E0C">
        <w:rPr>
          <w:rFonts w:ascii="Times New Roman" w:hAnsi="Times New Roman" w:cs="Times New Roman"/>
        </w:rPr>
        <w:t>VI.  ENERGY EFFICIENCY LOAD ADJUSTMENT</w:t>
      </w:r>
    </w:p>
    <w:p w:rsidR="00882549" w:rsidRPr="00AD7E0C" w:rsidRDefault="00882549" w:rsidP="00882549">
      <w:pPr>
        <w:spacing w:line="480" w:lineRule="auto"/>
        <w:ind w:firstLine="720"/>
        <w:jc w:val="both"/>
        <w:rPr>
          <w:b/>
        </w:rPr>
      </w:pPr>
      <w:r w:rsidRPr="00AD7E0C">
        <w:rPr>
          <w:b/>
        </w:rPr>
        <w:t>Q.</w:t>
      </w:r>
      <w:r w:rsidRPr="00AD7E0C">
        <w:rPr>
          <w:b/>
        </w:rPr>
        <w:tab/>
        <w:t>Would you briefly describe the Company's proposed Energy Efficiency Load Adjustment?</w:t>
      </w:r>
    </w:p>
    <w:p w:rsidR="00882549" w:rsidRPr="00AD7E0C" w:rsidRDefault="00882549" w:rsidP="00882549">
      <w:pPr>
        <w:spacing w:line="480" w:lineRule="auto"/>
        <w:ind w:firstLine="720"/>
        <w:jc w:val="both"/>
      </w:pPr>
      <w:r w:rsidRPr="00AD7E0C">
        <w:t>A.</w:t>
      </w:r>
      <w:r w:rsidRPr="00AD7E0C">
        <w:tab/>
        <w:t xml:space="preserve">Yes.  Avista’s proposed Energy Efficiency Load Adjustment (Load Adjustment) restates the weather-normalized test year loads of the Company's retail electric customers to reflect the impact of the Company’s programmatic electric energy efficiency efforts.  The purpose of this adjustment is to </w:t>
      </w:r>
      <w:r w:rsidR="00742B9F">
        <w:t>directly address the reduction of retail revenues associated with the</w:t>
      </w:r>
      <w:r w:rsidRPr="00AD7E0C">
        <w:t xml:space="preserve"> Company-sponsored conservation that occurred during </w:t>
      </w:r>
      <w:r w:rsidRPr="00AD7E0C">
        <w:lastRenderedPageBreak/>
        <w:t xml:space="preserve">the test year (2010), as well as the level of conservation savings that will occur in 2011 and 2012.  </w:t>
      </w:r>
    </w:p>
    <w:p w:rsidR="00882549" w:rsidRPr="00AD7E0C" w:rsidRDefault="00882549" w:rsidP="00882549">
      <w:pPr>
        <w:spacing w:line="480" w:lineRule="auto"/>
        <w:ind w:firstLine="720"/>
        <w:jc w:val="both"/>
        <w:rPr>
          <w:b/>
        </w:rPr>
      </w:pPr>
      <w:r w:rsidRPr="00AD7E0C">
        <w:rPr>
          <w:b/>
        </w:rPr>
        <w:t>Q.</w:t>
      </w:r>
      <w:r w:rsidRPr="00AD7E0C">
        <w:rPr>
          <w:b/>
        </w:rPr>
        <w:tab/>
        <w:t>Why is the Company proposing this adjustment</w:t>
      </w:r>
      <w:r>
        <w:rPr>
          <w:b/>
        </w:rPr>
        <w:t xml:space="preserve"> in this case</w:t>
      </w:r>
      <w:r w:rsidRPr="00AD7E0C">
        <w:rPr>
          <w:b/>
        </w:rPr>
        <w:t>?</w:t>
      </w:r>
    </w:p>
    <w:p w:rsidR="00882549" w:rsidRDefault="00882549" w:rsidP="00882549">
      <w:pPr>
        <w:spacing w:line="480" w:lineRule="auto"/>
        <w:ind w:firstLine="720"/>
        <w:jc w:val="both"/>
      </w:pPr>
      <w:r w:rsidRPr="00AD7E0C">
        <w:t>A.</w:t>
      </w:r>
      <w:r w:rsidRPr="00AD7E0C">
        <w:tab/>
      </w:r>
      <w:r>
        <w:t xml:space="preserve">Effective January 1, 2010, the Company is mandated to obtain a certain level of electric energy efficiency savings pursuant to RCW </w:t>
      </w:r>
      <w:r w:rsidR="00886E4E">
        <w:t xml:space="preserve">Chapter </w:t>
      </w:r>
      <w:r>
        <w:t>19.285, the Energy Independence Act.   Under this act, Avista is required</w:t>
      </w:r>
      <w:r w:rsidR="00742B9F">
        <w:t xml:space="preserve"> to</w:t>
      </w:r>
      <w:r>
        <w:t xml:space="preserve"> “</w:t>
      </w:r>
      <w:r w:rsidRPr="00FD7B8D">
        <w:t>identify its achievable cost-effective conservation potential through 2019</w:t>
      </w:r>
      <w:r>
        <w:t>”</w:t>
      </w:r>
      <w:r>
        <w:rPr>
          <w:rStyle w:val="FootnoteReference"/>
        </w:rPr>
        <w:footnoteReference w:id="9"/>
      </w:r>
      <w:r>
        <w:t>, and beginning in January 2010, “</w:t>
      </w:r>
      <w:r w:rsidRPr="00FD7B8D">
        <w:t xml:space="preserve">establish and make publicly available a biennial acquisition target for cost-effective conservation consistent with its identification of achievable opportunities </w:t>
      </w:r>
      <w:r>
        <w:t>…</w:t>
      </w:r>
      <w:r w:rsidRPr="00FD7B8D">
        <w:t xml:space="preserve"> and meet that target during the subsequent two-year period</w:t>
      </w:r>
      <w:r>
        <w:t>”</w:t>
      </w:r>
      <w:r>
        <w:rPr>
          <w:rStyle w:val="FootnoteReference"/>
        </w:rPr>
        <w:footnoteReference w:id="10"/>
      </w:r>
      <w:r>
        <w:t>.  Given that this law went into effect during the test year (2010), and is in effect during 2011 and the rate year of 2012, the Company believes that</w:t>
      </w:r>
      <w:r w:rsidR="00742B9F">
        <w:t xml:space="preserve"> the</w:t>
      </w:r>
      <w:r>
        <w:t xml:space="preserve"> mandated savings should be reflected in the Company’s test year loads.</w:t>
      </w:r>
    </w:p>
    <w:p w:rsidR="00882549" w:rsidRPr="00AD7E0C" w:rsidRDefault="00882549" w:rsidP="00882549">
      <w:pPr>
        <w:spacing w:line="480" w:lineRule="auto"/>
        <w:ind w:firstLine="720"/>
        <w:jc w:val="both"/>
        <w:rPr>
          <w:b/>
        </w:rPr>
      </w:pPr>
      <w:r>
        <w:t xml:space="preserve"> </w:t>
      </w:r>
      <w:r w:rsidRPr="00AD7E0C">
        <w:rPr>
          <w:b/>
        </w:rPr>
        <w:t>Q.</w:t>
      </w:r>
      <w:r w:rsidRPr="00AD7E0C">
        <w:rPr>
          <w:b/>
        </w:rPr>
        <w:tab/>
      </w:r>
      <w:r>
        <w:rPr>
          <w:b/>
        </w:rPr>
        <w:t>Did the Company “establish and make publicly available” its biennial electric conservation target</w:t>
      </w:r>
      <w:r w:rsidRPr="00AD7E0C">
        <w:rPr>
          <w:b/>
        </w:rPr>
        <w:t>?</w:t>
      </w:r>
    </w:p>
    <w:p w:rsidR="00882549" w:rsidRDefault="00882549" w:rsidP="00882549">
      <w:pPr>
        <w:spacing w:line="480" w:lineRule="auto"/>
        <w:ind w:firstLine="720"/>
        <w:jc w:val="both"/>
      </w:pPr>
      <w:r w:rsidRPr="00AD7E0C">
        <w:t>A.</w:t>
      </w:r>
      <w:r w:rsidRPr="00AD7E0C">
        <w:tab/>
      </w:r>
      <w:r>
        <w:t xml:space="preserve">Yes, on January 29, 2010, the Company filed with the UTC its first “Ten-year Achievable Conservation Potential and Biennial Conservation Target Report” which included the Company’s first two-year biennial electric conservation target with the </w:t>
      </w:r>
      <w:r w:rsidR="00CB6B66">
        <w:t>UTC</w:t>
      </w:r>
      <w:r>
        <w:t>.  On April 16, 2010, “</w:t>
      </w:r>
      <w:r w:rsidRPr="001105A3">
        <w:t>Avista identified a ten-year conservation potential of 873,302 megawatt-hours and a biennial 2010-11 conservation target of 128,603 megawatt-hours. The overall numbers were the same as those identified in the Initial Report, but Avista clarified that its biennial conservation target included a minimum of 125,982 megawatt-</w:t>
      </w:r>
      <w:r w:rsidRPr="001105A3">
        <w:lastRenderedPageBreak/>
        <w:t>hours from conservation measures that do not rely on electric-to-natural gas fuel switching.</w:t>
      </w:r>
      <w:r>
        <w:t>”</w:t>
      </w:r>
      <w:r>
        <w:rPr>
          <w:rStyle w:val="FootnoteReference"/>
        </w:rPr>
        <w:footnoteReference w:id="11"/>
      </w:r>
    </w:p>
    <w:p w:rsidR="00882549" w:rsidRPr="00AD7E0C" w:rsidRDefault="00882549" w:rsidP="00882549">
      <w:pPr>
        <w:spacing w:line="480" w:lineRule="auto"/>
        <w:ind w:firstLine="720"/>
        <w:jc w:val="both"/>
        <w:rPr>
          <w:b/>
        </w:rPr>
      </w:pPr>
      <w:r w:rsidRPr="00AD7E0C">
        <w:rPr>
          <w:b/>
        </w:rPr>
        <w:t>Q.</w:t>
      </w:r>
      <w:r w:rsidRPr="00AD7E0C">
        <w:rPr>
          <w:b/>
        </w:rPr>
        <w:tab/>
      </w:r>
      <w:r>
        <w:rPr>
          <w:b/>
        </w:rPr>
        <w:t xml:space="preserve">Did the Commission approve the Company’s biennial target of 128,603 megawatt-hours </w:t>
      </w:r>
      <w:r w:rsidRPr="00AD7E0C">
        <w:rPr>
          <w:b/>
        </w:rPr>
        <w:t>?</w:t>
      </w:r>
    </w:p>
    <w:p w:rsidR="00882549" w:rsidRDefault="00882549" w:rsidP="00882549">
      <w:pPr>
        <w:spacing w:line="480" w:lineRule="auto"/>
        <w:ind w:firstLine="720"/>
        <w:jc w:val="both"/>
        <w:rPr>
          <w:b/>
        </w:rPr>
      </w:pPr>
      <w:r w:rsidRPr="00AD7E0C">
        <w:t>A.</w:t>
      </w:r>
      <w:r w:rsidRPr="00AD7E0C">
        <w:tab/>
      </w:r>
      <w:r>
        <w:t xml:space="preserve">Yes, on May 13, 2010, the </w:t>
      </w:r>
      <w:r w:rsidR="00CB6B66">
        <w:t>UTC</w:t>
      </w:r>
      <w:r>
        <w:t xml:space="preserve"> approved Avista’s biennial conservation target as filed on April 16, 2010.</w:t>
      </w:r>
    </w:p>
    <w:p w:rsidR="00882549" w:rsidRPr="00AD7E0C" w:rsidRDefault="00882549" w:rsidP="00882549">
      <w:pPr>
        <w:spacing w:line="480" w:lineRule="auto"/>
        <w:ind w:firstLine="720"/>
        <w:jc w:val="both"/>
        <w:rPr>
          <w:b/>
        </w:rPr>
      </w:pPr>
      <w:r w:rsidRPr="00AD7E0C">
        <w:rPr>
          <w:b/>
        </w:rPr>
        <w:t>Q.</w:t>
      </w:r>
      <w:r w:rsidRPr="00AD7E0C">
        <w:rPr>
          <w:b/>
        </w:rPr>
        <w:tab/>
      </w:r>
      <w:r>
        <w:rPr>
          <w:b/>
        </w:rPr>
        <w:t xml:space="preserve">The Company has also included conservation savings from 2012 in this adjustment.  How was the savings target for 2012 developed given that </w:t>
      </w:r>
      <w:r w:rsidR="00EF07BA">
        <w:rPr>
          <w:b/>
        </w:rPr>
        <w:t>it</w:t>
      </w:r>
      <w:r>
        <w:rPr>
          <w:b/>
        </w:rPr>
        <w:t xml:space="preserve"> is outside of the first biennial period</w:t>
      </w:r>
      <w:r w:rsidRPr="00AD7E0C">
        <w:rPr>
          <w:b/>
        </w:rPr>
        <w:t>?</w:t>
      </w:r>
    </w:p>
    <w:p w:rsidR="00882549" w:rsidRDefault="00882549" w:rsidP="00882549">
      <w:pPr>
        <w:spacing w:line="480" w:lineRule="auto"/>
        <w:ind w:firstLine="720"/>
        <w:jc w:val="both"/>
      </w:pPr>
      <w:r w:rsidRPr="00AD7E0C">
        <w:t>A.</w:t>
      </w:r>
      <w:r w:rsidRPr="00AD7E0C">
        <w:tab/>
      </w:r>
      <w:r>
        <w:t>F</w:t>
      </w:r>
      <w:r w:rsidRPr="0042773D">
        <w:t xml:space="preserve">or the </w:t>
      </w:r>
      <w:r>
        <w:t xml:space="preserve">derivation of the </w:t>
      </w:r>
      <w:r w:rsidRPr="0042773D">
        <w:t xml:space="preserve">2012 estimated </w:t>
      </w:r>
      <w:r>
        <w:t xml:space="preserve">energy </w:t>
      </w:r>
      <w:r w:rsidRPr="0042773D">
        <w:t>savings</w:t>
      </w:r>
      <w:r>
        <w:t xml:space="preserve"> target</w:t>
      </w:r>
      <w:r w:rsidRPr="0042773D">
        <w:t>, while the Company has not yet filed its project</w:t>
      </w:r>
      <w:r>
        <w:t>ed</w:t>
      </w:r>
      <w:r w:rsidRPr="0042773D">
        <w:t xml:space="preserve"> biennial savings target for the 2012/2013 period, the Company used its 2012 Northwest</w:t>
      </w:r>
      <w:r>
        <w:t xml:space="preserve"> Power and Conservation Council’s 6</w:t>
      </w:r>
      <w:r w:rsidRPr="0042773D">
        <w:rPr>
          <w:vertAlign w:val="superscript"/>
        </w:rPr>
        <w:t>th</w:t>
      </w:r>
      <w:r>
        <w:t xml:space="preserve"> Power Plan target.  In addition</w:t>
      </w:r>
      <w:r w:rsidR="00EF07BA">
        <w:t xml:space="preserve"> to that target</w:t>
      </w:r>
      <w:r>
        <w:t>, and consistent with the derivation of the first biennial conservation target, the Company included one-</w:t>
      </w:r>
      <w:r w:rsidRPr="0042773D">
        <w:t>half of the estimate</w:t>
      </w:r>
      <w:r>
        <w:t>d</w:t>
      </w:r>
      <w:r w:rsidRPr="0042773D">
        <w:t xml:space="preserve"> </w:t>
      </w:r>
      <w:r>
        <w:t xml:space="preserve">electric to natural gas </w:t>
      </w:r>
      <w:r w:rsidRPr="0042773D">
        <w:t>fuel switching target</w:t>
      </w:r>
      <w:r>
        <w:t xml:space="preserve"> for the 2012-2013 time period.  The resulting conservation savings target for 2012 is 73,550 megawatt-hours. </w:t>
      </w:r>
    </w:p>
    <w:p w:rsidR="00882549" w:rsidRPr="00AD7E0C" w:rsidRDefault="00882549" w:rsidP="00882549">
      <w:pPr>
        <w:spacing w:line="480" w:lineRule="auto"/>
        <w:ind w:firstLine="720"/>
        <w:jc w:val="both"/>
        <w:rPr>
          <w:b/>
        </w:rPr>
      </w:pPr>
      <w:r w:rsidRPr="00AD7E0C">
        <w:rPr>
          <w:b/>
        </w:rPr>
        <w:t>Q.</w:t>
      </w:r>
      <w:r w:rsidRPr="00AD7E0C">
        <w:rPr>
          <w:b/>
        </w:rPr>
        <w:tab/>
      </w:r>
      <w:r>
        <w:rPr>
          <w:b/>
        </w:rPr>
        <w:t>Does the Company have the necessary funding to obtain the mandated conservation targets</w:t>
      </w:r>
      <w:r w:rsidRPr="00AD7E0C">
        <w:rPr>
          <w:b/>
        </w:rPr>
        <w:t>?</w:t>
      </w:r>
    </w:p>
    <w:p w:rsidR="00882549" w:rsidRDefault="00882549" w:rsidP="00882549">
      <w:pPr>
        <w:spacing w:line="480" w:lineRule="auto"/>
        <w:ind w:firstLine="720"/>
        <w:jc w:val="both"/>
      </w:pPr>
      <w:r w:rsidRPr="00AD7E0C">
        <w:t>A.</w:t>
      </w:r>
      <w:r w:rsidRPr="00AD7E0C">
        <w:tab/>
      </w:r>
      <w:r>
        <w:t>Yes</w:t>
      </w:r>
      <w:r w:rsidR="00886E4E">
        <w:t>,</w:t>
      </w:r>
      <w:r>
        <w:t xml:space="preserve"> it does.  On April 29, 2011, pursuant to Order No. 1 in UE-100176, Avista </w:t>
      </w:r>
      <w:r w:rsidR="00EF07BA">
        <w:t xml:space="preserve">filed </w:t>
      </w:r>
      <w:r>
        <w:t>its annual report</w:t>
      </w:r>
      <w:r w:rsidR="00EF07BA">
        <w:rPr>
          <w:rStyle w:val="FootnoteReference"/>
        </w:rPr>
        <w:footnoteReference w:id="12"/>
      </w:r>
      <w:r>
        <w:t xml:space="preserve"> related to, among other things, the required funding levels needed for the twelve-month period starting July 1, 2011.  In that filing the Company demonstrated that the current level of dedicated funding for electric energy efficiency </w:t>
      </w:r>
      <w:r>
        <w:lastRenderedPageBreak/>
        <w:t>measures was sufficient, and that there was no need to adjust up or down the current Schedule 91 tariff rider.  As stated in the Company’s filing:</w:t>
      </w:r>
    </w:p>
    <w:p w:rsidR="00882549" w:rsidRDefault="00882549" w:rsidP="00882549">
      <w:pPr>
        <w:ind w:left="720"/>
        <w:jc w:val="both"/>
      </w:pPr>
      <w:r>
        <w:t xml:space="preserve">However, no changes are proposed to Schedule 91 at this time due to expected program expenditures over the next twelve months projected to meet goals associated with the conservation portion of “I-937”, also known as WAC 480-109, “Acquisition of minimum quantities of conservation and renewable energy as required by the Energy Independence Act (chapter 19.285 RCW).” Avista is on target to achieve its stated targets as described in Docket No. UE-100176. </w:t>
      </w:r>
    </w:p>
    <w:p w:rsidR="00882549" w:rsidRDefault="00882549" w:rsidP="00882549">
      <w:pPr>
        <w:spacing w:line="480" w:lineRule="auto"/>
        <w:ind w:firstLine="720"/>
        <w:jc w:val="both"/>
        <w:rPr>
          <w:b/>
        </w:rPr>
      </w:pPr>
    </w:p>
    <w:p w:rsidR="00882549" w:rsidRPr="00AD7E0C" w:rsidRDefault="00882549" w:rsidP="00882549">
      <w:pPr>
        <w:spacing w:line="480" w:lineRule="auto"/>
        <w:ind w:firstLine="720"/>
        <w:jc w:val="both"/>
        <w:rPr>
          <w:b/>
        </w:rPr>
      </w:pPr>
      <w:r w:rsidRPr="00AD7E0C">
        <w:rPr>
          <w:b/>
        </w:rPr>
        <w:t>Q.</w:t>
      </w:r>
      <w:r w:rsidRPr="00AD7E0C">
        <w:rPr>
          <w:b/>
        </w:rPr>
        <w:tab/>
      </w:r>
      <w:r>
        <w:rPr>
          <w:b/>
        </w:rPr>
        <w:t>Does the Company have the programs in place in order to meet its conservation targets</w:t>
      </w:r>
      <w:r w:rsidRPr="00AD7E0C">
        <w:rPr>
          <w:b/>
        </w:rPr>
        <w:t>?</w:t>
      </w:r>
    </w:p>
    <w:p w:rsidR="00882549" w:rsidRDefault="00882549" w:rsidP="00882549">
      <w:pPr>
        <w:spacing w:line="480" w:lineRule="auto"/>
        <w:ind w:firstLine="720"/>
        <w:jc w:val="both"/>
        <w:rPr>
          <w:b/>
        </w:rPr>
      </w:pPr>
      <w:r w:rsidRPr="00AD7E0C">
        <w:t>A.</w:t>
      </w:r>
      <w:r w:rsidRPr="00AD7E0C">
        <w:tab/>
      </w:r>
      <w:r>
        <w:t>Yes.  Company witness Mr. Folsom provides testimony in this case regarding the Company’s energy efficiency programs.  In short, he states that th</w:t>
      </w:r>
      <w:r w:rsidRPr="00BA001D">
        <w:t xml:space="preserve">e Company’s </w:t>
      </w:r>
      <w:r>
        <w:t xml:space="preserve">energy efficiency </w:t>
      </w:r>
      <w:r w:rsidRPr="00BA001D">
        <w:t xml:space="preserve">offerings include </w:t>
      </w:r>
      <w:r>
        <w:t>over 300</w:t>
      </w:r>
      <w:r w:rsidRPr="00BA001D">
        <w:t xml:space="preserve"> measures that are packaged into over </w:t>
      </w:r>
      <w:r>
        <w:t>30</w:t>
      </w:r>
      <w:r w:rsidRPr="00BA001D">
        <w:t xml:space="preserve"> programs for customer convenience.</w:t>
      </w:r>
      <w:r>
        <w:t xml:space="preserve">  The Company has the necessary funding and program offerings in place in order to meet its electric conservation targets.</w:t>
      </w:r>
    </w:p>
    <w:p w:rsidR="00882549" w:rsidRPr="00AD7E0C" w:rsidRDefault="00882549" w:rsidP="00882549">
      <w:pPr>
        <w:spacing w:line="480" w:lineRule="auto"/>
        <w:ind w:firstLine="720"/>
        <w:jc w:val="both"/>
        <w:rPr>
          <w:b/>
        </w:rPr>
      </w:pPr>
      <w:r w:rsidRPr="00AD7E0C">
        <w:rPr>
          <w:b/>
        </w:rPr>
        <w:t>Q.</w:t>
      </w:r>
      <w:r w:rsidRPr="00AD7E0C">
        <w:rPr>
          <w:b/>
        </w:rPr>
        <w:tab/>
      </w:r>
      <w:r>
        <w:rPr>
          <w:b/>
        </w:rPr>
        <w:t>What happens if the Company does not meet its targets under the Energy Independence Act (EIA)</w:t>
      </w:r>
      <w:r w:rsidRPr="00AD7E0C">
        <w:rPr>
          <w:b/>
        </w:rPr>
        <w:t>?</w:t>
      </w:r>
    </w:p>
    <w:p w:rsidR="00882549" w:rsidRDefault="00882549" w:rsidP="00882549">
      <w:pPr>
        <w:spacing w:line="480" w:lineRule="auto"/>
        <w:ind w:firstLine="720"/>
        <w:jc w:val="both"/>
      </w:pPr>
      <w:r w:rsidRPr="00AD7E0C">
        <w:t>A.</w:t>
      </w:r>
      <w:r w:rsidRPr="00AD7E0C">
        <w:tab/>
      </w:r>
      <w:r>
        <w:t>Under the</w:t>
      </w:r>
      <w:r w:rsidRPr="00AD7E0C">
        <w:t xml:space="preserve"> EIA, the Company </w:t>
      </w:r>
      <w:r w:rsidRPr="00645D6B">
        <w:t xml:space="preserve">must </w:t>
      </w:r>
      <w:r w:rsidRPr="00AD7E0C">
        <w:t>acquire a certain level of electric energy efficiency savings, and to the extent that the Company fails to meet its e</w:t>
      </w:r>
      <w:r>
        <w:t>lectric</w:t>
      </w:r>
      <w:r w:rsidRPr="00AD7E0C">
        <w:t xml:space="preserve"> efficiency targets, would pay a $50 per megawatt hour penalty</w:t>
      </w:r>
      <w:r>
        <w:rPr>
          <w:rStyle w:val="FootnoteReference"/>
        </w:rPr>
        <w:footnoteReference w:id="13"/>
      </w:r>
      <w:r w:rsidRPr="00AD7E0C">
        <w:t xml:space="preserve">.  </w:t>
      </w:r>
    </w:p>
    <w:p w:rsidR="00292D6F" w:rsidRPr="00292D6F" w:rsidRDefault="00882549" w:rsidP="00882549">
      <w:pPr>
        <w:spacing w:line="480" w:lineRule="auto"/>
        <w:ind w:firstLine="720"/>
        <w:jc w:val="both"/>
      </w:pPr>
      <w:r>
        <w:t xml:space="preserve">Avista is required </w:t>
      </w:r>
      <w:r w:rsidR="00742B9F">
        <w:t xml:space="preserve">by law </w:t>
      </w:r>
      <w:r>
        <w:t xml:space="preserve">to obtain a certain level of electric efficiency savings, some of which </w:t>
      </w:r>
      <w:r w:rsidR="003F5EB7">
        <w:t xml:space="preserve">has </w:t>
      </w:r>
      <w:r w:rsidR="00742B9F">
        <w:t xml:space="preserve">already </w:t>
      </w:r>
      <w:r>
        <w:t xml:space="preserve">occurred in the test year (2010), </w:t>
      </w:r>
      <w:r w:rsidR="00742B9F">
        <w:t>some in</w:t>
      </w:r>
      <w:r>
        <w:t xml:space="preserve"> 2011, and </w:t>
      </w:r>
      <w:r w:rsidR="00742B9F">
        <w:t xml:space="preserve">more </w:t>
      </w:r>
      <w:r>
        <w:t xml:space="preserve">in 2012.  </w:t>
      </w:r>
      <w:r w:rsidR="00742B9F">
        <w:t>It is appropriate</w:t>
      </w:r>
      <w:r w:rsidR="003F5EB7">
        <w:t>,</w:t>
      </w:r>
      <w:r w:rsidR="00742B9F">
        <w:t xml:space="preserve"> therefore</w:t>
      </w:r>
      <w:r w:rsidR="003F5EB7">
        <w:t>,</w:t>
      </w:r>
      <w:r w:rsidR="00742B9F">
        <w:t xml:space="preserve"> to adjust</w:t>
      </w:r>
      <w:r w:rsidRPr="00AD7E0C">
        <w:t xml:space="preserve"> weather-normalized test year loads</w:t>
      </w:r>
      <w:r>
        <w:t xml:space="preserve"> to reflect </w:t>
      </w:r>
      <w:r>
        <w:lastRenderedPageBreak/>
        <w:t>these mandated savings</w:t>
      </w:r>
      <w:r w:rsidR="00742B9F">
        <w:t>.  This adjustment to retail loads will result in a proper matching of revenues and expenses on a proforma basis for the test period.</w:t>
      </w:r>
      <w:r>
        <w:t xml:space="preserve"> </w:t>
      </w:r>
      <w:r w:rsidR="00742B9F">
        <w:t xml:space="preserve"> </w:t>
      </w:r>
      <w:r>
        <w:t xml:space="preserve">If the electric savings are not met, the Company would be penalized, protecting customers from the potential for an over-collection of costs. </w:t>
      </w:r>
    </w:p>
    <w:p w:rsidR="006F42EC" w:rsidRPr="00881984" w:rsidRDefault="006F42EC" w:rsidP="006F42EC">
      <w:pPr>
        <w:spacing w:line="480" w:lineRule="auto"/>
        <w:ind w:firstLine="720"/>
        <w:jc w:val="both"/>
        <w:rPr>
          <w:b/>
        </w:rPr>
      </w:pPr>
      <w:r w:rsidRPr="0042773D">
        <w:rPr>
          <w:b/>
        </w:rPr>
        <w:t>Q.</w:t>
      </w:r>
      <w:r w:rsidRPr="0042773D">
        <w:rPr>
          <w:b/>
        </w:rPr>
        <w:tab/>
        <w:t xml:space="preserve">How </w:t>
      </w:r>
      <w:r>
        <w:rPr>
          <w:b/>
        </w:rPr>
        <w:t>i</w:t>
      </w:r>
      <w:r w:rsidRPr="00881984">
        <w:rPr>
          <w:b/>
        </w:rPr>
        <w:t>s the Energy Efficiency Load Adjustment calculated?</w:t>
      </w:r>
    </w:p>
    <w:p w:rsidR="006F42EC" w:rsidRDefault="006F42EC" w:rsidP="006F42EC">
      <w:pPr>
        <w:spacing w:line="480" w:lineRule="auto"/>
        <w:ind w:firstLine="720"/>
        <w:jc w:val="both"/>
      </w:pPr>
      <w:r w:rsidRPr="0042773D">
        <w:t>A.</w:t>
      </w:r>
      <w:r w:rsidRPr="0042773D">
        <w:tab/>
        <w:t xml:space="preserve">As previously noted, the purpose of the </w:t>
      </w:r>
      <w:r>
        <w:t>Load Adjustment</w:t>
      </w:r>
      <w:r w:rsidRPr="0042773D">
        <w:t xml:space="preserve"> is to adjust the test year billing determinants to reflect the impact resulting from the Company’s programmatic energy efficiency efforts.  The first step in the calculation of the </w:t>
      </w:r>
      <w:r>
        <w:t>Load Adjustment</w:t>
      </w:r>
      <w:r w:rsidRPr="0042773D">
        <w:t xml:space="preserve"> is to determine the level of electric energy efficiency savings from the Company’s DSM programs.  In 2010, customers who took part in the Company’s DSM programs </w:t>
      </w:r>
      <w:r w:rsidR="00742B9F">
        <w:t>saved</w:t>
      </w:r>
      <w:r w:rsidRPr="0042773D">
        <w:t xml:space="preserve"> </w:t>
      </w:r>
      <w:r>
        <w:t>52,768,908</w:t>
      </w:r>
      <w:r w:rsidRPr="0042773D">
        <w:t xml:space="preserve"> kWhs annually.  Table </w:t>
      </w:r>
      <w:r w:rsidR="00D23105">
        <w:t>16</w:t>
      </w:r>
      <w:r w:rsidRPr="0042773D">
        <w:t xml:space="preserve"> below shows the savings by rate schedule</w:t>
      </w:r>
      <w:r w:rsidR="00174FCE">
        <w:t>:</w:t>
      </w:r>
      <w:r w:rsidRPr="0042773D">
        <w:t xml:space="preserve">  </w:t>
      </w:r>
    </w:p>
    <w:p w:rsidR="006F42EC" w:rsidRPr="002E02F5" w:rsidRDefault="006F42EC" w:rsidP="004D102F">
      <w:pPr>
        <w:spacing w:line="480" w:lineRule="auto"/>
        <w:jc w:val="both"/>
        <w:rPr>
          <w:b/>
          <w:u w:val="single"/>
        </w:rPr>
      </w:pPr>
      <w:r w:rsidRPr="002E02F5">
        <w:rPr>
          <w:b/>
          <w:u w:val="single"/>
        </w:rPr>
        <w:t xml:space="preserve">Table </w:t>
      </w:r>
      <w:r w:rsidR="00D23105">
        <w:rPr>
          <w:b/>
          <w:u w:val="single"/>
        </w:rPr>
        <w:t>16</w:t>
      </w:r>
      <w:r w:rsidRPr="002E02F5">
        <w:rPr>
          <w:b/>
          <w:u w:val="single"/>
        </w:rPr>
        <w:t xml:space="preserve"> – 2010 Electric Energy Savings by Rate Schedule</w:t>
      </w:r>
    </w:p>
    <w:p w:rsidR="006F42EC" w:rsidRPr="0042773D" w:rsidRDefault="006F42EC" w:rsidP="004D102F">
      <w:pPr>
        <w:spacing w:line="480" w:lineRule="auto"/>
        <w:jc w:val="both"/>
      </w:pPr>
      <w:r w:rsidRPr="0042773D">
        <w:rPr>
          <w:noProof/>
        </w:rPr>
        <w:drawing>
          <wp:anchor distT="0" distB="0" distL="114300" distR="114300" simplePos="0" relativeHeight="251685376" behindDoc="1" locked="0" layoutInCell="1" allowOverlap="1">
            <wp:simplePos x="0" y="0"/>
            <wp:positionH relativeFrom="column">
              <wp:posOffset>592455</wp:posOffset>
            </wp:positionH>
            <wp:positionV relativeFrom="paragraph">
              <wp:posOffset>74295</wp:posOffset>
            </wp:positionV>
            <wp:extent cx="3941445" cy="1409700"/>
            <wp:effectExtent l="1905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3941445" cy="1409700"/>
                    </a:xfrm>
                    <a:prstGeom prst="rect">
                      <a:avLst/>
                    </a:prstGeom>
                    <a:noFill/>
                    <a:ln w="9525">
                      <a:noFill/>
                      <a:miter lim="800000"/>
                      <a:headEnd/>
                      <a:tailEnd/>
                    </a:ln>
                  </pic:spPr>
                </pic:pic>
              </a:graphicData>
            </a:graphic>
          </wp:anchor>
        </w:drawing>
      </w:r>
    </w:p>
    <w:p w:rsidR="006F42EC" w:rsidRPr="0042773D" w:rsidRDefault="006F42EC" w:rsidP="004D102F">
      <w:pPr>
        <w:spacing w:line="480" w:lineRule="auto"/>
        <w:jc w:val="both"/>
      </w:pPr>
    </w:p>
    <w:p w:rsidR="006F42EC" w:rsidRPr="0042773D" w:rsidRDefault="006F42EC" w:rsidP="004D102F">
      <w:pPr>
        <w:spacing w:line="480" w:lineRule="auto"/>
        <w:jc w:val="both"/>
      </w:pPr>
    </w:p>
    <w:p w:rsidR="006F42EC" w:rsidRPr="0042773D" w:rsidRDefault="006F42EC" w:rsidP="004D102F">
      <w:pPr>
        <w:spacing w:line="480" w:lineRule="auto"/>
        <w:jc w:val="both"/>
      </w:pPr>
    </w:p>
    <w:p w:rsidR="006F42EC" w:rsidRPr="0042773D" w:rsidRDefault="006F42EC" w:rsidP="004D102F">
      <w:pPr>
        <w:spacing w:line="480" w:lineRule="auto"/>
        <w:jc w:val="both"/>
      </w:pPr>
    </w:p>
    <w:p w:rsidR="006F42EC" w:rsidRPr="0042773D" w:rsidRDefault="006F42EC" w:rsidP="004D102F">
      <w:pPr>
        <w:spacing w:line="480" w:lineRule="auto"/>
        <w:ind w:firstLine="720"/>
        <w:jc w:val="both"/>
      </w:pPr>
      <w:r w:rsidRPr="0042773D">
        <w:t xml:space="preserve">Because customers installed energy efficiency measures throughout 2010, </w:t>
      </w:r>
      <w:r w:rsidR="003F5EB7">
        <w:t>approximately</w:t>
      </w:r>
      <w:r w:rsidRPr="0042773D">
        <w:t xml:space="preserve"> one-half of the annual savings </w:t>
      </w:r>
      <w:r w:rsidR="00174FCE">
        <w:t>w</w:t>
      </w:r>
      <w:r w:rsidR="003F5EB7">
        <w:t>ere</w:t>
      </w:r>
      <w:r w:rsidRPr="0042773D">
        <w:t xml:space="preserve"> already </w:t>
      </w:r>
      <w:r w:rsidR="00174FCE">
        <w:t>i</w:t>
      </w:r>
      <w:r w:rsidRPr="0042773D">
        <w:t>ncluded in the normalized test year usage</w:t>
      </w:r>
      <w:r w:rsidR="00742B9F">
        <w:t>.</w:t>
      </w:r>
      <w:r w:rsidRPr="0042773D">
        <w:t xml:space="preserve">  Therefore, for the first year, only </w:t>
      </w:r>
      <w:r>
        <w:t>26,384,453</w:t>
      </w:r>
      <w:r w:rsidRPr="0042773D">
        <w:t xml:space="preserve"> kWh’s would need to be adjusted out of the test year billing determinants to reflect the other half of the kWh’s that customers save</w:t>
      </w:r>
      <w:r w:rsidR="00742B9F">
        <w:t>d</w:t>
      </w:r>
      <w:r w:rsidRPr="0042773D">
        <w:t xml:space="preserve">.  </w:t>
      </w:r>
    </w:p>
    <w:p w:rsidR="00685D0C" w:rsidRPr="00881984" w:rsidRDefault="00685D0C" w:rsidP="00685D0C">
      <w:pPr>
        <w:spacing w:line="480" w:lineRule="auto"/>
        <w:ind w:firstLine="720"/>
        <w:jc w:val="both"/>
        <w:rPr>
          <w:b/>
        </w:rPr>
      </w:pPr>
      <w:r w:rsidRPr="0042773D">
        <w:rPr>
          <w:b/>
        </w:rPr>
        <w:lastRenderedPageBreak/>
        <w:t>Q.</w:t>
      </w:r>
      <w:r w:rsidRPr="0042773D">
        <w:rPr>
          <w:b/>
        </w:rPr>
        <w:tab/>
      </w:r>
      <w:r>
        <w:rPr>
          <w:b/>
        </w:rPr>
        <w:t>How were 2010, 2011 and 2012 electric energy efficiency targets determined</w:t>
      </w:r>
      <w:r w:rsidRPr="00881984">
        <w:rPr>
          <w:b/>
        </w:rPr>
        <w:t>?</w:t>
      </w:r>
    </w:p>
    <w:p w:rsidR="00D81685" w:rsidRDefault="00685D0C" w:rsidP="006F42EC">
      <w:pPr>
        <w:spacing w:line="480" w:lineRule="auto"/>
        <w:ind w:firstLine="720"/>
        <w:jc w:val="both"/>
      </w:pPr>
      <w:r w:rsidRPr="0042773D">
        <w:t>A.</w:t>
      </w:r>
      <w:r w:rsidRPr="0042773D">
        <w:tab/>
      </w:r>
      <w:r w:rsidR="00D84EFB">
        <w:t>As discussed earlier, t</w:t>
      </w:r>
      <w:r w:rsidR="006F42EC">
        <w:t>he</w:t>
      </w:r>
      <w:r w:rsidR="006F42EC" w:rsidRPr="0042773D">
        <w:t xml:space="preserve"> Company</w:t>
      </w:r>
      <w:r w:rsidR="00D84EFB">
        <w:t>’s</w:t>
      </w:r>
      <w:r w:rsidR="006F42EC" w:rsidRPr="0042773D">
        <w:t xml:space="preserve"> electric energy efficiency targets are based </w:t>
      </w:r>
      <w:r w:rsidR="00742B9F">
        <w:t xml:space="preserve">on </w:t>
      </w:r>
      <w:r w:rsidR="006F42EC" w:rsidRPr="0042773D">
        <w:t>Avista’s Ten-Year Achievable Conservation Potential an</w:t>
      </w:r>
      <w:r w:rsidR="001A3017">
        <w:t xml:space="preserve">d Biennial Conservation Targets.  </w:t>
      </w:r>
      <w:r w:rsidR="006F42EC" w:rsidRPr="0042773D">
        <w:t>These targets were filed with the Commission in Docket UE-100176, and</w:t>
      </w:r>
      <w:r w:rsidR="001A3017">
        <w:t xml:space="preserve"> were later</w:t>
      </w:r>
      <w:r w:rsidR="006F42EC" w:rsidRPr="0042773D">
        <w:t xml:space="preserve"> approved in Order No. 01 on May 13, 2010.  At paragraph 53, the Commission approved a 2010-2011 biennial conservation target of 128,603 megawatt-hours.  Given that the level of savings in 2010 was 52,769 megawatt-hours, the target for 2011 is 75,834 megawatt hours.  </w:t>
      </w:r>
    </w:p>
    <w:p w:rsidR="00D81685" w:rsidRDefault="004A5E75" w:rsidP="00AD2C96">
      <w:pPr>
        <w:spacing w:line="480" w:lineRule="auto"/>
        <w:ind w:firstLine="720"/>
        <w:jc w:val="both"/>
      </w:pPr>
      <w:r>
        <w:t xml:space="preserve">As I discussed earlier, </w:t>
      </w:r>
      <w:r w:rsidR="006F42EC" w:rsidRPr="0042773D">
        <w:t xml:space="preserve">for the </w:t>
      </w:r>
      <w:r w:rsidR="006F42EC">
        <w:t xml:space="preserve">derivation of the </w:t>
      </w:r>
      <w:r w:rsidR="006F42EC" w:rsidRPr="0042773D">
        <w:t xml:space="preserve">2012 estimated </w:t>
      </w:r>
      <w:r w:rsidR="006F42EC">
        <w:t xml:space="preserve">energy </w:t>
      </w:r>
      <w:r w:rsidR="006F42EC" w:rsidRPr="0042773D">
        <w:t>savings, while the Company has not yet filed its project</w:t>
      </w:r>
      <w:r w:rsidR="006F42EC">
        <w:t>ed</w:t>
      </w:r>
      <w:r w:rsidR="006F42EC" w:rsidRPr="0042773D">
        <w:t xml:space="preserve"> biennial savings target for the 2012/2013 period, the Company used its 2012 Northwest</w:t>
      </w:r>
      <w:r w:rsidR="006F42EC">
        <w:t xml:space="preserve"> Power and Conservation Council’s 6</w:t>
      </w:r>
      <w:r w:rsidR="006F42EC" w:rsidRPr="0042773D">
        <w:rPr>
          <w:vertAlign w:val="superscript"/>
        </w:rPr>
        <w:t>th</w:t>
      </w:r>
      <w:r w:rsidR="006F42EC">
        <w:t xml:space="preserve"> Power Plan target, </w:t>
      </w:r>
      <w:r w:rsidR="006F42EC" w:rsidRPr="0042773D">
        <w:t xml:space="preserve">plus </w:t>
      </w:r>
      <w:r w:rsidR="006F42EC">
        <w:t>one-</w:t>
      </w:r>
      <w:r w:rsidR="006F42EC" w:rsidRPr="0042773D">
        <w:t>half of the estimate</w:t>
      </w:r>
      <w:r w:rsidR="006F42EC">
        <w:t>d</w:t>
      </w:r>
      <w:r w:rsidR="006F42EC" w:rsidRPr="0042773D">
        <w:t xml:space="preserve"> </w:t>
      </w:r>
      <w:r w:rsidR="006F42EC">
        <w:t xml:space="preserve">electric to natural gas </w:t>
      </w:r>
      <w:r w:rsidR="006F42EC" w:rsidRPr="0042773D">
        <w:t>fuel switching target</w:t>
      </w:r>
      <w:r w:rsidR="00D84EFB">
        <w:t xml:space="preserve"> for 2012-2013</w:t>
      </w:r>
      <w:r w:rsidR="006F42EC">
        <w:t xml:space="preserve">, to arrive at an annual savings figure of 73,550 megawatt-hours. </w:t>
      </w:r>
      <w:r w:rsidR="00D81685">
        <w:t xml:space="preserve"> For purposes of this adjustment, the Company only included one-half of the 2012 target, or 36,775 megawatt hours.  </w:t>
      </w:r>
      <w:r w:rsidR="00742B9F">
        <w:t>Illustration 1 below includes a chart</w:t>
      </w:r>
      <w:r w:rsidR="00D81685">
        <w:t xml:space="preserve"> showing the savings included in this adjustment by year:</w:t>
      </w:r>
      <w:r w:rsidR="00D81685">
        <w:br w:type="page"/>
      </w:r>
    </w:p>
    <w:p w:rsidR="00742B9F" w:rsidRPr="00742B9F" w:rsidRDefault="00742B9F" w:rsidP="006F42EC">
      <w:pPr>
        <w:spacing w:line="480" w:lineRule="auto"/>
        <w:ind w:firstLine="720"/>
        <w:jc w:val="both"/>
        <w:rPr>
          <w:b/>
          <w:u w:val="single"/>
        </w:rPr>
      </w:pPr>
      <w:r w:rsidRPr="00742B9F">
        <w:rPr>
          <w:b/>
          <w:u w:val="single"/>
        </w:rPr>
        <w:lastRenderedPageBreak/>
        <w:t>Illustration No. 1</w:t>
      </w:r>
    </w:p>
    <w:p w:rsidR="00D81685" w:rsidRDefault="00AD2C96" w:rsidP="006F42EC">
      <w:pPr>
        <w:spacing w:line="480" w:lineRule="auto"/>
        <w:ind w:firstLine="720"/>
        <w:jc w:val="both"/>
      </w:pPr>
      <w:r w:rsidRPr="00AD2C96">
        <w:rPr>
          <w:noProof/>
        </w:rPr>
        <w:drawing>
          <wp:anchor distT="0" distB="0" distL="114300" distR="114300" simplePos="0" relativeHeight="251763200" behindDoc="1" locked="0" layoutInCell="1" allowOverlap="1">
            <wp:simplePos x="0" y="0"/>
            <wp:positionH relativeFrom="column">
              <wp:posOffset>481709</wp:posOffset>
            </wp:positionH>
            <wp:positionV relativeFrom="paragraph">
              <wp:posOffset>0</wp:posOffset>
            </wp:positionV>
            <wp:extent cx="4545330" cy="2552131"/>
            <wp:effectExtent l="19050" t="0" r="7620" b="0"/>
            <wp:wrapNone/>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4545330" cy="2552131"/>
                    </a:xfrm>
                    <a:prstGeom prst="rect">
                      <a:avLst/>
                    </a:prstGeom>
                    <a:noFill/>
                    <a:ln w="9525">
                      <a:noFill/>
                      <a:miter lim="800000"/>
                      <a:headEnd/>
                      <a:tailEnd/>
                    </a:ln>
                  </pic:spPr>
                </pic:pic>
              </a:graphicData>
            </a:graphic>
          </wp:anchor>
        </w:drawing>
      </w: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685D0C" w:rsidRPr="00881984" w:rsidRDefault="00685D0C" w:rsidP="00685D0C">
      <w:pPr>
        <w:spacing w:line="480" w:lineRule="auto"/>
        <w:ind w:firstLine="720"/>
        <w:jc w:val="both"/>
        <w:rPr>
          <w:b/>
        </w:rPr>
      </w:pPr>
      <w:r w:rsidRPr="0042773D">
        <w:rPr>
          <w:b/>
        </w:rPr>
        <w:t>Q.</w:t>
      </w:r>
      <w:r w:rsidRPr="0042773D">
        <w:rPr>
          <w:b/>
        </w:rPr>
        <w:tab/>
      </w:r>
      <w:r>
        <w:rPr>
          <w:b/>
        </w:rPr>
        <w:t xml:space="preserve">How were  2011 and 2012 electric energy efficiency </w:t>
      </w:r>
      <w:r w:rsidR="003F5EB7">
        <w:rPr>
          <w:b/>
        </w:rPr>
        <w:t>saving</w:t>
      </w:r>
      <w:r>
        <w:rPr>
          <w:b/>
        </w:rPr>
        <w:t>s spread by rate schedule</w:t>
      </w:r>
      <w:r w:rsidRPr="00881984">
        <w:rPr>
          <w:b/>
        </w:rPr>
        <w:t>?</w:t>
      </w:r>
    </w:p>
    <w:p w:rsidR="006F42EC" w:rsidRDefault="00685D0C" w:rsidP="004D102F">
      <w:pPr>
        <w:spacing w:line="480" w:lineRule="auto"/>
        <w:ind w:firstLine="720"/>
        <w:jc w:val="both"/>
      </w:pPr>
      <w:r w:rsidRPr="0042773D">
        <w:t>A.</w:t>
      </w:r>
      <w:r w:rsidRPr="0042773D">
        <w:tab/>
      </w:r>
      <w:r w:rsidR="006F42EC" w:rsidRPr="00F21027">
        <w:t xml:space="preserve">For purposes of spreading the </w:t>
      </w:r>
      <w:r w:rsidR="003F5EB7">
        <w:t xml:space="preserve">energy </w:t>
      </w:r>
      <w:r w:rsidR="006F42EC" w:rsidRPr="00F21027">
        <w:t xml:space="preserve">savings by rate schedule, the Company used the same percentage spread as </w:t>
      </w:r>
      <w:r w:rsidR="006F42EC">
        <w:t>was achieved in</w:t>
      </w:r>
      <w:r w:rsidR="006F42EC" w:rsidRPr="00F21027">
        <w:t xml:space="preserve"> 2010, </w:t>
      </w:r>
      <w:r w:rsidR="006F42EC" w:rsidRPr="00886E4E">
        <w:rPr>
          <w:u w:val="single"/>
        </w:rPr>
        <w:t>i.e.</w:t>
      </w:r>
      <w:r w:rsidR="00886E4E">
        <w:t>,</w:t>
      </w:r>
      <w:r w:rsidR="006F42EC" w:rsidRPr="00F21027">
        <w:t xml:space="preserve"> Schedule 1 received </w:t>
      </w:r>
      <w:r w:rsidR="006F42EC">
        <w:t>34.0</w:t>
      </w:r>
      <w:r w:rsidR="006F42EC" w:rsidRPr="00F21027">
        <w:t>% of 2010, 2011, and 2012 savings based on 2010 actual results</w:t>
      </w:r>
      <w:r w:rsidR="006F42EC">
        <w:t xml:space="preserve"> as shown in Table </w:t>
      </w:r>
      <w:r w:rsidR="00174FCE">
        <w:t>16</w:t>
      </w:r>
      <w:r w:rsidR="006F42EC">
        <w:t xml:space="preserve"> above</w:t>
      </w:r>
      <w:r w:rsidR="006F42EC" w:rsidRPr="00F21027">
        <w:t>.</w:t>
      </w:r>
      <w:r w:rsidR="006F42EC">
        <w:t xml:space="preserve">  Table </w:t>
      </w:r>
      <w:r w:rsidR="00D23105">
        <w:t>17</w:t>
      </w:r>
      <w:r w:rsidR="006F42EC">
        <w:t xml:space="preserve"> below shows the savings by rate schedule that have been incorporated into the Load Adjustment:</w:t>
      </w:r>
    </w:p>
    <w:p w:rsidR="006F42EC" w:rsidRDefault="006F42EC" w:rsidP="004D102F">
      <w:pPr>
        <w:spacing w:line="480" w:lineRule="auto"/>
        <w:jc w:val="both"/>
        <w:rPr>
          <w:b/>
          <w:u w:val="single"/>
        </w:rPr>
      </w:pPr>
      <w:r w:rsidRPr="002E02F5">
        <w:rPr>
          <w:b/>
          <w:u w:val="single"/>
        </w:rPr>
        <w:t xml:space="preserve">Table </w:t>
      </w:r>
      <w:r w:rsidR="00D23105">
        <w:rPr>
          <w:b/>
          <w:u w:val="single"/>
        </w:rPr>
        <w:t>17</w:t>
      </w:r>
      <w:r w:rsidRPr="002E02F5">
        <w:rPr>
          <w:b/>
          <w:u w:val="single"/>
        </w:rPr>
        <w:t xml:space="preserve"> – </w:t>
      </w:r>
      <w:r>
        <w:rPr>
          <w:b/>
          <w:u w:val="single"/>
        </w:rPr>
        <w:t>Load Adjustment</w:t>
      </w:r>
      <w:r w:rsidRPr="002E02F5">
        <w:rPr>
          <w:b/>
          <w:u w:val="single"/>
        </w:rPr>
        <w:t xml:space="preserve"> Electric Energy Savings by Rate Schedule</w:t>
      </w:r>
    </w:p>
    <w:p w:rsidR="00174FCE" w:rsidRPr="002E02F5" w:rsidRDefault="00174FCE" w:rsidP="004D102F">
      <w:pPr>
        <w:spacing w:line="480" w:lineRule="auto"/>
        <w:jc w:val="both"/>
        <w:rPr>
          <w:b/>
          <w:u w:val="single"/>
        </w:rPr>
      </w:pPr>
      <w:r>
        <w:rPr>
          <w:b/>
          <w:noProof/>
          <w:u w:val="single"/>
        </w:rPr>
        <w:drawing>
          <wp:anchor distT="0" distB="0" distL="114300" distR="114300" simplePos="0" relativeHeight="251686400" behindDoc="1" locked="0" layoutInCell="1" allowOverlap="1">
            <wp:simplePos x="0" y="0"/>
            <wp:positionH relativeFrom="column">
              <wp:posOffset>-26670</wp:posOffset>
            </wp:positionH>
            <wp:positionV relativeFrom="paragraph">
              <wp:posOffset>44450</wp:posOffset>
            </wp:positionV>
            <wp:extent cx="5962650" cy="143827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962650" cy="1438275"/>
                    </a:xfrm>
                    <a:prstGeom prst="rect">
                      <a:avLst/>
                    </a:prstGeom>
                    <a:noFill/>
                    <a:ln w="9525">
                      <a:noFill/>
                      <a:miter lim="800000"/>
                      <a:headEnd/>
                      <a:tailEnd/>
                    </a:ln>
                  </pic:spPr>
                </pic:pic>
              </a:graphicData>
            </a:graphic>
          </wp:anchor>
        </w:drawing>
      </w:r>
    </w:p>
    <w:p w:rsidR="006F42EC" w:rsidRPr="00F21027" w:rsidRDefault="006F42EC" w:rsidP="004D102F">
      <w:pPr>
        <w:spacing w:line="480" w:lineRule="auto"/>
        <w:jc w:val="both"/>
      </w:pPr>
    </w:p>
    <w:p w:rsidR="006F42EC" w:rsidRPr="00F21027" w:rsidRDefault="006F42EC" w:rsidP="004D102F">
      <w:pPr>
        <w:spacing w:line="480" w:lineRule="auto"/>
        <w:jc w:val="both"/>
      </w:pPr>
    </w:p>
    <w:p w:rsidR="006F42EC" w:rsidRDefault="006F42EC" w:rsidP="004D102F">
      <w:pPr>
        <w:spacing w:line="480" w:lineRule="auto"/>
        <w:jc w:val="both"/>
      </w:pPr>
    </w:p>
    <w:p w:rsidR="00AD2C96" w:rsidRDefault="00AD2C96">
      <w:pPr>
        <w:autoSpaceDE/>
        <w:autoSpaceDN/>
        <w:rPr>
          <w:b/>
        </w:rPr>
      </w:pPr>
      <w:r>
        <w:rPr>
          <w:b/>
        </w:rPr>
        <w:br w:type="page"/>
      </w:r>
    </w:p>
    <w:p w:rsidR="004D102F" w:rsidRPr="00881984" w:rsidRDefault="004D102F" w:rsidP="004D102F">
      <w:pPr>
        <w:spacing w:line="480" w:lineRule="auto"/>
        <w:ind w:firstLine="720"/>
        <w:jc w:val="both"/>
        <w:rPr>
          <w:b/>
        </w:rPr>
      </w:pPr>
      <w:r>
        <w:rPr>
          <w:b/>
        </w:rPr>
        <w:lastRenderedPageBreak/>
        <w:t>Q.</w:t>
      </w:r>
      <w:r>
        <w:rPr>
          <w:b/>
        </w:rPr>
        <w:tab/>
        <w:t>Is the use of 2010 results by rate schedule appropriate for purposes of allocating 2011 and 2012 estimated savings</w:t>
      </w:r>
      <w:r w:rsidRPr="00881984">
        <w:rPr>
          <w:b/>
        </w:rPr>
        <w:t>?</w:t>
      </w:r>
    </w:p>
    <w:p w:rsidR="004D102F" w:rsidRDefault="004D102F" w:rsidP="004D102F">
      <w:pPr>
        <w:spacing w:line="480" w:lineRule="auto"/>
        <w:ind w:firstLine="720"/>
        <w:jc w:val="both"/>
      </w:pPr>
      <w:r w:rsidRPr="0042773D">
        <w:t>A.</w:t>
      </w:r>
      <w:r w:rsidRPr="0042773D">
        <w:tab/>
      </w:r>
      <w:r>
        <w:t>Yes.  The Company</w:t>
      </w:r>
      <w:r w:rsidR="00742B9F">
        <w:t xml:space="preserve"> continues to have similar energy efficiency programs in place, as it had in 2010, and</w:t>
      </w:r>
      <w:r>
        <w:t xml:space="preserve"> does not have plans to </w:t>
      </w:r>
      <w:r w:rsidR="00174FCE">
        <w:t xml:space="preserve">significantly </w:t>
      </w:r>
      <w:r>
        <w:t xml:space="preserve">alter the mix of </w:t>
      </w:r>
      <w:r w:rsidR="00174FCE">
        <w:t xml:space="preserve">electric </w:t>
      </w:r>
      <w:r>
        <w:t xml:space="preserve">energy efficiency programs as it relates to residential and commercial/industrial customers.  </w:t>
      </w:r>
      <w:r w:rsidR="00742B9F">
        <w:t>Therefore, the 2010 actual results provide a reasonable basis upon which to spread the 2011 and 2012 energy savings.</w:t>
      </w:r>
    </w:p>
    <w:p w:rsidR="004D102F" w:rsidRPr="00881984" w:rsidRDefault="004D102F" w:rsidP="004D102F">
      <w:pPr>
        <w:spacing w:line="480" w:lineRule="auto"/>
        <w:ind w:firstLine="720"/>
        <w:jc w:val="both"/>
        <w:rPr>
          <w:b/>
        </w:rPr>
      </w:pPr>
      <w:r>
        <w:rPr>
          <w:b/>
        </w:rPr>
        <w:t>Q.</w:t>
      </w:r>
      <w:r>
        <w:rPr>
          <w:b/>
        </w:rPr>
        <w:tab/>
        <w:t>Did the Company factor i</w:t>
      </w:r>
      <w:r w:rsidR="00685D0C">
        <w:rPr>
          <w:b/>
        </w:rPr>
        <w:t>n</w:t>
      </w:r>
      <w:r>
        <w:rPr>
          <w:b/>
        </w:rPr>
        <w:t xml:space="preserve"> demand savings as a part of the adjustment</w:t>
      </w:r>
      <w:r w:rsidRPr="00881984">
        <w:rPr>
          <w:b/>
        </w:rPr>
        <w:t>?</w:t>
      </w:r>
    </w:p>
    <w:p w:rsidR="006F42EC" w:rsidRPr="00F21027" w:rsidRDefault="004D102F" w:rsidP="006F42EC">
      <w:pPr>
        <w:spacing w:line="480" w:lineRule="auto"/>
        <w:ind w:firstLine="720"/>
        <w:jc w:val="both"/>
      </w:pPr>
      <w:r w:rsidRPr="0042773D">
        <w:t>A.</w:t>
      </w:r>
      <w:r w:rsidRPr="0042773D">
        <w:tab/>
      </w:r>
      <w:r>
        <w:t>Yes.  For</w:t>
      </w:r>
      <w:r w:rsidR="006F42EC" w:rsidRPr="00F21027">
        <w:t xml:space="preserve"> the demand savings component</w:t>
      </w:r>
      <w:r w:rsidR="006F42EC">
        <w:t xml:space="preserve"> of the Company’s energy efficiency programs, the </w:t>
      </w:r>
      <w:r w:rsidR="006F42EC" w:rsidRPr="00675C4E">
        <w:t xml:space="preserve">Company developed an Excess Demand Ratio, which is a ratio of each </w:t>
      </w:r>
      <w:r w:rsidR="00742B9F">
        <w:t>S</w:t>
      </w:r>
      <w:r w:rsidR="006F42EC" w:rsidRPr="00675C4E">
        <w:t>chedule</w:t>
      </w:r>
      <w:r w:rsidR="00742B9F">
        <w:t>’</w:t>
      </w:r>
      <w:r w:rsidR="006F42EC" w:rsidRPr="00675C4E">
        <w:t xml:space="preserve">s (11, 21 and 25) excess billed demand (beyond the demand embedded in the fixed demand charges) to total normalized energy usage.  This ratio, when applied to the kWh savings by rate schedule, </w:t>
      </w:r>
      <w:r w:rsidR="00742B9F">
        <w:t>provides an estimate</w:t>
      </w:r>
      <w:r w:rsidR="006F42EC" w:rsidRPr="00675C4E">
        <w:t xml:space="preserve"> of the demand savings that correspond with the electricity savings,  For example, with Schedule 21, the calculated Excess Demand Ratio of 0.171% multiplied by</w:t>
      </w:r>
      <w:r w:rsidR="006F42EC" w:rsidRPr="00F21027">
        <w:t xml:space="preserve"> the total 2010-2012 calculated savings of </w:t>
      </w:r>
      <w:r w:rsidR="006F42EC">
        <w:t>65</w:t>
      </w:r>
      <w:r w:rsidR="006F42EC" w:rsidRPr="00F21027">
        <w:t>,</w:t>
      </w:r>
      <w:r w:rsidR="006F42EC">
        <w:t>891</w:t>
      </w:r>
      <w:r w:rsidR="006F42EC" w:rsidRPr="00F21027">
        <w:t>,</w:t>
      </w:r>
      <w:r w:rsidR="006F42EC">
        <w:t>286</w:t>
      </w:r>
      <w:r w:rsidR="006F42EC" w:rsidRPr="00F21027">
        <w:t xml:space="preserve"> kWh’s results in a reduction in customer demand of </w:t>
      </w:r>
      <w:r w:rsidR="006F42EC">
        <w:t>112</w:t>
      </w:r>
      <w:r w:rsidR="006F42EC" w:rsidRPr="00F21027">
        <w:t>,</w:t>
      </w:r>
      <w:r w:rsidR="006F42EC">
        <w:t>66</w:t>
      </w:r>
      <w:r w:rsidR="006F42EC" w:rsidRPr="00F21027">
        <w:t>8 kW.</w:t>
      </w:r>
      <w:r w:rsidR="006F42EC">
        <w:t xml:space="preserve">  Further information regarding the calculation of the Excess Demand Ratio, and resulting demand reduction</w:t>
      </w:r>
      <w:r w:rsidR="00675C4E">
        <w:t>s, can be found in Exhibit No. ___(PDE-8)</w:t>
      </w:r>
      <w:r w:rsidR="006F42EC">
        <w:t xml:space="preserve">, Page </w:t>
      </w:r>
      <w:r w:rsidR="00675C4E">
        <w:t>1</w:t>
      </w:r>
      <w:r w:rsidR="006F42EC">
        <w:t>.</w:t>
      </w:r>
    </w:p>
    <w:p w:rsidR="004D102F" w:rsidRPr="00881984" w:rsidRDefault="004D102F" w:rsidP="004D102F">
      <w:pPr>
        <w:spacing w:line="480" w:lineRule="auto"/>
        <w:ind w:firstLine="720"/>
        <w:jc w:val="both"/>
        <w:rPr>
          <w:b/>
        </w:rPr>
      </w:pPr>
      <w:r>
        <w:rPr>
          <w:b/>
        </w:rPr>
        <w:t>Q.</w:t>
      </w:r>
      <w:r>
        <w:rPr>
          <w:b/>
        </w:rPr>
        <w:tab/>
        <w:t>Please continue with your discussion of how the Energy Efficiency Load Adjustment was calculated</w:t>
      </w:r>
      <w:r w:rsidRPr="00881984">
        <w:rPr>
          <w:b/>
        </w:rPr>
        <w:t>?</w:t>
      </w:r>
    </w:p>
    <w:p w:rsidR="006F42EC" w:rsidRPr="00874B82" w:rsidRDefault="004D102F" w:rsidP="006F42EC">
      <w:pPr>
        <w:spacing w:line="480" w:lineRule="auto"/>
        <w:ind w:firstLine="720"/>
        <w:jc w:val="both"/>
      </w:pPr>
      <w:r w:rsidRPr="0042773D">
        <w:t>A.</w:t>
      </w:r>
      <w:r w:rsidRPr="0042773D">
        <w:tab/>
      </w:r>
      <w:r w:rsidR="006F42EC">
        <w:t>Having calculated t</w:t>
      </w:r>
      <w:r w:rsidR="006F42EC" w:rsidRPr="00F21027">
        <w:t xml:space="preserve">he reduction in </w:t>
      </w:r>
      <w:r w:rsidR="006F42EC">
        <w:t>demand (</w:t>
      </w:r>
      <w:r w:rsidR="006F42EC" w:rsidRPr="00F21027">
        <w:t>kW</w:t>
      </w:r>
      <w:r w:rsidR="006F42EC">
        <w:t xml:space="preserve">) and </w:t>
      </w:r>
      <w:r w:rsidR="00742B9F">
        <w:t>energy</w:t>
      </w:r>
      <w:r w:rsidR="006F42EC">
        <w:t xml:space="preserve"> (</w:t>
      </w:r>
      <w:r w:rsidR="006F42EC" w:rsidRPr="00F21027">
        <w:t>kWh</w:t>
      </w:r>
      <w:r w:rsidR="006F42EC">
        <w:t>)</w:t>
      </w:r>
      <w:r w:rsidR="006F42EC" w:rsidRPr="00F21027">
        <w:t xml:space="preserve"> by rate schedule</w:t>
      </w:r>
      <w:r w:rsidR="006F42EC">
        <w:t>, the results</w:t>
      </w:r>
      <w:r w:rsidR="006F42EC" w:rsidRPr="00F21027">
        <w:t xml:space="preserve"> were then </w:t>
      </w:r>
      <w:r w:rsidR="006F42EC">
        <w:t>input into</w:t>
      </w:r>
      <w:r w:rsidR="006F42EC" w:rsidRPr="00F21027">
        <w:t xml:space="preserve"> in the Company’s rate design model</w:t>
      </w:r>
      <w:r w:rsidR="006F42EC">
        <w:t xml:space="preserve">.  Average </w:t>
      </w:r>
      <w:r w:rsidR="006F42EC">
        <w:lastRenderedPageBreak/>
        <w:t>retail rates were then</w:t>
      </w:r>
      <w:r w:rsidR="006F42EC" w:rsidRPr="00F21027">
        <w:t xml:space="preserve"> applied to those units in the same manner </w:t>
      </w:r>
      <w:r w:rsidR="006F42EC">
        <w:t xml:space="preserve">they </w:t>
      </w:r>
      <w:r w:rsidR="006F42EC" w:rsidRPr="00F21027">
        <w:t xml:space="preserve">are applied to the </w:t>
      </w:r>
      <w:r w:rsidR="00174FCE">
        <w:t>“</w:t>
      </w:r>
      <w:r w:rsidR="006F42EC" w:rsidRPr="00F21027">
        <w:t>Unbilled Adjustment</w:t>
      </w:r>
      <w:r w:rsidR="00174FCE">
        <w:t>”</w:t>
      </w:r>
      <w:r w:rsidR="006F42EC" w:rsidRPr="00F21027">
        <w:t xml:space="preserve"> and the </w:t>
      </w:r>
      <w:r w:rsidR="00174FCE">
        <w:t>“</w:t>
      </w:r>
      <w:r w:rsidR="006F42EC" w:rsidRPr="00F21027">
        <w:t>Adjustment to Actuals</w:t>
      </w:r>
      <w:r w:rsidR="00174FCE">
        <w:t>”</w:t>
      </w:r>
      <w:r w:rsidR="006F42EC">
        <w:t>, both components of the Company’s Revenue Normalization Adjustment</w:t>
      </w:r>
      <w:r w:rsidR="006F42EC" w:rsidRPr="00F21027">
        <w:t xml:space="preserve">.  </w:t>
      </w:r>
      <w:r w:rsidR="00742B9F">
        <w:t>This provides a</w:t>
      </w:r>
      <w:r w:rsidR="006F42EC" w:rsidRPr="00F21027">
        <w:t xml:space="preserve"> revised Pro Forma </w:t>
      </w:r>
      <w:r w:rsidR="006F42EC" w:rsidRPr="00874B82">
        <w:t>Revenue at present rates of $</w:t>
      </w:r>
      <w:r w:rsidR="00D26BFF" w:rsidRPr="00874B82">
        <w:t>422,706</w:t>
      </w:r>
      <w:r w:rsidR="006F42EC" w:rsidRPr="00874B82">
        <w:t xml:space="preserve">,000 million versus the Revenue </w:t>
      </w:r>
      <w:r w:rsidR="00685D0C">
        <w:t xml:space="preserve">Normalization </w:t>
      </w:r>
      <w:r w:rsidR="006F42EC" w:rsidRPr="00874B82">
        <w:t xml:space="preserve">Adjustment sponsored by Company witness Ms. Knox which </w:t>
      </w:r>
      <w:r w:rsidR="00685D0C">
        <w:t xml:space="preserve">shows normalized Pro Forma Revenue at Present Rates of </w:t>
      </w:r>
      <w:r w:rsidR="006F42EC" w:rsidRPr="00874B82">
        <w:t>$</w:t>
      </w:r>
      <w:r w:rsidR="00D26BFF" w:rsidRPr="00874B82">
        <w:t>433</w:t>
      </w:r>
      <w:r w:rsidR="006F42EC" w:rsidRPr="00874B82">
        <w:t>,</w:t>
      </w:r>
      <w:r w:rsidR="00D26BFF" w:rsidRPr="00874B82">
        <w:t>007</w:t>
      </w:r>
      <w:r w:rsidR="006F42EC" w:rsidRPr="00874B82">
        <w:t xml:space="preserve">,000.  </w:t>
      </w:r>
      <w:r w:rsidR="00D26BFF" w:rsidRPr="00874B82">
        <w:t xml:space="preserve">The difference is </w:t>
      </w:r>
      <w:r w:rsidR="00685D0C">
        <w:t>(</w:t>
      </w:r>
      <w:r w:rsidR="00D26BFF" w:rsidRPr="00874B82">
        <w:t>$10,301,000</w:t>
      </w:r>
      <w:r w:rsidR="00685D0C">
        <w:t xml:space="preserve">), which is the energy efficiency </w:t>
      </w:r>
      <w:r w:rsidR="00685D0C" w:rsidRPr="00685D0C">
        <w:rPr>
          <w:u w:val="single"/>
        </w:rPr>
        <w:t>revenue</w:t>
      </w:r>
      <w:r w:rsidR="00685D0C">
        <w:t xml:space="preserve"> adjustment</w:t>
      </w:r>
      <w:r w:rsidR="00D26BFF" w:rsidRPr="00874B82">
        <w:t>.</w:t>
      </w:r>
    </w:p>
    <w:p w:rsidR="00742B9F" w:rsidRPr="00742B9F" w:rsidRDefault="00742B9F" w:rsidP="00AD2C96">
      <w:pPr>
        <w:spacing w:line="480" w:lineRule="auto"/>
        <w:ind w:firstLine="720"/>
        <w:jc w:val="both"/>
        <w:rPr>
          <w:b/>
        </w:rPr>
      </w:pPr>
      <w:r w:rsidRPr="00742B9F">
        <w:rPr>
          <w:b/>
        </w:rPr>
        <w:t>Q.</w:t>
      </w:r>
      <w:r w:rsidRPr="00742B9F">
        <w:rPr>
          <w:b/>
        </w:rPr>
        <w:tab/>
        <w:t>Did the Company include a proforma adjustment for the corresponding change in power supply costs?</w:t>
      </w:r>
    </w:p>
    <w:p w:rsidR="00AD2C96" w:rsidRDefault="00742B9F" w:rsidP="00AD2C96">
      <w:pPr>
        <w:spacing w:line="480" w:lineRule="auto"/>
        <w:ind w:firstLine="720"/>
        <w:jc w:val="both"/>
        <w:rPr>
          <w:b/>
          <w:u w:val="single"/>
        </w:rPr>
      </w:pPr>
      <w:r>
        <w:t>A.</w:t>
      </w:r>
      <w:r>
        <w:tab/>
        <w:t xml:space="preserve">Yes.  </w:t>
      </w:r>
      <w:r w:rsidR="006F42EC" w:rsidRPr="00874B82">
        <w:t xml:space="preserve">The energy efficiency </w:t>
      </w:r>
      <w:r>
        <w:t xml:space="preserve">kWh </w:t>
      </w:r>
      <w:r w:rsidR="006F42EC" w:rsidRPr="00874B82">
        <w:t>savings, grossed up to a system level amount, were provided to the Power Supply group for integration into their power supply model.  That data consisted of a</w:t>
      </w:r>
      <w:r w:rsidR="0012232D">
        <w:t>n</w:t>
      </w:r>
      <w:r w:rsidR="006F42EC" w:rsidRPr="00874B82">
        <w:t xml:space="preserve"> hourly load adjustment determined by DSM program load shape characteristics.  After rerunning their power supply adjustment, </w:t>
      </w:r>
      <w:r w:rsidR="00685D0C">
        <w:t xml:space="preserve">Washington’s share of </w:t>
      </w:r>
      <w:r w:rsidR="00874B82" w:rsidRPr="00874B82">
        <w:t xml:space="preserve">Pro Form Sales for Resale Revenue Increased from $27,056,000 to </w:t>
      </w:r>
      <w:r w:rsidR="00B6598F">
        <w:t>$</w:t>
      </w:r>
      <w:r w:rsidR="00874B82" w:rsidRPr="00874B82">
        <w:t>30,234,000, or $3,17</w:t>
      </w:r>
      <w:r w:rsidR="004D102F">
        <w:t>8</w:t>
      </w:r>
      <w:r w:rsidR="00874B82" w:rsidRPr="00874B82">
        <w:t>,000.</w:t>
      </w:r>
      <w:r w:rsidR="00874B82">
        <w:t xml:space="preserve">  </w:t>
      </w:r>
      <w:r w:rsidR="00D26BFF" w:rsidRPr="00874B82">
        <w:t>Pro Forma Purchased Power</w:t>
      </w:r>
      <w:r w:rsidR="00685D0C">
        <w:t xml:space="preserve"> (Washington share)</w:t>
      </w:r>
      <w:r w:rsidR="006F42EC" w:rsidRPr="00874B82">
        <w:t xml:space="preserve"> decreased from $</w:t>
      </w:r>
      <w:r w:rsidR="00D26BFF" w:rsidRPr="00874B82">
        <w:t>72,207</w:t>
      </w:r>
      <w:r w:rsidR="006F42EC" w:rsidRPr="00874B82">
        <w:t xml:space="preserve">,000, as detailed in Company witness Mr. Johnson’s </w:t>
      </w:r>
      <w:proofErr w:type="spellStart"/>
      <w:r w:rsidR="006F42EC" w:rsidRPr="00874B82">
        <w:t>PF1</w:t>
      </w:r>
      <w:proofErr w:type="spellEnd"/>
      <w:r w:rsidR="006F42EC" w:rsidRPr="00874B82">
        <w:t xml:space="preserve"> adjustment, to $</w:t>
      </w:r>
      <w:r w:rsidR="00D26BFF" w:rsidRPr="00874B82">
        <w:t>69,658</w:t>
      </w:r>
      <w:r w:rsidR="006F42EC" w:rsidRPr="00874B82">
        <w:t xml:space="preserve">,000.  </w:t>
      </w:r>
      <w:r w:rsidR="006F42EC" w:rsidRPr="00F21027">
        <w:t xml:space="preserve">Taking into account the reduction in </w:t>
      </w:r>
      <w:r w:rsidR="006F42EC">
        <w:t xml:space="preserve">retail </w:t>
      </w:r>
      <w:r w:rsidR="006F42EC" w:rsidRPr="00F21027">
        <w:t xml:space="preserve">revenues due to DSM, and the resulting savings in Power supply expense, and including all of the other revenue related expenses and taxes, the impact of this adjustment is a reduction to Net Operating Income of </w:t>
      </w:r>
      <w:r w:rsidR="00874B82">
        <w:t>$2,677,000</w:t>
      </w:r>
      <w:r w:rsidR="006F42EC" w:rsidRPr="00F21027">
        <w:t xml:space="preserve">.  </w:t>
      </w:r>
      <w:r w:rsidR="00874B82">
        <w:t xml:space="preserve"> </w:t>
      </w:r>
      <w:r w:rsidR="00D23105">
        <w:t>Table 18 b</w:t>
      </w:r>
      <w:r w:rsidR="00874B82">
        <w:t xml:space="preserve">elow </w:t>
      </w:r>
      <w:r w:rsidR="00D23105">
        <w:t>shows</w:t>
      </w:r>
      <w:r w:rsidR="00874B82">
        <w:t xml:space="preserve"> a summary of the Energy Efficiency Load Adjustment</w:t>
      </w:r>
      <w:r w:rsidR="00675C4E">
        <w:t xml:space="preserve"> (in thousands)</w:t>
      </w:r>
      <w:r w:rsidR="00874B82">
        <w:t>:</w:t>
      </w:r>
      <w:r w:rsidR="00AD2C96">
        <w:rPr>
          <w:b/>
          <w:u w:val="single"/>
        </w:rPr>
        <w:br w:type="page"/>
      </w:r>
    </w:p>
    <w:p w:rsidR="00D23105" w:rsidRDefault="00D23105" w:rsidP="00AD2C96">
      <w:pPr>
        <w:autoSpaceDE/>
        <w:autoSpaceDN/>
        <w:spacing w:line="480" w:lineRule="auto"/>
        <w:rPr>
          <w:b/>
          <w:u w:val="single"/>
        </w:rPr>
      </w:pPr>
      <w:r w:rsidRPr="00D23105">
        <w:rPr>
          <w:b/>
          <w:u w:val="single"/>
        </w:rPr>
        <w:lastRenderedPageBreak/>
        <w:t xml:space="preserve">Table </w:t>
      </w:r>
      <w:r>
        <w:rPr>
          <w:b/>
          <w:u w:val="single"/>
        </w:rPr>
        <w:t>18</w:t>
      </w:r>
      <w:r w:rsidRPr="00D23105">
        <w:rPr>
          <w:b/>
          <w:u w:val="single"/>
        </w:rPr>
        <w:t xml:space="preserve"> – Energy Efficiency Load Adjustment Summary</w:t>
      </w:r>
    </w:p>
    <w:p w:rsidR="00874B82" w:rsidRDefault="000E2E27" w:rsidP="00AD2C96">
      <w:pPr>
        <w:spacing w:line="480" w:lineRule="auto"/>
        <w:ind w:firstLine="720"/>
        <w:jc w:val="both"/>
      </w:pPr>
      <w:r>
        <w:rPr>
          <w:noProof/>
        </w:rPr>
        <w:drawing>
          <wp:anchor distT="0" distB="0" distL="114300" distR="114300" simplePos="0" relativeHeight="251700736" behindDoc="1" locked="0" layoutInCell="1" allowOverlap="1">
            <wp:simplePos x="0" y="0"/>
            <wp:positionH relativeFrom="column">
              <wp:posOffset>-7620</wp:posOffset>
            </wp:positionH>
            <wp:positionV relativeFrom="paragraph">
              <wp:posOffset>97155</wp:posOffset>
            </wp:positionV>
            <wp:extent cx="5573395" cy="2419350"/>
            <wp:effectExtent l="19050" t="0" r="8255"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573395" cy="2419350"/>
                    </a:xfrm>
                    <a:prstGeom prst="rect">
                      <a:avLst/>
                    </a:prstGeom>
                    <a:noFill/>
                    <a:ln w="9525">
                      <a:noFill/>
                      <a:miter lim="800000"/>
                      <a:headEnd/>
                      <a:tailEnd/>
                    </a:ln>
                  </pic:spPr>
                </pic:pic>
              </a:graphicData>
            </a:graphic>
          </wp:anchor>
        </w:drawing>
      </w:r>
    </w:p>
    <w:p w:rsidR="00874B82" w:rsidRDefault="00874B82" w:rsidP="006F42EC">
      <w:pPr>
        <w:spacing w:line="480" w:lineRule="auto"/>
        <w:ind w:firstLine="720"/>
        <w:jc w:val="both"/>
      </w:pPr>
    </w:p>
    <w:p w:rsidR="00874B82" w:rsidRDefault="00874B82" w:rsidP="006F42EC">
      <w:pPr>
        <w:spacing w:line="480" w:lineRule="auto"/>
        <w:ind w:firstLine="720"/>
        <w:jc w:val="both"/>
      </w:pPr>
    </w:p>
    <w:p w:rsidR="00874B82" w:rsidRDefault="00874B82" w:rsidP="006F42EC">
      <w:pPr>
        <w:spacing w:line="480" w:lineRule="auto"/>
        <w:ind w:firstLine="720"/>
        <w:jc w:val="both"/>
      </w:pPr>
    </w:p>
    <w:p w:rsidR="00874B82" w:rsidRDefault="00874B82" w:rsidP="006F42EC">
      <w:pPr>
        <w:spacing w:line="480" w:lineRule="auto"/>
        <w:ind w:firstLine="720"/>
        <w:jc w:val="both"/>
      </w:pPr>
    </w:p>
    <w:p w:rsidR="000E2E27" w:rsidRDefault="000E2E27" w:rsidP="006F42EC">
      <w:pPr>
        <w:spacing w:line="480" w:lineRule="auto"/>
        <w:ind w:firstLine="720"/>
        <w:jc w:val="both"/>
      </w:pPr>
    </w:p>
    <w:p w:rsidR="000E2E27" w:rsidRDefault="000E2E27" w:rsidP="006F42EC">
      <w:pPr>
        <w:spacing w:line="480" w:lineRule="auto"/>
        <w:ind w:firstLine="720"/>
        <w:jc w:val="both"/>
      </w:pPr>
    </w:p>
    <w:p w:rsidR="000E2E27" w:rsidRDefault="000E2E27" w:rsidP="006F42EC">
      <w:pPr>
        <w:spacing w:line="480" w:lineRule="auto"/>
        <w:ind w:firstLine="720"/>
        <w:jc w:val="both"/>
      </w:pPr>
    </w:p>
    <w:p w:rsidR="006F42EC" w:rsidRPr="00F21027" w:rsidRDefault="006F42EC" w:rsidP="006F42EC">
      <w:pPr>
        <w:spacing w:line="480" w:lineRule="auto"/>
        <w:ind w:firstLine="720"/>
        <w:jc w:val="both"/>
      </w:pPr>
      <w:r w:rsidRPr="00F21027">
        <w:t>This adjustment was provided to Ms. Andrews for purposes of her</w:t>
      </w:r>
      <w:r>
        <w:t xml:space="preserve"> final</w:t>
      </w:r>
      <w:r w:rsidRPr="00F21027">
        <w:t xml:space="preserve"> Revenue Requirement calculation.</w:t>
      </w:r>
    </w:p>
    <w:p w:rsidR="0074529E" w:rsidRDefault="0074529E" w:rsidP="005E25D7">
      <w:pPr>
        <w:pStyle w:val="BodyText2"/>
        <w:tabs>
          <w:tab w:val="left" w:pos="720"/>
          <w:tab w:val="left" w:pos="1440"/>
        </w:tabs>
        <w:rPr>
          <w:bCs/>
        </w:rPr>
      </w:pPr>
      <w:r w:rsidRPr="0074529E">
        <w:rPr>
          <w:b/>
          <w:bCs/>
        </w:rPr>
        <w:tab/>
      </w:r>
    </w:p>
    <w:p w:rsidR="004F713F" w:rsidRPr="00CB3A2C" w:rsidRDefault="004F713F" w:rsidP="005A10A8">
      <w:pPr>
        <w:pStyle w:val="P267"/>
        <w:tabs>
          <w:tab w:val="clear" w:pos="360"/>
          <w:tab w:val="left" w:pos="0"/>
        </w:tabs>
        <w:ind w:left="0"/>
        <w:jc w:val="center"/>
        <w:rPr>
          <w:rFonts w:ascii="Times New Roman" w:hAnsi="Times New Roman" w:cs="Times New Roman"/>
        </w:rPr>
      </w:pPr>
      <w:r w:rsidRPr="00CB3A2C">
        <w:rPr>
          <w:rFonts w:ascii="Times New Roman" w:hAnsi="Times New Roman" w:cs="Times New Roman"/>
        </w:rPr>
        <w:t>V</w:t>
      </w:r>
      <w:r>
        <w:rPr>
          <w:rFonts w:ascii="Times New Roman" w:hAnsi="Times New Roman" w:cs="Times New Roman"/>
        </w:rPr>
        <w:t>I</w:t>
      </w:r>
      <w:r w:rsidR="008F70B5">
        <w:rPr>
          <w:rFonts w:ascii="Times New Roman" w:hAnsi="Times New Roman" w:cs="Times New Roman"/>
        </w:rPr>
        <w:t>I</w:t>
      </w:r>
      <w:r w:rsidRPr="00CB3A2C">
        <w:rPr>
          <w:rFonts w:ascii="Times New Roman" w:hAnsi="Times New Roman" w:cs="Times New Roman"/>
        </w:rPr>
        <w:t>.  DECOUPLING - RATE SCHEDULE APPLICABILITY</w:t>
      </w:r>
    </w:p>
    <w:p w:rsidR="00EB338C" w:rsidRPr="00326BD8" w:rsidRDefault="00EB338C" w:rsidP="00EB338C">
      <w:pPr>
        <w:spacing w:line="480" w:lineRule="auto"/>
        <w:ind w:firstLine="720"/>
        <w:jc w:val="both"/>
        <w:rPr>
          <w:b/>
        </w:rPr>
      </w:pPr>
      <w:r w:rsidRPr="00326BD8">
        <w:rPr>
          <w:b/>
        </w:rPr>
        <w:t xml:space="preserve">Q.  </w:t>
      </w:r>
      <w:r w:rsidRPr="00326BD8">
        <w:rPr>
          <w:b/>
        </w:rPr>
        <w:tab/>
      </w:r>
      <w:r w:rsidR="0012232D">
        <w:rPr>
          <w:b/>
        </w:rPr>
        <w:t>With regard</w:t>
      </w:r>
      <w:r>
        <w:rPr>
          <w:b/>
        </w:rPr>
        <w:t xml:space="preserve"> to the Company’s natural gas Decoupling Mechanism, please address whether the program should recover </w:t>
      </w:r>
      <w:r w:rsidRPr="00326BD8">
        <w:rPr>
          <w:b/>
        </w:rPr>
        <w:t>DSM-related lost margin from all natural gas rate schedules?</w:t>
      </w:r>
    </w:p>
    <w:p w:rsidR="00EB338C" w:rsidRPr="00326BD8" w:rsidRDefault="00EB338C" w:rsidP="00EB338C">
      <w:pPr>
        <w:spacing w:line="480" w:lineRule="auto"/>
        <w:ind w:firstLine="720"/>
        <w:jc w:val="both"/>
      </w:pPr>
      <w:r>
        <w:t xml:space="preserve">A.  </w:t>
      </w:r>
      <w:r>
        <w:tab/>
        <w:t xml:space="preserve">On pages 12-13 of the Settlement Stipulation in </w:t>
      </w:r>
      <w:r w:rsidR="00DA4A2B">
        <w:t xml:space="preserve">Docket Nos. </w:t>
      </w:r>
      <w:r>
        <w:t xml:space="preserve">UE-100467 and UG-100468, the Company agreed to </w:t>
      </w:r>
      <w:r w:rsidRPr="00326BD8">
        <w:t xml:space="preserve">address whether the </w:t>
      </w:r>
      <w:r>
        <w:t xml:space="preserve">natural gas Decoupling </w:t>
      </w:r>
      <w:r w:rsidRPr="00326BD8">
        <w:t>program should recover DSM-related lost margin from all natural gas rate schedules</w:t>
      </w:r>
      <w:r>
        <w:t xml:space="preserve">.  This issue stems from </w:t>
      </w:r>
      <w:r w:rsidRPr="00326BD8">
        <w:t xml:space="preserve">Order 10 in </w:t>
      </w:r>
      <w:r w:rsidR="00DA4A2B">
        <w:t xml:space="preserve">Docket Nos. </w:t>
      </w:r>
      <w:r w:rsidRPr="00326BD8">
        <w:t xml:space="preserve">UE-090134, UG-090135 &amp; UG-060518 (consolidated), </w:t>
      </w:r>
      <w:r w:rsidR="00AC6208">
        <w:t xml:space="preserve">where </w:t>
      </w:r>
      <w:r w:rsidRPr="00326BD8">
        <w:t>the Commission stated</w:t>
      </w:r>
      <w:r>
        <w:t xml:space="preserve"> a</w:t>
      </w:r>
      <w:r w:rsidRPr="00326BD8">
        <w:t>t page 119, paragraph 303:</w:t>
      </w:r>
    </w:p>
    <w:p w:rsidR="00EB338C" w:rsidRPr="00326BD8" w:rsidRDefault="00EB338C" w:rsidP="00EB338C">
      <w:pPr>
        <w:ind w:left="720"/>
        <w:jc w:val="both"/>
      </w:pPr>
      <w:r w:rsidRPr="00326BD8">
        <w:t xml:space="preserve">By reducing the Company’s natural gas load, including its peak requirements, Avista’s conservation program benefits all customers.  In fact, the decoupling program includes conservation from all rate schedules in setting its targets and determining its success.  Even so, as now put in place, the program’s lost margin is </w:t>
      </w:r>
      <w:r w:rsidRPr="00326BD8">
        <w:lastRenderedPageBreak/>
        <w:t xml:space="preserve">only collected from Schedule 101 customers.  Following the principle of costs following benefits discussed above, we expect the parties to address whether the program should recover DSM-related lost margin from all rate schedules in Avista’s next general rate case.  </w:t>
      </w:r>
    </w:p>
    <w:p w:rsidR="00EB338C" w:rsidRPr="00326BD8" w:rsidRDefault="00EB338C" w:rsidP="00EB338C">
      <w:pPr>
        <w:spacing w:line="480" w:lineRule="auto"/>
        <w:ind w:left="720"/>
        <w:jc w:val="both"/>
      </w:pPr>
    </w:p>
    <w:p w:rsidR="00EB338C" w:rsidRPr="00326BD8" w:rsidRDefault="00EB338C" w:rsidP="00EB338C">
      <w:pPr>
        <w:spacing w:line="480" w:lineRule="auto"/>
        <w:jc w:val="both"/>
      </w:pPr>
      <w:r w:rsidRPr="00326BD8">
        <w:t>With regard to the principle of costs following benefits for Schedule 101, the costs associated with these programs, specifically DSM lost margin, is recovered only from Schedule 101 customer</w:t>
      </w:r>
      <w:r w:rsidR="00DA4A2B">
        <w:t>s</w:t>
      </w:r>
      <w:r w:rsidRPr="00326BD8">
        <w:t xml:space="preserve">, and therefore there is alignment of costs and benefits for Schedule 101. </w:t>
      </w:r>
    </w:p>
    <w:p w:rsidR="00EB338C" w:rsidRPr="00326BD8" w:rsidRDefault="00EB338C" w:rsidP="00EB338C">
      <w:pPr>
        <w:spacing w:line="480" w:lineRule="auto"/>
        <w:ind w:firstLine="720"/>
        <w:jc w:val="both"/>
        <w:rPr>
          <w:b/>
        </w:rPr>
      </w:pPr>
      <w:r w:rsidRPr="00326BD8">
        <w:rPr>
          <w:b/>
        </w:rPr>
        <w:t>Q.</w:t>
      </w:r>
      <w:r w:rsidRPr="00326BD8">
        <w:rPr>
          <w:b/>
        </w:rPr>
        <w:tab/>
        <w:t>Is the Company proposing a mechanism to recover DSM lost margin from large commercial and industrial customers?</w:t>
      </w:r>
    </w:p>
    <w:p w:rsidR="00EB338C" w:rsidRPr="00326BD8" w:rsidRDefault="00EB338C" w:rsidP="00EB338C">
      <w:pPr>
        <w:spacing w:line="480" w:lineRule="auto"/>
        <w:ind w:firstLine="720"/>
        <w:jc w:val="both"/>
      </w:pPr>
      <w:r w:rsidRPr="00326BD8">
        <w:t>A.</w:t>
      </w:r>
      <w:r w:rsidRPr="00326BD8">
        <w:tab/>
        <w:t>Not at this time.  While the Company believes that it would be appropriate to recover programmatic and non-programmatic lost margin from these customers, the amount of lost margin, at least for programmatic savings, is not material enough at this time to warrant a change to the current decoupling mechanism.  Based on the verified 200</w:t>
      </w:r>
      <w:r>
        <w:t>9</w:t>
      </w:r>
      <w:r w:rsidRPr="00326BD8">
        <w:t xml:space="preserve"> DSM savings for large commercial and industrial customers, the annual lost margin (using present margins), as shown in Table 1</w:t>
      </w:r>
      <w:r w:rsidR="00D23105">
        <w:t>9</w:t>
      </w:r>
      <w:r w:rsidRPr="00326BD8">
        <w:t xml:space="preserve"> below, would be approximately $</w:t>
      </w:r>
      <w:r>
        <w:t>63,457</w:t>
      </w:r>
      <w:r w:rsidRPr="00326BD8">
        <w:t>.</w:t>
      </w:r>
    </w:p>
    <w:p w:rsidR="00EB338C" w:rsidRPr="00D24A11" w:rsidRDefault="00EB338C" w:rsidP="00EB338C">
      <w:pPr>
        <w:spacing w:line="480" w:lineRule="auto"/>
        <w:rPr>
          <w:b/>
          <w:u w:val="single"/>
        </w:rPr>
      </w:pPr>
      <w:r w:rsidRPr="00D24A11">
        <w:rPr>
          <w:b/>
          <w:u w:val="single"/>
        </w:rPr>
        <w:t xml:space="preserve">Table </w:t>
      </w:r>
      <w:r w:rsidR="00D23105">
        <w:rPr>
          <w:b/>
          <w:u w:val="single"/>
        </w:rPr>
        <w:t>19</w:t>
      </w:r>
      <w:r w:rsidRPr="00D24A11">
        <w:rPr>
          <w:b/>
          <w:u w:val="single"/>
        </w:rPr>
        <w:t xml:space="preserve"> – Lost Margin for Large Commercial &amp; Industrial Customers</w:t>
      </w:r>
    </w:p>
    <w:p w:rsidR="00EB338C" w:rsidRDefault="00EB338C" w:rsidP="00EB338C">
      <w:pPr>
        <w:spacing w:line="480" w:lineRule="auto"/>
        <w:ind w:firstLine="720"/>
        <w:jc w:val="both"/>
      </w:pPr>
      <w:r>
        <w:rPr>
          <w:noProof/>
        </w:rPr>
        <w:drawing>
          <wp:anchor distT="0" distB="0" distL="114300" distR="114300" simplePos="0" relativeHeight="251683328" behindDoc="1" locked="0" layoutInCell="1" allowOverlap="1">
            <wp:simplePos x="0" y="0"/>
            <wp:positionH relativeFrom="column">
              <wp:posOffset>544830</wp:posOffset>
            </wp:positionH>
            <wp:positionV relativeFrom="paragraph">
              <wp:posOffset>80010</wp:posOffset>
            </wp:positionV>
            <wp:extent cx="4476750" cy="12192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4476750" cy="1219200"/>
                    </a:xfrm>
                    <a:prstGeom prst="rect">
                      <a:avLst/>
                    </a:prstGeom>
                    <a:noFill/>
                    <a:ln w="9525">
                      <a:noFill/>
                      <a:miter lim="800000"/>
                      <a:headEnd/>
                      <a:tailEnd/>
                    </a:ln>
                  </pic:spPr>
                </pic:pic>
              </a:graphicData>
            </a:graphic>
          </wp:anchor>
        </w:drawing>
      </w:r>
    </w:p>
    <w:p w:rsidR="00EB338C" w:rsidRDefault="00EB338C" w:rsidP="00EB338C">
      <w:pPr>
        <w:spacing w:line="480" w:lineRule="auto"/>
        <w:ind w:firstLine="720"/>
        <w:jc w:val="both"/>
      </w:pPr>
    </w:p>
    <w:p w:rsidR="00EB338C" w:rsidRDefault="00EB338C" w:rsidP="00EB338C">
      <w:pPr>
        <w:spacing w:line="480" w:lineRule="auto"/>
        <w:ind w:firstLine="720"/>
        <w:jc w:val="both"/>
      </w:pPr>
    </w:p>
    <w:p w:rsidR="00EB338C" w:rsidRDefault="00EB338C" w:rsidP="00EB338C">
      <w:pPr>
        <w:spacing w:line="480" w:lineRule="auto"/>
        <w:ind w:firstLine="720"/>
        <w:jc w:val="both"/>
      </w:pPr>
    </w:p>
    <w:p w:rsidR="00EB338C" w:rsidRPr="00AD03A5" w:rsidRDefault="00EB338C" w:rsidP="00EB338C">
      <w:pPr>
        <w:spacing w:line="480" w:lineRule="auto"/>
        <w:ind w:firstLine="720"/>
        <w:jc w:val="both"/>
      </w:pPr>
    </w:p>
    <w:p w:rsidR="00EB338C" w:rsidRPr="00AD03A5" w:rsidRDefault="00EB338C" w:rsidP="00EB338C">
      <w:pPr>
        <w:spacing w:line="480" w:lineRule="auto"/>
        <w:jc w:val="both"/>
        <w:rPr>
          <w:b/>
        </w:rPr>
      </w:pPr>
      <w:r w:rsidRPr="00AD03A5">
        <w:t xml:space="preserve">If the lost margin becomes a more significant amount, the Company would plan to address the issue at that time.  </w:t>
      </w:r>
    </w:p>
    <w:p w:rsidR="008F70B5" w:rsidRPr="00AD03A5" w:rsidRDefault="008F70B5" w:rsidP="008F70B5">
      <w:pPr>
        <w:pStyle w:val="P267"/>
        <w:tabs>
          <w:tab w:val="clear" w:pos="360"/>
          <w:tab w:val="left" w:pos="0"/>
        </w:tabs>
        <w:ind w:left="0"/>
        <w:jc w:val="center"/>
        <w:rPr>
          <w:rFonts w:ascii="Times New Roman" w:hAnsi="Times New Roman" w:cs="Times New Roman"/>
        </w:rPr>
      </w:pPr>
      <w:r w:rsidRPr="00AD03A5">
        <w:rPr>
          <w:rFonts w:ascii="Times New Roman" w:hAnsi="Times New Roman" w:cs="Times New Roman"/>
        </w:rPr>
        <w:lastRenderedPageBreak/>
        <w:t xml:space="preserve">VIII.  </w:t>
      </w:r>
      <w:r w:rsidR="00AD03A5" w:rsidRPr="00AD03A5">
        <w:rPr>
          <w:rFonts w:ascii="Times New Roman" w:hAnsi="Times New Roman" w:cs="Times New Roman"/>
        </w:rPr>
        <w:t>SUMMARY OF UE-100467/UG-100468 ORDER 7 REQUIREMENTS</w:t>
      </w:r>
    </w:p>
    <w:p w:rsidR="008F70B5" w:rsidRDefault="008F70B5" w:rsidP="00AD03A5">
      <w:pPr>
        <w:spacing w:line="480" w:lineRule="auto"/>
        <w:ind w:firstLine="720"/>
        <w:jc w:val="both"/>
        <w:rPr>
          <w:b/>
        </w:rPr>
      </w:pPr>
      <w:r w:rsidRPr="00AD03A5">
        <w:rPr>
          <w:b/>
        </w:rPr>
        <w:t>Q.</w:t>
      </w:r>
      <w:r w:rsidRPr="00AD03A5">
        <w:rPr>
          <w:b/>
        </w:rPr>
        <w:tab/>
      </w:r>
      <w:r w:rsidR="00AD03A5">
        <w:rPr>
          <w:b/>
        </w:rPr>
        <w:t xml:space="preserve">There were several requirements the Company agreed to </w:t>
      </w:r>
      <w:r w:rsidR="00DA4A2B">
        <w:rPr>
          <w:b/>
        </w:rPr>
        <w:t>in the</w:t>
      </w:r>
      <w:r w:rsidR="00E90E6D">
        <w:rPr>
          <w:b/>
        </w:rPr>
        <w:t xml:space="preserve"> </w:t>
      </w:r>
      <w:r w:rsidR="00AD03A5">
        <w:rPr>
          <w:b/>
        </w:rPr>
        <w:t>Settlement Stipulation in Dockets UE-100467 and UG-100468</w:t>
      </w:r>
      <w:r w:rsidR="00DA4A2B">
        <w:rPr>
          <w:b/>
        </w:rPr>
        <w:t xml:space="preserve"> and which were approved by the </w:t>
      </w:r>
      <w:r w:rsidR="00CB6B66">
        <w:rPr>
          <w:b/>
        </w:rPr>
        <w:t>UTC</w:t>
      </w:r>
      <w:r w:rsidR="00AD03A5">
        <w:rPr>
          <w:b/>
        </w:rPr>
        <w:t xml:space="preserve">.  </w:t>
      </w:r>
      <w:r w:rsidR="0012232D">
        <w:rPr>
          <w:b/>
        </w:rPr>
        <w:t>Would</w:t>
      </w:r>
      <w:r w:rsidR="00AD03A5">
        <w:rPr>
          <w:b/>
        </w:rPr>
        <w:t xml:space="preserve"> you please provide a summary of those items and how they have been addressed by the Company in this rate case?</w:t>
      </w:r>
    </w:p>
    <w:p w:rsidR="00B62488" w:rsidRPr="00B62488" w:rsidRDefault="00AD03A5" w:rsidP="00B62488">
      <w:pPr>
        <w:spacing w:line="480" w:lineRule="auto"/>
        <w:ind w:firstLine="720"/>
        <w:jc w:val="both"/>
        <w:rPr>
          <w:rFonts w:eastAsia="Calibri"/>
        </w:rPr>
      </w:pPr>
      <w:r w:rsidRPr="00266EF0">
        <w:rPr>
          <w:rFonts w:eastAsia="Calibri"/>
        </w:rPr>
        <w:t>A.</w:t>
      </w:r>
      <w:r w:rsidRPr="00266EF0">
        <w:rPr>
          <w:rFonts w:eastAsia="Calibri"/>
        </w:rPr>
        <w:tab/>
      </w:r>
      <w:r w:rsidR="00266EF0" w:rsidRPr="00266EF0">
        <w:rPr>
          <w:rFonts w:eastAsia="Calibri"/>
        </w:rPr>
        <w:t xml:space="preserve">Yes.  </w:t>
      </w:r>
      <w:r w:rsidR="00D23105">
        <w:rPr>
          <w:rFonts w:eastAsia="Calibri"/>
        </w:rPr>
        <w:t>Table 20 b</w:t>
      </w:r>
      <w:r w:rsidR="00266EF0" w:rsidRPr="00266EF0">
        <w:rPr>
          <w:rFonts w:eastAsia="Calibri"/>
        </w:rPr>
        <w:t xml:space="preserve">elow </w:t>
      </w:r>
      <w:r w:rsidR="00D23105">
        <w:rPr>
          <w:rFonts w:eastAsia="Calibri"/>
        </w:rPr>
        <w:t>lists</w:t>
      </w:r>
      <w:r w:rsidR="00266EF0">
        <w:rPr>
          <w:rFonts w:eastAsia="Calibri"/>
        </w:rPr>
        <w:t xml:space="preserve"> the </w:t>
      </w:r>
      <w:r w:rsidR="00266EF0" w:rsidRPr="00266EF0">
        <w:rPr>
          <w:rFonts w:eastAsia="Calibri"/>
        </w:rPr>
        <w:t xml:space="preserve">items that the Company committed to as a part of the </w:t>
      </w:r>
      <w:r w:rsidR="00266EF0" w:rsidRPr="00DA4A2B">
        <w:rPr>
          <w:rFonts w:eastAsia="Calibri"/>
        </w:rPr>
        <w:t>Settlement Stipulation</w:t>
      </w:r>
      <w:r w:rsidR="00266EF0" w:rsidRPr="00266EF0">
        <w:rPr>
          <w:rFonts w:eastAsia="Calibri"/>
        </w:rPr>
        <w:t xml:space="preserve"> approved in Order No. 7</w:t>
      </w:r>
      <w:r w:rsidR="00266EF0">
        <w:rPr>
          <w:rFonts w:eastAsia="Calibri"/>
        </w:rPr>
        <w:t xml:space="preserve">.  The list details the </w:t>
      </w:r>
      <w:r w:rsidR="00E90E6D">
        <w:rPr>
          <w:rFonts w:eastAsia="Calibri"/>
        </w:rPr>
        <w:t>requirement</w:t>
      </w:r>
      <w:r w:rsidR="00266EF0">
        <w:rPr>
          <w:rFonts w:eastAsia="Calibri"/>
        </w:rPr>
        <w:t xml:space="preserve">, </w:t>
      </w:r>
      <w:r w:rsidR="00266EF0" w:rsidRPr="00266EF0">
        <w:rPr>
          <w:rFonts w:eastAsia="Calibri"/>
        </w:rPr>
        <w:t xml:space="preserve">the page number </w:t>
      </w:r>
      <w:r w:rsidR="00266EF0">
        <w:rPr>
          <w:rFonts w:eastAsia="Calibri"/>
        </w:rPr>
        <w:t xml:space="preserve">and paragraph where the item is located </w:t>
      </w:r>
      <w:r w:rsidR="00266EF0" w:rsidRPr="00266EF0">
        <w:rPr>
          <w:rFonts w:eastAsia="Calibri"/>
        </w:rPr>
        <w:t xml:space="preserve">in the Stipulation, and </w:t>
      </w:r>
      <w:r w:rsidR="00266EF0">
        <w:rPr>
          <w:rFonts w:eastAsia="Calibri"/>
        </w:rPr>
        <w:t>the witness that addresses the issue in this docket.</w:t>
      </w:r>
      <w:r w:rsidR="00B62488">
        <w:rPr>
          <w:rFonts w:eastAsia="Calibri"/>
          <w:b/>
          <w:u w:val="single"/>
        </w:rPr>
        <w:br w:type="page"/>
      </w:r>
    </w:p>
    <w:p w:rsidR="00204C48" w:rsidRPr="00204C48" w:rsidRDefault="00204C48" w:rsidP="00D23105">
      <w:pPr>
        <w:spacing w:line="480" w:lineRule="auto"/>
        <w:jc w:val="both"/>
        <w:rPr>
          <w:rFonts w:eastAsia="Calibri"/>
          <w:b/>
          <w:u w:val="single"/>
        </w:rPr>
      </w:pPr>
      <w:r w:rsidRPr="00204C48">
        <w:rPr>
          <w:rFonts w:eastAsia="Calibri"/>
          <w:b/>
          <w:u w:val="single"/>
        </w:rPr>
        <w:lastRenderedPageBreak/>
        <w:t xml:space="preserve">Table </w:t>
      </w:r>
      <w:r w:rsidR="00D23105">
        <w:rPr>
          <w:rFonts w:eastAsia="Calibri"/>
          <w:b/>
          <w:u w:val="single"/>
        </w:rPr>
        <w:t>20 – UE-100467 &amp; UG-100468 Settlement Stipulation Requirements</w:t>
      </w:r>
    </w:p>
    <w:p w:rsidR="00204C48" w:rsidRDefault="00DA4A2B" w:rsidP="00204C48">
      <w:pPr>
        <w:autoSpaceDE/>
        <w:autoSpaceDN/>
        <w:spacing w:line="480" w:lineRule="auto"/>
        <w:rPr>
          <w:rFonts w:eastAsia="Calibri"/>
          <w:highlight w:val="yellow"/>
        </w:rPr>
      </w:pPr>
      <w:r w:rsidRPr="00DA4A2B">
        <w:rPr>
          <w:rFonts w:eastAsia="Calibri"/>
          <w:noProof/>
        </w:rPr>
        <w:drawing>
          <wp:anchor distT="0" distB="0" distL="114300" distR="114300" simplePos="0" relativeHeight="251761152" behindDoc="1" locked="0" layoutInCell="1" allowOverlap="1">
            <wp:simplePos x="0" y="0"/>
            <wp:positionH relativeFrom="column">
              <wp:posOffset>20955</wp:posOffset>
            </wp:positionH>
            <wp:positionV relativeFrom="paragraph">
              <wp:posOffset>1905</wp:posOffset>
            </wp:positionV>
            <wp:extent cx="5577840" cy="6543675"/>
            <wp:effectExtent l="19050" t="0" r="3810" b="0"/>
            <wp:wrapNone/>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5577840" cy="6543675"/>
                    </a:xfrm>
                    <a:prstGeom prst="rect">
                      <a:avLst/>
                    </a:prstGeom>
                    <a:noFill/>
                    <a:ln w="9525">
                      <a:noFill/>
                      <a:miter lim="800000"/>
                      <a:headEnd/>
                      <a:tailEnd/>
                    </a:ln>
                  </pic:spPr>
                </pic:pic>
              </a:graphicData>
            </a:graphic>
          </wp:anchor>
        </w:drawing>
      </w: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66EF0" w:rsidRDefault="00266EF0" w:rsidP="00204C48">
      <w:pPr>
        <w:spacing w:line="480" w:lineRule="auto"/>
        <w:ind w:firstLine="720"/>
        <w:jc w:val="both"/>
        <w:rPr>
          <w:rFonts w:eastAsia="Calibri"/>
        </w:rPr>
      </w:pPr>
      <w:r>
        <w:rPr>
          <w:rFonts w:eastAsia="Calibri"/>
        </w:rPr>
        <w:t xml:space="preserve">In addition, there </w:t>
      </w:r>
      <w:r w:rsidR="00D65965">
        <w:rPr>
          <w:rFonts w:eastAsia="Calibri"/>
        </w:rPr>
        <w:t>was one item</w:t>
      </w:r>
      <w:r>
        <w:rPr>
          <w:rFonts w:eastAsia="Calibri"/>
        </w:rPr>
        <w:t xml:space="preserve"> that the Commission required the Company to address in this docket</w:t>
      </w:r>
      <w:r w:rsidR="00E90E6D">
        <w:rPr>
          <w:rFonts w:eastAsia="Calibri"/>
        </w:rPr>
        <w:t xml:space="preserve"> that w</w:t>
      </w:r>
      <w:r w:rsidR="00D65965">
        <w:rPr>
          <w:rFonts w:eastAsia="Calibri"/>
        </w:rPr>
        <w:t>as</w:t>
      </w:r>
      <w:r w:rsidR="00E90E6D">
        <w:rPr>
          <w:rFonts w:eastAsia="Calibri"/>
        </w:rPr>
        <w:t xml:space="preserve"> detailed </w:t>
      </w:r>
      <w:r w:rsidR="00E90E6D" w:rsidRPr="00DA4A2B">
        <w:rPr>
          <w:rFonts w:eastAsia="Calibri"/>
        </w:rPr>
        <w:t>in Order No. 7</w:t>
      </w:r>
      <w:r w:rsidRPr="00DA4A2B">
        <w:rPr>
          <w:rFonts w:eastAsia="Calibri"/>
        </w:rPr>
        <w:t>.</w:t>
      </w:r>
      <w:r>
        <w:rPr>
          <w:rFonts w:eastAsia="Calibri"/>
        </w:rPr>
        <w:t xml:space="preserve">  Below is the </w:t>
      </w:r>
      <w:r w:rsidR="00E90E6D">
        <w:rPr>
          <w:rFonts w:eastAsia="Calibri"/>
        </w:rPr>
        <w:t>requirement</w:t>
      </w:r>
      <w:r>
        <w:rPr>
          <w:rFonts w:eastAsia="Calibri"/>
        </w:rPr>
        <w:t xml:space="preserve">, </w:t>
      </w:r>
      <w:r w:rsidRPr="00266EF0">
        <w:rPr>
          <w:rFonts w:eastAsia="Calibri"/>
        </w:rPr>
        <w:t xml:space="preserve">the page </w:t>
      </w:r>
      <w:r w:rsidRPr="00266EF0">
        <w:rPr>
          <w:rFonts w:eastAsia="Calibri"/>
        </w:rPr>
        <w:lastRenderedPageBreak/>
        <w:t xml:space="preserve">number </w:t>
      </w:r>
      <w:r>
        <w:rPr>
          <w:rFonts w:eastAsia="Calibri"/>
        </w:rPr>
        <w:t xml:space="preserve">and paragraph where the item is located </w:t>
      </w:r>
      <w:r w:rsidRPr="00266EF0">
        <w:rPr>
          <w:rFonts w:eastAsia="Calibri"/>
        </w:rPr>
        <w:t xml:space="preserve">in </w:t>
      </w:r>
      <w:r>
        <w:rPr>
          <w:rFonts w:eastAsia="Calibri"/>
        </w:rPr>
        <w:t>Order No. 7</w:t>
      </w:r>
      <w:r w:rsidRPr="00266EF0">
        <w:rPr>
          <w:rFonts w:eastAsia="Calibri"/>
        </w:rPr>
        <w:t xml:space="preserve">, and </w:t>
      </w:r>
      <w:r>
        <w:rPr>
          <w:rFonts w:eastAsia="Calibri"/>
        </w:rPr>
        <w:t>the witness that addresses the issue.</w:t>
      </w:r>
    </w:p>
    <w:p w:rsidR="00C91091" w:rsidRPr="00C91091" w:rsidRDefault="00C91091" w:rsidP="00D23105">
      <w:pPr>
        <w:spacing w:line="480" w:lineRule="auto"/>
        <w:jc w:val="both"/>
        <w:rPr>
          <w:rFonts w:eastAsia="Calibri"/>
          <w:b/>
          <w:u w:val="single"/>
        </w:rPr>
      </w:pPr>
      <w:r w:rsidRPr="00C91091">
        <w:rPr>
          <w:rFonts w:eastAsia="Calibri"/>
          <w:b/>
          <w:u w:val="single"/>
        </w:rPr>
        <w:t xml:space="preserve">Table </w:t>
      </w:r>
      <w:r w:rsidR="00D23105">
        <w:rPr>
          <w:rFonts w:eastAsia="Calibri"/>
          <w:b/>
          <w:u w:val="single"/>
        </w:rPr>
        <w:t>21 – UE-100467 &amp; UG-100468 Order No. 7 Requirements</w:t>
      </w:r>
    </w:p>
    <w:p w:rsidR="00C91091" w:rsidRDefault="00DA4A2B" w:rsidP="00AD03A5">
      <w:pPr>
        <w:spacing w:line="480" w:lineRule="auto"/>
        <w:ind w:firstLine="720"/>
        <w:jc w:val="both"/>
        <w:rPr>
          <w:rFonts w:eastAsia="Calibri"/>
        </w:rPr>
      </w:pPr>
      <w:r w:rsidRPr="00DA4A2B">
        <w:rPr>
          <w:rFonts w:eastAsia="Calibri"/>
          <w:noProof/>
        </w:rPr>
        <w:drawing>
          <wp:anchor distT="0" distB="0" distL="114300" distR="114300" simplePos="0" relativeHeight="251762176" behindDoc="1" locked="0" layoutInCell="1" allowOverlap="1">
            <wp:simplePos x="0" y="0"/>
            <wp:positionH relativeFrom="column">
              <wp:posOffset>68580</wp:posOffset>
            </wp:positionH>
            <wp:positionV relativeFrom="paragraph">
              <wp:posOffset>-3810</wp:posOffset>
            </wp:positionV>
            <wp:extent cx="5577840" cy="1190625"/>
            <wp:effectExtent l="19050" t="0" r="3810" b="0"/>
            <wp:wrapNone/>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5577840" cy="1190625"/>
                    </a:xfrm>
                    <a:prstGeom prst="rect">
                      <a:avLst/>
                    </a:prstGeom>
                    <a:noFill/>
                    <a:ln w="9525">
                      <a:noFill/>
                      <a:miter lim="800000"/>
                      <a:headEnd/>
                      <a:tailEnd/>
                    </a:ln>
                  </pic:spPr>
                </pic:pic>
              </a:graphicData>
            </a:graphic>
          </wp:anchor>
        </w:drawing>
      </w:r>
    </w:p>
    <w:p w:rsidR="00C91091" w:rsidRDefault="00C91091" w:rsidP="00AD03A5">
      <w:pPr>
        <w:spacing w:line="480" w:lineRule="auto"/>
        <w:ind w:firstLine="720"/>
        <w:jc w:val="both"/>
        <w:rPr>
          <w:rFonts w:eastAsia="Calibri"/>
        </w:rPr>
      </w:pPr>
    </w:p>
    <w:p w:rsidR="00C91091" w:rsidRDefault="00C91091" w:rsidP="00AD03A5">
      <w:pPr>
        <w:spacing w:line="480" w:lineRule="auto"/>
        <w:ind w:firstLine="720"/>
        <w:jc w:val="both"/>
        <w:rPr>
          <w:rFonts w:eastAsia="Calibri"/>
        </w:rPr>
      </w:pPr>
    </w:p>
    <w:p w:rsidR="00204C48" w:rsidRDefault="00204C48" w:rsidP="00AD03A5">
      <w:pPr>
        <w:spacing w:line="480" w:lineRule="auto"/>
        <w:ind w:firstLine="720"/>
        <w:jc w:val="both"/>
        <w:rPr>
          <w:rFonts w:eastAsia="Calibri"/>
        </w:rPr>
      </w:pPr>
    </w:p>
    <w:p w:rsidR="00E90E6D" w:rsidRPr="0020672A" w:rsidRDefault="00E90E6D" w:rsidP="00E90E6D">
      <w:pPr>
        <w:spacing w:line="480" w:lineRule="auto"/>
        <w:ind w:firstLine="720"/>
        <w:jc w:val="both"/>
        <w:rPr>
          <w:b/>
        </w:rPr>
      </w:pPr>
      <w:r w:rsidRPr="0020672A">
        <w:rPr>
          <w:b/>
        </w:rPr>
        <w:t xml:space="preserve">Q.  </w:t>
      </w:r>
      <w:r>
        <w:rPr>
          <w:b/>
        </w:rPr>
        <w:tab/>
        <w:t>Were all the requirements in Order No. 7 and the Settlement Stipulation met by the Company prior to filing this general rate case?</w:t>
      </w:r>
    </w:p>
    <w:p w:rsidR="00266EF0" w:rsidRPr="004118A9" w:rsidRDefault="00E90E6D" w:rsidP="00E90E6D">
      <w:pPr>
        <w:spacing w:line="480" w:lineRule="auto"/>
        <w:ind w:firstLine="720"/>
        <w:rPr>
          <w:rFonts w:eastAsia="Calibri"/>
        </w:rPr>
      </w:pPr>
      <w:r w:rsidRPr="0020672A">
        <w:t>A.</w:t>
      </w:r>
      <w:r w:rsidRPr="0020672A">
        <w:rPr>
          <w:b/>
        </w:rPr>
        <w:t xml:space="preserve">  </w:t>
      </w:r>
      <w:r>
        <w:rPr>
          <w:b/>
        </w:rPr>
        <w:tab/>
      </w:r>
      <w:r>
        <w:t>Yes, a</w:t>
      </w:r>
      <w:r w:rsidR="00266EF0">
        <w:rPr>
          <w:rFonts w:eastAsia="Calibri"/>
        </w:rPr>
        <w:t>ll of the items that were required of the Company in Order No. 7 and the Settlement Stipulation were completed prior to filing this general rate case.</w:t>
      </w:r>
    </w:p>
    <w:p w:rsidR="00BF6CAC" w:rsidRPr="0020672A" w:rsidRDefault="00BF6CAC" w:rsidP="00E90E6D">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E90E6D">
      <w:pPr>
        <w:spacing w:line="480" w:lineRule="auto"/>
        <w:ind w:firstLine="720"/>
      </w:pPr>
      <w:r w:rsidRPr="0020672A">
        <w:t>A.</w:t>
      </w:r>
      <w:r w:rsidRPr="0020672A">
        <w:rPr>
          <w:b/>
        </w:rPr>
        <w:t xml:space="preserve">  </w:t>
      </w:r>
      <w:r>
        <w:rPr>
          <w:b/>
        </w:rPr>
        <w:tab/>
      </w:r>
      <w:r>
        <w:t xml:space="preserve">Yes it does. </w:t>
      </w:r>
    </w:p>
    <w:sectPr w:rsidR="00914F08" w:rsidRPr="00F72F9A" w:rsidSect="00AD2C96">
      <w:pgSz w:w="12240" w:h="15840" w:code="1"/>
      <w:pgMar w:top="1440" w:right="1584"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9F" w:rsidRDefault="00742B9F">
      <w:r>
        <w:separator/>
      </w:r>
    </w:p>
  </w:endnote>
  <w:endnote w:type="continuationSeparator" w:id="0">
    <w:p w:rsidR="00742B9F" w:rsidRDefault="00742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Pr="00C66B50" w:rsidRDefault="00742B9F">
    <w:pPr>
      <w:pStyle w:val="Footer"/>
      <w:tabs>
        <w:tab w:val="clear" w:pos="4320"/>
        <w:tab w:val="clear" w:pos="8640"/>
        <w:tab w:val="left" w:pos="180"/>
        <w:tab w:val="right" w:pos="9360"/>
      </w:tabs>
      <w:rPr>
        <w:sz w:val="22"/>
        <w:szCs w:val="22"/>
      </w:rPr>
    </w:pPr>
    <w:r w:rsidRPr="00C66B50">
      <w:rPr>
        <w:sz w:val="22"/>
        <w:szCs w:val="22"/>
      </w:rPr>
      <w:t xml:space="preserve">Direct Testimony of </w:t>
    </w:r>
    <w:r>
      <w:rPr>
        <w:sz w:val="22"/>
        <w:szCs w:val="22"/>
      </w:rPr>
      <w:t>Patrick D. Ehrbar</w:t>
    </w:r>
    <w:r w:rsidRPr="00C66B50">
      <w:rPr>
        <w:sz w:val="22"/>
        <w:szCs w:val="22"/>
      </w:rPr>
      <w:tab/>
    </w:r>
  </w:p>
  <w:p w:rsidR="00742B9F" w:rsidRPr="00C66B50" w:rsidRDefault="00742B9F">
    <w:pPr>
      <w:pStyle w:val="Footer"/>
      <w:tabs>
        <w:tab w:val="clear" w:pos="4320"/>
        <w:tab w:val="clear" w:pos="8640"/>
        <w:tab w:val="left" w:pos="180"/>
        <w:tab w:val="right" w:pos="9360"/>
      </w:tabs>
      <w:rPr>
        <w:sz w:val="22"/>
        <w:szCs w:val="22"/>
      </w:rPr>
    </w:pPr>
    <w:r w:rsidRPr="00C66B50">
      <w:rPr>
        <w:sz w:val="22"/>
        <w:szCs w:val="22"/>
      </w:rPr>
      <w:t>Avista Corporation</w:t>
    </w:r>
  </w:p>
  <w:p w:rsidR="00742B9F" w:rsidRDefault="00742B9F">
    <w:pPr>
      <w:pStyle w:val="Footer"/>
      <w:tabs>
        <w:tab w:val="clear" w:pos="4320"/>
        <w:tab w:val="clear" w:pos="8640"/>
        <w:tab w:val="left" w:pos="180"/>
        <w:tab w:val="right" w:pos="9360"/>
      </w:tabs>
      <w:rPr>
        <w:rStyle w:val="PageNumber"/>
        <w:sz w:val="22"/>
        <w:szCs w:val="22"/>
      </w:rPr>
    </w:pPr>
    <w:r w:rsidRPr="00C66B50">
      <w:rPr>
        <w:sz w:val="22"/>
        <w:szCs w:val="22"/>
      </w:rPr>
      <w:t>Docket Nos. UE-</w:t>
    </w:r>
    <w:r>
      <w:rPr>
        <w:sz w:val="22"/>
        <w:szCs w:val="22"/>
      </w:rPr>
      <w:t>11____</w:t>
    </w:r>
    <w:r w:rsidRPr="00C66B50">
      <w:rPr>
        <w:sz w:val="22"/>
        <w:szCs w:val="22"/>
      </w:rPr>
      <w:t xml:space="preserve"> and UG-</w:t>
    </w:r>
    <w:r>
      <w:rPr>
        <w:sz w:val="22"/>
        <w:szCs w:val="22"/>
      </w:rPr>
      <w:t>11____</w:t>
    </w:r>
    <w:r w:rsidRPr="00C66B50">
      <w:rPr>
        <w:sz w:val="22"/>
        <w:szCs w:val="22"/>
      </w:rPr>
      <w:tab/>
      <w:t xml:space="preserve">Page </w:t>
    </w:r>
    <w:r w:rsidR="00A931A6" w:rsidRPr="00C66B50">
      <w:rPr>
        <w:rStyle w:val="PageNumber"/>
        <w:sz w:val="22"/>
        <w:szCs w:val="22"/>
      </w:rPr>
      <w:fldChar w:fldCharType="begin"/>
    </w:r>
    <w:r w:rsidRPr="00C66B50">
      <w:rPr>
        <w:rStyle w:val="PageNumber"/>
        <w:sz w:val="22"/>
        <w:szCs w:val="22"/>
      </w:rPr>
      <w:instrText xml:space="preserve"> PAGE </w:instrText>
    </w:r>
    <w:r w:rsidR="00A931A6" w:rsidRPr="00C66B50">
      <w:rPr>
        <w:rStyle w:val="PageNumber"/>
        <w:sz w:val="22"/>
        <w:szCs w:val="22"/>
      </w:rPr>
      <w:fldChar w:fldCharType="separate"/>
    </w:r>
    <w:r w:rsidR="003F5EB7">
      <w:rPr>
        <w:rStyle w:val="PageNumber"/>
        <w:noProof/>
        <w:sz w:val="22"/>
        <w:szCs w:val="22"/>
      </w:rPr>
      <w:t>44</w:t>
    </w:r>
    <w:r w:rsidR="00A931A6" w:rsidRPr="00C66B50">
      <w:rPr>
        <w:rStyle w:val="PageNumber"/>
        <w:sz w:val="22"/>
        <w:szCs w:val="22"/>
      </w:rPr>
      <w:fldChar w:fldCharType="end"/>
    </w:r>
  </w:p>
  <w:p w:rsidR="00742B9F" w:rsidRPr="00C66B50" w:rsidRDefault="00742B9F">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Default="00742B9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9F" w:rsidRDefault="00742B9F">
      <w:r>
        <w:separator/>
      </w:r>
    </w:p>
  </w:footnote>
  <w:footnote w:type="continuationSeparator" w:id="0">
    <w:p w:rsidR="00742B9F" w:rsidRDefault="00742B9F">
      <w:r>
        <w:continuationSeparator/>
      </w:r>
    </w:p>
  </w:footnote>
  <w:footnote w:id="1">
    <w:p w:rsidR="00742B9F" w:rsidRPr="004A5E9F" w:rsidRDefault="00742B9F" w:rsidP="00916D0F">
      <w:pPr>
        <w:pStyle w:val="TestBody"/>
        <w:widowControl w:val="0"/>
        <w:tabs>
          <w:tab w:val="left" w:pos="1440"/>
        </w:tabs>
        <w:spacing w:line="240" w:lineRule="auto"/>
        <w:ind w:left="0" w:right="-101" w:firstLine="0"/>
        <w:rPr>
          <w:rFonts w:ascii="Times New Roman" w:hAnsi="Times New Roman" w:cs="Times New Roman"/>
          <w:sz w:val="20"/>
        </w:rPr>
      </w:pPr>
      <w:r>
        <w:rPr>
          <w:rStyle w:val="FootnoteReference"/>
        </w:rPr>
        <w:footnoteRef/>
      </w:r>
      <w:r>
        <w:t xml:space="preserve"> </w:t>
      </w:r>
      <w:r w:rsidRPr="00B312FA">
        <w:rPr>
          <w:rFonts w:ascii="Times New Roman" w:hAnsi="Times New Roman" w:cs="Times New Roman"/>
          <w:sz w:val="20"/>
          <w:szCs w:val="20"/>
        </w:rPr>
        <w:t xml:space="preserve">For </w:t>
      </w:r>
      <w:r>
        <w:rPr>
          <w:rFonts w:ascii="Times New Roman" w:hAnsi="Times New Roman" w:cs="Times New Roman"/>
          <w:sz w:val="20"/>
          <w:szCs w:val="20"/>
        </w:rPr>
        <w:t>Schedule 146, i</w:t>
      </w:r>
      <w:r w:rsidRPr="00B312FA">
        <w:rPr>
          <w:rFonts w:ascii="Times New Roman" w:hAnsi="Times New Roman" w:cs="Times New Roman"/>
          <w:sz w:val="20"/>
          <w:szCs w:val="20"/>
        </w:rPr>
        <w:t>ncluding a</w:t>
      </w:r>
      <w:r>
        <w:rPr>
          <w:rFonts w:ascii="Times New Roman" w:hAnsi="Times New Roman" w:cs="Times New Roman"/>
          <w:sz w:val="20"/>
          <w:szCs w:val="20"/>
        </w:rPr>
        <w:t>n estimate</w:t>
      </w:r>
      <w:r w:rsidRPr="00B312FA">
        <w:rPr>
          <w:rFonts w:ascii="Times New Roman" w:hAnsi="Times New Roman" w:cs="Times New Roman"/>
          <w:sz w:val="20"/>
          <w:szCs w:val="20"/>
        </w:rPr>
        <w:t xml:space="preserve"> of 40.0 cents per therm for the cost of gas and pipeline </w:t>
      </w:r>
      <w:r>
        <w:rPr>
          <w:rFonts w:ascii="Times New Roman" w:hAnsi="Times New Roman" w:cs="Times New Roman"/>
          <w:sz w:val="20"/>
          <w:szCs w:val="20"/>
        </w:rPr>
        <w:t>t</w:t>
      </w:r>
      <w:r w:rsidRPr="00B312FA">
        <w:rPr>
          <w:rFonts w:ascii="Times New Roman" w:hAnsi="Times New Roman" w:cs="Times New Roman"/>
          <w:sz w:val="20"/>
          <w:szCs w:val="20"/>
        </w:rPr>
        <w:t xml:space="preserve">ransportation, the proposed increase to Schedule 146 rates represents an average increase of </w:t>
      </w:r>
      <w:r>
        <w:rPr>
          <w:rFonts w:ascii="Times New Roman" w:hAnsi="Times New Roman" w:cs="Times New Roman"/>
          <w:sz w:val="20"/>
          <w:szCs w:val="20"/>
        </w:rPr>
        <w:t>0.7</w:t>
      </w:r>
      <w:r w:rsidRPr="00B312FA">
        <w:rPr>
          <w:rFonts w:ascii="Times New Roman" w:hAnsi="Times New Roman" w:cs="Times New Roman"/>
          <w:sz w:val="20"/>
          <w:szCs w:val="20"/>
        </w:rPr>
        <w:t>% in those customers’ total gas bill.</w:t>
      </w:r>
    </w:p>
    <w:p w:rsidR="00742B9F" w:rsidRDefault="00742B9F" w:rsidP="00916D0F">
      <w:pPr>
        <w:pStyle w:val="FootnoteText"/>
      </w:pPr>
    </w:p>
  </w:footnote>
  <w:footnote w:id="2">
    <w:p w:rsidR="00742B9F" w:rsidRPr="00EB082C" w:rsidRDefault="00742B9F" w:rsidP="008C49C5">
      <w:pPr>
        <w:pStyle w:val="FootnoteText"/>
      </w:pPr>
      <w:r w:rsidRPr="00EB082C">
        <w:rPr>
          <w:rStyle w:val="FootnoteReference"/>
        </w:rPr>
        <w:footnoteRef/>
      </w:r>
      <w:r w:rsidRPr="00EB082C">
        <w:t xml:space="preserve"> 2009 Avista Electric Integrated Resource Plan, Page 7-1.  (</w:t>
      </w:r>
      <w:r w:rsidR="005678FA">
        <w:t>S</w:t>
      </w:r>
      <w:r w:rsidRPr="00EB082C">
        <w:t xml:space="preserve">ee Exhibit No. </w:t>
      </w:r>
      <w:r w:rsidRPr="0031526F">
        <w:t>___(RJL-2))</w:t>
      </w:r>
      <w:r w:rsidRPr="00EB082C">
        <w:t xml:space="preserve">  The forecast shows $79.56 per </w:t>
      </w:r>
      <w:proofErr w:type="spellStart"/>
      <w:r w:rsidRPr="00EB082C">
        <w:t>mWh</w:t>
      </w:r>
      <w:proofErr w:type="spellEnd"/>
      <w:r w:rsidRPr="00EB082C">
        <w:t>.</w:t>
      </w:r>
    </w:p>
  </w:footnote>
  <w:footnote w:id="3">
    <w:p w:rsidR="00742B9F" w:rsidRDefault="00742B9F" w:rsidP="002C0C2F">
      <w:pPr>
        <w:pStyle w:val="FootnoteText"/>
      </w:pPr>
      <w:r>
        <w:rPr>
          <w:rStyle w:val="FootnoteReference"/>
        </w:rPr>
        <w:footnoteRef/>
      </w:r>
      <w:r>
        <w:t xml:space="preserve"> </w:t>
      </w:r>
      <w:r w:rsidRPr="00133769">
        <w:t>Exhibit No. ___(TLK-4), page 3, line 28</w:t>
      </w:r>
    </w:p>
  </w:footnote>
  <w:footnote w:id="4">
    <w:p w:rsidR="00742B9F" w:rsidRDefault="00742B9F">
      <w:pPr>
        <w:pStyle w:val="FootnoteText"/>
      </w:pPr>
      <w:r>
        <w:rPr>
          <w:rStyle w:val="FootnoteReference"/>
        </w:rPr>
        <w:footnoteRef/>
      </w:r>
      <w:r>
        <w:t xml:space="preserve"> Schedule 11 Minimum Charge increase </w:t>
      </w:r>
      <w:r w:rsidR="005678FA">
        <w:t>equals the</w:t>
      </w:r>
      <w:r>
        <w:t xml:space="preserve"> $3 increase in Schedule 101 Basic Change plus 200 therms multiplied by the change in the variable rate (200*$0.00393 = $0.79).  </w:t>
      </w:r>
    </w:p>
  </w:footnote>
  <w:footnote w:id="5">
    <w:p w:rsidR="00742B9F" w:rsidRPr="00EB082C" w:rsidRDefault="00742B9F" w:rsidP="00F10C1F">
      <w:pPr>
        <w:pStyle w:val="FootnoteText"/>
      </w:pPr>
      <w:r w:rsidRPr="00EB082C">
        <w:rPr>
          <w:rStyle w:val="FootnoteReference"/>
        </w:rPr>
        <w:footnoteRef/>
      </w:r>
      <w:r w:rsidRPr="00EB082C">
        <w:t xml:space="preserve"> 2009 Avista Electric Integrated Resource Plan, Page 7-1.  (see Exhibit No. </w:t>
      </w:r>
      <w:r w:rsidRPr="0031526F">
        <w:t>___(RJL-2))</w:t>
      </w:r>
      <w:r w:rsidRPr="00EB082C">
        <w:t xml:space="preserve">  The forecast shows $79.56 per </w:t>
      </w:r>
      <w:proofErr w:type="spellStart"/>
      <w:r w:rsidRPr="00EB082C">
        <w:t>mWh</w:t>
      </w:r>
      <w:proofErr w:type="spellEnd"/>
      <w:r w:rsidRPr="00EB082C">
        <w:t>.</w:t>
      </w:r>
    </w:p>
  </w:footnote>
  <w:footnote w:id="6">
    <w:p w:rsidR="00742B9F" w:rsidRDefault="00742B9F" w:rsidP="00F10C1F">
      <w:pPr>
        <w:pStyle w:val="FootnoteText"/>
      </w:pPr>
      <w:r w:rsidRPr="00EB082C">
        <w:rPr>
          <w:rStyle w:val="FootnoteReference"/>
        </w:rPr>
        <w:footnoteRef/>
      </w:r>
      <w:r w:rsidRPr="00EB082C">
        <w:t xml:space="preserve"> 2009 Avista Natural Gas Integrated Resource Plan, Page 1.5  (See Exhibit No. </w:t>
      </w:r>
      <w:r w:rsidRPr="0031526F">
        <w:t>___(KJC-</w:t>
      </w:r>
      <w:r>
        <w:t>2</w:t>
      </w:r>
      <w:r w:rsidRPr="00EB082C">
        <w:t>))</w:t>
      </w:r>
    </w:p>
  </w:footnote>
  <w:footnote w:id="7">
    <w:p w:rsidR="00742B9F" w:rsidRDefault="00742B9F" w:rsidP="00F10C1F">
      <w:pPr>
        <w:pStyle w:val="FootnoteText"/>
      </w:pPr>
      <w:r>
        <w:rPr>
          <w:rStyle w:val="FootnoteReference"/>
        </w:rPr>
        <w:footnoteRef/>
      </w:r>
      <w:r>
        <w:t xml:space="preserve"> </w:t>
      </w:r>
      <w:r w:rsidRPr="00AE2FA5">
        <w:t>Order No. 08, Dockets UE-060266 and UG-060267</w:t>
      </w:r>
      <w:r>
        <w:t xml:space="preserve">, </w:t>
      </w:r>
      <w:smartTag w:uri="urn:schemas-microsoft-com:office:smarttags" w:element="place">
        <w:r>
          <w:t>Para</w:t>
        </w:r>
      </w:smartTag>
      <w:r>
        <w:t xml:space="preserve">. 139 </w:t>
      </w:r>
    </w:p>
  </w:footnote>
  <w:footnote w:id="8">
    <w:p w:rsidR="00742B9F" w:rsidRDefault="00742B9F" w:rsidP="00F10C1F">
      <w:pPr>
        <w:pStyle w:val="FootnoteText"/>
      </w:pPr>
      <w:r>
        <w:rPr>
          <w:rStyle w:val="FootnoteReference"/>
        </w:rPr>
        <w:footnoteRef/>
      </w:r>
      <w:r>
        <w:t xml:space="preserve"> Titus “Evaluation of Avista Gas Decoupling Mechanism Pilot”, Page 81, Table </w:t>
      </w:r>
      <w:proofErr w:type="spellStart"/>
      <w:r>
        <w:t>K10</w:t>
      </w:r>
      <w:proofErr w:type="spellEnd"/>
      <w:r>
        <w:t>. See Docket UG-060518.</w:t>
      </w:r>
    </w:p>
  </w:footnote>
  <w:footnote w:id="9">
    <w:p w:rsidR="00742B9F" w:rsidRDefault="00742B9F" w:rsidP="00882549">
      <w:pPr>
        <w:pStyle w:val="FootnoteText"/>
      </w:pPr>
      <w:r>
        <w:rPr>
          <w:rStyle w:val="FootnoteReference"/>
        </w:rPr>
        <w:footnoteRef/>
      </w:r>
      <w:r>
        <w:t xml:space="preserve"> RCW 19.285.040</w:t>
      </w:r>
    </w:p>
  </w:footnote>
  <w:footnote w:id="10">
    <w:p w:rsidR="00742B9F" w:rsidRDefault="00742B9F" w:rsidP="00882549">
      <w:pPr>
        <w:pStyle w:val="FootnoteText"/>
      </w:pPr>
      <w:r>
        <w:rPr>
          <w:rStyle w:val="FootnoteReference"/>
        </w:rPr>
        <w:footnoteRef/>
      </w:r>
      <w:r>
        <w:t xml:space="preserve"> Id.</w:t>
      </w:r>
    </w:p>
  </w:footnote>
  <w:footnote w:id="11">
    <w:p w:rsidR="00742B9F" w:rsidRDefault="00742B9F" w:rsidP="00882549">
      <w:pPr>
        <w:pStyle w:val="FootnoteText"/>
      </w:pPr>
      <w:r>
        <w:rPr>
          <w:rStyle w:val="FootnoteReference"/>
        </w:rPr>
        <w:footnoteRef/>
      </w:r>
      <w:r>
        <w:t xml:space="preserve"> Docket UE-100167, Order No. 1, Paragraph 17 </w:t>
      </w:r>
    </w:p>
  </w:footnote>
  <w:footnote w:id="12">
    <w:p w:rsidR="00742B9F" w:rsidRDefault="00742B9F" w:rsidP="00EF07BA">
      <w:pPr>
        <w:pStyle w:val="FootnoteText"/>
      </w:pPr>
      <w:r>
        <w:rPr>
          <w:rStyle w:val="FootnoteReference"/>
        </w:rPr>
        <w:footnoteRef/>
      </w:r>
      <w:r>
        <w:t xml:space="preserve"> See Docket UG-110790</w:t>
      </w:r>
    </w:p>
  </w:footnote>
  <w:footnote w:id="13">
    <w:p w:rsidR="00742B9F" w:rsidRPr="006B346B" w:rsidRDefault="00742B9F" w:rsidP="00882549">
      <w:pPr>
        <w:pStyle w:val="FootnoteText"/>
        <w:jc w:val="both"/>
      </w:pPr>
      <w:r w:rsidRPr="006B346B">
        <w:rPr>
          <w:rStyle w:val="FootnoteReference"/>
        </w:rPr>
        <w:footnoteRef/>
      </w:r>
      <w:r w:rsidRPr="006B346B">
        <w:t xml:space="preserve"> </w:t>
      </w:r>
      <w:bookmarkStart w:id="1" w:name="19.285.060"/>
      <w:r>
        <w:t xml:space="preserve">RCW 19.285.060 - </w:t>
      </w:r>
      <w:r w:rsidRPr="006B346B">
        <w:rPr>
          <w:rStyle w:val="apple-style-span"/>
          <w:color w:val="000000"/>
        </w:rPr>
        <w:t>A qualifying utility that fails to comply with the energy conservation or renewable energy targets established in</w:t>
      </w:r>
      <w:r>
        <w:rPr>
          <w:rStyle w:val="apple-style-span"/>
          <w:color w:val="000000"/>
        </w:rPr>
        <w:t xml:space="preserve"> </w:t>
      </w:r>
      <w:r w:rsidRPr="006B346B">
        <w:rPr>
          <w:rStyle w:val="apple-style-span"/>
          <w:color w:val="000000"/>
        </w:rPr>
        <w:t>RCW</w:t>
      </w:r>
      <w:r w:rsidRPr="006B346B">
        <w:rPr>
          <w:rStyle w:val="apple-converted-space"/>
          <w:color w:val="000000"/>
        </w:rPr>
        <w:t> </w:t>
      </w:r>
      <w:bookmarkEnd w:id="1"/>
      <w:r w:rsidRPr="006B346B">
        <w:rPr>
          <w:rStyle w:val="apple-style-span"/>
          <w:color w:val="000000"/>
        </w:rPr>
        <w:t>19.285.040</w:t>
      </w:r>
      <w:r w:rsidRPr="006B346B">
        <w:rPr>
          <w:rStyle w:val="apple-converted-space"/>
          <w:color w:val="000000"/>
        </w:rPr>
        <w:t> </w:t>
      </w:r>
      <w:r w:rsidRPr="006B346B">
        <w:rPr>
          <w:rStyle w:val="apple-style-span"/>
          <w:color w:val="000000"/>
        </w:rPr>
        <w:t>shall pay an administrative penalty to the state of Washington in the amount of fifty dollars for each</w:t>
      </w:r>
      <w:r>
        <w:rPr>
          <w:rStyle w:val="apple-style-span"/>
          <w:color w:val="000000"/>
        </w:rPr>
        <w:t xml:space="preserve"> </w:t>
      </w:r>
      <w:r w:rsidRPr="006B346B">
        <w:rPr>
          <w:rStyle w:val="apple-style-span"/>
          <w:color w:val="000000"/>
        </w:rPr>
        <w:t>megawatt-hour of shortfall</w:t>
      </w:r>
      <w:r>
        <w:rPr>
          <w:rStyle w:val="apple-style-span"/>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Default="00742B9F">
    <w:pPr>
      <w:pStyle w:val="Header"/>
      <w:jc w:val="right"/>
    </w:pPr>
    <w:r>
      <w:t>Exhibit No. ___(PDE-</w:t>
    </w:r>
    <w:proofErr w:type="spellStart"/>
    <w:r>
      <w:t>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Default="00742B9F" w:rsidP="007B58C5">
    <w:pPr>
      <w:pStyle w:val="Header"/>
      <w:jc w:val="right"/>
    </w:pPr>
    <w:r>
      <w:t>Exhibit No. ___(PDE-</w:t>
    </w:r>
    <w:proofErr w:type="spellStart"/>
    <w:r>
      <w:t>1T</w:t>
    </w:r>
    <w:proofErr w:type="spellEnd"/>
    <w:r>
      <w:t>)</w:t>
    </w:r>
  </w:p>
  <w:p w:rsidR="00742B9F" w:rsidRDefault="00742B9F"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5">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6">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4"/>
  </w:num>
  <w:num w:numId="13">
    <w:abstractNumId w:val="42"/>
  </w:num>
  <w:num w:numId="14">
    <w:abstractNumId w:val="46"/>
  </w:num>
  <w:num w:numId="15">
    <w:abstractNumId w:val="13"/>
  </w:num>
  <w:num w:numId="16">
    <w:abstractNumId w:val="16"/>
  </w:num>
  <w:num w:numId="17">
    <w:abstractNumId w:val="23"/>
  </w:num>
  <w:num w:numId="18">
    <w:abstractNumId w:val="43"/>
  </w:num>
  <w:num w:numId="19">
    <w:abstractNumId w:val="18"/>
  </w:num>
  <w:num w:numId="20">
    <w:abstractNumId w:val="36"/>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1"/>
  </w:num>
  <w:num w:numId="29">
    <w:abstractNumId w:val="11"/>
  </w:num>
  <w:num w:numId="30">
    <w:abstractNumId w:val="31"/>
  </w:num>
  <w:num w:numId="31">
    <w:abstractNumId w:val="37"/>
  </w:num>
  <w:num w:numId="32">
    <w:abstractNumId w:val="38"/>
  </w:num>
  <w:num w:numId="33">
    <w:abstractNumId w:val="32"/>
  </w:num>
  <w:num w:numId="34">
    <w:abstractNumId w:val="7"/>
  </w:num>
  <w:num w:numId="35">
    <w:abstractNumId w:val="33"/>
  </w:num>
  <w:num w:numId="36">
    <w:abstractNumId w:val="45"/>
  </w:num>
  <w:num w:numId="37">
    <w:abstractNumId w:val="5"/>
  </w:num>
  <w:num w:numId="38">
    <w:abstractNumId w:val="27"/>
  </w:num>
  <w:num w:numId="39">
    <w:abstractNumId w:val="15"/>
  </w:num>
  <w:num w:numId="40">
    <w:abstractNumId w:val="40"/>
  </w:num>
  <w:num w:numId="41">
    <w:abstractNumId w:val="25"/>
  </w:num>
  <w:num w:numId="42">
    <w:abstractNumId w:val="34"/>
  </w:num>
  <w:num w:numId="43">
    <w:abstractNumId w:val="0"/>
  </w:num>
  <w:num w:numId="44">
    <w:abstractNumId w:val="30"/>
  </w:num>
  <w:num w:numId="45">
    <w:abstractNumId w:val="9"/>
  </w:num>
  <w:num w:numId="46">
    <w:abstractNumId w:val="39"/>
  </w:num>
  <w:num w:numId="47">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7E94"/>
    <w:rsid w:val="00010FB3"/>
    <w:rsid w:val="00013EB7"/>
    <w:rsid w:val="0001498B"/>
    <w:rsid w:val="00016F05"/>
    <w:rsid w:val="00024AC8"/>
    <w:rsid w:val="0003347A"/>
    <w:rsid w:val="0003621B"/>
    <w:rsid w:val="00042739"/>
    <w:rsid w:val="00046323"/>
    <w:rsid w:val="000504EF"/>
    <w:rsid w:val="00054A99"/>
    <w:rsid w:val="00064145"/>
    <w:rsid w:val="00066C73"/>
    <w:rsid w:val="0006733F"/>
    <w:rsid w:val="00067420"/>
    <w:rsid w:val="00070A2E"/>
    <w:rsid w:val="00075515"/>
    <w:rsid w:val="00075612"/>
    <w:rsid w:val="000831A6"/>
    <w:rsid w:val="0008527C"/>
    <w:rsid w:val="000925D0"/>
    <w:rsid w:val="000926CF"/>
    <w:rsid w:val="0009624A"/>
    <w:rsid w:val="0009730E"/>
    <w:rsid w:val="000A0894"/>
    <w:rsid w:val="000A204F"/>
    <w:rsid w:val="000A2244"/>
    <w:rsid w:val="000A232B"/>
    <w:rsid w:val="000A2AD6"/>
    <w:rsid w:val="000A3548"/>
    <w:rsid w:val="000A4A15"/>
    <w:rsid w:val="000A4C44"/>
    <w:rsid w:val="000A502C"/>
    <w:rsid w:val="000A6665"/>
    <w:rsid w:val="000A6734"/>
    <w:rsid w:val="000A6BBC"/>
    <w:rsid w:val="000B567E"/>
    <w:rsid w:val="000B6A29"/>
    <w:rsid w:val="000C64E4"/>
    <w:rsid w:val="000D5132"/>
    <w:rsid w:val="000D6ABC"/>
    <w:rsid w:val="000D6BFD"/>
    <w:rsid w:val="000D7C83"/>
    <w:rsid w:val="000E2E27"/>
    <w:rsid w:val="000E6F31"/>
    <w:rsid w:val="000F0B81"/>
    <w:rsid w:val="000F2A4D"/>
    <w:rsid w:val="000F3263"/>
    <w:rsid w:val="000F3897"/>
    <w:rsid w:val="000F3DC4"/>
    <w:rsid w:val="000F6CFB"/>
    <w:rsid w:val="00100091"/>
    <w:rsid w:val="001020C1"/>
    <w:rsid w:val="00102C9F"/>
    <w:rsid w:val="00102DA5"/>
    <w:rsid w:val="00103E4A"/>
    <w:rsid w:val="00106FF3"/>
    <w:rsid w:val="001121FA"/>
    <w:rsid w:val="00112801"/>
    <w:rsid w:val="001210ED"/>
    <w:rsid w:val="0012232D"/>
    <w:rsid w:val="00122BB9"/>
    <w:rsid w:val="0012369E"/>
    <w:rsid w:val="001279B7"/>
    <w:rsid w:val="00131A33"/>
    <w:rsid w:val="00131E05"/>
    <w:rsid w:val="00133769"/>
    <w:rsid w:val="00137989"/>
    <w:rsid w:val="00141F88"/>
    <w:rsid w:val="00147D24"/>
    <w:rsid w:val="00150518"/>
    <w:rsid w:val="00156D28"/>
    <w:rsid w:val="0015701E"/>
    <w:rsid w:val="00162D05"/>
    <w:rsid w:val="001634DE"/>
    <w:rsid w:val="00170A22"/>
    <w:rsid w:val="00171B4C"/>
    <w:rsid w:val="00174FCE"/>
    <w:rsid w:val="0017674C"/>
    <w:rsid w:val="00177866"/>
    <w:rsid w:val="00177CFC"/>
    <w:rsid w:val="00180519"/>
    <w:rsid w:val="0019267A"/>
    <w:rsid w:val="001A3017"/>
    <w:rsid w:val="001A315C"/>
    <w:rsid w:val="001A4278"/>
    <w:rsid w:val="001A60D6"/>
    <w:rsid w:val="001B23F5"/>
    <w:rsid w:val="001B3BF7"/>
    <w:rsid w:val="001C4645"/>
    <w:rsid w:val="001C57DE"/>
    <w:rsid w:val="001C5F10"/>
    <w:rsid w:val="001C6565"/>
    <w:rsid w:val="001D224A"/>
    <w:rsid w:val="001E12F2"/>
    <w:rsid w:val="001E427B"/>
    <w:rsid w:val="001E65B2"/>
    <w:rsid w:val="001F0D77"/>
    <w:rsid w:val="001F4EC4"/>
    <w:rsid w:val="00203679"/>
    <w:rsid w:val="002041A4"/>
    <w:rsid w:val="00204C48"/>
    <w:rsid w:val="00207D6E"/>
    <w:rsid w:val="00216493"/>
    <w:rsid w:val="00232747"/>
    <w:rsid w:val="002336F1"/>
    <w:rsid w:val="00233F30"/>
    <w:rsid w:val="002369E0"/>
    <w:rsid w:val="002543B2"/>
    <w:rsid w:val="00257659"/>
    <w:rsid w:val="00265299"/>
    <w:rsid w:val="00266EF0"/>
    <w:rsid w:val="00272E6B"/>
    <w:rsid w:val="002734F6"/>
    <w:rsid w:val="002746C1"/>
    <w:rsid w:val="00280678"/>
    <w:rsid w:val="0028794F"/>
    <w:rsid w:val="0029101F"/>
    <w:rsid w:val="00292D6F"/>
    <w:rsid w:val="00294B78"/>
    <w:rsid w:val="0029596D"/>
    <w:rsid w:val="002A1F24"/>
    <w:rsid w:val="002A2752"/>
    <w:rsid w:val="002A433D"/>
    <w:rsid w:val="002B6EA3"/>
    <w:rsid w:val="002B738D"/>
    <w:rsid w:val="002C0C2F"/>
    <w:rsid w:val="002C1940"/>
    <w:rsid w:val="002C60CB"/>
    <w:rsid w:val="002E3552"/>
    <w:rsid w:val="002F0D16"/>
    <w:rsid w:val="002F3BC3"/>
    <w:rsid w:val="00301EC5"/>
    <w:rsid w:val="0031526F"/>
    <w:rsid w:val="003162C7"/>
    <w:rsid w:val="003279B2"/>
    <w:rsid w:val="00334F95"/>
    <w:rsid w:val="00336CAF"/>
    <w:rsid w:val="003370D8"/>
    <w:rsid w:val="00337649"/>
    <w:rsid w:val="00346019"/>
    <w:rsid w:val="00352B85"/>
    <w:rsid w:val="003538D4"/>
    <w:rsid w:val="003B133A"/>
    <w:rsid w:val="003C3120"/>
    <w:rsid w:val="003C50D7"/>
    <w:rsid w:val="003D2E9A"/>
    <w:rsid w:val="003D716B"/>
    <w:rsid w:val="003E2C1F"/>
    <w:rsid w:val="003E52DF"/>
    <w:rsid w:val="003F11AC"/>
    <w:rsid w:val="003F5EB7"/>
    <w:rsid w:val="003F766B"/>
    <w:rsid w:val="0040013A"/>
    <w:rsid w:val="00411FE6"/>
    <w:rsid w:val="004163BA"/>
    <w:rsid w:val="00416D8E"/>
    <w:rsid w:val="0043473F"/>
    <w:rsid w:val="00434EE0"/>
    <w:rsid w:val="00444CC5"/>
    <w:rsid w:val="0044635D"/>
    <w:rsid w:val="00451B1C"/>
    <w:rsid w:val="004568E4"/>
    <w:rsid w:val="00460A8B"/>
    <w:rsid w:val="004713C9"/>
    <w:rsid w:val="00474CF8"/>
    <w:rsid w:val="00476E35"/>
    <w:rsid w:val="004868D1"/>
    <w:rsid w:val="004940D3"/>
    <w:rsid w:val="00497EDA"/>
    <w:rsid w:val="004A3FBB"/>
    <w:rsid w:val="004A43E9"/>
    <w:rsid w:val="004A5E75"/>
    <w:rsid w:val="004A5E9F"/>
    <w:rsid w:val="004B1B0F"/>
    <w:rsid w:val="004B1D0C"/>
    <w:rsid w:val="004B23F1"/>
    <w:rsid w:val="004B4017"/>
    <w:rsid w:val="004B6F76"/>
    <w:rsid w:val="004C1B9A"/>
    <w:rsid w:val="004C2025"/>
    <w:rsid w:val="004C58FC"/>
    <w:rsid w:val="004C5C79"/>
    <w:rsid w:val="004D081B"/>
    <w:rsid w:val="004D0E04"/>
    <w:rsid w:val="004D102F"/>
    <w:rsid w:val="004D1B1A"/>
    <w:rsid w:val="004D207D"/>
    <w:rsid w:val="004D28F2"/>
    <w:rsid w:val="004D772E"/>
    <w:rsid w:val="004E4650"/>
    <w:rsid w:val="004E5181"/>
    <w:rsid w:val="004F713F"/>
    <w:rsid w:val="0050216C"/>
    <w:rsid w:val="005141FE"/>
    <w:rsid w:val="00515008"/>
    <w:rsid w:val="00517717"/>
    <w:rsid w:val="00524793"/>
    <w:rsid w:val="00524EA6"/>
    <w:rsid w:val="00531D60"/>
    <w:rsid w:val="00541BEB"/>
    <w:rsid w:val="0054237D"/>
    <w:rsid w:val="005426B3"/>
    <w:rsid w:val="00545B95"/>
    <w:rsid w:val="005540EB"/>
    <w:rsid w:val="0055620C"/>
    <w:rsid w:val="00562193"/>
    <w:rsid w:val="0056366E"/>
    <w:rsid w:val="005678FA"/>
    <w:rsid w:val="00577848"/>
    <w:rsid w:val="00580834"/>
    <w:rsid w:val="0058469D"/>
    <w:rsid w:val="00585860"/>
    <w:rsid w:val="00586CB3"/>
    <w:rsid w:val="00592BD1"/>
    <w:rsid w:val="00593603"/>
    <w:rsid w:val="00593B68"/>
    <w:rsid w:val="00596611"/>
    <w:rsid w:val="005A10A8"/>
    <w:rsid w:val="005A200C"/>
    <w:rsid w:val="005A6FF9"/>
    <w:rsid w:val="005B0B41"/>
    <w:rsid w:val="005B4C72"/>
    <w:rsid w:val="005B5994"/>
    <w:rsid w:val="005C1AB9"/>
    <w:rsid w:val="005C2C88"/>
    <w:rsid w:val="005C3EE2"/>
    <w:rsid w:val="005C4E2C"/>
    <w:rsid w:val="005D0943"/>
    <w:rsid w:val="005D45EC"/>
    <w:rsid w:val="005E25D7"/>
    <w:rsid w:val="005F0B42"/>
    <w:rsid w:val="005F1CE5"/>
    <w:rsid w:val="00601C28"/>
    <w:rsid w:val="006057DA"/>
    <w:rsid w:val="0061080A"/>
    <w:rsid w:val="00614DB9"/>
    <w:rsid w:val="00625666"/>
    <w:rsid w:val="00633F02"/>
    <w:rsid w:val="00634835"/>
    <w:rsid w:val="006368E0"/>
    <w:rsid w:val="00643147"/>
    <w:rsid w:val="006435B7"/>
    <w:rsid w:val="00643CE5"/>
    <w:rsid w:val="0064487F"/>
    <w:rsid w:val="00644E23"/>
    <w:rsid w:val="00645683"/>
    <w:rsid w:val="006470C2"/>
    <w:rsid w:val="00664B41"/>
    <w:rsid w:val="00667220"/>
    <w:rsid w:val="006676B9"/>
    <w:rsid w:val="00672D65"/>
    <w:rsid w:val="00675C4E"/>
    <w:rsid w:val="00680941"/>
    <w:rsid w:val="0068497F"/>
    <w:rsid w:val="00685D0C"/>
    <w:rsid w:val="00686872"/>
    <w:rsid w:val="00690866"/>
    <w:rsid w:val="006A2A4B"/>
    <w:rsid w:val="006A2F58"/>
    <w:rsid w:val="006B1DF5"/>
    <w:rsid w:val="006B4092"/>
    <w:rsid w:val="006B6BC2"/>
    <w:rsid w:val="006C1681"/>
    <w:rsid w:val="006C2F60"/>
    <w:rsid w:val="006C681F"/>
    <w:rsid w:val="006D3C1A"/>
    <w:rsid w:val="006E11B2"/>
    <w:rsid w:val="006E2663"/>
    <w:rsid w:val="006F42EC"/>
    <w:rsid w:val="006F730C"/>
    <w:rsid w:val="00702E30"/>
    <w:rsid w:val="00704982"/>
    <w:rsid w:val="00704EEB"/>
    <w:rsid w:val="007055A8"/>
    <w:rsid w:val="007077ED"/>
    <w:rsid w:val="00711833"/>
    <w:rsid w:val="00712A9B"/>
    <w:rsid w:val="00716C13"/>
    <w:rsid w:val="00736360"/>
    <w:rsid w:val="00737CA1"/>
    <w:rsid w:val="00742B9F"/>
    <w:rsid w:val="00743B59"/>
    <w:rsid w:val="00744D65"/>
    <w:rsid w:val="0074529E"/>
    <w:rsid w:val="007645E8"/>
    <w:rsid w:val="00775966"/>
    <w:rsid w:val="00777ABD"/>
    <w:rsid w:val="007836C7"/>
    <w:rsid w:val="00786A12"/>
    <w:rsid w:val="007917C5"/>
    <w:rsid w:val="007928C1"/>
    <w:rsid w:val="00794492"/>
    <w:rsid w:val="00796789"/>
    <w:rsid w:val="00797C30"/>
    <w:rsid w:val="007A5DCF"/>
    <w:rsid w:val="007B5402"/>
    <w:rsid w:val="007B58C5"/>
    <w:rsid w:val="007B7C07"/>
    <w:rsid w:val="007C1D7F"/>
    <w:rsid w:val="007C32EE"/>
    <w:rsid w:val="007C57D8"/>
    <w:rsid w:val="007E208F"/>
    <w:rsid w:val="007E74EA"/>
    <w:rsid w:val="007F042B"/>
    <w:rsid w:val="007F6B5E"/>
    <w:rsid w:val="00804381"/>
    <w:rsid w:val="00806C7F"/>
    <w:rsid w:val="00812DE4"/>
    <w:rsid w:val="00814123"/>
    <w:rsid w:val="008147B1"/>
    <w:rsid w:val="00815D50"/>
    <w:rsid w:val="008202A5"/>
    <w:rsid w:val="00820881"/>
    <w:rsid w:val="00822186"/>
    <w:rsid w:val="0082656C"/>
    <w:rsid w:val="0082661B"/>
    <w:rsid w:val="00830886"/>
    <w:rsid w:val="0087366D"/>
    <w:rsid w:val="00874B82"/>
    <w:rsid w:val="008779F0"/>
    <w:rsid w:val="00882549"/>
    <w:rsid w:val="008832F2"/>
    <w:rsid w:val="00886C9D"/>
    <w:rsid w:val="00886E4E"/>
    <w:rsid w:val="008918EA"/>
    <w:rsid w:val="00891D48"/>
    <w:rsid w:val="00892BAC"/>
    <w:rsid w:val="00894CE2"/>
    <w:rsid w:val="00897B8E"/>
    <w:rsid w:val="008A7469"/>
    <w:rsid w:val="008B41AB"/>
    <w:rsid w:val="008B4398"/>
    <w:rsid w:val="008B536F"/>
    <w:rsid w:val="008B5C02"/>
    <w:rsid w:val="008B744B"/>
    <w:rsid w:val="008C49C5"/>
    <w:rsid w:val="008D18B6"/>
    <w:rsid w:val="008D1B9E"/>
    <w:rsid w:val="008D308F"/>
    <w:rsid w:val="008D5C91"/>
    <w:rsid w:val="008E48B0"/>
    <w:rsid w:val="008E580F"/>
    <w:rsid w:val="008E7886"/>
    <w:rsid w:val="008F6E36"/>
    <w:rsid w:val="008F70B5"/>
    <w:rsid w:val="0090528A"/>
    <w:rsid w:val="00905F79"/>
    <w:rsid w:val="0091181E"/>
    <w:rsid w:val="0091216A"/>
    <w:rsid w:val="00914F08"/>
    <w:rsid w:val="00916D0F"/>
    <w:rsid w:val="00925CE2"/>
    <w:rsid w:val="00931621"/>
    <w:rsid w:val="009334AE"/>
    <w:rsid w:val="0093530C"/>
    <w:rsid w:val="00935CE0"/>
    <w:rsid w:val="00936BE1"/>
    <w:rsid w:val="00944313"/>
    <w:rsid w:val="009605C7"/>
    <w:rsid w:val="00961303"/>
    <w:rsid w:val="00966A3C"/>
    <w:rsid w:val="00973290"/>
    <w:rsid w:val="00975FB9"/>
    <w:rsid w:val="0098231D"/>
    <w:rsid w:val="00983877"/>
    <w:rsid w:val="00987E07"/>
    <w:rsid w:val="009A1846"/>
    <w:rsid w:val="009B388A"/>
    <w:rsid w:val="009B6AD6"/>
    <w:rsid w:val="009C52C8"/>
    <w:rsid w:val="009C54AD"/>
    <w:rsid w:val="009E1E4A"/>
    <w:rsid w:val="009E29E5"/>
    <w:rsid w:val="009E6376"/>
    <w:rsid w:val="009F186A"/>
    <w:rsid w:val="009F3201"/>
    <w:rsid w:val="009F6A4B"/>
    <w:rsid w:val="00A001E8"/>
    <w:rsid w:val="00A05EB6"/>
    <w:rsid w:val="00A07AB7"/>
    <w:rsid w:val="00A11C96"/>
    <w:rsid w:val="00A152BC"/>
    <w:rsid w:val="00A309B9"/>
    <w:rsid w:val="00A3375D"/>
    <w:rsid w:val="00A33792"/>
    <w:rsid w:val="00A359BB"/>
    <w:rsid w:val="00A4037C"/>
    <w:rsid w:val="00A42AF9"/>
    <w:rsid w:val="00A42F19"/>
    <w:rsid w:val="00A44669"/>
    <w:rsid w:val="00A539B1"/>
    <w:rsid w:val="00A54220"/>
    <w:rsid w:val="00A55DC6"/>
    <w:rsid w:val="00A6021E"/>
    <w:rsid w:val="00A67FB6"/>
    <w:rsid w:val="00A8627C"/>
    <w:rsid w:val="00A879CD"/>
    <w:rsid w:val="00A931A6"/>
    <w:rsid w:val="00AA0324"/>
    <w:rsid w:val="00AA41A9"/>
    <w:rsid w:val="00AB59BB"/>
    <w:rsid w:val="00AC1B51"/>
    <w:rsid w:val="00AC3ADC"/>
    <w:rsid w:val="00AC6208"/>
    <w:rsid w:val="00AD03A5"/>
    <w:rsid w:val="00AD03EF"/>
    <w:rsid w:val="00AD1968"/>
    <w:rsid w:val="00AD2C96"/>
    <w:rsid w:val="00AD2FA3"/>
    <w:rsid w:val="00AE4671"/>
    <w:rsid w:val="00AF0FEB"/>
    <w:rsid w:val="00AF12CC"/>
    <w:rsid w:val="00AF2573"/>
    <w:rsid w:val="00B03C54"/>
    <w:rsid w:val="00B065DD"/>
    <w:rsid w:val="00B07C8E"/>
    <w:rsid w:val="00B10A70"/>
    <w:rsid w:val="00B10EE8"/>
    <w:rsid w:val="00B17425"/>
    <w:rsid w:val="00B21F13"/>
    <w:rsid w:val="00B232F9"/>
    <w:rsid w:val="00B26158"/>
    <w:rsid w:val="00B312FA"/>
    <w:rsid w:val="00B313D9"/>
    <w:rsid w:val="00B34EAB"/>
    <w:rsid w:val="00B36F8C"/>
    <w:rsid w:val="00B44612"/>
    <w:rsid w:val="00B5246C"/>
    <w:rsid w:val="00B54997"/>
    <w:rsid w:val="00B56F17"/>
    <w:rsid w:val="00B62488"/>
    <w:rsid w:val="00B632D5"/>
    <w:rsid w:val="00B6598F"/>
    <w:rsid w:val="00B73EB1"/>
    <w:rsid w:val="00B85AB9"/>
    <w:rsid w:val="00B9227F"/>
    <w:rsid w:val="00BB1AEE"/>
    <w:rsid w:val="00BB4B20"/>
    <w:rsid w:val="00BC395A"/>
    <w:rsid w:val="00BC5C99"/>
    <w:rsid w:val="00BD4FCB"/>
    <w:rsid w:val="00BE592C"/>
    <w:rsid w:val="00BF220C"/>
    <w:rsid w:val="00BF36C1"/>
    <w:rsid w:val="00BF6CAC"/>
    <w:rsid w:val="00BF7A34"/>
    <w:rsid w:val="00C01292"/>
    <w:rsid w:val="00C0218F"/>
    <w:rsid w:val="00C05050"/>
    <w:rsid w:val="00C057A2"/>
    <w:rsid w:val="00C06F9C"/>
    <w:rsid w:val="00C07A93"/>
    <w:rsid w:val="00C14052"/>
    <w:rsid w:val="00C14E85"/>
    <w:rsid w:val="00C17302"/>
    <w:rsid w:val="00C21346"/>
    <w:rsid w:val="00C22D33"/>
    <w:rsid w:val="00C42FEB"/>
    <w:rsid w:val="00C53F95"/>
    <w:rsid w:val="00C55F2A"/>
    <w:rsid w:val="00C62791"/>
    <w:rsid w:val="00C66B50"/>
    <w:rsid w:val="00C67525"/>
    <w:rsid w:val="00C73089"/>
    <w:rsid w:val="00C86EA5"/>
    <w:rsid w:val="00C86EB1"/>
    <w:rsid w:val="00C91091"/>
    <w:rsid w:val="00C92E0A"/>
    <w:rsid w:val="00C9379A"/>
    <w:rsid w:val="00C94D90"/>
    <w:rsid w:val="00C951DC"/>
    <w:rsid w:val="00CA1321"/>
    <w:rsid w:val="00CA394A"/>
    <w:rsid w:val="00CB03C2"/>
    <w:rsid w:val="00CB3A2C"/>
    <w:rsid w:val="00CB4B74"/>
    <w:rsid w:val="00CB6133"/>
    <w:rsid w:val="00CB616E"/>
    <w:rsid w:val="00CB6730"/>
    <w:rsid w:val="00CB6B66"/>
    <w:rsid w:val="00CD3B0C"/>
    <w:rsid w:val="00CE5121"/>
    <w:rsid w:val="00CE6A59"/>
    <w:rsid w:val="00CF134C"/>
    <w:rsid w:val="00CF1C5E"/>
    <w:rsid w:val="00CF4396"/>
    <w:rsid w:val="00CF6646"/>
    <w:rsid w:val="00D00A5C"/>
    <w:rsid w:val="00D05A0A"/>
    <w:rsid w:val="00D05FDA"/>
    <w:rsid w:val="00D07D43"/>
    <w:rsid w:val="00D114C4"/>
    <w:rsid w:val="00D13BAA"/>
    <w:rsid w:val="00D211CA"/>
    <w:rsid w:val="00D23105"/>
    <w:rsid w:val="00D23716"/>
    <w:rsid w:val="00D26BFF"/>
    <w:rsid w:val="00D33F64"/>
    <w:rsid w:val="00D408D9"/>
    <w:rsid w:val="00D469C0"/>
    <w:rsid w:val="00D503E1"/>
    <w:rsid w:val="00D602F1"/>
    <w:rsid w:val="00D60C38"/>
    <w:rsid w:val="00D6449A"/>
    <w:rsid w:val="00D64945"/>
    <w:rsid w:val="00D65965"/>
    <w:rsid w:val="00D65F38"/>
    <w:rsid w:val="00D665C6"/>
    <w:rsid w:val="00D7592A"/>
    <w:rsid w:val="00D81685"/>
    <w:rsid w:val="00D84EFB"/>
    <w:rsid w:val="00D84FF1"/>
    <w:rsid w:val="00D8699E"/>
    <w:rsid w:val="00D8771A"/>
    <w:rsid w:val="00D9150B"/>
    <w:rsid w:val="00D951AB"/>
    <w:rsid w:val="00D95326"/>
    <w:rsid w:val="00D9742D"/>
    <w:rsid w:val="00DA1FA5"/>
    <w:rsid w:val="00DA3323"/>
    <w:rsid w:val="00DA4A2B"/>
    <w:rsid w:val="00DB02B8"/>
    <w:rsid w:val="00DB780C"/>
    <w:rsid w:val="00DB7F95"/>
    <w:rsid w:val="00DD0A5E"/>
    <w:rsid w:val="00DD318C"/>
    <w:rsid w:val="00DE62CA"/>
    <w:rsid w:val="00DF1AB0"/>
    <w:rsid w:val="00E0406D"/>
    <w:rsid w:val="00E10C3E"/>
    <w:rsid w:val="00E13701"/>
    <w:rsid w:val="00E14F63"/>
    <w:rsid w:val="00E15C86"/>
    <w:rsid w:val="00E16771"/>
    <w:rsid w:val="00E204C6"/>
    <w:rsid w:val="00E228B0"/>
    <w:rsid w:val="00E23F70"/>
    <w:rsid w:val="00E24E2A"/>
    <w:rsid w:val="00E252B9"/>
    <w:rsid w:val="00E35B37"/>
    <w:rsid w:val="00E42AAE"/>
    <w:rsid w:val="00E50228"/>
    <w:rsid w:val="00E5022E"/>
    <w:rsid w:val="00E50FA4"/>
    <w:rsid w:val="00E54BA8"/>
    <w:rsid w:val="00E64A57"/>
    <w:rsid w:val="00E657FC"/>
    <w:rsid w:val="00E759B3"/>
    <w:rsid w:val="00E90E6D"/>
    <w:rsid w:val="00EA2588"/>
    <w:rsid w:val="00EB082C"/>
    <w:rsid w:val="00EB1E66"/>
    <w:rsid w:val="00EB338C"/>
    <w:rsid w:val="00EB4421"/>
    <w:rsid w:val="00EB681F"/>
    <w:rsid w:val="00EB6F55"/>
    <w:rsid w:val="00EC11AD"/>
    <w:rsid w:val="00EF07BA"/>
    <w:rsid w:val="00EF723C"/>
    <w:rsid w:val="00F02AD8"/>
    <w:rsid w:val="00F043CB"/>
    <w:rsid w:val="00F04603"/>
    <w:rsid w:val="00F05529"/>
    <w:rsid w:val="00F10C1F"/>
    <w:rsid w:val="00F10E61"/>
    <w:rsid w:val="00F161AD"/>
    <w:rsid w:val="00F16DBE"/>
    <w:rsid w:val="00F17A6C"/>
    <w:rsid w:val="00F17ED7"/>
    <w:rsid w:val="00F20CDF"/>
    <w:rsid w:val="00F22C45"/>
    <w:rsid w:val="00F318AD"/>
    <w:rsid w:val="00F31A4E"/>
    <w:rsid w:val="00F31BEF"/>
    <w:rsid w:val="00F33810"/>
    <w:rsid w:val="00F34EA0"/>
    <w:rsid w:val="00F40195"/>
    <w:rsid w:val="00F40EED"/>
    <w:rsid w:val="00F4142D"/>
    <w:rsid w:val="00F46CE8"/>
    <w:rsid w:val="00F50FF3"/>
    <w:rsid w:val="00F51504"/>
    <w:rsid w:val="00F539AB"/>
    <w:rsid w:val="00F557D5"/>
    <w:rsid w:val="00F71538"/>
    <w:rsid w:val="00F72F9A"/>
    <w:rsid w:val="00F7412B"/>
    <w:rsid w:val="00F765C1"/>
    <w:rsid w:val="00F76726"/>
    <w:rsid w:val="00F820B5"/>
    <w:rsid w:val="00F829AF"/>
    <w:rsid w:val="00F84743"/>
    <w:rsid w:val="00F85036"/>
    <w:rsid w:val="00F957E5"/>
    <w:rsid w:val="00F97D0D"/>
    <w:rsid w:val="00FA7F94"/>
    <w:rsid w:val="00FB30C0"/>
    <w:rsid w:val="00FB789D"/>
    <w:rsid w:val="00FC3CEF"/>
    <w:rsid w:val="00FD0FCC"/>
    <w:rsid w:val="00FD5ADD"/>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918EA"/>
    <w:rPr>
      <w:sz w:val="20"/>
      <w:szCs w:val="20"/>
    </w:rPr>
  </w:style>
  <w:style w:type="character" w:styleId="FootnoteReference">
    <w:name w:val="footnote reference"/>
    <w:basedOn w:val="DefaultParagraphFont"/>
    <w:uiPriority w:val="99"/>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wmf"/><Relationship Id="rId32" Type="http://schemas.openxmlformats.org/officeDocument/2006/relationships/image" Target="media/image21.wmf"/><Relationship Id="rId37" Type="http://schemas.microsoft.com/office/2007/relationships/stylesWithEffects" Target="stylesWithEffect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0433E4-8A7F-4468-919C-74590E94B3B1}"/>
</file>

<file path=customXml/itemProps2.xml><?xml version="1.0" encoding="utf-8"?>
<ds:datastoreItem xmlns:ds="http://schemas.openxmlformats.org/officeDocument/2006/customXml" ds:itemID="{BBA2CA47-4325-4EAA-8D47-C91B1DE5B956}"/>
</file>

<file path=customXml/itemProps3.xml><?xml version="1.0" encoding="utf-8"?>
<ds:datastoreItem xmlns:ds="http://schemas.openxmlformats.org/officeDocument/2006/customXml" ds:itemID="{9397D82F-18EA-40E6-B830-E3C6F6F8635E}"/>
</file>

<file path=customXml/itemProps4.xml><?xml version="1.0" encoding="utf-8"?>
<ds:datastoreItem xmlns:ds="http://schemas.openxmlformats.org/officeDocument/2006/customXml" ds:itemID="{D3D1CBE8-4A7D-4888-B0F5-6CCE0D8ED871}"/>
</file>

<file path=customXml/itemProps5.xml><?xml version="1.0" encoding="utf-8"?>
<ds:datastoreItem xmlns:ds="http://schemas.openxmlformats.org/officeDocument/2006/customXml" ds:itemID="{DAB2EB93-21D6-47CB-AB14-3681B0A780BC}"/>
</file>

<file path=docProps/app.xml><?xml version="1.0" encoding="utf-8"?>
<Properties xmlns="http://schemas.openxmlformats.org/officeDocument/2006/extended-properties" xmlns:vt="http://schemas.openxmlformats.org/officeDocument/2006/docPropsVTypes">
  <Template>Normal.dotm</Template>
  <TotalTime>1070</TotalTime>
  <Pages>52</Pages>
  <Words>10490</Words>
  <Characters>59799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70149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92</cp:revision>
  <cp:lastPrinted>2011-05-06T22:22:00Z</cp:lastPrinted>
  <dcterms:created xsi:type="dcterms:W3CDTF">2011-03-21T22:59:00Z</dcterms:created>
  <dcterms:modified xsi:type="dcterms:W3CDTF">2011-05-11T15:40:00Z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