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7E7A" w14:textId="09744A79" w:rsidR="00C0665B" w:rsidRPr="00B814E2" w:rsidRDefault="00B814E2" w:rsidP="009A07DC">
      <w:pPr>
        <w:ind w:left="5580"/>
        <w:rPr>
          <w:b/>
        </w:rPr>
      </w:pPr>
      <w:r w:rsidRPr="00B814E2">
        <w:rPr>
          <w:b/>
        </w:rPr>
        <w:t>Exhibit No. ___T (</w:t>
      </w:r>
      <w:r w:rsidR="006563DC">
        <w:rPr>
          <w:b/>
        </w:rPr>
        <w:t>T</w:t>
      </w:r>
      <w:r w:rsidR="00F741F5">
        <w:rPr>
          <w:b/>
        </w:rPr>
        <w:t>M</w:t>
      </w:r>
      <w:r w:rsidR="006563DC">
        <w:rPr>
          <w:b/>
        </w:rPr>
        <w:t>V</w:t>
      </w:r>
      <w:r w:rsidRPr="00B814E2">
        <w:rPr>
          <w:b/>
        </w:rPr>
        <w:t>-</w:t>
      </w:r>
      <w:r w:rsidR="00F92089">
        <w:rPr>
          <w:b/>
        </w:rPr>
        <w:t>1</w:t>
      </w:r>
      <w:r w:rsidRPr="00B814E2">
        <w:rPr>
          <w:b/>
        </w:rPr>
        <w:t>T)</w:t>
      </w:r>
    </w:p>
    <w:p w14:paraId="40B1E3AA" w14:textId="77777777" w:rsidR="00B814E2" w:rsidRPr="00B814E2" w:rsidRDefault="00B814E2" w:rsidP="009A07DC">
      <w:pPr>
        <w:ind w:left="5580"/>
        <w:rPr>
          <w:b/>
        </w:rPr>
      </w:pPr>
      <w:r w:rsidRPr="00B814E2">
        <w:rPr>
          <w:b/>
        </w:rPr>
        <w:t xml:space="preserve">Docket </w:t>
      </w:r>
      <w:r w:rsidR="00667605">
        <w:rPr>
          <w:b/>
        </w:rPr>
        <w:t>UE-152253</w:t>
      </w:r>
    </w:p>
    <w:p w14:paraId="0377C654" w14:textId="77E30A1F" w:rsidR="00B814E2" w:rsidRPr="00B814E2" w:rsidRDefault="0046251D" w:rsidP="009A07DC">
      <w:pPr>
        <w:ind w:left="5580"/>
        <w:rPr>
          <w:b/>
        </w:rPr>
      </w:pPr>
      <w:r>
        <w:rPr>
          <w:b/>
        </w:rPr>
        <w:t xml:space="preserve">Witness:  </w:t>
      </w:r>
      <w:r w:rsidR="006563DC">
        <w:rPr>
          <w:b/>
        </w:rPr>
        <w:t>Tiffany</w:t>
      </w:r>
      <w:r w:rsidR="00D8714C">
        <w:rPr>
          <w:b/>
        </w:rPr>
        <w:t xml:space="preserve"> M.</w:t>
      </w:r>
      <w:r w:rsidR="006563DC">
        <w:rPr>
          <w:b/>
        </w:rPr>
        <w:t xml:space="preserve"> Van </w:t>
      </w:r>
      <w:r w:rsidR="00C43763">
        <w:rPr>
          <w:b/>
        </w:rPr>
        <w:t>M</w:t>
      </w:r>
      <w:r w:rsidR="006563DC">
        <w:rPr>
          <w:b/>
        </w:rPr>
        <w:t>eter</w:t>
      </w:r>
    </w:p>
    <w:p w14:paraId="250048A1" w14:textId="77777777" w:rsidR="00B814E2" w:rsidRPr="00B814E2" w:rsidRDefault="00B814E2" w:rsidP="00B814E2">
      <w:pPr>
        <w:rPr>
          <w:b/>
        </w:rPr>
      </w:pPr>
    </w:p>
    <w:p w14:paraId="16EF003D" w14:textId="77777777" w:rsidR="00B814E2" w:rsidRPr="00B814E2" w:rsidRDefault="00B814E2" w:rsidP="00B814E2">
      <w:pPr>
        <w:rPr>
          <w:b/>
        </w:rPr>
      </w:pPr>
    </w:p>
    <w:p w14:paraId="69E8DD07" w14:textId="77777777" w:rsidR="00B814E2" w:rsidRPr="00B814E2" w:rsidRDefault="00B814E2" w:rsidP="00B814E2">
      <w:pPr>
        <w:ind w:left="-360" w:right="-252"/>
        <w:jc w:val="center"/>
        <w:rPr>
          <w:b/>
        </w:rPr>
      </w:pPr>
      <w:r w:rsidRPr="00B814E2">
        <w:rPr>
          <w:b/>
        </w:rPr>
        <w:t>BEFORE THE WASHINGTON UTILITIES AND TRANSPORTATION COMMISSION</w:t>
      </w:r>
    </w:p>
    <w:p w14:paraId="25745094" w14:textId="77777777" w:rsidR="00B814E2" w:rsidRPr="00B814E2" w:rsidRDefault="00B814E2" w:rsidP="00B814E2">
      <w:pPr>
        <w:rPr>
          <w:b/>
        </w:rPr>
      </w:pPr>
    </w:p>
    <w:p w14:paraId="7A43FAFB"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265EDB40" w14:textId="77777777" w:rsidTr="00DC4496">
        <w:tc>
          <w:tcPr>
            <w:tcW w:w="4590" w:type="dxa"/>
            <w:tcBorders>
              <w:top w:val="single" w:sz="6" w:space="0" w:color="FFFFFF"/>
              <w:left w:val="single" w:sz="6" w:space="0" w:color="FFFFFF"/>
              <w:bottom w:val="single" w:sz="7" w:space="0" w:color="000000"/>
              <w:right w:val="single" w:sz="6" w:space="0" w:color="FFFFFF"/>
            </w:tcBorders>
          </w:tcPr>
          <w:p w14:paraId="1D005863" w14:textId="77777777" w:rsidR="00B814E2" w:rsidRDefault="00667605" w:rsidP="00DC4496">
            <w:pPr>
              <w:rPr>
                <w:b/>
                <w:bCs/>
              </w:rPr>
            </w:pPr>
            <w:r>
              <w:rPr>
                <w:b/>
                <w:bCs/>
              </w:rPr>
              <w:t>WASHINGTON UTILITIES AND TRANSPORTATION COMMISSION</w:t>
            </w:r>
            <w:r w:rsidR="00B814E2">
              <w:rPr>
                <w:b/>
                <w:bCs/>
              </w:rPr>
              <w:t>,</w:t>
            </w:r>
          </w:p>
          <w:p w14:paraId="314B8257" w14:textId="77777777" w:rsidR="00B814E2" w:rsidRDefault="00B814E2" w:rsidP="00DC4496">
            <w:pPr>
              <w:rPr>
                <w:b/>
                <w:bCs/>
              </w:rPr>
            </w:pPr>
          </w:p>
          <w:p w14:paraId="38D41C2C" w14:textId="6FB2AC30" w:rsidR="00B814E2" w:rsidRDefault="00B814E2" w:rsidP="00DC4496">
            <w:pPr>
              <w:rPr>
                <w:b/>
                <w:bCs/>
              </w:rPr>
            </w:pPr>
            <w:r>
              <w:rPr>
                <w:b/>
                <w:bCs/>
              </w:rPr>
              <w:tab/>
            </w:r>
            <w:r w:rsidR="00F92089">
              <w:rPr>
                <w:b/>
                <w:bCs/>
              </w:rPr>
              <w:tab/>
            </w:r>
            <w:r w:rsidR="00F92089">
              <w:rPr>
                <w:b/>
                <w:bCs/>
              </w:rPr>
              <w:tab/>
            </w:r>
            <w:r>
              <w:rPr>
                <w:b/>
                <w:bCs/>
              </w:rPr>
              <w:t xml:space="preserve">Complainant, </w:t>
            </w:r>
          </w:p>
          <w:p w14:paraId="3C499249" w14:textId="77777777" w:rsidR="00B814E2" w:rsidRDefault="00B814E2" w:rsidP="00DC4496">
            <w:pPr>
              <w:rPr>
                <w:b/>
                <w:bCs/>
              </w:rPr>
            </w:pPr>
          </w:p>
          <w:p w14:paraId="6D7DCD3D" w14:textId="77777777" w:rsidR="00B814E2" w:rsidRDefault="00B814E2" w:rsidP="00DC4496">
            <w:pPr>
              <w:rPr>
                <w:b/>
                <w:bCs/>
              </w:rPr>
            </w:pPr>
            <w:r>
              <w:rPr>
                <w:b/>
                <w:bCs/>
              </w:rPr>
              <w:t>v.</w:t>
            </w:r>
          </w:p>
          <w:p w14:paraId="0E378B62" w14:textId="77777777" w:rsidR="00B814E2" w:rsidRDefault="00B814E2" w:rsidP="00DC4496">
            <w:pPr>
              <w:rPr>
                <w:b/>
                <w:bCs/>
              </w:rPr>
            </w:pPr>
          </w:p>
          <w:p w14:paraId="03EAE993" w14:textId="77777777" w:rsidR="00B814E2" w:rsidRDefault="00667605" w:rsidP="00DC4496">
            <w:pPr>
              <w:rPr>
                <w:b/>
                <w:bCs/>
              </w:rPr>
            </w:pPr>
            <w:r>
              <w:rPr>
                <w:b/>
                <w:bCs/>
              </w:rPr>
              <w:t>PACIFIC POWER &amp; LIGHT COMPANY</w:t>
            </w:r>
            <w:r w:rsidR="00B814E2">
              <w:rPr>
                <w:b/>
                <w:bCs/>
              </w:rPr>
              <w:t>,</w:t>
            </w:r>
          </w:p>
          <w:p w14:paraId="660F5E01" w14:textId="77777777" w:rsidR="00B814E2" w:rsidRDefault="00B814E2" w:rsidP="00DC4496">
            <w:pPr>
              <w:rPr>
                <w:b/>
                <w:bCs/>
              </w:rPr>
            </w:pPr>
          </w:p>
          <w:p w14:paraId="76962FA4" w14:textId="3484A82C" w:rsidR="00B814E2" w:rsidRDefault="00B814E2" w:rsidP="00667605">
            <w:pPr>
              <w:spacing w:after="19"/>
              <w:rPr>
                <w:b/>
                <w:bCs/>
              </w:rPr>
            </w:pPr>
            <w:r>
              <w:rPr>
                <w:b/>
                <w:bCs/>
              </w:rPr>
              <w:tab/>
            </w:r>
            <w:r w:rsidR="00F92089">
              <w:rPr>
                <w:b/>
                <w:bCs/>
              </w:rPr>
              <w:tab/>
            </w:r>
            <w:r w:rsidR="00F92089">
              <w:rPr>
                <w:b/>
                <w:bCs/>
              </w:rPr>
              <w:tab/>
            </w:r>
            <w:r>
              <w:rPr>
                <w:b/>
                <w:bCs/>
              </w:rPr>
              <w:t>Respondent.</w:t>
            </w:r>
          </w:p>
          <w:p w14:paraId="7AAE9A44" w14:textId="77777777" w:rsidR="00667605" w:rsidRDefault="00667605" w:rsidP="00667605">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17610DEE" w14:textId="77777777" w:rsidR="00B814E2" w:rsidRDefault="00B814E2" w:rsidP="00DC4496">
            <w:pPr>
              <w:ind w:firstLine="720"/>
              <w:rPr>
                <w:b/>
                <w:bCs/>
              </w:rPr>
            </w:pPr>
            <w:r>
              <w:rPr>
                <w:b/>
                <w:bCs/>
              </w:rPr>
              <w:t xml:space="preserve">DOCKET </w:t>
            </w:r>
            <w:r w:rsidR="00667605">
              <w:rPr>
                <w:b/>
                <w:bCs/>
              </w:rPr>
              <w:t>UE-152253</w:t>
            </w:r>
          </w:p>
          <w:p w14:paraId="0160143E" w14:textId="77777777" w:rsidR="00B814E2" w:rsidRDefault="00B814E2" w:rsidP="00DC4496">
            <w:pPr>
              <w:rPr>
                <w:b/>
                <w:bCs/>
              </w:rPr>
            </w:pPr>
          </w:p>
          <w:p w14:paraId="5DF54B83" w14:textId="77777777" w:rsidR="00B814E2" w:rsidRDefault="00B814E2" w:rsidP="00DC4496">
            <w:pPr>
              <w:spacing w:after="19"/>
              <w:ind w:left="720"/>
              <w:rPr>
                <w:b/>
                <w:bCs/>
              </w:rPr>
            </w:pPr>
          </w:p>
        </w:tc>
      </w:tr>
    </w:tbl>
    <w:p w14:paraId="200DF274" w14:textId="77777777" w:rsidR="00B814E2" w:rsidRDefault="00B814E2" w:rsidP="00B814E2">
      <w:pPr>
        <w:jc w:val="both"/>
      </w:pPr>
    </w:p>
    <w:p w14:paraId="521B1B90" w14:textId="77777777" w:rsidR="00B814E2" w:rsidRDefault="00B814E2" w:rsidP="00B814E2">
      <w:pPr>
        <w:rPr>
          <w:b/>
          <w:bCs/>
        </w:rPr>
      </w:pPr>
    </w:p>
    <w:p w14:paraId="74FD51D4" w14:textId="77777777" w:rsidR="00B814E2" w:rsidRDefault="00B814E2" w:rsidP="00B814E2">
      <w:pPr>
        <w:rPr>
          <w:b/>
          <w:bCs/>
        </w:rPr>
      </w:pPr>
    </w:p>
    <w:p w14:paraId="35392F26" w14:textId="77777777" w:rsidR="00B814E2" w:rsidRDefault="00B814E2" w:rsidP="00BB6C8F">
      <w:pPr>
        <w:jc w:val="center"/>
        <w:rPr>
          <w:b/>
          <w:bCs/>
        </w:rPr>
      </w:pPr>
      <w:r>
        <w:rPr>
          <w:b/>
          <w:bCs/>
        </w:rPr>
        <w:t>TESTIMONY OF</w:t>
      </w:r>
    </w:p>
    <w:p w14:paraId="6DD28577" w14:textId="77777777" w:rsidR="00B814E2" w:rsidRDefault="00B814E2" w:rsidP="00BB6C8F">
      <w:pPr>
        <w:jc w:val="center"/>
        <w:rPr>
          <w:b/>
          <w:bCs/>
        </w:rPr>
      </w:pPr>
    </w:p>
    <w:p w14:paraId="40571D11" w14:textId="402761F4" w:rsidR="00B814E2" w:rsidRDefault="006563DC" w:rsidP="00BB6C8F">
      <w:pPr>
        <w:jc w:val="center"/>
        <w:rPr>
          <w:b/>
          <w:bCs/>
        </w:rPr>
      </w:pPr>
      <w:r>
        <w:rPr>
          <w:b/>
          <w:bCs/>
        </w:rPr>
        <w:t>Tiffany</w:t>
      </w:r>
      <w:r w:rsidR="00CB266D">
        <w:rPr>
          <w:b/>
          <w:bCs/>
        </w:rPr>
        <w:t xml:space="preserve"> M.</w:t>
      </w:r>
      <w:r>
        <w:rPr>
          <w:b/>
          <w:bCs/>
        </w:rPr>
        <w:t xml:space="preserve"> Van Meter</w:t>
      </w:r>
    </w:p>
    <w:p w14:paraId="6902F24F" w14:textId="77777777" w:rsidR="00B814E2" w:rsidRDefault="00B814E2" w:rsidP="00BB6C8F">
      <w:pPr>
        <w:jc w:val="center"/>
        <w:rPr>
          <w:b/>
          <w:bCs/>
        </w:rPr>
      </w:pPr>
    </w:p>
    <w:p w14:paraId="3116B870" w14:textId="77777777" w:rsidR="00B814E2" w:rsidRDefault="00B814E2" w:rsidP="00BB6C8F">
      <w:pPr>
        <w:jc w:val="center"/>
        <w:rPr>
          <w:b/>
          <w:bCs/>
        </w:rPr>
      </w:pPr>
      <w:r>
        <w:rPr>
          <w:b/>
          <w:bCs/>
        </w:rPr>
        <w:t>STAFF OF</w:t>
      </w:r>
    </w:p>
    <w:p w14:paraId="4FAE5E34" w14:textId="77777777" w:rsidR="00B814E2" w:rsidRDefault="00B814E2" w:rsidP="00BB6C8F">
      <w:pPr>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6F60CF99" w14:textId="77777777" w:rsidR="00B814E2" w:rsidRDefault="00B814E2" w:rsidP="00BB6C8F">
      <w:pPr>
        <w:jc w:val="center"/>
        <w:rPr>
          <w:b/>
          <w:bCs/>
        </w:rPr>
      </w:pPr>
      <w:r>
        <w:rPr>
          <w:b/>
          <w:bCs/>
        </w:rPr>
        <w:t>TRANSPORTATION COMMISSION</w:t>
      </w:r>
    </w:p>
    <w:p w14:paraId="70091132" w14:textId="77777777" w:rsidR="00B814E2" w:rsidRDefault="00B814E2" w:rsidP="00BB6C8F">
      <w:pPr>
        <w:jc w:val="center"/>
        <w:rPr>
          <w:b/>
          <w:bCs/>
        </w:rPr>
      </w:pPr>
    </w:p>
    <w:p w14:paraId="26E5ABAB" w14:textId="77777777" w:rsidR="00B814E2" w:rsidRDefault="00B814E2" w:rsidP="00BB6C8F">
      <w:pPr>
        <w:rPr>
          <w:b/>
          <w:bCs/>
        </w:rPr>
      </w:pPr>
    </w:p>
    <w:p w14:paraId="59EB071C" w14:textId="2E2DD90D" w:rsidR="00B814E2" w:rsidRDefault="00686AA6" w:rsidP="00BB6C8F">
      <w:pPr>
        <w:jc w:val="center"/>
        <w:rPr>
          <w:b/>
          <w:i/>
        </w:rPr>
      </w:pPr>
      <w:r w:rsidRPr="008A6B4E">
        <w:rPr>
          <w:b/>
          <w:i/>
        </w:rPr>
        <w:t>Adjustment 4.9</w:t>
      </w:r>
      <w:r w:rsidR="00587A69">
        <w:rPr>
          <w:b/>
          <w:i/>
        </w:rPr>
        <w:t xml:space="preserve"> – </w:t>
      </w:r>
      <w:r w:rsidRPr="008A6B4E">
        <w:rPr>
          <w:b/>
          <w:i/>
        </w:rPr>
        <w:t>Memberships and Subscriptions</w:t>
      </w:r>
    </w:p>
    <w:p w14:paraId="49DA2356" w14:textId="0EC4F3A4" w:rsidR="00686AA6" w:rsidRDefault="00686AA6" w:rsidP="00BB6C8F">
      <w:pPr>
        <w:jc w:val="center"/>
        <w:rPr>
          <w:b/>
          <w:i/>
        </w:rPr>
      </w:pPr>
      <w:r>
        <w:rPr>
          <w:b/>
          <w:i/>
        </w:rPr>
        <w:t>Cost of Service and Rate Design</w:t>
      </w:r>
    </w:p>
    <w:p w14:paraId="69DE4333" w14:textId="5C253A31" w:rsidR="00686AA6" w:rsidRPr="00B814E2" w:rsidRDefault="00686AA6" w:rsidP="00BB6C8F">
      <w:pPr>
        <w:jc w:val="center"/>
        <w:rPr>
          <w:b/>
          <w:bCs/>
          <w:i/>
        </w:rPr>
      </w:pPr>
      <w:r>
        <w:rPr>
          <w:b/>
          <w:i/>
        </w:rPr>
        <w:t>Low Income Bill Assistance</w:t>
      </w:r>
    </w:p>
    <w:p w14:paraId="287CAF24" w14:textId="77777777" w:rsidR="00B814E2" w:rsidRDefault="00B814E2" w:rsidP="00BB6C8F">
      <w:pPr>
        <w:rPr>
          <w:b/>
          <w:bCs/>
        </w:rPr>
      </w:pPr>
    </w:p>
    <w:p w14:paraId="5257B61E" w14:textId="77777777" w:rsidR="00B814E2" w:rsidRDefault="00B814E2" w:rsidP="00BB6C8F">
      <w:pPr>
        <w:rPr>
          <w:b/>
          <w:bCs/>
        </w:rPr>
      </w:pPr>
    </w:p>
    <w:p w14:paraId="09F28607" w14:textId="246DAB64" w:rsidR="00B814E2" w:rsidRDefault="00F92089" w:rsidP="00BB6C8F">
      <w:pPr>
        <w:jc w:val="center"/>
        <w:rPr>
          <w:b/>
          <w:bCs/>
        </w:rPr>
      </w:pPr>
      <w:r>
        <w:rPr>
          <w:b/>
          <w:bCs/>
        </w:rPr>
        <w:t>March 17, 2016</w:t>
      </w:r>
    </w:p>
    <w:p w14:paraId="380C67F3" w14:textId="77777777" w:rsidR="00B814E2" w:rsidRDefault="00B814E2" w:rsidP="00BB6C8F"/>
    <w:p w14:paraId="4EFCB1F7" w14:textId="77777777" w:rsidR="00B814E2" w:rsidRDefault="00B814E2" w:rsidP="00B814E2"/>
    <w:p w14:paraId="4F441EA8"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0358E947" w14:textId="77777777" w:rsidR="00B814E2" w:rsidRDefault="00B814E2" w:rsidP="00B814E2">
      <w:pPr>
        <w:jc w:val="center"/>
      </w:pPr>
      <w:r>
        <w:rPr>
          <w:b/>
        </w:rPr>
        <w:lastRenderedPageBreak/>
        <w:t>TABLE OF CONTENTS</w:t>
      </w:r>
    </w:p>
    <w:p w14:paraId="04F9FEE5" w14:textId="77777777" w:rsidR="00B814E2" w:rsidRDefault="00B814E2" w:rsidP="00B814E2"/>
    <w:p w14:paraId="05B45037" w14:textId="77777777" w:rsidR="00B814E2" w:rsidRDefault="00B814E2" w:rsidP="00B814E2"/>
    <w:p w14:paraId="71760A38" w14:textId="77777777" w:rsidR="00B814E2" w:rsidRDefault="00B814E2" w:rsidP="00B814E2">
      <w:pPr>
        <w:tabs>
          <w:tab w:val="left" w:pos="720"/>
          <w:tab w:val="left" w:pos="1440"/>
          <w:tab w:val="left" w:pos="2160"/>
          <w:tab w:val="right" w:leader="dot" w:pos="8820"/>
        </w:tabs>
      </w:pPr>
      <w:r>
        <w:t>I.</w:t>
      </w:r>
      <w:r>
        <w:tab/>
        <w:t xml:space="preserve">INTRODUCTION </w:t>
      </w:r>
      <w:r>
        <w:tab/>
        <w:t>1</w:t>
      </w:r>
    </w:p>
    <w:p w14:paraId="5873080B" w14:textId="77777777" w:rsidR="00B814E2" w:rsidRDefault="00B814E2" w:rsidP="00B814E2">
      <w:pPr>
        <w:tabs>
          <w:tab w:val="left" w:pos="720"/>
          <w:tab w:val="left" w:pos="1440"/>
          <w:tab w:val="left" w:pos="2160"/>
          <w:tab w:val="right" w:leader="dot" w:pos="8820"/>
        </w:tabs>
      </w:pPr>
    </w:p>
    <w:p w14:paraId="5B89A686" w14:textId="77777777" w:rsidR="00BB6C8F" w:rsidRDefault="00B814E2" w:rsidP="008C6C9D">
      <w:pPr>
        <w:tabs>
          <w:tab w:val="left" w:pos="720"/>
          <w:tab w:val="left" w:pos="1440"/>
          <w:tab w:val="left" w:pos="2160"/>
          <w:tab w:val="right" w:leader="dot" w:pos="8820"/>
        </w:tabs>
        <w:ind w:left="720" w:hanging="720"/>
      </w:pPr>
      <w:r>
        <w:t>II.</w:t>
      </w:r>
      <w:r>
        <w:tab/>
      </w:r>
      <w:r w:rsidR="006A05D2" w:rsidRPr="006A05D2">
        <w:t>A</w:t>
      </w:r>
      <w:r w:rsidR="008C6C9D">
        <w:t>DJUSTMENT 4.9</w:t>
      </w:r>
      <w:r w:rsidR="006A05D2" w:rsidRPr="006A05D2">
        <w:t>, O</w:t>
      </w:r>
      <w:r w:rsidR="008C6C9D">
        <w:t>PERATIONS</w:t>
      </w:r>
      <w:r w:rsidR="006A05D2" w:rsidRPr="006A05D2">
        <w:t xml:space="preserve"> </w:t>
      </w:r>
      <w:r w:rsidR="008C6C9D">
        <w:t>AND</w:t>
      </w:r>
      <w:r w:rsidR="006A05D2" w:rsidRPr="006A05D2">
        <w:t xml:space="preserve"> M</w:t>
      </w:r>
      <w:r w:rsidR="008C6C9D">
        <w:t>AINTENANCE</w:t>
      </w:r>
      <w:r w:rsidR="006A05D2" w:rsidRPr="006A05D2">
        <w:t xml:space="preserve"> – </w:t>
      </w:r>
    </w:p>
    <w:p w14:paraId="50087805" w14:textId="370A18B5" w:rsidR="00B814E2" w:rsidRDefault="00BB6C8F" w:rsidP="008C6C9D">
      <w:pPr>
        <w:tabs>
          <w:tab w:val="left" w:pos="720"/>
          <w:tab w:val="left" w:pos="1440"/>
          <w:tab w:val="left" w:pos="2160"/>
          <w:tab w:val="right" w:leader="dot" w:pos="8820"/>
        </w:tabs>
        <w:ind w:left="720" w:hanging="720"/>
      </w:pPr>
      <w:r>
        <w:tab/>
      </w:r>
      <w:r w:rsidR="006A05D2" w:rsidRPr="006A05D2">
        <w:t>M</w:t>
      </w:r>
      <w:r w:rsidR="008C6C9D">
        <w:t xml:space="preserve">EMBERSHIPS AND </w:t>
      </w:r>
      <w:r w:rsidR="006A05D2" w:rsidRPr="006A05D2">
        <w:t>S</w:t>
      </w:r>
      <w:r w:rsidR="008C6C9D">
        <w:t>UBSCRIPTIONS</w:t>
      </w:r>
      <w:r w:rsidR="00B814E2">
        <w:tab/>
      </w:r>
      <w:r w:rsidR="008C6C9D">
        <w:t>3</w:t>
      </w:r>
    </w:p>
    <w:p w14:paraId="430642D3" w14:textId="7D9D7468" w:rsidR="00C03818" w:rsidRDefault="00C03818" w:rsidP="008C6C9D">
      <w:pPr>
        <w:tabs>
          <w:tab w:val="left" w:pos="720"/>
          <w:tab w:val="left" w:pos="1440"/>
          <w:tab w:val="left" w:pos="2160"/>
          <w:tab w:val="right" w:leader="dot" w:pos="8820"/>
        </w:tabs>
        <w:ind w:left="720" w:hanging="720"/>
      </w:pPr>
    </w:p>
    <w:p w14:paraId="0579FA0E" w14:textId="6175F1B2" w:rsidR="00C03818" w:rsidRDefault="00C03818" w:rsidP="00C03818">
      <w:pPr>
        <w:tabs>
          <w:tab w:val="left" w:pos="720"/>
          <w:tab w:val="left" w:pos="1440"/>
          <w:tab w:val="left" w:pos="2160"/>
          <w:tab w:val="right" w:leader="dot" w:pos="8820"/>
        </w:tabs>
        <w:ind w:left="720" w:hanging="720"/>
      </w:pPr>
      <w:r>
        <w:t>III.</w:t>
      </w:r>
      <w:r>
        <w:tab/>
      </w:r>
      <w:r w:rsidRPr="00C03818">
        <w:t>C</w:t>
      </w:r>
      <w:r>
        <w:t>OST OF SERVICE AND RATE DESIGN</w:t>
      </w:r>
      <w:r>
        <w:tab/>
      </w:r>
      <w:r w:rsidR="00E96611">
        <w:t>6</w:t>
      </w:r>
    </w:p>
    <w:p w14:paraId="5834CEBC" w14:textId="024865B5" w:rsidR="00A91DC2" w:rsidRDefault="00A91DC2" w:rsidP="00C03818">
      <w:pPr>
        <w:tabs>
          <w:tab w:val="left" w:pos="720"/>
          <w:tab w:val="left" w:pos="1440"/>
          <w:tab w:val="left" w:pos="2160"/>
          <w:tab w:val="right" w:leader="dot" w:pos="8820"/>
        </w:tabs>
        <w:ind w:left="720" w:hanging="720"/>
      </w:pPr>
    </w:p>
    <w:p w14:paraId="0B958628" w14:textId="179B519C" w:rsidR="00A91DC2" w:rsidRDefault="00A91DC2" w:rsidP="00C03818">
      <w:pPr>
        <w:tabs>
          <w:tab w:val="left" w:pos="720"/>
          <w:tab w:val="left" w:pos="1440"/>
          <w:tab w:val="left" w:pos="2160"/>
          <w:tab w:val="right" w:leader="dot" w:pos="8820"/>
        </w:tabs>
        <w:ind w:left="720" w:hanging="720"/>
      </w:pPr>
      <w:r>
        <w:t>IV.</w:t>
      </w:r>
      <w:r>
        <w:tab/>
      </w:r>
      <w:r w:rsidRPr="00A91DC2">
        <w:t>L</w:t>
      </w:r>
      <w:r>
        <w:t>OW</w:t>
      </w:r>
      <w:r w:rsidRPr="00A91DC2">
        <w:t xml:space="preserve"> I</w:t>
      </w:r>
      <w:r>
        <w:t>NCOME</w:t>
      </w:r>
      <w:r w:rsidRPr="00A91DC2">
        <w:t xml:space="preserve"> B</w:t>
      </w:r>
      <w:r>
        <w:t>ILL</w:t>
      </w:r>
      <w:r w:rsidRPr="00A91DC2">
        <w:t xml:space="preserve"> A</w:t>
      </w:r>
      <w:r>
        <w:t xml:space="preserve">SSISTANCE </w:t>
      </w:r>
      <w:r>
        <w:tab/>
      </w:r>
      <w:r w:rsidR="00E96611">
        <w:t>10</w:t>
      </w:r>
    </w:p>
    <w:p w14:paraId="3DC304D7" w14:textId="67DB639E" w:rsidR="00C03818" w:rsidRDefault="00C03818" w:rsidP="008C6C9D">
      <w:pPr>
        <w:tabs>
          <w:tab w:val="left" w:pos="720"/>
          <w:tab w:val="left" w:pos="1440"/>
          <w:tab w:val="left" w:pos="2160"/>
          <w:tab w:val="right" w:leader="dot" w:pos="8820"/>
        </w:tabs>
        <w:ind w:left="720" w:hanging="720"/>
      </w:pPr>
    </w:p>
    <w:p w14:paraId="6FF1327A" w14:textId="77777777" w:rsidR="00B814E2" w:rsidRDefault="00B814E2" w:rsidP="00B814E2">
      <w:pPr>
        <w:tabs>
          <w:tab w:val="left" w:pos="720"/>
          <w:tab w:val="left" w:pos="1440"/>
          <w:tab w:val="left" w:pos="2160"/>
          <w:tab w:val="right" w:leader="dot" w:pos="8820"/>
        </w:tabs>
      </w:pPr>
    </w:p>
    <w:p w14:paraId="132A6A49" w14:textId="77777777" w:rsidR="00B814E2" w:rsidRDefault="00B814E2" w:rsidP="00B814E2">
      <w:pPr>
        <w:tabs>
          <w:tab w:val="left" w:pos="720"/>
          <w:tab w:val="left" w:pos="1440"/>
          <w:tab w:val="left" w:pos="2160"/>
          <w:tab w:val="right" w:leader="dot" w:pos="8820"/>
        </w:tabs>
      </w:pPr>
    </w:p>
    <w:p w14:paraId="5D3C1EA7" w14:textId="77777777" w:rsidR="00B814E2" w:rsidRDefault="00B814E2" w:rsidP="00B814E2">
      <w:pPr>
        <w:tabs>
          <w:tab w:val="left" w:pos="720"/>
          <w:tab w:val="left" w:pos="1440"/>
          <w:tab w:val="left" w:pos="2160"/>
          <w:tab w:val="right" w:leader="dot" w:pos="8820"/>
        </w:tabs>
      </w:pPr>
    </w:p>
    <w:p w14:paraId="6670C5FB" w14:textId="77777777" w:rsidR="00B814E2" w:rsidRDefault="00B814E2" w:rsidP="00B814E2"/>
    <w:p w14:paraId="0F681BCF" w14:textId="77777777" w:rsidR="00B814E2" w:rsidRPr="00466376" w:rsidRDefault="00B814E2" w:rsidP="00B814E2">
      <w:pPr>
        <w:jc w:val="center"/>
        <w:rPr>
          <w:rFonts w:ascii="Times New Roman Bold" w:hAnsi="Times New Roman Bold"/>
          <w:caps/>
        </w:rPr>
      </w:pPr>
      <w:r w:rsidRPr="00466376">
        <w:rPr>
          <w:rFonts w:ascii="Times New Roman Bold" w:hAnsi="Times New Roman Bold"/>
          <w:b/>
          <w:caps/>
        </w:rPr>
        <w:t>List of Exhibits</w:t>
      </w:r>
    </w:p>
    <w:p w14:paraId="27FF7DB6" w14:textId="77777777" w:rsidR="00B814E2" w:rsidRDefault="00B814E2" w:rsidP="00B814E2"/>
    <w:p w14:paraId="0F867AB9" w14:textId="0563E939" w:rsidR="00B814E2" w:rsidRDefault="00B814E2" w:rsidP="00146718">
      <w:pPr>
        <w:ind w:left="2160" w:hanging="2160"/>
      </w:pPr>
      <w:r>
        <w:t xml:space="preserve">Exhibit No. </w:t>
      </w:r>
      <w:r w:rsidR="006563DC">
        <w:t>T</w:t>
      </w:r>
      <w:r w:rsidR="00215EB5">
        <w:t>M</w:t>
      </w:r>
      <w:r w:rsidR="006563DC">
        <w:t>V</w:t>
      </w:r>
      <w:r w:rsidR="004A5C48">
        <w:t>-2</w:t>
      </w:r>
      <w:r w:rsidR="004A5C48">
        <w:tab/>
      </w:r>
      <w:r w:rsidR="00695536">
        <w:t xml:space="preserve">Staff </w:t>
      </w:r>
      <w:r w:rsidR="00CB266D">
        <w:t>Adjustment 4.9</w:t>
      </w:r>
      <w:r w:rsidR="008145F2">
        <w:t>,</w:t>
      </w:r>
      <w:r w:rsidR="008145F2" w:rsidRPr="00A947AB">
        <w:t xml:space="preserve"> Operations and Maintenance</w:t>
      </w:r>
      <w:r w:rsidR="008145F2">
        <w:t xml:space="preserve"> – </w:t>
      </w:r>
      <w:r w:rsidR="008145F2" w:rsidRPr="00A947AB">
        <w:t>Membership</w:t>
      </w:r>
      <w:r w:rsidR="00373C20">
        <w:t xml:space="preserve"> and Subscriptions</w:t>
      </w:r>
      <w:r w:rsidR="00CB266D">
        <w:t xml:space="preserve"> </w:t>
      </w:r>
    </w:p>
    <w:p w14:paraId="351EC940" w14:textId="77777777" w:rsidR="00B814E2" w:rsidRDefault="00B814E2" w:rsidP="004A5C48">
      <w:pPr>
        <w:ind w:left="2880" w:hanging="2880"/>
      </w:pPr>
    </w:p>
    <w:p w14:paraId="791B5F02" w14:textId="2117D193" w:rsidR="00B814E2" w:rsidRDefault="00B814E2" w:rsidP="004A5C48">
      <w:pPr>
        <w:ind w:left="2880" w:hanging="2880"/>
      </w:pPr>
      <w:r>
        <w:t xml:space="preserve"> </w:t>
      </w:r>
    </w:p>
    <w:p w14:paraId="2A18C9DD" w14:textId="77777777" w:rsidR="00B814E2" w:rsidRDefault="00B814E2" w:rsidP="004A5C48">
      <w:pPr>
        <w:ind w:left="2880" w:hanging="2880"/>
      </w:pPr>
    </w:p>
    <w:p w14:paraId="649FA48B" w14:textId="77777777" w:rsidR="00B814E2" w:rsidRDefault="00B814E2" w:rsidP="004A5C48">
      <w:pPr>
        <w:ind w:left="2880" w:hanging="2880"/>
        <w:sectPr w:rsidR="00B814E2" w:rsidSect="0015026F">
          <w:footerReference w:type="default" r:id="rId11"/>
          <w:pgSz w:w="12240" w:h="15840"/>
          <w:pgMar w:top="1440" w:right="1440" w:bottom="1440" w:left="1872" w:header="720" w:footer="720" w:gutter="0"/>
          <w:pgNumType w:fmt="lowerRoman" w:start="1"/>
          <w:cols w:space="720"/>
          <w:docGrid w:linePitch="360"/>
        </w:sectPr>
      </w:pPr>
    </w:p>
    <w:p w14:paraId="5B785285" w14:textId="77777777" w:rsidR="00B814E2" w:rsidRDefault="00B814E2" w:rsidP="00B814E2">
      <w:pPr>
        <w:spacing w:line="480" w:lineRule="auto"/>
        <w:jc w:val="center"/>
        <w:rPr>
          <w:b/>
        </w:rPr>
      </w:pPr>
      <w:r>
        <w:rPr>
          <w:b/>
        </w:rPr>
        <w:lastRenderedPageBreak/>
        <w:t>I.</w:t>
      </w:r>
      <w:r>
        <w:rPr>
          <w:b/>
        </w:rPr>
        <w:tab/>
        <w:t>INTRODUCTION</w:t>
      </w:r>
    </w:p>
    <w:p w14:paraId="320292FB" w14:textId="77777777" w:rsidR="00B814E2" w:rsidRDefault="00B814E2" w:rsidP="00B814E2">
      <w:pPr>
        <w:spacing w:line="480" w:lineRule="auto"/>
        <w:rPr>
          <w:b/>
        </w:rPr>
      </w:pPr>
    </w:p>
    <w:p w14:paraId="1E738BDC" w14:textId="77777777" w:rsidR="00DC1C66" w:rsidRPr="00DC1C66" w:rsidRDefault="00DC1C66" w:rsidP="00DC1C66">
      <w:pPr>
        <w:spacing w:line="480" w:lineRule="auto"/>
        <w:ind w:left="720" w:hanging="720"/>
        <w:rPr>
          <w:b/>
        </w:rPr>
      </w:pPr>
      <w:r w:rsidRPr="00DC1C66">
        <w:rPr>
          <w:b/>
        </w:rPr>
        <w:t>Q.</w:t>
      </w:r>
      <w:r w:rsidRPr="00DC1C66">
        <w:rPr>
          <w:b/>
        </w:rPr>
        <w:tab/>
        <w:t>Please state your name and business address.</w:t>
      </w:r>
    </w:p>
    <w:p w14:paraId="51C9497E" w14:textId="2BA02ECA" w:rsidR="00DC1C66" w:rsidRPr="00DC1C66" w:rsidRDefault="00DC1C66" w:rsidP="00DC1C66">
      <w:pPr>
        <w:spacing w:line="480" w:lineRule="auto"/>
        <w:ind w:left="720" w:hanging="720"/>
      </w:pPr>
      <w:r w:rsidRPr="00DC1C66">
        <w:t xml:space="preserve">A.  </w:t>
      </w:r>
      <w:r w:rsidRPr="00DC1C66">
        <w:tab/>
        <w:t xml:space="preserve">My name is </w:t>
      </w:r>
      <w:r w:rsidR="00954C17">
        <w:t xml:space="preserve">Tiffany </w:t>
      </w:r>
      <w:r w:rsidR="00102643">
        <w:t xml:space="preserve">M. </w:t>
      </w:r>
      <w:r w:rsidR="00954C17">
        <w:t>Van Meter</w:t>
      </w:r>
      <w:r w:rsidRPr="00DC1C66">
        <w:t xml:space="preserve"> and my business address is </w:t>
      </w:r>
      <w:r w:rsidR="002C2619" w:rsidRPr="00626BBD">
        <w:t>the Richard Hemstad Building, 1300 South Evergreen Park Drive Southwest, P.O. Box 47250, Olympia, Washington</w:t>
      </w:r>
      <w:r w:rsidR="002C2619">
        <w:t xml:space="preserve">, </w:t>
      </w:r>
      <w:r w:rsidR="002C2619" w:rsidRPr="00626BBD">
        <w:t>98504</w:t>
      </w:r>
      <w:r w:rsidRPr="00DC1C66">
        <w:t>.</w:t>
      </w:r>
      <w:r w:rsidR="002C2619">
        <w:t xml:space="preserve">  My email address is </w:t>
      </w:r>
      <w:r w:rsidR="00ED45FF">
        <w:t>tvanmete@utc.wa.gov</w:t>
      </w:r>
      <w:r w:rsidR="002C2619">
        <w:t>.</w:t>
      </w:r>
    </w:p>
    <w:p w14:paraId="3215470F" w14:textId="77777777" w:rsidR="00DC1C66" w:rsidRPr="00DC1C66" w:rsidRDefault="00DC1C66" w:rsidP="00DC1C66">
      <w:pPr>
        <w:spacing w:line="480" w:lineRule="auto"/>
        <w:ind w:left="720" w:hanging="720"/>
        <w:rPr>
          <w:b/>
        </w:rPr>
      </w:pPr>
    </w:p>
    <w:p w14:paraId="7553CD95" w14:textId="77777777" w:rsidR="00DC1C66" w:rsidRPr="00DC1C66" w:rsidRDefault="00DC1C66" w:rsidP="00DC1C66">
      <w:pPr>
        <w:spacing w:line="480" w:lineRule="auto"/>
        <w:ind w:left="720" w:hanging="720"/>
        <w:rPr>
          <w:b/>
        </w:rPr>
      </w:pPr>
      <w:r w:rsidRPr="00DC1C66">
        <w:rPr>
          <w:b/>
        </w:rPr>
        <w:t>Q.</w:t>
      </w:r>
      <w:r w:rsidRPr="00DC1C66">
        <w:rPr>
          <w:b/>
        </w:rPr>
        <w:tab/>
        <w:t>Where are you employed and in what capacity?</w:t>
      </w:r>
    </w:p>
    <w:p w14:paraId="2B02C3BE" w14:textId="495BAF2C" w:rsidR="00DC1C66" w:rsidRPr="00DC1C66" w:rsidRDefault="00DC1C66" w:rsidP="00DC1C66">
      <w:pPr>
        <w:spacing w:line="480" w:lineRule="auto"/>
        <w:ind w:left="720" w:hanging="720"/>
      </w:pPr>
      <w:r w:rsidRPr="00DC1C66">
        <w:t xml:space="preserve">A.  </w:t>
      </w:r>
      <w:r w:rsidRPr="00DC1C66">
        <w:tab/>
        <w:t>I am employed at the Washington Utilities and Transportation Commission (Commission) as a</w:t>
      </w:r>
      <w:r w:rsidR="00ED45FF">
        <w:t xml:space="preserve"> Regulatory Analyst. </w:t>
      </w:r>
      <w:r w:rsidR="00E51178">
        <w:t xml:space="preserve">I </w:t>
      </w:r>
      <w:r w:rsidR="00CD6374">
        <w:t xml:space="preserve">review and analyze filings by the investor-owned electric and gas utilities under the jurisdiction of the Commission and present recommendations of the Commission Staff (Staff) to the Commission. </w:t>
      </w:r>
      <w:r w:rsidR="006874C8">
        <w:t xml:space="preserve"> </w:t>
      </w:r>
      <w:r w:rsidR="00CD6374">
        <w:t xml:space="preserve">For example, I </w:t>
      </w:r>
      <w:r w:rsidR="0093195C">
        <w:t xml:space="preserve">recently </w:t>
      </w:r>
      <w:r w:rsidR="00E51178">
        <w:t>presented Staff recommendations to the Commission at open meetings in Dockets UE-151773 for Pacific Power and Light Company</w:t>
      </w:r>
      <w:r w:rsidR="0050030A">
        <w:t xml:space="preserve"> (“Pacific Power” or “Company”)</w:t>
      </w:r>
      <w:r w:rsidR="00E51178">
        <w:t xml:space="preserve"> and UE-151747 for Puget Sound Energy.  I also reviewed </w:t>
      </w:r>
      <w:r w:rsidR="00CD6374">
        <w:t xml:space="preserve">and analyzed </w:t>
      </w:r>
      <w:r w:rsidR="00E51178">
        <w:t>Avista Corporation</w:t>
      </w:r>
      <w:r w:rsidR="00CD6374">
        <w:t>’s</w:t>
      </w:r>
      <w:r w:rsidR="00E51178">
        <w:t xml:space="preserve"> Residential and Farm Energy Rate Adjustment in </w:t>
      </w:r>
      <w:r w:rsidR="000057BA">
        <w:t xml:space="preserve">Docket </w:t>
      </w:r>
      <w:r w:rsidR="00E51178">
        <w:t>UE-151760.</w:t>
      </w:r>
    </w:p>
    <w:p w14:paraId="241C182E" w14:textId="77777777" w:rsidR="00DC1C66" w:rsidRPr="00DC1C66" w:rsidRDefault="00DC1C66" w:rsidP="00DC1C66">
      <w:pPr>
        <w:spacing w:line="480" w:lineRule="auto"/>
        <w:ind w:left="720" w:hanging="720"/>
        <w:rPr>
          <w:b/>
        </w:rPr>
      </w:pPr>
    </w:p>
    <w:p w14:paraId="64D8737A" w14:textId="77777777" w:rsidR="00DC1C66" w:rsidRPr="00DC1C66" w:rsidRDefault="00DC1C66" w:rsidP="00DC1C66">
      <w:pPr>
        <w:spacing w:line="480" w:lineRule="auto"/>
        <w:ind w:left="720" w:hanging="720"/>
        <w:rPr>
          <w:b/>
        </w:rPr>
      </w:pPr>
      <w:r w:rsidRPr="00DC1C66">
        <w:rPr>
          <w:b/>
        </w:rPr>
        <w:t>Q.</w:t>
      </w:r>
      <w:r w:rsidRPr="00DC1C66">
        <w:rPr>
          <w:b/>
        </w:rPr>
        <w:tab/>
        <w:t>How long have you been employed by the Commission?</w:t>
      </w:r>
    </w:p>
    <w:p w14:paraId="5ED2F632" w14:textId="55D864AF" w:rsidR="00DC1C66" w:rsidRPr="00DC1C66" w:rsidRDefault="00DC1C66" w:rsidP="00DC1C66">
      <w:pPr>
        <w:spacing w:line="480" w:lineRule="auto"/>
        <w:ind w:left="720" w:hanging="720"/>
      </w:pPr>
      <w:r w:rsidRPr="00DC1C66">
        <w:t xml:space="preserve">A.  </w:t>
      </w:r>
      <w:r w:rsidRPr="00DC1C66">
        <w:tab/>
        <w:t xml:space="preserve">I have been employed by the Commission since </w:t>
      </w:r>
      <w:r w:rsidR="00ED45FF">
        <w:t>October 2014</w:t>
      </w:r>
      <w:r w:rsidRPr="00DC1C66">
        <w:t>.</w:t>
      </w:r>
    </w:p>
    <w:p w14:paraId="5E3BC510" w14:textId="77777777" w:rsidR="00DC1C66" w:rsidRPr="00DC1C66" w:rsidRDefault="00DC1C66" w:rsidP="00DC1C66">
      <w:pPr>
        <w:spacing w:line="480" w:lineRule="auto"/>
        <w:ind w:left="720" w:hanging="720"/>
        <w:rPr>
          <w:b/>
        </w:rPr>
      </w:pPr>
    </w:p>
    <w:p w14:paraId="3603DC0B" w14:textId="77777777" w:rsidR="00DC1C66" w:rsidRPr="00DC1C66" w:rsidRDefault="00DC1C66" w:rsidP="00CA1590">
      <w:pPr>
        <w:keepNext/>
        <w:spacing w:line="480" w:lineRule="auto"/>
        <w:ind w:left="720" w:hanging="720"/>
        <w:rPr>
          <w:b/>
        </w:rPr>
      </w:pPr>
      <w:r w:rsidRPr="00DC1C66">
        <w:rPr>
          <w:b/>
        </w:rPr>
        <w:lastRenderedPageBreak/>
        <w:t>Q.</w:t>
      </w:r>
      <w:r w:rsidRPr="00DC1C66">
        <w:rPr>
          <w:b/>
        </w:rPr>
        <w:tab/>
        <w:t>Please describe your educational and professional background.</w:t>
      </w:r>
    </w:p>
    <w:p w14:paraId="034986F0" w14:textId="752416DB" w:rsidR="00626BBD" w:rsidRPr="00DC1C66" w:rsidRDefault="00DC1C66" w:rsidP="00CA1590">
      <w:pPr>
        <w:keepNext/>
        <w:spacing w:line="480" w:lineRule="auto"/>
        <w:ind w:left="720" w:hanging="720"/>
      </w:pPr>
      <w:r w:rsidRPr="00DC1C66">
        <w:t xml:space="preserve">A.  </w:t>
      </w:r>
      <w:r w:rsidRPr="00DC1C66">
        <w:tab/>
      </w:r>
      <w:r w:rsidR="00ED45FF">
        <w:t xml:space="preserve">I graduated from Saint Martin’s University in 1999 with a Bachelor of Arts in Business Administration with concentrations in management and marketing.  I worked for the Washington Department of Health and Social Services from February 2001 </w:t>
      </w:r>
      <w:r w:rsidR="00AF7E00">
        <w:t>to</w:t>
      </w:r>
      <w:r w:rsidR="00ED45FF">
        <w:t xml:space="preserve"> July 2014 as a Cost Reimbursement An</w:t>
      </w:r>
      <w:r w:rsidR="00ED45FF" w:rsidRPr="00321A19">
        <w:t>a</w:t>
      </w:r>
      <w:r w:rsidR="00ED45FF">
        <w:t>lyst.</w:t>
      </w:r>
      <w:r w:rsidR="002D5C14">
        <w:t xml:space="preserve">  As a Cost Reimbursement Analyst I audited yearly cost reports of Medicaid</w:t>
      </w:r>
      <w:r w:rsidR="005A0534">
        <w:t>-</w:t>
      </w:r>
      <w:r w:rsidR="002D5C14">
        <w:t xml:space="preserve">certified </w:t>
      </w:r>
      <w:r w:rsidR="005A0534">
        <w:t>l</w:t>
      </w:r>
      <w:r w:rsidR="002D5C14">
        <w:t xml:space="preserve">ong </w:t>
      </w:r>
      <w:r w:rsidR="005A0534">
        <w:t>t</w:t>
      </w:r>
      <w:r w:rsidR="002D5C14">
        <w:t xml:space="preserve">erm </w:t>
      </w:r>
      <w:r w:rsidR="005A0534">
        <w:t>c</w:t>
      </w:r>
      <w:r w:rsidR="002D5C14">
        <w:t xml:space="preserve">are facilities. I analyzed the revenues and expenses </w:t>
      </w:r>
      <w:r w:rsidR="005A0534">
        <w:t xml:space="preserve">that facilities </w:t>
      </w:r>
      <w:r w:rsidR="002D5C14">
        <w:t>claimed for Medicaid reimbursement</w:t>
      </w:r>
      <w:r w:rsidR="00C621BD">
        <w:t xml:space="preserve"> </w:t>
      </w:r>
      <w:r w:rsidR="002D5C14">
        <w:t>to calculate their Medicaid reimbursement</w:t>
      </w:r>
      <w:r w:rsidR="00C621BD">
        <w:t xml:space="preserve"> daily</w:t>
      </w:r>
      <w:r w:rsidR="002D5C14">
        <w:t xml:space="preserve"> rate</w:t>
      </w:r>
      <w:r w:rsidR="00C621BD">
        <w:t>.</w:t>
      </w:r>
      <w:r w:rsidR="002D5C14">
        <w:t xml:space="preserve"> </w:t>
      </w:r>
    </w:p>
    <w:p w14:paraId="36CA64CD" w14:textId="77777777" w:rsidR="00626BBD" w:rsidRPr="00626BBD" w:rsidRDefault="00626BBD" w:rsidP="00626BBD">
      <w:pPr>
        <w:spacing w:line="480" w:lineRule="auto"/>
        <w:ind w:left="720" w:hanging="720"/>
        <w:rPr>
          <w:b/>
        </w:rPr>
      </w:pPr>
    </w:p>
    <w:p w14:paraId="0D89EE7C" w14:textId="77777777" w:rsidR="00626BBD" w:rsidRPr="00626BBD" w:rsidRDefault="00626BBD" w:rsidP="00626BBD">
      <w:pPr>
        <w:spacing w:line="480" w:lineRule="auto"/>
        <w:ind w:left="720" w:hanging="720"/>
        <w:rPr>
          <w:b/>
        </w:rPr>
      </w:pPr>
      <w:r w:rsidRPr="00626BBD">
        <w:rPr>
          <w:b/>
        </w:rPr>
        <w:t>Q.</w:t>
      </w:r>
      <w:r w:rsidRPr="00626BBD">
        <w:rPr>
          <w:b/>
        </w:rPr>
        <w:tab/>
        <w:t>Have you previously testified before the Commission?</w:t>
      </w:r>
    </w:p>
    <w:p w14:paraId="2B727D8E" w14:textId="12EEA1AE" w:rsidR="00B814E2" w:rsidRPr="00626BBD" w:rsidRDefault="00626BBD" w:rsidP="00626BBD">
      <w:pPr>
        <w:spacing w:line="480" w:lineRule="auto"/>
        <w:ind w:left="720" w:hanging="720"/>
      </w:pPr>
      <w:r w:rsidRPr="00626BBD">
        <w:t>A.</w:t>
      </w:r>
      <w:r w:rsidRPr="00626BBD">
        <w:tab/>
      </w:r>
      <w:r w:rsidR="006A65C0">
        <w:t xml:space="preserve">No.  </w:t>
      </w:r>
    </w:p>
    <w:p w14:paraId="6B3204D0" w14:textId="77777777" w:rsidR="00B814E2" w:rsidRDefault="00B814E2" w:rsidP="00B814E2">
      <w:pPr>
        <w:spacing w:line="480" w:lineRule="auto"/>
        <w:ind w:left="720" w:hanging="720"/>
      </w:pPr>
    </w:p>
    <w:p w14:paraId="5DBAFB2A" w14:textId="398222D0" w:rsidR="00B814E2" w:rsidRDefault="00B814E2" w:rsidP="00B814E2">
      <w:pPr>
        <w:spacing w:line="480" w:lineRule="auto"/>
        <w:ind w:left="720" w:hanging="720"/>
        <w:rPr>
          <w:b/>
        </w:rPr>
      </w:pPr>
      <w:r>
        <w:rPr>
          <w:b/>
        </w:rPr>
        <w:t>Q.</w:t>
      </w:r>
      <w:r>
        <w:rPr>
          <w:b/>
        </w:rPr>
        <w:tab/>
      </w:r>
      <w:r w:rsidR="003D1D40">
        <w:rPr>
          <w:b/>
        </w:rPr>
        <w:t>What is the purpose of your testimony?</w:t>
      </w:r>
    </w:p>
    <w:p w14:paraId="190DB17E" w14:textId="67632215" w:rsidR="00AE2A8D" w:rsidRDefault="00B814E2" w:rsidP="00AE2A8D">
      <w:pPr>
        <w:spacing w:line="480" w:lineRule="auto"/>
        <w:ind w:left="720" w:hanging="720"/>
      </w:pPr>
      <w:r>
        <w:t>A.</w:t>
      </w:r>
      <w:r>
        <w:tab/>
      </w:r>
      <w:r w:rsidR="003D1D40">
        <w:t xml:space="preserve">My testimony has </w:t>
      </w:r>
      <w:r w:rsidR="006A65C0">
        <w:t xml:space="preserve">three </w:t>
      </w:r>
      <w:r w:rsidR="003D1D40">
        <w:t xml:space="preserve">components.  First, I address </w:t>
      </w:r>
      <w:r w:rsidR="00A30230">
        <w:t>the Company’s</w:t>
      </w:r>
      <w:r w:rsidR="00297394">
        <w:t xml:space="preserve"> Adjustment 4.9</w:t>
      </w:r>
      <w:r w:rsidR="00A30230">
        <w:t xml:space="preserve">, Operations and Maintenance – </w:t>
      </w:r>
      <w:r w:rsidR="00805AE6">
        <w:t>Membership and Subscriptions</w:t>
      </w:r>
      <w:r w:rsidR="003D1D40">
        <w:t>.  Second, I</w:t>
      </w:r>
      <w:r w:rsidR="00746D79">
        <w:t xml:space="preserve"> </w:t>
      </w:r>
      <w:r w:rsidR="0080084F">
        <w:t xml:space="preserve">discuss </w:t>
      </w:r>
      <w:r w:rsidR="003D1D40">
        <w:t xml:space="preserve">the Company’s </w:t>
      </w:r>
      <w:r w:rsidR="005A0534">
        <w:t>c</w:t>
      </w:r>
      <w:r w:rsidR="003D1D40">
        <w:t xml:space="preserve">ost of </w:t>
      </w:r>
      <w:r w:rsidR="005A0534">
        <w:t>s</w:t>
      </w:r>
      <w:r w:rsidR="003D1D40">
        <w:t xml:space="preserve">ervice and </w:t>
      </w:r>
      <w:r w:rsidR="005A0534">
        <w:t>r</w:t>
      </w:r>
      <w:r w:rsidR="003D1D40">
        <w:t xml:space="preserve">ate design for this filing. Last I </w:t>
      </w:r>
      <w:r w:rsidR="0080084F">
        <w:t xml:space="preserve">review </w:t>
      </w:r>
      <w:r w:rsidR="003D1D40">
        <w:t>the Company’s Low Income Bill Assistance (LIBA) program.</w:t>
      </w:r>
      <w:r w:rsidR="00211054">
        <w:t xml:space="preserve">  </w:t>
      </w:r>
      <w:r w:rsidR="00211054" w:rsidRPr="00973D39">
        <w:t>The results of my analysis</w:t>
      </w:r>
      <w:r w:rsidR="00211054">
        <w:t xml:space="preserve"> on </w:t>
      </w:r>
      <w:r w:rsidR="00AF7E00">
        <w:t>A</w:t>
      </w:r>
      <w:r w:rsidR="00211054">
        <w:t>djustment 4.9</w:t>
      </w:r>
      <w:r w:rsidR="00211054" w:rsidRPr="00973D39">
        <w:t xml:space="preserve"> are incorporated into </w:t>
      </w:r>
      <w:r w:rsidR="00211054">
        <w:t xml:space="preserve">Staff’s </w:t>
      </w:r>
      <w:r w:rsidR="00211054" w:rsidRPr="00973D39">
        <w:t xml:space="preserve">revenue requirement </w:t>
      </w:r>
      <w:r w:rsidR="00211054">
        <w:t xml:space="preserve">model presented </w:t>
      </w:r>
      <w:r w:rsidR="00211054" w:rsidRPr="00973D39">
        <w:t xml:space="preserve">in </w:t>
      </w:r>
      <w:r w:rsidR="00211054">
        <w:t xml:space="preserve">Staff witness Mr. Jason Ball’s </w:t>
      </w:r>
      <w:r w:rsidR="00211054" w:rsidRPr="00973D39">
        <w:t xml:space="preserve">Exhibit No. </w:t>
      </w:r>
      <w:r w:rsidR="00211054" w:rsidRPr="00C434EE">
        <w:t>JLB-</w:t>
      </w:r>
      <w:r w:rsidR="00C434EE">
        <w:t>2</w:t>
      </w:r>
      <w:r w:rsidR="00211054" w:rsidRPr="00973D39">
        <w:t>.</w:t>
      </w:r>
    </w:p>
    <w:p w14:paraId="65EE7653" w14:textId="77777777" w:rsidR="00246267" w:rsidRDefault="00246267" w:rsidP="00AE2A8D">
      <w:pPr>
        <w:spacing w:line="480" w:lineRule="auto"/>
        <w:ind w:left="720" w:hanging="720"/>
      </w:pPr>
    </w:p>
    <w:p w14:paraId="33DE4A9C" w14:textId="775D9C4F" w:rsidR="00246267" w:rsidRDefault="00246267" w:rsidP="00246267">
      <w:pPr>
        <w:spacing w:line="480" w:lineRule="auto"/>
        <w:ind w:left="720" w:hanging="720"/>
        <w:rPr>
          <w:b/>
        </w:rPr>
      </w:pPr>
      <w:r>
        <w:rPr>
          <w:b/>
        </w:rPr>
        <w:t>Q.</w:t>
      </w:r>
      <w:r>
        <w:rPr>
          <w:b/>
        </w:rPr>
        <w:tab/>
        <w:t xml:space="preserve">Please summarize </w:t>
      </w:r>
      <w:r w:rsidR="001B5FD7">
        <w:rPr>
          <w:b/>
        </w:rPr>
        <w:t>Staff’s</w:t>
      </w:r>
      <w:r>
        <w:rPr>
          <w:b/>
        </w:rPr>
        <w:t xml:space="preserve"> recommendations on the three issues you discuss in your testimony.</w:t>
      </w:r>
    </w:p>
    <w:p w14:paraId="07E012C0" w14:textId="40D1890A" w:rsidR="003D1D40" w:rsidRDefault="00246267" w:rsidP="00246267">
      <w:pPr>
        <w:spacing w:line="480" w:lineRule="auto"/>
        <w:ind w:left="720" w:hanging="720"/>
      </w:pPr>
      <w:r>
        <w:lastRenderedPageBreak/>
        <w:t>A.</w:t>
      </w:r>
      <w:r>
        <w:tab/>
      </w:r>
      <w:r w:rsidR="00DA3D07">
        <w:t xml:space="preserve">With respect to </w:t>
      </w:r>
      <w:r w:rsidR="001B5FD7">
        <w:t>Adjustment 4.9, Staff</w:t>
      </w:r>
      <w:r w:rsidR="00DA3D07">
        <w:t xml:space="preserve"> recommend</w:t>
      </w:r>
      <w:r w:rsidR="001B5FD7">
        <w:t>s</w:t>
      </w:r>
      <w:r w:rsidR="00DA3D07">
        <w:t xml:space="preserve"> </w:t>
      </w:r>
      <w:r w:rsidR="00022A43">
        <w:t>removing</w:t>
      </w:r>
      <w:r w:rsidR="00F1193F">
        <w:t xml:space="preserve"> </w:t>
      </w:r>
      <w:r w:rsidR="00F1193F" w:rsidRPr="00372EA1">
        <w:t>$</w:t>
      </w:r>
      <w:r w:rsidR="00243BBE" w:rsidRPr="00372EA1">
        <w:t>23,025</w:t>
      </w:r>
      <w:r w:rsidR="00F1193F">
        <w:t xml:space="preserve"> of</w:t>
      </w:r>
      <w:r w:rsidR="00022A43">
        <w:t xml:space="preserve"> expenses that should not be included in this fil</w:t>
      </w:r>
      <w:r w:rsidR="00F1193F">
        <w:t>ing</w:t>
      </w:r>
      <w:r w:rsidR="00744242" w:rsidRPr="00F1193F">
        <w:t>.</w:t>
      </w:r>
      <w:r w:rsidR="00DA3D07">
        <w:t xml:space="preserve">  </w:t>
      </w:r>
      <w:r w:rsidR="002F61C0">
        <w:t xml:space="preserve">Regarding cost of service and rate design, </w:t>
      </w:r>
      <w:r w:rsidR="001B5FD7">
        <w:t>Staff is not disputing the Company’s proposal to leave them as is</w:t>
      </w:r>
      <w:r w:rsidR="002F61C0">
        <w:t>,</w:t>
      </w:r>
      <w:r w:rsidR="001B5FD7">
        <w:t xml:space="preserve"> but</w:t>
      </w:r>
      <w:r w:rsidR="002F61C0">
        <w:t xml:space="preserve"> </w:t>
      </w:r>
      <w:r w:rsidR="001B5FD7">
        <w:t>Staff</w:t>
      </w:r>
      <w:r w:rsidR="002F61C0">
        <w:t xml:space="preserve"> recommend</w:t>
      </w:r>
      <w:r w:rsidR="001B5FD7">
        <w:t>s</w:t>
      </w:r>
      <w:r w:rsidR="002F61C0">
        <w:t xml:space="preserve"> that interested parties engage in a collaborative to reach a resolution on these issues in time to be implemented in the second rate year.  Finally, with respect to LIBA, </w:t>
      </w:r>
      <w:r w:rsidR="001B5FD7">
        <w:t>Staff supports the Company’s proposal to</w:t>
      </w:r>
      <w:r w:rsidR="00535C26">
        <w:t xml:space="preserve"> continue its current</w:t>
      </w:r>
      <w:r w:rsidR="001B5FD7">
        <w:t xml:space="preserve"> five-year LIBA plan</w:t>
      </w:r>
      <w:r w:rsidR="00535C26">
        <w:t xml:space="preserve"> and </w:t>
      </w:r>
      <w:r w:rsidR="004F0D94">
        <w:t>the planned increases to the average LIBA participant benefit for both effective dates of the rate plan.</w:t>
      </w:r>
      <w:r w:rsidR="00FB1A93">
        <w:t xml:space="preserve"> </w:t>
      </w:r>
    </w:p>
    <w:p w14:paraId="1AAECB77" w14:textId="77777777" w:rsidR="00246267" w:rsidRDefault="00246267" w:rsidP="00AE2A8D">
      <w:pPr>
        <w:spacing w:line="480" w:lineRule="auto"/>
        <w:ind w:left="720" w:hanging="720"/>
      </w:pPr>
    </w:p>
    <w:p w14:paraId="1CC3D737" w14:textId="484FB65F" w:rsidR="00724EC9" w:rsidRDefault="00724EC9" w:rsidP="00CA1590">
      <w:pPr>
        <w:spacing w:line="480" w:lineRule="auto"/>
        <w:jc w:val="center"/>
      </w:pPr>
      <w:r>
        <w:rPr>
          <w:b/>
        </w:rPr>
        <w:t>II.</w:t>
      </w:r>
      <w:r>
        <w:rPr>
          <w:b/>
        </w:rPr>
        <w:tab/>
      </w:r>
      <w:r w:rsidR="00805AE6" w:rsidRPr="00724E95">
        <w:rPr>
          <w:rFonts w:ascii="Times New Roman Bold" w:hAnsi="Times New Roman Bold"/>
          <w:b/>
          <w:caps/>
        </w:rPr>
        <w:t>Adjustment 4.9</w:t>
      </w:r>
      <w:r w:rsidR="004B2C6A" w:rsidRPr="00724E95">
        <w:rPr>
          <w:rFonts w:ascii="Times New Roman Bold" w:hAnsi="Times New Roman Bold"/>
          <w:b/>
          <w:caps/>
        </w:rPr>
        <w:t>,</w:t>
      </w:r>
      <w:r w:rsidRPr="00724E95">
        <w:rPr>
          <w:rFonts w:ascii="Times New Roman Bold" w:hAnsi="Times New Roman Bold"/>
          <w:b/>
          <w:caps/>
        </w:rPr>
        <w:t xml:space="preserve"> Operations and Maintenance</w:t>
      </w:r>
      <w:r w:rsidR="004B2C6A" w:rsidRPr="00724E95">
        <w:rPr>
          <w:rFonts w:ascii="Times New Roman Bold" w:hAnsi="Times New Roman Bold"/>
          <w:b/>
          <w:caps/>
        </w:rPr>
        <w:t xml:space="preserve"> – Memberships and Subscriptions</w:t>
      </w:r>
    </w:p>
    <w:p w14:paraId="16E28C1B" w14:textId="77777777" w:rsidR="00724EC9" w:rsidRDefault="00724EC9" w:rsidP="00AE2A8D">
      <w:pPr>
        <w:spacing w:line="480" w:lineRule="auto"/>
        <w:ind w:left="720" w:hanging="720"/>
      </w:pPr>
    </w:p>
    <w:p w14:paraId="3F8D9F58" w14:textId="4C70E398" w:rsidR="003D1D40" w:rsidRPr="0032198D" w:rsidRDefault="003D1D40" w:rsidP="00805AE6">
      <w:pPr>
        <w:spacing w:line="480" w:lineRule="auto"/>
        <w:ind w:left="720" w:hanging="720"/>
        <w:rPr>
          <w:b/>
        </w:rPr>
      </w:pPr>
      <w:r w:rsidRPr="0032198D">
        <w:rPr>
          <w:b/>
        </w:rPr>
        <w:t>Q.</w:t>
      </w:r>
      <w:r w:rsidRPr="0032198D">
        <w:rPr>
          <w:b/>
        </w:rPr>
        <w:tab/>
      </w:r>
      <w:r w:rsidR="00B964E4">
        <w:rPr>
          <w:b/>
        </w:rPr>
        <w:t>Please describe</w:t>
      </w:r>
      <w:r w:rsidRPr="0032198D">
        <w:rPr>
          <w:b/>
        </w:rPr>
        <w:t xml:space="preserve"> </w:t>
      </w:r>
      <w:r w:rsidR="0050030A">
        <w:rPr>
          <w:b/>
        </w:rPr>
        <w:t>A</w:t>
      </w:r>
      <w:r w:rsidRPr="0032198D">
        <w:rPr>
          <w:b/>
        </w:rPr>
        <w:t>djustment</w:t>
      </w:r>
      <w:r w:rsidR="00B964E4">
        <w:rPr>
          <w:b/>
        </w:rPr>
        <w:t xml:space="preserve"> </w:t>
      </w:r>
      <w:r w:rsidR="00805AE6">
        <w:rPr>
          <w:b/>
        </w:rPr>
        <w:t>4.9</w:t>
      </w:r>
      <w:r w:rsidR="00EC51AC">
        <w:rPr>
          <w:b/>
        </w:rPr>
        <w:t>, Operations and Maintenance –</w:t>
      </w:r>
      <w:r w:rsidR="00B964E4">
        <w:rPr>
          <w:b/>
        </w:rPr>
        <w:t xml:space="preserve"> </w:t>
      </w:r>
      <w:r w:rsidRPr="0032198D">
        <w:rPr>
          <w:b/>
        </w:rPr>
        <w:t>Memberships and Subscriptions</w:t>
      </w:r>
      <w:r w:rsidR="00F4730B">
        <w:rPr>
          <w:b/>
        </w:rPr>
        <w:t xml:space="preserve">. </w:t>
      </w:r>
    </w:p>
    <w:p w14:paraId="3726D8A6" w14:textId="54926AB4" w:rsidR="003D1D40" w:rsidRPr="0083600B" w:rsidRDefault="003D1D40" w:rsidP="003D1D40">
      <w:pPr>
        <w:spacing w:line="480" w:lineRule="auto"/>
        <w:ind w:left="720" w:hanging="720"/>
      </w:pPr>
      <w:r>
        <w:t>A.</w:t>
      </w:r>
      <w:r>
        <w:tab/>
      </w:r>
      <w:r w:rsidRPr="0083600B">
        <w:t xml:space="preserve">The </w:t>
      </w:r>
      <w:r w:rsidR="0050030A">
        <w:t>C</w:t>
      </w:r>
      <w:r w:rsidRPr="0083600B">
        <w:t xml:space="preserve">ompany </w:t>
      </w:r>
      <w:r w:rsidR="0050030A">
        <w:t>proposes</w:t>
      </w:r>
      <w:r w:rsidR="0050030A" w:rsidRPr="0083600B">
        <w:t xml:space="preserve"> </w:t>
      </w:r>
      <w:r w:rsidRPr="0083600B">
        <w:t xml:space="preserve">removing $9,036 from </w:t>
      </w:r>
      <w:r w:rsidR="0050030A">
        <w:t>its</w:t>
      </w:r>
      <w:r w:rsidR="0050030A" w:rsidRPr="0083600B">
        <w:t xml:space="preserve"> </w:t>
      </w:r>
      <w:r w:rsidR="00F4730B">
        <w:t>o</w:t>
      </w:r>
      <w:r w:rsidRPr="0083600B">
        <w:t xml:space="preserve">perating </w:t>
      </w:r>
      <w:r w:rsidR="00F4730B">
        <w:t>r</w:t>
      </w:r>
      <w:r w:rsidRPr="0083600B">
        <w:t>evenue for</w:t>
      </w:r>
      <w:r w:rsidR="00F4730B">
        <w:t xml:space="preserve"> expense</w:t>
      </w:r>
      <w:r w:rsidR="0050030A">
        <w:t>s</w:t>
      </w:r>
      <w:r w:rsidR="00F4730B">
        <w:t xml:space="preserve"> related to</w:t>
      </w:r>
      <w:r w:rsidRPr="0083600B">
        <w:t xml:space="preserve"> </w:t>
      </w:r>
      <w:r w:rsidR="00F4730B">
        <w:t>m</w:t>
      </w:r>
      <w:r w:rsidRPr="0083600B">
        <w:t xml:space="preserve">embership </w:t>
      </w:r>
      <w:r w:rsidR="00F4730B">
        <w:t xml:space="preserve">fees </w:t>
      </w:r>
      <w:r w:rsidRPr="0083600B">
        <w:t xml:space="preserve">and </w:t>
      </w:r>
      <w:r w:rsidR="00F4730B">
        <w:t>s</w:t>
      </w:r>
      <w:r w:rsidRPr="0083600B">
        <w:t xml:space="preserve">ubscriptions.  This adjustment is the result of a collaborative effort that was encouraged by the Commission </w:t>
      </w:r>
      <w:r w:rsidR="005D2855">
        <w:t xml:space="preserve">in </w:t>
      </w:r>
      <w:r w:rsidRPr="0083600B">
        <w:t xml:space="preserve">Order 06 in </w:t>
      </w:r>
      <w:r w:rsidR="007C5256" w:rsidRPr="00372EA1">
        <w:t>Docket UE-100749</w:t>
      </w:r>
      <w:r>
        <w:rPr>
          <w:rStyle w:val="FootnoteReference"/>
        </w:rPr>
        <w:footnoteReference w:id="2"/>
      </w:r>
      <w:r w:rsidRPr="0083600B">
        <w:t xml:space="preserve"> to refine the allocation of certain system </w:t>
      </w:r>
      <w:r w:rsidR="005D2855">
        <w:t>wide</w:t>
      </w:r>
      <w:r w:rsidR="005D2855" w:rsidRPr="0083600B">
        <w:t xml:space="preserve"> </w:t>
      </w:r>
      <w:r w:rsidRPr="0083600B">
        <w:t xml:space="preserve">costs.  </w:t>
      </w:r>
      <w:r w:rsidR="005D2855">
        <w:t xml:space="preserve">The </w:t>
      </w:r>
      <w:r w:rsidR="00B137E7">
        <w:t xml:space="preserve">collaborative concluded </w:t>
      </w:r>
      <w:r w:rsidRPr="0083600B">
        <w:t>that</w:t>
      </w:r>
      <w:r w:rsidR="00B137E7">
        <w:t>,</w:t>
      </w:r>
      <w:r w:rsidRPr="0083600B">
        <w:t xml:space="preserve"> to the extent possible</w:t>
      </w:r>
      <w:r w:rsidR="00B137E7">
        <w:t>,</w:t>
      </w:r>
      <w:r w:rsidRPr="0083600B">
        <w:t xml:space="preserve"> membership expenses should be </w:t>
      </w:r>
      <w:r w:rsidR="00E6561E">
        <w:t>s</w:t>
      </w:r>
      <w:r w:rsidRPr="0083600B">
        <w:t xml:space="preserve">itus assigned to specific states instead of system allocated.  This adjustment assigns the costs attributable to a specific jurisdiction by situs allocation factors for all system-allocated membership and subscription expenses incurred during the </w:t>
      </w:r>
      <w:r w:rsidR="00B137E7">
        <w:t>test period.</w:t>
      </w:r>
    </w:p>
    <w:p w14:paraId="31668921" w14:textId="4ACEE9C7" w:rsidR="003D1D40" w:rsidRPr="009C6F29" w:rsidRDefault="003D1D40" w:rsidP="003D1D40">
      <w:pPr>
        <w:spacing w:line="480" w:lineRule="auto"/>
        <w:rPr>
          <w:b/>
        </w:rPr>
      </w:pPr>
      <w:r w:rsidRPr="009C6F29">
        <w:rPr>
          <w:b/>
        </w:rPr>
        <w:lastRenderedPageBreak/>
        <w:t>Q.</w:t>
      </w:r>
      <w:r w:rsidRPr="009C6F29">
        <w:rPr>
          <w:b/>
        </w:rPr>
        <w:tab/>
        <w:t xml:space="preserve">Does </w:t>
      </w:r>
      <w:r w:rsidR="00E6561E">
        <w:rPr>
          <w:b/>
        </w:rPr>
        <w:t>S</w:t>
      </w:r>
      <w:r w:rsidRPr="009C6F29">
        <w:rPr>
          <w:b/>
        </w:rPr>
        <w:t>taff agree with this adjustment?</w:t>
      </w:r>
    </w:p>
    <w:p w14:paraId="45A773AE" w14:textId="4CC016C9" w:rsidR="003D1D40" w:rsidRDefault="003D1D40" w:rsidP="003D1D40">
      <w:pPr>
        <w:spacing w:line="480" w:lineRule="auto"/>
        <w:ind w:left="720" w:hanging="720"/>
      </w:pPr>
      <w:r>
        <w:t>A.</w:t>
      </w:r>
      <w:r>
        <w:tab/>
      </w:r>
      <w:r w:rsidRPr="0083600B">
        <w:t xml:space="preserve">Staff agrees in principle </w:t>
      </w:r>
      <w:r w:rsidR="00B137E7">
        <w:t xml:space="preserve">with </w:t>
      </w:r>
      <w:r w:rsidRPr="0083600B">
        <w:t>how the adjustment was done</w:t>
      </w:r>
      <w:r w:rsidR="00295C7C">
        <w:t xml:space="preserve">, </w:t>
      </w:r>
      <w:r w:rsidRPr="0083600B">
        <w:t xml:space="preserve">however </w:t>
      </w:r>
      <w:r w:rsidR="00295C7C">
        <w:t xml:space="preserve">the Company </w:t>
      </w:r>
      <w:r w:rsidR="003A7F49">
        <w:t>erred in assigning several expenses to Washington customers that should have been assigned</w:t>
      </w:r>
      <w:r w:rsidR="00D03064">
        <w:t xml:space="preserve"> </w:t>
      </w:r>
      <w:r w:rsidR="00E6561E">
        <w:t xml:space="preserve">to another </w:t>
      </w:r>
      <w:r w:rsidR="00600139">
        <w:t xml:space="preserve">state </w:t>
      </w:r>
      <w:r w:rsidR="00D03064">
        <w:t>or not included in regulated operations</w:t>
      </w:r>
      <w:r w:rsidRPr="0083600B">
        <w:t>.</w:t>
      </w:r>
      <w:r w:rsidR="003A7F49">
        <w:t xml:space="preserve">  These expenses are:</w:t>
      </w:r>
    </w:p>
    <w:p w14:paraId="568CDB85" w14:textId="6FB1C1A6" w:rsidR="003A7F49" w:rsidRDefault="003D1D40" w:rsidP="00F20A91">
      <w:pPr>
        <w:pStyle w:val="ListParagraph"/>
        <w:numPr>
          <w:ilvl w:val="0"/>
          <w:numId w:val="4"/>
        </w:numPr>
        <w:spacing w:line="480" w:lineRule="auto"/>
        <w:ind w:hanging="720"/>
      </w:pPr>
      <w:r w:rsidRPr="0083600B">
        <w:t>Utah Taxpayers Association in the amount of $18,700</w:t>
      </w:r>
      <w:r w:rsidR="00561926">
        <w:t xml:space="preserve"> – According to the Company</w:t>
      </w:r>
      <w:r w:rsidR="00E6561E">
        <w:t>,</w:t>
      </w:r>
      <w:r w:rsidR="00561926">
        <w:t xml:space="preserve"> “T</w:t>
      </w:r>
      <w:r w:rsidR="00561926" w:rsidRPr="0083600B">
        <w:t>he Utah Taxpayers Association strives to prevent ill-conceived or unnecessary tax proposals and encourage tax relief.  The amount represents the Company’s annual membership in the organization.</w:t>
      </w:r>
      <w:r w:rsidR="00561926">
        <w:t>”</w:t>
      </w:r>
      <w:r w:rsidR="00561926">
        <w:rPr>
          <w:rStyle w:val="FootnoteReference"/>
        </w:rPr>
        <w:footnoteReference w:id="3"/>
      </w:r>
    </w:p>
    <w:p w14:paraId="3E05FEF1" w14:textId="74C71FFB" w:rsidR="003A7F49" w:rsidRDefault="003D1D40" w:rsidP="00F20A91">
      <w:pPr>
        <w:pStyle w:val="ListParagraph"/>
        <w:numPr>
          <w:ilvl w:val="0"/>
          <w:numId w:val="4"/>
        </w:numPr>
        <w:spacing w:line="480" w:lineRule="auto"/>
        <w:ind w:hanging="720"/>
      </w:pPr>
      <w:r w:rsidRPr="0083600B">
        <w:t>Wyoming Taxpayers Association in the amount of $11,199</w:t>
      </w:r>
      <w:r w:rsidR="00561926">
        <w:t xml:space="preserve"> – According to the Company</w:t>
      </w:r>
      <w:r w:rsidR="00E6561E">
        <w:t>,</w:t>
      </w:r>
      <w:r w:rsidR="00561926">
        <w:t xml:space="preserve"> “</w:t>
      </w:r>
      <w:r w:rsidR="00561926" w:rsidRPr="0083600B">
        <w:t>The Wyoming Taxpayers Association promotes efficient and effective government through independent and unbiased analysis of public expenditures and taxation policies, coupled with wide dissemination of these analyses.  The amount represents the Company’s annual membership in the organization.”</w:t>
      </w:r>
      <w:r w:rsidR="00561926">
        <w:rPr>
          <w:rStyle w:val="FootnoteReference"/>
        </w:rPr>
        <w:footnoteReference w:id="4"/>
      </w:r>
    </w:p>
    <w:p w14:paraId="7EFE9A3D" w14:textId="393680CF" w:rsidR="00060CBC" w:rsidRDefault="003D1D40" w:rsidP="00F20A91">
      <w:pPr>
        <w:pStyle w:val="ListParagraph"/>
        <w:numPr>
          <w:ilvl w:val="0"/>
          <w:numId w:val="4"/>
        </w:numPr>
        <w:spacing w:line="480" w:lineRule="auto"/>
        <w:ind w:hanging="720"/>
      </w:pPr>
      <w:r w:rsidRPr="0083600B">
        <w:t xml:space="preserve">Yakima County Development Association in the amount of $7,500 </w:t>
      </w:r>
      <w:r w:rsidR="00060CBC">
        <w:t>–</w:t>
      </w:r>
      <w:r w:rsidR="00EB72DA">
        <w:t xml:space="preserve"> According to the Company</w:t>
      </w:r>
      <w:r w:rsidR="00AA2C9D">
        <w:t>,</w:t>
      </w:r>
      <w:r w:rsidR="00EB72DA">
        <w:t xml:space="preserve"> </w:t>
      </w:r>
      <w:r w:rsidR="00060CBC">
        <w:t>“</w:t>
      </w:r>
      <w:r w:rsidR="00561926" w:rsidRPr="0083600B">
        <w:t>The $7,500 amount represents the September 2014 payment to Yakima County Development Association for a pledge to New Vision 7.”</w:t>
      </w:r>
      <w:r w:rsidR="00060CBC">
        <w:rPr>
          <w:rStyle w:val="FootnoteReference"/>
        </w:rPr>
        <w:footnoteReference w:id="5"/>
      </w:r>
      <w:r w:rsidR="00561926" w:rsidRPr="0083600B">
        <w:t xml:space="preserve">  </w:t>
      </w:r>
    </w:p>
    <w:p w14:paraId="675ED0DD" w14:textId="4198199F" w:rsidR="003D1D40" w:rsidRDefault="00060CBC" w:rsidP="00F20A91">
      <w:pPr>
        <w:pStyle w:val="ListParagraph"/>
        <w:numPr>
          <w:ilvl w:val="0"/>
          <w:numId w:val="4"/>
        </w:numPr>
        <w:spacing w:line="480" w:lineRule="auto"/>
        <w:ind w:hanging="720"/>
      </w:pPr>
      <w:r w:rsidRPr="0083600B">
        <w:t>Yakima County Development Association in the amount</w:t>
      </w:r>
      <w:r>
        <w:t xml:space="preserve"> of $4</w:t>
      </w:r>
      <w:r w:rsidR="00EB72DA">
        <w:t>,500 – According to the Company</w:t>
      </w:r>
      <w:r w:rsidR="00AA2C9D">
        <w:t>,</w:t>
      </w:r>
      <w:r w:rsidR="00EB72DA">
        <w:t xml:space="preserve"> </w:t>
      </w:r>
      <w:r>
        <w:t>“</w:t>
      </w:r>
      <w:r w:rsidR="00561926" w:rsidRPr="0083600B">
        <w:t xml:space="preserve">The $4,500 amount represents a Challenge </w:t>
      </w:r>
      <w:r w:rsidR="00561926" w:rsidRPr="0083600B">
        <w:lastRenderedPageBreak/>
        <w:t>Grant given to the Yakima County Development Association for website upgrades and GIS map plug in.  This will help them to be more effective in their efforts to attract new business into the Yakima Valley.”</w:t>
      </w:r>
      <w:r>
        <w:rPr>
          <w:rStyle w:val="FootnoteReference"/>
        </w:rPr>
        <w:footnoteReference w:id="6"/>
      </w:r>
    </w:p>
    <w:p w14:paraId="07C5CF51" w14:textId="77777777" w:rsidR="003D1D40" w:rsidRPr="0083600B" w:rsidRDefault="003D1D40" w:rsidP="003D1D40">
      <w:pPr>
        <w:spacing w:line="480" w:lineRule="auto"/>
        <w:ind w:left="720" w:hanging="720"/>
      </w:pPr>
    </w:p>
    <w:p w14:paraId="3B7F953D" w14:textId="62B44F58" w:rsidR="003D1D40" w:rsidRPr="009C6F29" w:rsidRDefault="003D1D40" w:rsidP="003D1D40">
      <w:pPr>
        <w:spacing w:line="480" w:lineRule="auto"/>
        <w:rPr>
          <w:b/>
        </w:rPr>
      </w:pPr>
      <w:r w:rsidRPr="009C6F29">
        <w:rPr>
          <w:b/>
        </w:rPr>
        <w:t>Q.</w:t>
      </w:r>
      <w:r w:rsidRPr="009C6F29">
        <w:rPr>
          <w:b/>
        </w:rPr>
        <w:tab/>
      </w:r>
      <w:r w:rsidR="00D03064">
        <w:rPr>
          <w:b/>
        </w:rPr>
        <w:t>Please discuss yo</w:t>
      </w:r>
      <w:r w:rsidR="00AC68B7">
        <w:rPr>
          <w:b/>
        </w:rPr>
        <w:t xml:space="preserve">ur analysis of these expenses.  </w:t>
      </w:r>
    </w:p>
    <w:p w14:paraId="0A2C2E90" w14:textId="32B9EB17" w:rsidR="007D67EE" w:rsidRDefault="003D1D40" w:rsidP="003D1D40">
      <w:pPr>
        <w:spacing w:line="480" w:lineRule="auto"/>
        <w:ind w:left="720" w:hanging="720"/>
      </w:pPr>
      <w:r>
        <w:t>A.</w:t>
      </w:r>
      <w:r>
        <w:tab/>
      </w:r>
      <w:r w:rsidR="007D67EE">
        <w:t xml:space="preserve">Expenses associated with tax advocacy in Utah and Wyoming should be situs assigned to their respective </w:t>
      </w:r>
      <w:r w:rsidR="003C0AAE">
        <w:t>s</w:t>
      </w:r>
      <w:r w:rsidR="007D67EE">
        <w:t xml:space="preserve">tate jurisdictions, in keeping with the </w:t>
      </w:r>
      <w:r w:rsidR="005541CE">
        <w:t>collaborative</w:t>
      </w:r>
      <w:r w:rsidR="007D67EE">
        <w:t xml:space="preserve"> approving </w:t>
      </w:r>
      <w:r w:rsidR="005541CE">
        <w:t xml:space="preserve">a cost allocation methodology for system wide expenses.  </w:t>
      </w:r>
    </w:p>
    <w:p w14:paraId="5D76EB6A" w14:textId="5BA65F0E" w:rsidR="00E64ADE" w:rsidRDefault="00E64ADE" w:rsidP="003D1D40">
      <w:pPr>
        <w:spacing w:line="480" w:lineRule="auto"/>
        <w:ind w:left="720" w:hanging="720"/>
      </w:pPr>
      <w:r>
        <w:tab/>
      </w:r>
      <w:r>
        <w:tab/>
        <w:t xml:space="preserve">The expenses associated with the Yakima Valley </w:t>
      </w:r>
      <w:r w:rsidR="00B75CB3">
        <w:t>D</w:t>
      </w:r>
      <w:r>
        <w:t xml:space="preserve">evelopment </w:t>
      </w:r>
      <w:r w:rsidR="002F30EC">
        <w:t>A</w:t>
      </w:r>
      <w:r>
        <w:t>ssociation are</w:t>
      </w:r>
      <w:r w:rsidR="002F30EC">
        <w:t xml:space="preserve"> explained by Pacific Power &amp; Light Company in</w:t>
      </w:r>
      <w:r w:rsidR="007B73FF">
        <w:t xml:space="preserve"> response to Staff Data Request</w:t>
      </w:r>
      <w:r w:rsidR="002F30EC">
        <w:t xml:space="preserve"> 151.  </w:t>
      </w:r>
      <w:r w:rsidR="00B75CB3">
        <w:t>In its response, t</w:t>
      </w:r>
      <w:r w:rsidR="002F30EC">
        <w:t xml:space="preserve">he Company states that </w:t>
      </w:r>
      <w:r w:rsidR="007B73FF">
        <w:t>t</w:t>
      </w:r>
      <w:r w:rsidR="002F30EC">
        <w:t xml:space="preserve">he purpose of these memberships </w:t>
      </w:r>
      <w:r w:rsidR="009A7502">
        <w:t>is</w:t>
      </w:r>
      <w:r w:rsidR="007B73FF">
        <w:t xml:space="preserve"> to</w:t>
      </w:r>
      <w:r w:rsidR="002F30EC">
        <w:t xml:space="preserve"> strengthen relationships</w:t>
      </w:r>
      <w:r w:rsidR="00B75CB3">
        <w:t>.</w:t>
      </w:r>
      <w:r w:rsidR="007B73FF">
        <w:t xml:space="preserve"> </w:t>
      </w:r>
      <w:r w:rsidR="00B75CB3">
        <w:t>S</w:t>
      </w:r>
      <w:r w:rsidR="009A7502">
        <w:t>trengthening relationships</w:t>
      </w:r>
      <w:r w:rsidR="007B73FF">
        <w:t xml:space="preserve"> is not part of </w:t>
      </w:r>
      <w:r w:rsidR="009A7502">
        <w:t>the</w:t>
      </w:r>
      <w:r w:rsidR="007B73FF">
        <w:t xml:space="preserve"> core business of providing electric service</w:t>
      </w:r>
      <w:r w:rsidR="00B75CB3">
        <w:t xml:space="preserve"> and, therefore, Staff believes these expenses should be removed from Adjustment 4.9</w:t>
      </w:r>
      <w:r w:rsidR="007B73FF">
        <w:t>.</w:t>
      </w:r>
      <w:r w:rsidR="007B73FF">
        <w:rPr>
          <w:rStyle w:val="FootnoteReference"/>
        </w:rPr>
        <w:footnoteReference w:id="7"/>
      </w:r>
      <w:r w:rsidR="002F30EC">
        <w:t xml:space="preserve"> </w:t>
      </w:r>
    </w:p>
    <w:p w14:paraId="53EB91BA" w14:textId="77777777" w:rsidR="00111E5A" w:rsidRPr="0083600B" w:rsidRDefault="00111E5A" w:rsidP="00111E5A">
      <w:pPr>
        <w:spacing w:line="480" w:lineRule="auto"/>
        <w:ind w:left="720" w:hanging="720"/>
      </w:pPr>
    </w:p>
    <w:p w14:paraId="0F427912" w14:textId="77777777" w:rsidR="00111E5A" w:rsidRPr="009C6F29" w:rsidRDefault="00111E5A" w:rsidP="00111E5A">
      <w:pPr>
        <w:spacing w:line="480" w:lineRule="auto"/>
        <w:rPr>
          <w:b/>
        </w:rPr>
      </w:pPr>
      <w:r w:rsidRPr="009C6F29">
        <w:rPr>
          <w:b/>
        </w:rPr>
        <w:t>Q.</w:t>
      </w:r>
      <w:r w:rsidRPr="009C6F29">
        <w:rPr>
          <w:b/>
        </w:rPr>
        <w:tab/>
      </w:r>
      <w:r>
        <w:rPr>
          <w:b/>
        </w:rPr>
        <w:t xml:space="preserve">What is the effect of your adjustment?  </w:t>
      </w:r>
    </w:p>
    <w:p w14:paraId="042B5B9E" w14:textId="5151E0F6" w:rsidR="00111E5A" w:rsidRDefault="00111E5A" w:rsidP="00111E5A">
      <w:pPr>
        <w:spacing w:line="480" w:lineRule="auto"/>
        <w:ind w:left="720" w:hanging="720"/>
      </w:pPr>
      <w:r>
        <w:t>A.</w:t>
      </w:r>
      <w:r>
        <w:tab/>
        <w:t xml:space="preserve">My adjustment </w:t>
      </w:r>
      <w:r w:rsidRPr="00DA1AB1">
        <w:t>increases net operating income by $</w:t>
      </w:r>
      <w:r w:rsidR="00FE2882" w:rsidRPr="00DA1AB1">
        <w:t>14,9</w:t>
      </w:r>
      <w:r w:rsidR="00DA1AB1" w:rsidRPr="00DA1AB1">
        <w:t>66</w:t>
      </w:r>
      <w:r w:rsidRPr="00DA1AB1">
        <w:t xml:space="preserve"> for a reduction in revenue requirement of $</w:t>
      </w:r>
      <w:r w:rsidR="00FE2882" w:rsidRPr="00DA1AB1">
        <w:t>14,9</w:t>
      </w:r>
      <w:r w:rsidR="00DA1AB1" w:rsidRPr="00DA1AB1">
        <w:t>66</w:t>
      </w:r>
      <w:r>
        <w:t>.</w:t>
      </w:r>
    </w:p>
    <w:p w14:paraId="37EEC281" w14:textId="77777777" w:rsidR="00F20A91" w:rsidRDefault="00F20A91" w:rsidP="00111E5A">
      <w:pPr>
        <w:spacing w:line="480" w:lineRule="auto"/>
        <w:ind w:left="720" w:hanging="720"/>
      </w:pPr>
    </w:p>
    <w:p w14:paraId="7E396D73" w14:textId="5B8A4AC6" w:rsidR="00BA2B29" w:rsidRDefault="00E64ADE" w:rsidP="00F20A91">
      <w:pPr>
        <w:keepNext/>
        <w:spacing w:line="480" w:lineRule="auto"/>
        <w:jc w:val="center"/>
        <w:rPr>
          <w:b/>
        </w:rPr>
      </w:pPr>
      <w:r>
        <w:rPr>
          <w:b/>
        </w:rPr>
        <w:lastRenderedPageBreak/>
        <w:t>III.</w:t>
      </w:r>
      <w:r>
        <w:rPr>
          <w:b/>
        </w:rPr>
        <w:tab/>
      </w:r>
      <w:r w:rsidRPr="00BB2581">
        <w:rPr>
          <w:rFonts w:ascii="Times New Roman Bold" w:hAnsi="Times New Roman Bold"/>
          <w:b/>
          <w:caps/>
        </w:rPr>
        <w:t>Cost of Service and Rate Design</w:t>
      </w:r>
    </w:p>
    <w:p w14:paraId="5071AA29" w14:textId="182FE688" w:rsidR="007F385D" w:rsidRDefault="007F385D" w:rsidP="00F20A91">
      <w:pPr>
        <w:keepNext/>
        <w:spacing w:line="480" w:lineRule="auto"/>
      </w:pPr>
    </w:p>
    <w:p w14:paraId="1F2A8A66" w14:textId="5B33BC25" w:rsidR="003D1D40" w:rsidRPr="00A66129" w:rsidRDefault="003D1D40" w:rsidP="00F20A91">
      <w:pPr>
        <w:keepNext/>
        <w:spacing w:line="480" w:lineRule="auto"/>
        <w:rPr>
          <w:b/>
          <w:i/>
        </w:rPr>
      </w:pPr>
      <w:r w:rsidRPr="00A66129">
        <w:rPr>
          <w:b/>
        </w:rPr>
        <w:t>Q</w:t>
      </w:r>
      <w:r w:rsidR="00CA1590">
        <w:rPr>
          <w:b/>
        </w:rPr>
        <w:t>.</w:t>
      </w:r>
      <w:r w:rsidRPr="00A66129">
        <w:rPr>
          <w:b/>
        </w:rPr>
        <w:tab/>
        <w:t xml:space="preserve">Did the </w:t>
      </w:r>
      <w:r w:rsidR="000057BA">
        <w:rPr>
          <w:b/>
        </w:rPr>
        <w:t>C</w:t>
      </w:r>
      <w:r w:rsidRPr="00A66129">
        <w:rPr>
          <w:b/>
        </w:rPr>
        <w:t xml:space="preserve">ompany </w:t>
      </w:r>
      <w:r w:rsidR="00C61418">
        <w:rPr>
          <w:b/>
        </w:rPr>
        <w:t>provide</w:t>
      </w:r>
      <w:r w:rsidR="00C61418" w:rsidRPr="00A66129">
        <w:rPr>
          <w:b/>
        </w:rPr>
        <w:t xml:space="preserve"> </w:t>
      </w:r>
      <w:r w:rsidRPr="00A66129">
        <w:rPr>
          <w:b/>
        </w:rPr>
        <w:t xml:space="preserve">a </w:t>
      </w:r>
      <w:r w:rsidR="001E3537">
        <w:rPr>
          <w:b/>
        </w:rPr>
        <w:t>c</w:t>
      </w:r>
      <w:r w:rsidRPr="00A66129">
        <w:rPr>
          <w:b/>
        </w:rPr>
        <w:t xml:space="preserve">ost of </w:t>
      </w:r>
      <w:r w:rsidR="001E3537">
        <w:rPr>
          <w:b/>
        </w:rPr>
        <w:t>s</w:t>
      </w:r>
      <w:r w:rsidRPr="00A66129">
        <w:rPr>
          <w:b/>
        </w:rPr>
        <w:t xml:space="preserve">ervice </w:t>
      </w:r>
      <w:r w:rsidR="001E3537">
        <w:rPr>
          <w:b/>
        </w:rPr>
        <w:t>s</w:t>
      </w:r>
      <w:r w:rsidRPr="00A66129">
        <w:rPr>
          <w:b/>
        </w:rPr>
        <w:t xml:space="preserve">tudy in </w:t>
      </w:r>
      <w:r w:rsidR="0013584B">
        <w:rPr>
          <w:b/>
        </w:rPr>
        <w:t>this case</w:t>
      </w:r>
      <w:r w:rsidRPr="00A66129">
        <w:rPr>
          <w:b/>
        </w:rPr>
        <w:t>?</w:t>
      </w:r>
    </w:p>
    <w:p w14:paraId="3E0C3742" w14:textId="32379621" w:rsidR="003D1D40" w:rsidRDefault="003D1D40" w:rsidP="00F20A91">
      <w:pPr>
        <w:keepNext/>
        <w:spacing w:line="480" w:lineRule="auto"/>
        <w:ind w:left="720" w:hanging="720"/>
      </w:pPr>
      <w:r>
        <w:t>A</w:t>
      </w:r>
      <w:r w:rsidR="00CA1590">
        <w:t>.</w:t>
      </w:r>
      <w:r>
        <w:tab/>
      </w:r>
      <w:r w:rsidR="0013584B">
        <w:t>No, t</w:t>
      </w:r>
      <w:r w:rsidRPr="0083600B">
        <w:t xml:space="preserve">he Company did not provide a </w:t>
      </w:r>
      <w:r w:rsidR="001E3537">
        <w:t>c</w:t>
      </w:r>
      <w:r w:rsidRPr="0083600B">
        <w:t xml:space="preserve">ost of </w:t>
      </w:r>
      <w:r w:rsidR="001E3537">
        <w:t>s</w:t>
      </w:r>
      <w:r w:rsidRPr="0083600B">
        <w:t xml:space="preserve">ervice </w:t>
      </w:r>
      <w:r w:rsidR="001E3537">
        <w:t>s</w:t>
      </w:r>
      <w:r w:rsidRPr="0083600B">
        <w:t>tudy (COS</w:t>
      </w:r>
      <w:r w:rsidR="000640FB">
        <w:t xml:space="preserve"> </w:t>
      </w:r>
      <w:r w:rsidR="0066106B">
        <w:t>s</w:t>
      </w:r>
      <w:r w:rsidR="000640FB">
        <w:t>tudy</w:t>
      </w:r>
      <w:r w:rsidRPr="0083600B">
        <w:t>) in this filing.</w:t>
      </w:r>
      <w:r w:rsidR="0013584B">
        <w:t xml:space="preserve">  Company witness </w:t>
      </w:r>
      <w:r w:rsidR="00067F5E">
        <w:t xml:space="preserve">Ms. </w:t>
      </w:r>
      <w:r w:rsidR="0013584B">
        <w:t>Joelle Steward explains</w:t>
      </w:r>
      <w:r w:rsidR="003C0AAE">
        <w:t xml:space="preserve"> as follows</w:t>
      </w:r>
      <w:r w:rsidR="0013584B">
        <w:t>:</w:t>
      </w:r>
    </w:p>
    <w:p w14:paraId="606F4895" w14:textId="4914ECD2" w:rsidR="0013584B" w:rsidRDefault="005C3DF3">
      <w:pPr>
        <w:ind w:left="1440"/>
      </w:pPr>
      <w:r>
        <w:t>Given the expedited and limited nature of the filing, the Company is not proposing a new cost of service study for this proceeding.  The cost of service study was litigated in the 2014 Rate Case.  While the Commission retained the previously accepted methodologies for that case, it ordered the Company to return to the peak credit approach or provide more justification for an alternative approach in its next case.  The Company intends to present this information in its next general rate case.  For this filing, the outcome of the 2014 Rate Case along with the limited issues in this case, supports an equal percentage rate spread.  The presentation of a new cost of service study here would undermine the purpose of an ERF, which is designed to avoid annual litigation of all issues in a full general rate case.</w:t>
      </w:r>
      <w:r w:rsidR="00956D60">
        <w:rPr>
          <w:rStyle w:val="FootnoteReference"/>
        </w:rPr>
        <w:footnoteReference w:id="8"/>
      </w:r>
    </w:p>
    <w:p w14:paraId="61AD44CC" w14:textId="77777777" w:rsidR="00CA1590" w:rsidRDefault="00CA1590">
      <w:pPr>
        <w:ind w:left="1440"/>
      </w:pPr>
    </w:p>
    <w:p w14:paraId="2E4FD764" w14:textId="2A96C9F4" w:rsidR="0013584B" w:rsidRDefault="0013584B" w:rsidP="00746D79">
      <w:pPr>
        <w:spacing w:line="480" w:lineRule="auto"/>
        <w:ind w:left="720" w:hanging="720"/>
      </w:pPr>
    </w:p>
    <w:p w14:paraId="1EAE1242" w14:textId="04909087" w:rsidR="0013584B" w:rsidRDefault="0013584B" w:rsidP="00746D79">
      <w:pPr>
        <w:spacing w:line="480" w:lineRule="auto"/>
        <w:ind w:left="720" w:hanging="720"/>
        <w:rPr>
          <w:b/>
        </w:rPr>
      </w:pPr>
      <w:r w:rsidRPr="00746D79">
        <w:rPr>
          <w:b/>
        </w:rPr>
        <w:t>Q.</w:t>
      </w:r>
      <w:r w:rsidRPr="00746D79">
        <w:rPr>
          <w:b/>
        </w:rPr>
        <w:tab/>
        <w:t xml:space="preserve">Did the Company propose </w:t>
      </w:r>
      <w:r w:rsidR="000366B8">
        <w:rPr>
          <w:b/>
        </w:rPr>
        <w:t xml:space="preserve">any changes to rate </w:t>
      </w:r>
      <w:r w:rsidRPr="00746D79">
        <w:rPr>
          <w:b/>
        </w:rPr>
        <w:t>design in this case?</w:t>
      </w:r>
    </w:p>
    <w:p w14:paraId="44D6670A" w14:textId="01F0EB82" w:rsidR="0013584B" w:rsidRDefault="0013584B" w:rsidP="00214C8C">
      <w:pPr>
        <w:spacing w:line="480" w:lineRule="auto"/>
        <w:ind w:left="720" w:hanging="720"/>
      </w:pPr>
      <w:r>
        <w:t>A.</w:t>
      </w:r>
      <w:r>
        <w:tab/>
        <w:t xml:space="preserve">No. </w:t>
      </w:r>
      <w:r w:rsidR="000366B8">
        <w:t xml:space="preserve"> T</w:t>
      </w:r>
      <w:r w:rsidRPr="0083600B">
        <w:t xml:space="preserve">he Company did not </w:t>
      </w:r>
      <w:r w:rsidR="000366B8">
        <w:t>propose any rate design changes</w:t>
      </w:r>
      <w:r w:rsidRPr="0083600B">
        <w:t xml:space="preserve"> in this filing.</w:t>
      </w:r>
      <w:r>
        <w:t xml:space="preserve">  </w:t>
      </w:r>
      <w:r w:rsidR="000366B8">
        <w:t xml:space="preserve">Instead, the Company proposed to allocate the revenue increase through a uniform rate increase </w:t>
      </w:r>
      <w:r w:rsidR="00CD4303">
        <w:t>of 2.99 percent to each rate schedule on both May 1, 2016</w:t>
      </w:r>
      <w:r w:rsidR="00B35610">
        <w:t>,</w:t>
      </w:r>
      <w:r w:rsidR="00CD4303">
        <w:t xml:space="preserve"> and May 1, 2017</w:t>
      </w:r>
      <w:r w:rsidR="000366B8">
        <w:t xml:space="preserve">.  </w:t>
      </w:r>
    </w:p>
    <w:p w14:paraId="79911EBD" w14:textId="1F1871E6" w:rsidR="0013584B" w:rsidRPr="00746D79" w:rsidRDefault="0013584B" w:rsidP="00A76F31">
      <w:pPr>
        <w:spacing w:line="480" w:lineRule="auto"/>
        <w:ind w:left="720" w:hanging="720"/>
        <w:rPr>
          <w:b/>
        </w:rPr>
      </w:pPr>
    </w:p>
    <w:p w14:paraId="20C7F0BA" w14:textId="65AEE613" w:rsidR="004E529D" w:rsidRPr="009B1B40" w:rsidRDefault="004E529D" w:rsidP="00B35610">
      <w:pPr>
        <w:spacing w:line="480" w:lineRule="auto"/>
        <w:ind w:left="720" w:hanging="720"/>
        <w:rPr>
          <w:b/>
        </w:rPr>
      </w:pPr>
      <w:r w:rsidRPr="009B1B40">
        <w:rPr>
          <w:b/>
        </w:rPr>
        <w:t>Q</w:t>
      </w:r>
      <w:r w:rsidR="00CA1590">
        <w:rPr>
          <w:b/>
        </w:rPr>
        <w:t>.</w:t>
      </w:r>
      <w:r w:rsidRPr="009B1B40">
        <w:rPr>
          <w:b/>
        </w:rPr>
        <w:tab/>
        <w:t xml:space="preserve">Does </w:t>
      </w:r>
      <w:r w:rsidR="001E3537">
        <w:rPr>
          <w:b/>
        </w:rPr>
        <w:t>S</w:t>
      </w:r>
      <w:r w:rsidRPr="009B1B40">
        <w:rPr>
          <w:b/>
        </w:rPr>
        <w:t xml:space="preserve">taff agree </w:t>
      </w:r>
      <w:r w:rsidR="00C176A5">
        <w:rPr>
          <w:b/>
        </w:rPr>
        <w:t>in principle with</w:t>
      </w:r>
      <w:r w:rsidR="00C176A5" w:rsidRPr="009B1B40">
        <w:rPr>
          <w:b/>
        </w:rPr>
        <w:t xml:space="preserve"> </w:t>
      </w:r>
      <w:r w:rsidRPr="009B1B40">
        <w:rPr>
          <w:b/>
        </w:rPr>
        <w:t xml:space="preserve">how the </w:t>
      </w:r>
      <w:r w:rsidR="00B35610">
        <w:rPr>
          <w:b/>
        </w:rPr>
        <w:t>C</w:t>
      </w:r>
      <w:r w:rsidRPr="009B1B40">
        <w:rPr>
          <w:b/>
        </w:rPr>
        <w:t xml:space="preserve">ompany </w:t>
      </w:r>
      <w:r w:rsidR="00A10257">
        <w:rPr>
          <w:b/>
        </w:rPr>
        <w:t>allocated the rate increase</w:t>
      </w:r>
      <w:r w:rsidRPr="009B1B40">
        <w:rPr>
          <w:b/>
        </w:rPr>
        <w:t>?</w:t>
      </w:r>
    </w:p>
    <w:p w14:paraId="316AC0A6" w14:textId="01C03C22" w:rsidR="004E529D" w:rsidRPr="0083600B" w:rsidRDefault="004E529D" w:rsidP="004E529D">
      <w:pPr>
        <w:spacing w:line="480" w:lineRule="auto"/>
        <w:ind w:left="720" w:hanging="720"/>
      </w:pPr>
      <w:r>
        <w:t>A</w:t>
      </w:r>
      <w:r w:rsidR="00CA1590">
        <w:t>.</w:t>
      </w:r>
      <w:r>
        <w:tab/>
      </w:r>
      <w:r w:rsidR="00A10257">
        <w:t xml:space="preserve">No, </w:t>
      </w:r>
      <w:r w:rsidRPr="0083600B">
        <w:t xml:space="preserve">Staff does not agree </w:t>
      </w:r>
      <w:r w:rsidR="00B35610">
        <w:t>that it is appropriate to apply</w:t>
      </w:r>
      <w:r w:rsidRPr="0083600B">
        <w:t xml:space="preserve"> across</w:t>
      </w:r>
      <w:r w:rsidR="00B35610">
        <w:t>-</w:t>
      </w:r>
      <w:r w:rsidRPr="0083600B">
        <w:t>the</w:t>
      </w:r>
      <w:r w:rsidR="00B35610">
        <w:t>-</w:t>
      </w:r>
      <w:r w:rsidRPr="0083600B">
        <w:t xml:space="preserve">board rate increases to the different rate classes.  </w:t>
      </w:r>
      <w:r w:rsidR="00A10257">
        <w:t>We</w:t>
      </w:r>
      <w:r w:rsidRPr="0083600B">
        <w:t xml:space="preserve"> continue to be concerned with parity and did not have an opportunity to audit parity ratios as the </w:t>
      </w:r>
      <w:r w:rsidR="00B35610">
        <w:t>C</w:t>
      </w:r>
      <w:r w:rsidRPr="0083600B">
        <w:t xml:space="preserve">ompany did not file a </w:t>
      </w:r>
      <w:r w:rsidR="004A0B7B">
        <w:t xml:space="preserve">COS </w:t>
      </w:r>
      <w:r w:rsidR="0066106B">
        <w:t>s</w:t>
      </w:r>
      <w:r w:rsidR="004A0B7B">
        <w:t xml:space="preserve">tudy </w:t>
      </w:r>
      <w:r w:rsidRPr="0083600B">
        <w:t xml:space="preserve">in </w:t>
      </w:r>
      <w:r w:rsidRPr="0083600B">
        <w:lastRenderedPageBreak/>
        <w:t>this case.</w:t>
      </w:r>
      <w:r w:rsidR="00E70B06">
        <w:t xml:space="preserve"> </w:t>
      </w:r>
      <w:r w:rsidR="00C176A5">
        <w:t xml:space="preserve"> </w:t>
      </w:r>
      <w:r w:rsidR="00B35610">
        <w:t>That said</w:t>
      </w:r>
      <w:r w:rsidR="00475595">
        <w:t xml:space="preserve">, </w:t>
      </w:r>
      <w:r w:rsidR="00945585">
        <w:t xml:space="preserve">we believe the best approach to solving COS and rate spread issues is </w:t>
      </w:r>
      <w:r w:rsidR="00B35610">
        <w:t>through a</w:t>
      </w:r>
      <w:r w:rsidR="00945585">
        <w:t xml:space="preserve"> collaborative </w:t>
      </w:r>
      <w:r w:rsidR="00B35610">
        <w:t xml:space="preserve">process </w:t>
      </w:r>
      <w:r w:rsidR="00111E5A">
        <w:t xml:space="preserve">over the next several months, rather than attempting </w:t>
      </w:r>
      <w:r w:rsidR="003C0AAE">
        <w:t xml:space="preserve">to make </w:t>
      </w:r>
      <w:r w:rsidR="00111E5A">
        <w:t>significant changes</w:t>
      </w:r>
      <w:r w:rsidR="00B35610">
        <w:t xml:space="preserve"> within the </w:t>
      </w:r>
      <w:r w:rsidR="00945585">
        <w:t>accelerated timeline</w:t>
      </w:r>
      <w:r w:rsidR="00B35610">
        <w:t xml:space="preserve"> of this case</w:t>
      </w:r>
      <w:r w:rsidR="00945585">
        <w:t xml:space="preserve">.  Therefore we </w:t>
      </w:r>
      <w:r w:rsidR="00B35610">
        <w:t>are not contesting</w:t>
      </w:r>
      <w:r w:rsidR="00945585">
        <w:t xml:space="preserve"> the Company’s proposed </w:t>
      </w:r>
      <w:r w:rsidR="00DE3EDF">
        <w:t>rate spread for the present case</w:t>
      </w:r>
      <w:r w:rsidR="00945585">
        <w:t xml:space="preserve">.    </w:t>
      </w:r>
    </w:p>
    <w:p w14:paraId="4FAE45E9" w14:textId="327A9FB3" w:rsidR="007F385D" w:rsidRPr="0083600B" w:rsidRDefault="007F385D" w:rsidP="003D1D40">
      <w:pPr>
        <w:spacing w:line="480" w:lineRule="auto"/>
      </w:pPr>
    </w:p>
    <w:p w14:paraId="161F6D94" w14:textId="557D7810" w:rsidR="003D1D40" w:rsidRPr="00D71CBF" w:rsidRDefault="003D1D40" w:rsidP="00746D79">
      <w:pPr>
        <w:spacing w:line="480" w:lineRule="auto"/>
        <w:ind w:left="720" w:hanging="720"/>
        <w:rPr>
          <w:b/>
        </w:rPr>
      </w:pPr>
      <w:r w:rsidRPr="00D71CBF">
        <w:rPr>
          <w:b/>
        </w:rPr>
        <w:t>Q</w:t>
      </w:r>
      <w:r w:rsidR="00CA1590">
        <w:rPr>
          <w:b/>
        </w:rPr>
        <w:t>.</w:t>
      </w:r>
      <w:r w:rsidRPr="00D71CBF">
        <w:rPr>
          <w:b/>
        </w:rPr>
        <w:tab/>
        <w:t>Why is a COS</w:t>
      </w:r>
      <w:r w:rsidR="00442AE8">
        <w:rPr>
          <w:b/>
        </w:rPr>
        <w:t xml:space="preserve"> </w:t>
      </w:r>
      <w:r w:rsidR="0066106B">
        <w:rPr>
          <w:b/>
        </w:rPr>
        <w:t>s</w:t>
      </w:r>
      <w:r w:rsidR="000640FB">
        <w:rPr>
          <w:b/>
        </w:rPr>
        <w:t>tudy</w:t>
      </w:r>
      <w:r w:rsidRPr="00D71CBF">
        <w:rPr>
          <w:b/>
        </w:rPr>
        <w:t xml:space="preserve"> </w:t>
      </w:r>
      <w:r w:rsidR="0054313C">
        <w:rPr>
          <w:b/>
        </w:rPr>
        <w:t>important</w:t>
      </w:r>
      <w:r w:rsidR="00505E92">
        <w:rPr>
          <w:b/>
        </w:rPr>
        <w:t>?</w:t>
      </w:r>
    </w:p>
    <w:p w14:paraId="2989BDE3" w14:textId="3EB512EC" w:rsidR="00607A61" w:rsidRDefault="003D1D40" w:rsidP="001A2031">
      <w:pPr>
        <w:spacing w:line="480" w:lineRule="auto"/>
        <w:ind w:left="720" w:hanging="720"/>
      </w:pPr>
      <w:r>
        <w:t>A</w:t>
      </w:r>
      <w:r w:rsidR="00BB6C8F">
        <w:t>.</w:t>
      </w:r>
      <w:r>
        <w:tab/>
      </w:r>
      <w:r w:rsidR="00607A61">
        <w:t xml:space="preserve">Once the total revenue requirement for the utility is determined it is </w:t>
      </w:r>
      <w:r w:rsidR="00446FC6">
        <w:t>then</w:t>
      </w:r>
      <w:r w:rsidR="00607A61">
        <w:t xml:space="preserve"> necessary to allocate the revenues to each schedule, or customer class.  </w:t>
      </w:r>
      <w:r w:rsidR="00670EE4">
        <w:t>A</w:t>
      </w:r>
      <w:r w:rsidRPr="0083600B">
        <w:t xml:space="preserve"> COS</w:t>
      </w:r>
      <w:r w:rsidR="00F84279">
        <w:t xml:space="preserve"> </w:t>
      </w:r>
      <w:r w:rsidR="0066106B">
        <w:t>s</w:t>
      </w:r>
      <w:r w:rsidR="00F84279">
        <w:t>tudy</w:t>
      </w:r>
      <w:r w:rsidRPr="0083600B">
        <w:t xml:space="preserve"> </w:t>
      </w:r>
      <w:r w:rsidR="00607A61">
        <w:t xml:space="preserve">is the tool used to </w:t>
      </w:r>
      <w:r w:rsidRPr="0083600B">
        <w:t xml:space="preserve">determine the </w:t>
      </w:r>
      <w:r w:rsidR="00E42BF1">
        <w:t>C</w:t>
      </w:r>
      <w:r w:rsidRPr="0083600B">
        <w:t>ompany’s cost to serve each class of customers</w:t>
      </w:r>
      <w:r w:rsidR="00670EE4">
        <w:t xml:space="preserve"> based on the recommended revenue requirement level</w:t>
      </w:r>
      <w:r w:rsidRPr="0083600B">
        <w:t xml:space="preserve">. </w:t>
      </w:r>
      <w:r w:rsidR="00607A61">
        <w:t xml:space="preserve"> To arrive a</w:t>
      </w:r>
      <w:r w:rsidR="00EC1163">
        <w:t>t</w:t>
      </w:r>
      <w:r w:rsidR="00607A61">
        <w:t xml:space="preserve"> a fair and reasonable result, the utilit</w:t>
      </w:r>
      <w:r w:rsidR="003106AF">
        <w:t>y’</w:t>
      </w:r>
      <w:r w:rsidR="00607A61">
        <w:t xml:space="preserve">s expenses and rate base must be assigned or allocated to each schedule.  A fair result would show that each schedule produces a similar return on </w:t>
      </w:r>
      <w:r w:rsidR="00233ACA">
        <w:t xml:space="preserve">its assigned </w:t>
      </w:r>
      <w:r w:rsidR="00607A61">
        <w:t xml:space="preserve">rate base. </w:t>
      </w:r>
      <w:r w:rsidR="00233ACA">
        <w:t xml:space="preserve"> This avoids one class subsidizing the others.  T</w:t>
      </w:r>
      <w:r w:rsidR="00855C89">
        <w:t xml:space="preserve">he results of the COS study are used to determine how to allocate the revenues across the schedules. This is also known as “rate spread.”  </w:t>
      </w:r>
      <w:r w:rsidR="00607A61">
        <w:t>The</w:t>
      </w:r>
      <w:r w:rsidR="00855C89">
        <w:t xml:space="preserve">re is often controversy about both </w:t>
      </w:r>
      <w:r w:rsidR="00573825">
        <w:t xml:space="preserve">the </w:t>
      </w:r>
      <w:r w:rsidR="00855C89">
        <w:t>process of</w:t>
      </w:r>
      <w:r w:rsidR="00607A61">
        <w:t xml:space="preserve"> </w:t>
      </w:r>
      <w:r w:rsidR="00855C89">
        <w:t xml:space="preserve">cost </w:t>
      </w:r>
      <w:r w:rsidR="00607A61">
        <w:t xml:space="preserve">allocation </w:t>
      </w:r>
      <w:r w:rsidR="00855C89">
        <w:t xml:space="preserve">and </w:t>
      </w:r>
      <w:r w:rsidR="00573825">
        <w:t xml:space="preserve">of </w:t>
      </w:r>
      <w:r w:rsidR="00855C89">
        <w:t xml:space="preserve">rate spread.  </w:t>
      </w:r>
      <w:r w:rsidR="00573825">
        <w:t>That</w:t>
      </w:r>
      <w:r w:rsidR="00607A61">
        <w:t xml:space="preserve"> is why it is important to </w:t>
      </w:r>
      <w:r w:rsidR="00855C89">
        <w:t xml:space="preserve">engage the various advocates in discussions to iron out differences where possible. </w:t>
      </w:r>
    </w:p>
    <w:p w14:paraId="2538AF44" w14:textId="77777777" w:rsidR="00932F63" w:rsidRPr="0083600B" w:rsidRDefault="00932F63" w:rsidP="003D1D40">
      <w:pPr>
        <w:spacing w:line="480" w:lineRule="auto"/>
      </w:pPr>
      <w:bookmarkStart w:id="0" w:name="_GoBack"/>
      <w:bookmarkEnd w:id="0"/>
    </w:p>
    <w:p w14:paraId="3F88C1ED" w14:textId="33EB2D91" w:rsidR="003D1D40" w:rsidRPr="00ED7CB1" w:rsidRDefault="003D1D40" w:rsidP="003D1D40">
      <w:pPr>
        <w:spacing w:line="480" w:lineRule="auto"/>
        <w:rPr>
          <w:b/>
        </w:rPr>
      </w:pPr>
      <w:r w:rsidRPr="00ED7CB1">
        <w:rPr>
          <w:b/>
        </w:rPr>
        <w:t>Q</w:t>
      </w:r>
      <w:r w:rsidR="00CA1590">
        <w:rPr>
          <w:b/>
        </w:rPr>
        <w:t>.</w:t>
      </w:r>
      <w:r w:rsidRPr="00ED7CB1">
        <w:rPr>
          <w:b/>
        </w:rPr>
        <w:tab/>
        <w:t xml:space="preserve">Why is </w:t>
      </w:r>
      <w:r w:rsidR="00233ACA">
        <w:rPr>
          <w:b/>
        </w:rPr>
        <w:t>the COS study</w:t>
      </w:r>
      <w:r w:rsidRPr="00ED7CB1">
        <w:rPr>
          <w:b/>
        </w:rPr>
        <w:t xml:space="preserve"> </w:t>
      </w:r>
      <w:r w:rsidR="00B02937">
        <w:rPr>
          <w:b/>
        </w:rPr>
        <w:t>important</w:t>
      </w:r>
      <w:r w:rsidRPr="00ED7CB1">
        <w:rPr>
          <w:b/>
        </w:rPr>
        <w:t xml:space="preserve"> when implementing decoupling?</w:t>
      </w:r>
    </w:p>
    <w:p w14:paraId="34FBA397" w14:textId="25E61A0C" w:rsidR="008A7BFD" w:rsidRDefault="003D1D40">
      <w:pPr>
        <w:spacing w:line="480" w:lineRule="auto"/>
        <w:ind w:left="720" w:hanging="720"/>
      </w:pPr>
      <w:r w:rsidRPr="00A76F31">
        <w:t>A</w:t>
      </w:r>
      <w:r w:rsidR="00CA1590">
        <w:t>.</w:t>
      </w:r>
      <w:r w:rsidRPr="00A76F31">
        <w:tab/>
      </w:r>
      <w:r w:rsidR="00956D60" w:rsidRPr="00A76F31">
        <w:t xml:space="preserve">Absent decoupling, the Company receives a large component of its revenue on a per kWh basis.  Due to the high variability in actual kWh sales, the revenue the Company receives from a particular class in any given year may be higher or lower </w:t>
      </w:r>
      <w:r w:rsidR="00956D60" w:rsidRPr="00A76F31">
        <w:lastRenderedPageBreak/>
        <w:t xml:space="preserve">than its actual cost of service.  However, decoupling is designed to stabilize revenue for the Company </w:t>
      </w:r>
      <w:r w:rsidR="00772007">
        <w:t>to</w:t>
      </w:r>
      <w:r w:rsidR="00772007" w:rsidRPr="00A76F31">
        <w:t xml:space="preserve"> </w:t>
      </w:r>
      <w:r w:rsidR="00580A53">
        <w:t xml:space="preserve">a </w:t>
      </w:r>
      <w:r w:rsidR="00956D60" w:rsidRPr="00A76F31">
        <w:t xml:space="preserve">per customer basis and eliminate the variation in revenue due to kWh sales.  </w:t>
      </w:r>
      <w:r w:rsidR="00BD377B">
        <w:t>Because</w:t>
      </w:r>
      <w:r w:rsidR="00772007">
        <w:t xml:space="preserve"> some classes, or customer schedules</w:t>
      </w:r>
      <w:r w:rsidR="004874FF">
        <w:t>,</w:t>
      </w:r>
      <w:r w:rsidR="00772007">
        <w:t xml:space="preserve"> </w:t>
      </w:r>
      <w:r w:rsidR="00BD377B">
        <w:t>typically claim that</w:t>
      </w:r>
      <w:r w:rsidR="00772007">
        <w:t xml:space="preserve"> they do not need to be “decoupled” because they pay all their fixed costs through monthly basic charges or demand rates, it is imperative to assure that </w:t>
      </w:r>
      <w:r w:rsidR="00BD377B">
        <w:t xml:space="preserve">the costs to serve </w:t>
      </w:r>
      <w:r w:rsidR="00772007">
        <w:t xml:space="preserve">each schedule </w:t>
      </w:r>
      <w:r w:rsidR="00BD377B">
        <w:t>are</w:t>
      </w:r>
      <w:r w:rsidR="00772007">
        <w:t xml:space="preserve"> fairly assigned and allocated</w:t>
      </w:r>
      <w:r w:rsidR="00BD377B">
        <w:t xml:space="preserve">. </w:t>
      </w:r>
      <w:r w:rsidR="00772007">
        <w:t xml:space="preserve"> </w:t>
      </w:r>
      <w:r w:rsidR="008A7BFD">
        <w:t xml:space="preserve">Otherwise any inequity </w:t>
      </w:r>
      <w:r w:rsidR="00BD377B">
        <w:t>among</w:t>
      </w:r>
      <w:r w:rsidR="008A7BFD">
        <w:t xml:space="preserve"> schedules is “baked in</w:t>
      </w:r>
      <w:r w:rsidR="00BD377B">
        <w:t>,</w:t>
      </w:r>
      <w:r w:rsidR="008A7BFD">
        <w:t xml:space="preserve">” and the decoupling true-ups will assure that inequity is maintained. </w:t>
      </w:r>
    </w:p>
    <w:p w14:paraId="5F9A99A7" w14:textId="24F297C6" w:rsidR="00BA2B29" w:rsidRDefault="00956D60" w:rsidP="00600139">
      <w:pPr>
        <w:spacing w:line="480" w:lineRule="auto"/>
        <w:ind w:left="720"/>
        <w:rPr>
          <w:color w:val="7030A0"/>
        </w:rPr>
      </w:pPr>
      <w:r w:rsidRPr="00A76F31" w:rsidDel="00956D60">
        <w:t xml:space="preserve"> </w:t>
      </w:r>
      <w:r w:rsidR="003D1D40" w:rsidRPr="00A76F31">
        <w:rPr>
          <w:color w:val="FF0000"/>
        </w:rPr>
        <w:t xml:space="preserve"> </w:t>
      </w:r>
      <w:r w:rsidR="003D1D40" w:rsidRPr="0083600B">
        <w:rPr>
          <w:color w:val="7030A0"/>
        </w:rPr>
        <w:t xml:space="preserve">  </w:t>
      </w:r>
    </w:p>
    <w:p w14:paraId="71AC065C" w14:textId="4E04BFC8" w:rsidR="00BA2B29" w:rsidRPr="00746D79" w:rsidRDefault="00BA2B29" w:rsidP="00BA2B29">
      <w:pPr>
        <w:spacing w:line="480" w:lineRule="auto"/>
        <w:ind w:left="720" w:hanging="720"/>
        <w:rPr>
          <w:b/>
        </w:rPr>
      </w:pPr>
      <w:r w:rsidRPr="00746D79">
        <w:rPr>
          <w:b/>
        </w:rPr>
        <w:t>Q.</w:t>
      </w:r>
      <w:r w:rsidRPr="00746D79">
        <w:rPr>
          <w:b/>
        </w:rPr>
        <w:tab/>
      </w:r>
      <w:r w:rsidR="009A1131">
        <w:rPr>
          <w:b/>
        </w:rPr>
        <w:t>What does Staff propose with regard to</w:t>
      </w:r>
      <w:r w:rsidRPr="00746D79">
        <w:rPr>
          <w:b/>
        </w:rPr>
        <w:t xml:space="preserve"> </w:t>
      </w:r>
      <w:r w:rsidR="001E3537">
        <w:rPr>
          <w:b/>
        </w:rPr>
        <w:t>c</w:t>
      </w:r>
      <w:r w:rsidRPr="00746D79">
        <w:rPr>
          <w:b/>
        </w:rPr>
        <w:t xml:space="preserve">ost of </w:t>
      </w:r>
      <w:r w:rsidR="001E3537">
        <w:rPr>
          <w:b/>
        </w:rPr>
        <w:t>s</w:t>
      </w:r>
      <w:r w:rsidRPr="00746D79">
        <w:rPr>
          <w:b/>
        </w:rPr>
        <w:t xml:space="preserve">ervice and </w:t>
      </w:r>
      <w:r w:rsidR="001E3537">
        <w:rPr>
          <w:b/>
        </w:rPr>
        <w:t>r</w:t>
      </w:r>
      <w:r w:rsidRPr="00746D79">
        <w:rPr>
          <w:b/>
        </w:rPr>
        <w:t xml:space="preserve">ate </w:t>
      </w:r>
      <w:r w:rsidR="001E3537">
        <w:rPr>
          <w:b/>
        </w:rPr>
        <w:t>d</w:t>
      </w:r>
      <w:r w:rsidRPr="00746D79">
        <w:rPr>
          <w:b/>
        </w:rPr>
        <w:t>esign</w:t>
      </w:r>
      <w:r w:rsidR="009A1131">
        <w:rPr>
          <w:b/>
        </w:rPr>
        <w:t>?</w:t>
      </w:r>
    </w:p>
    <w:p w14:paraId="6F7CF227" w14:textId="4D2DC067" w:rsidR="00BA2B29" w:rsidRDefault="00BA2B29" w:rsidP="00BA2B29">
      <w:pPr>
        <w:spacing w:line="480" w:lineRule="auto"/>
        <w:ind w:left="720" w:hanging="720"/>
      </w:pPr>
      <w:r>
        <w:t>A.</w:t>
      </w:r>
      <w:r>
        <w:tab/>
        <w:t>S</w:t>
      </w:r>
      <w:r w:rsidRPr="0083600B">
        <w:t xml:space="preserve">taff </w:t>
      </w:r>
      <w:r>
        <w:t xml:space="preserve">recommends convening </w:t>
      </w:r>
      <w:r w:rsidRPr="0083600B">
        <w:t>a collaborative with</w:t>
      </w:r>
      <w:r>
        <w:t xml:space="preserve"> interested</w:t>
      </w:r>
      <w:r w:rsidRPr="0083600B">
        <w:t xml:space="preserve"> parties to</w:t>
      </w:r>
      <w:r>
        <w:t xml:space="preserve"> review the Company’s cost of service including</w:t>
      </w:r>
      <w:r w:rsidR="004A1281">
        <w:t>, but not limited to</w:t>
      </w:r>
      <w:r>
        <w:t>:</w:t>
      </w:r>
    </w:p>
    <w:p w14:paraId="2762B064" w14:textId="2FF78A36" w:rsidR="00BA2B29" w:rsidRDefault="00BA2B29" w:rsidP="00F20A91">
      <w:pPr>
        <w:spacing w:line="480" w:lineRule="auto"/>
        <w:ind w:left="1440" w:hanging="720"/>
      </w:pPr>
      <w:r>
        <w:t>1</w:t>
      </w:r>
      <w:r w:rsidR="00CA1590">
        <w:t>.</w:t>
      </w:r>
      <w:r w:rsidR="009E6FB5">
        <w:tab/>
      </w:r>
      <w:r w:rsidR="008C667B">
        <w:t>Analyzing the Company’s current parity ratios;</w:t>
      </w:r>
      <w:r w:rsidRPr="0083600B">
        <w:t xml:space="preserve">  </w:t>
      </w:r>
    </w:p>
    <w:p w14:paraId="1015A74D" w14:textId="1D83CB1A" w:rsidR="00BA2B29" w:rsidRDefault="00BA2B29" w:rsidP="00F20A91">
      <w:pPr>
        <w:spacing w:line="480" w:lineRule="auto"/>
        <w:ind w:left="1440" w:hanging="720"/>
      </w:pPr>
      <w:r>
        <w:t>2</w:t>
      </w:r>
      <w:r w:rsidR="00CA1590">
        <w:t>.</w:t>
      </w:r>
      <w:r w:rsidR="009E6FB5">
        <w:tab/>
      </w:r>
      <w:r w:rsidR="008C667B">
        <w:t xml:space="preserve">Evaluating </w:t>
      </w:r>
      <w:r w:rsidR="004A1281">
        <w:t xml:space="preserve">the effects of </w:t>
      </w:r>
      <w:r w:rsidR="008C667B">
        <w:t>a third block in residential rates;</w:t>
      </w:r>
      <w:r w:rsidR="001F1567">
        <w:t xml:space="preserve"> </w:t>
      </w:r>
      <w:r w:rsidR="009A1131">
        <w:t>and</w:t>
      </w:r>
    </w:p>
    <w:p w14:paraId="29BFE694" w14:textId="00AA3702" w:rsidR="00BA2B29" w:rsidRDefault="00BA2B29" w:rsidP="00F20A91">
      <w:pPr>
        <w:spacing w:line="480" w:lineRule="auto"/>
        <w:ind w:left="1440" w:hanging="720"/>
      </w:pPr>
      <w:r>
        <w:t>3</w:t>
      </w:r>
      <w:r w:rsidR="00CA1590">
        <w:t>.</w:t>
      </w:r>
      <w:r w:rsidR="009E6FB5">
        <w:tab/>
      </w:r>
      <w:r w:rsidR="009A1131">
        <w:t xml:space="preserve">Formulating a </w:t>
      </w:r>
      <w:r w:rsidR="008A7BFD">
        <w:t xml:space="preserve">revenue allocation, or rate spread, to assure fair cost recovery </w:t>
      </w:r>
      <w:r>
        <w:t>for non-decoupled customers</w:t>
      </w:r>
      <w:r w:rsidRPr="009E6FB5">
        <w:t>.</w:t>
      </w:r>
    </w:p>
    <w:p w14:paraId="340B9EE7" w14:textId="596C2903" w:rsidR="00BA2B29" w:rsidRDefault="00BA2B29" w:rsidP="00BA2B29">
      <w:pPr>
        <w:spacing w:line="480" w:lineRule="auto"/>
        <w:ind w:left="720"/>
      </w:pPr>
      <w:r w:rsidRPr="0083600B">
        <w:t>This</w:t>
      </w:r>
      <w:r>
        <w:t xml:space="preserve"> Collaborative</w:t>
      </w:r>
      <w:r w:rsidRPr="0083600B">
        <w:t xml:space="preserve"> would be similar to the collaborative and </w:t>
      </w:r>
      <w:r>
        <w:t xml:space="preserve">subsequent </w:t>
      </w:r>
      <w:r w:rsidRPr="0083600B">
        <w:t xml:space="preserve">settlement adopted by the Commission in Order </w:t>
      </w:r>
      <w:r>
        <w:t>11</w:t>
      </w:r>
      <w:r w:rsidRPr="0083600B">
        <w:t xml:space="preserve"> of </w:t>
      </w:r>
      <w:r w:rsidR="009C2847" w:rsidRPr="00E96611">
        <w:t>Docket UE-130617</w:t>
      </w:r>
      <w:r w:rsidRPr="0083600B">
        <w:t xml:space="preserve"> for Puget Sound Energy</w:t>
      </w:r>
      <w:r w:rsidR="00AB0F36">
        <w:t>.</w:t>
      </w:r>
      <w:r>
        <w:rPr>
          <w:rStyle w:val="FootnoteReference"/>
        </w:rPr>
        <w:footnoteReference w:id="9"/>
      </w:r>
      <w:r w:rsidRPr="0083600B">
        <w:t xml:space="preserve">  </w:t>
      </w:r>
      <w:r>
        <w:t>Under this approach</w:t>
      </w:r>
      <w:r w:rsidRPr="0083600B">
        <w:t xml:space="preserve">, Staff would agree </w:t>
      </w:r>
      <w:r>
        <w:t>with the Company’s proposal for</w:t>
      </w:r>
      <w:r w:rsidRPr="0083600B">
        <w:t xml:space="preserve"> rates </w:t>
      </w:r>
      <w:r>
        <w:t xml:space="preserve">to </w:t>
      </w:r>
      <w:r w:rsidRPr="0083600B">
        <w:t xml:space="preserve">go into effect with across the board </w:t>
      </w:r>
      <w:r>
        <w:t>percentage</w:t>
      </w:r>
      <w:r w:rsidRPr="0083600B">
        <w:t xml:space="preserve"> increase</w:t>
      </w:r>
      <w:r>
        <w:t>s</w:t>
      </w:r>
      <w:r w:rsidRPr="0083600B">
        <w:t xml:space="preserve">.  </w:t>
      </w:r>
      <w:r w:rsidR="00C10B1B">
        <w:t xml:space="preserve">It would be Staff’s intent to conclude the collaborative before the start of the second year of the rate plan so that the results of the collaborative could be incorporated into the rates of the </w:t>
      </w:r>
      <w:r w:rsidR="00C10B1B">
        <w:lastRenderedPageBreak/>
        <w:t xml:space="preserve">second rate year. </w:t>
      </w:r>
      <w:r>
        <w:t xml:space="preserve">Staff’s recommended revenue requirement as presented by Mr. Ball </w:t>
      </w:r>
      <w:r w:rsidR="007B1568">
        <w:t xml:space="preserve">results in </w:t>
      </w:r>
      <w:r w:rsidR="00AB500A">
        <w:t>a small increase for the second part of the rate plan in the amount of $6</w:t>
      </w:r>
      <w:r w:rsidR="003C31DE">
        <w:t>93</w:t>
      </w:r>
      <w:r w:rsidR="00AB500A">
        <w:t>,</w:t>
      </w:r>
      <w:r w:rsidR="003C31DE">
        <w:t>555</w:t>
      </w:r>
      <w:r w:rsidR="00AB500A">
        <w:t>.</w:t>
      </w:r>
      <w:r>
        <w:t xml:space="preserve">  </w:t>
      </w:r>
    </w:p>
    <w:p w14:paraId="74016E9B" w14:textId="77777777" w:rsidR="003D1D40" w:rsidRPr="002153A2" w:rsidRDefault="003D1D40" w:rsidP="003D1D40">
      <w:pPr>
        <w:spacing w:line="480" w:lineRule="auto"/>
      </w:pPr>
    </w:p>
    <w:p w14:paraId="75FD329B" w14:textId="65DD7988" w:rsidR="003D1D40" w:rsidRPr="009B1B40" w:rsidRDefault="003D1D40" w:rsidP="003D1D40">
      <w:pPr>
        <w:spacing w:line="480" w:lineRule="auto"/>
        <w:ind w:left="720" w:hanging="720"/>
        <w:rPr>
          <w:b/>
        </w:rPr>
      </w:pPr>
      <w:r w:rsidRPr="009B1B40">
        <w:rPr>
          <w:b/>
        </w:rPr>
        <w:t>Q</w:t>
      </w:r>
      <w:r w:rsidR="00CA1590">
        <w:rPr>
          <w:b/>
        </w:rPr>
        <w:t>.</w:t>
      </w:r>
      <w:r w:rsidRPr="009B1B40">
        <w:rPr>
          <w:b/>
        </w:rPr>
        <w:tab/>
        <w:t xml:space="preserve">Did </w:t>
      </w:r>
      <w:r w:rsidR="004511F6">
        <w:rPr>
          <w:b/>
        </w:rPr>
        <w:t>S</w:t>
      </w:r>
      <w:r w:rsidRPr="009B1B40">
        <w:rPr>
          <w:b/>
        </w:rPr>
        <w:t>taff do an analysis to implement a third block to residential rates without increasing the basic charge</w:t>
      </w:r>
      <w:r w:rsidR="00FF607D">
        <w:rPr>
          <w:b/>
        </w:rPr>
        <w:t>?</w:t>
      </w:r>
      <w:r w:rsidRPr="009B1B40">
        <w:rPr>
          <w:b/>
        </w:rPr>
        <w:t xml:space="preserve"> </w:t>
      </w:r>
    </w:p>
    <w:p w14:paraId="1946831B" w14:textId="3DC08F8F" w:rsidR="00B01369" w:rsidRDefault="003D1D40" w:rsidP="003D1D40">
      <w:pPr>
        <w:spacing w:line="480" w:lineRule="auto"/>
        <w:ind w:left="720" w:hanging="720"/>
      </w:pPr>
      <w:r>
        <w:t>A</w:t>
      </w:r>
      <w:r w:rsidR="00CA1590">
        <w:t>.</w:t>
      </w:r>
      <w:r>
        <w:tab/>
      </w:r>
      <w:r w:rsidRPr="0083600B">
        <w:t>Staff did not have the ability to do an analysis of implementing a third block to residential rates with</w:t>
      </w:r>
      <w:r w:rsidR="004511F6">
        <w:t>in</w:t>
      </w:r>
      <w:r w:rsidRPr="0083600B">
        <w:t xml:space="preserve"> the expedited time frame for this case</w:t>
      </w:r>
      <w:r w:rsidRPr="004511F6">
        <w:t>.</w:t>
      </w:r>
      <w:r w:rsidR="00236435" w:rsidRPr="004511F6">
        <w:rPr>
          <w:rStyle w:val="FootnoteReference"/>
        </w:rPr>
        <w:footnoteReference w:id="10"/>
      </w:r>
      <w:r w:rsidRPr="0083600B">
        <w:t xml:space="preserve"> </w:t>
      </w:r>
      <w:r w:rsidR="00B01369">
        <w:t xml:space="preserve"> Further, the Company did not provide any such analysis.  </w:t>
      </w:r>
    </w:p>
    <w:p w14:paraId="0D8B5FB8" w14:textId="44637B48" w:rsidR="003D1D40" w:rsidRPr="0083600B" w:rsidRDefault="003D1D40" w:rsidP="00746D79">
      <w:pPr>
        <w:spacing w:line="480" w:lineRule="auto"/>
        <w:ind w:left="720" w:firstLine="720"/>
      </w:pPr>
      <w:r w:rsidRPr="0083600B">
        <w:t>Staff support</w:t>
      </w:r>
      <w:r w:rsidR="00B01369">
        <w:t>s</w:t>
      </w:r>
      <w:r w:rsidRPr="0083600B">
        <w:t xml:space="preserve"> adding a third block to residential rates because it sends a price signal that promotes conservation</w:t>
      </w:r>
      <w:r w:rsidR="004A1281">
        <w:t>.</w:t>
      </w:r>
      <w:r w:rsidRPr="0083600B">
        <w:t xml:space="preserve">  </w:t>
      </w:r>
      <w:r w:rsidR="004A1281">
        <w:t>A</w:t>
      </w:r>
      <w:r w:rsidRPr="0083600B">
        <w:t xml:space="preserve">n analysis of </w:t>
      </w:r>
      <w:r w:rsidR="000B60CE">
        <w:t xml:space="preserve">the </w:t>
      </w:r>
      <w:r w:rsidRPr="0083600B">
        <w:t>customer bill impact</w:t>
      </w:r>
      <w:r w:rsidR="004A1281" w:rsidRPr="0083600B">
        <w:t xml:space="preserve"> </w:t>
      </w:r>
      <w:r w:rsidR="003676B2">
        <w:t xml:space="preserve">of </w:t>
      </w:r>
      <w:r w:rsidR="004A1281" w:rsidRPr="0083600B">
        <w:t xml:space="preserve">a third </w:t>
      </w:r>
      <w:r w:rsidR="004A1281">
        <w:t xml:space="preserve">residential rate </w:t>
      </w:r>
      <w:r w:rsidR="004A1281" w:rsidRPr="0083600B">
        <w:t>block</w:t>
      </w:r>
      <w:r w:rsidRPr="0083600B">
        <w:t xml:space="preserve"> </w:t>
      </w:r>
      <w:r w:rsidR="004A1281">
        <w:t>on</w:t>
      </w:r>
      <w:r w:rsidRPr="0083600B">
        <w:t xml:space="preserve"> low income customers and </w:t>
      </w:r>
      <w:r w:rsidR="00F57426">
        <w:t>C</w:t>
      </w:r>
      <w:r w:rsidRPr="0083600B">
        <w:t xml:space="preserve">ompany revenue </w:t>
      </w:r>
      <w:r w:rsidR="004A1281">
        <w:t>volatility</w:t>
      </w:r>
      <w:r w:rsidR="003676B2">
        <w:t>,</w:t>
      </w:r>
      <w:r w:rsidRPr="0083600B">
        <w:t xml:space="preserve"> </w:t>
      </w:r>
      <w:r w:rsidR="004A1281">
        <w:t>at</w:t>
      </w:r>
      <w:r w:rsidR="004511F6" w:rsidRPr="0083600B">
        <w:t xml:space="preserve"> </w:t>
      </w:r>
      <w:r w:rsidRPr="0083600B">
        <w:t xml:space="preserve">the </w:t>
      </w:r>
      <w:r w:rsidR="004511F6">
        <w:t>C</w:t>
      </w:r>
      <w:r w:rsidRPr="0083600B">
        <w:t xml:space="preserve">ompany’s </w:t>
      </w:r>
      <w:r w:rsidR="004A1281">
        <w:t xml:space="preserve">current </w:t>
      </w:r>
      <w:r w:rsidRPr="0083600B">
        <w:t>basic charge</w:t>
      </w:r>
      <w:r w:rsidR="004511F6">
        <w:t xml:space="preserve"> </w:t>
      </w:r>
      <w:r w:rsidR="004A1281">
        <w:t>will promote a greater understanding for all</w:t>
      </w:r>
      <w:r w:rsidRPr="0083600B">
        <w:t xml:space="preserve">.  </w:t>
      </w:r>
      <w:r w:rsidR="00C1455C">
        <w:t xml:space="preserve">This is one of the primary drivers behinds Staff’s recommended COS </w:t>
      </w:r>
      <w:r w:rsidR="00AF6EBD">
        <w:t>c</w:t>
      </w:r>
      <w:r w:rsidR="00C1455C">
        <w:t xml:space="preserve">ollaborative.  </w:t>
      </w:r>
      <w:r w:rsidR="008A7BFD">
        <w:t xml:space="preserve">Staff also recognizes there is controversy and welcomes </w:t>
      </w:r>
      <w:r w:rsidR="003106AF">
        <w:t xml:space="preserve">the presentation of </w:t>
      </w:r>
      <w:r w:rsidR="008A7BFD">
        <w:t xml:space="preserve">all opinions in </w:t>
      </w:r>
      <w:r w:rsidR="003106AF">
        <w:t>a</w:t>
      </w:r>
      <w:r w:rsidR="008A7BFD">
        <w:t>venue</w:t>
      </w:r>
      <w:r w:rsidR="003106AF">
        <w:t xml:space="preserve"> that allows sufficient time for analysis and productive discussion</w:t>
      </w:r>
      <w:r w:rsidR="008A7BFD">
        <w:t>.</w:t>
      </w:r>
    </w:p>
    <w:p w14:paraId="36E3CF9D" w14:textId="77777777" w:rsidR="003D1D40" w:rsidRDefault="003D1D40" w:rsidP="003D1D40">
      <w:pPr>
        <w:spacing w:line="480" w:lineRule="auto"/>
      </w:pPr>
    </w:p>
    <w:p w14:paraId="7A8ED829" w14:textId="0FE25F94" w:rsidR="00C1455C" w:rsidRDefault="00C1455C" w:rsidP="00BB6C8F">
      <w:pPr>
        <w:keepNext/>
        <w:spacing w:line="480" w:lineRule="auto"/>
        <w:jc w:val="center"/>
        <w:rPr>
          <w:b/>
        </w:rPr>
      </w:pPr>
      <w:r>
        <w:rPr>
          <w:b/>
        </w:rPr>
        <w:lastRenderedPageBreak/>
        <w:t>I</w:t>
      </w:r>
      <w:r w:rsidR="00972B88">
        <w:rPr>
          <w:b/>
        </w:rPr>
        <w:t>V</w:t>
      </w:r>
      <w:r>
        <w:rPr>
          <w:b/>
        </w:rPr>
        <w:t>.</w:t>
      </w:r>
      <w:r>
        <w:rPr>
          <w:b/>
        </w:rPr>
        <w:tab/>
      </w:r>
      <w:r w:rsidRPr="00CC21A4">
        <w:rPr>
          <w:rFonts w:ascii="Times New Roman Bold" w:hAnsi="Times New Roman Bold"/>
          <w:b/>
          <w:caps/>
        </w:rPr>
        <w:t>Low Income Bill Assistance</w:t>
      </w:r>
    </w:p>
    <w:p w14:paraId="53BC855B" w14:textId="77777777" w:rsidR="00C1455C" w:rsidRPr="0083600B" w:rsidRDefault="00C1455C" w:rsidP="00BB6C8F">
      <w:pPr>
        <w:keepNext/>
        <w:spacing w:line="480" w:lineRule="auto"/>
      </w:pPr>
    </w:p>
    <w:p w14:paraId="1797E713" w14:textId="14E911A6" w:rsidR="003D1D40" w:rsidRPr="0083600B" w:rsidRDefault="003D1D40" w:rsidP="00BB6C8F">
      <w:pPr>
        <w:keepNext/>
        <w:spacing w:line="480" w:lineRule="auto"/>
        <w:rPr>
          <w:i/>
        </w:rPr>
      </w:pPr>
      <w:r w:rsidRPr="009B1B40">
        <w:rPr>
          <w:b/>
        </w:rPr>
        <w:t>Q</w:t>
      </w:r>
      <w:r w:rsidR="00CA1590">
        <w:rPr>
          <w:b/>
        </w:rPr>
        <w:t>.</w:t>
      </w:r>
      <w:r w:rsidRPr="009B1B40">
        <w:rPr>
          <w:b/>
        </w:rPr>
        <w:tab/>
        <w:t>How is the Company’s LIBA program set up?</w:t>
      </w:r>
    </w:p>
    <w:p w14:paraId="397A90DB" w14:textId="7605A9A6" w:rsidR="003D1D40" w:rsidRPr="0083600B" w:rsidRDefault="003D1D40" w:rsidP="00C86E98">
      <w:pPr>
        <w:spacing w:line="480" w:lineRule="auto"/>
        <w:ind w:left="720" w:hanging="720"/>
      </w:pPr>
      <w:r>
        <w:t>A</w:t>
      </w:r>
      <w:r w:rsidR="00CA1590">
        <w:t>.</w:t>
      </w:r>
      <w:r>
        <w:tab/>
      </w:r>
      <w:r w:rsidRPr="0083600B">
        <w:t xml:space="preserve">The LIBA plan is currently in its fourth year of a </w:t>
      </w:r>
      <w:r w:rsidR="001E08C5">
        <w:t>five-year</w:t>
      </w:r>
      <w:r w:rsidRPr="0083600B">
        <w:t xml:space="preserve"> plan that was agreed to by parties in the </w:t>
      </w:r>
      <w:r w:rsidR="000B01C0">
        <w:t>s</w:t>
      </w:r>
      <w:r w:rsidRPr="0083600B">
        <w:t xml:space="preserve">ettlement </w:t>
      </w:r>
      <w:r w:rsidR="000B01C0">
        <w:t>s</w:t>
      </w:r>
      <w:r w:rsidRPr="0083600B">
        <w:t xml:space="preserve">tipulation approved by the Commission in Order 07 in </w:t>
      </w:r>
      <w:r w:rsidR="00F57426" w:rsidRPr="00E96611">
        <w:t>Docket UE-111190</w:t>
      </w:r>
      <w:r w:rsidRPr="0083600B">
        <w:t>.</w:t>
      </w:r>
      <w:r w:rsidRPr="0083600B">
        <w:rPr>
          <w:rStyle w:val="FootnoteReference"/>
        </w:rPr>
        <w:footnoteReference w:id="11"/>
      </w:r>
      <w:r w:rsidRPr="0083600B">
        <w:t xml:space="preserve">  The major provisions of the </w:t>
      </w:r>
      <w:r w:rsidR="001E08C5">
        <w:t>five-year</w:t>
      </w:r>
      <w:r w:rsidRPr="0083600B">
        <w:t xml:space="preserve"> LIBA plan are </w:t>
      </w:r>
      <w:r w:rsidR="005C349E">
        <w:t xml:space="preserve">that the number of </w:t>
      </w:r>
      <w:r w:rsidR="00882060">
        <w:t>participants increase</w:t>
      </w:r>
      <w:r w:rsidR="00CA1590">
        <w:t>s</w:t>
      </w:r>
      <w:r w:rsidR="00882060">
        <w:t>, agency funding increases</w:t>
      </w:r>
      <w:r w:rsidR="00B22623">
        <w:t>,</w:t>
      </w:r>
      <w:r w:rsidR="00882060">
        <w:t xml:space="preserve"> and benefits to each participant increase </w:t>
      </w:r>
      <w:r w:rsidR="008A7BFD">
        <w:t xml:space="preserve">at </w:t>
      </w:r>
      <w:r w:rsidR="00882060">
        <w:t>two times the percentage of any general rate increase.</w:t>
      </w:r>
    </w:p>
    <w:p w14:paraId="5A583A47" w14:textId="77777777" w:rsidR="00C02119" w:rsidRPr="0083600B" w:rsidRDefault="00C02119" w:rsidP="00C86E98">
      <w:pPr>
        <w:spacing w:line="480" w:lineRule="auto"/>
        <w:ind w:left="720" w:hanging="720"/>
      </w:pPr>
    </w:p>
    <w:p w14:paraId="3267A473" w14:textId="07878F8B" w:rsidR="003D1D40" w:rsidRPr="0083600B" w:rsidRDefault="003D1D40" w:rsidP="00D855CF">
      <w:pPr>
        <w:spacing w:line="480" w:lineRule="auto"/>
        <w:ind w:left="720" w:hanging="720"/>
        <w:rPr>
          <w:i/>
        </w:rPr>
      </w:pPr>
      <w:r w:rsidRPr="009B1B40">
        <w:rPr>
          <w:b/>
        </w:rPr>
        <w:t>Q</w:t>
      </w:r>
      <w:r w:rsidR="00CA1590">
        <w:rPr>
          <w:b/>
        </w:rPr>
        <w:t>.</w:t>
      </w:r>
      <w:r w:rsidRPr="009B1B40">
        <w:rPr>
          <w:b/>
        </w:rPr>
        <w:tab/>
        <w:t xml:space="preserve">What are the proposed </w:t>
      </w:r>
      <w:r w:rsidR="00D855CF">
        <w:rPr>
          <w:b/>
        </w:rPr>
        <w:t>increases</w:t>
      </w:r>
      <w:r w:rsidRPr="009B1B40">
        <w:rPr>
          <w:b/>
        </w:rPr>
        <w:t xml:space="preserve"> the Company is making to the LIBA </w:t>
      </w:r>
      <w:r w:rsidR="00F57426">
        <w:rPr>
          <w:b/>
        </w:rPr>
        <w:t>p</w:t>
      </w:r>
      <w:r w:rsidRPr="009B1B40">
        <w:rPr>
          <w:b/>
        </w:rPr>
        <w:t>rogram?</w:t>
      </w:r>
    </w:p>
    <w:p w14:paraId="69B32E45" w14:textId="43FF62D6" w:rsidR="007731DA" w:rsidRDefault="003D1D40" w:rsidP="003D1D40">
      <w:pPr>
        <w:spacing w:line="480" w:lineRule="auto"/>
        <w:ind w:left="720" w:hanging="720"/>
      </w:pPr>
      <w:r>
        <w:t>A</w:t>
      </w:r>
      <w:r w:rsidR="00CA1590">
        <w:t>.</w:t>
      </w:r>
      <w:r>
        <w:tab/>
      </w:r>
      <w:r w:rsidRPr="0083600B">
        <w:t xml:space="preserve">The Company proposes to apply </w:t>
      </w:r>
      <w:r w:rsidR="007731DA">
        <w:t>a percentage i</w:t>
      </w:r>
      <w:r w:rsidRPr="0083600B">
        <w:t>ncrease for both 2016 and 2017 to Schedule 17 credits that is two times the average residential customer increase</w:t>
      </w:r>
      <w:r w:rsidR="0091263F">
        <w:t xml:space="preserve"> </w:t>
      </w:r>
      <w:r w:rsidR="0091263F" w:rsidRPr="00DA4513">
        <w:t>proposed in this filing</w:t>
      </w:r>
      <w:r w:rsidRPr="0083600B">
        <w:t>.  This results in a 5.98 percent increase each year to the average LIBA participant benefit</w:t>
      </w:r>
      <w:r w:rsidR="007731DA">
        <w:t xml:space="preserve"> </w:t>
      </w:r>
      <w:r w:rsidR="009B708D">
        <w:t>using</w:t>
      </w:r>
      <w:r w:rsidR="007731DA">
        <w:t xml:space="preserve"> the Company’s </w:t>
      </w:r>
      <w:r w:rsidR="009B708D">
        <w:t>revenue requirement</w:t>
      </w:r>
      <w:r w:rsidR="007731DA">
        <w:t xml:space="preserve">.  </w:t>
      </w:r>
      <w:r w:rsidR="00E31C80">
        <w:t xml:space="preserve">This percentage increase may </w:t>
      </w:r>
      <w:r w:rsidR="00F57426">
        <w:t>change</w:t>
      </w:r>
      <w:r w:rsidR="00E31C80">
        <w:t xml:space="preserve"> depending on the Commission’s determination of final </w:t>
      </w:r>
      <w:r w:rsidR="00F57426">
        <w:t>revenues</w:t>
      </w:r>
      <w:r w:rsidR="00E31C80">
        <w:t xml:space="preserve"> and rates.</w:t>
      </w:r>
    </w:p>
    <w:p w14:paraId="5B627515" w14:textId="77777777" w:rsidR="003D1D40" w:rsidRPr="0083600B" w:rsidRDefault="003D1D40" w:rsidP="003D1D40">
      <w:pPr>
        <w:spacing w:line="480" w:lineRule="auto"/>
      </w:pPr>
    </w:p>
    <w:p w14:paraId="0F7F3ED7" w14:textId="2C1DF10A" w:rsidR="003D1D40" w:rsidRPr="0083600B" w:rsidRDefault="003D1D40" w:rsidP="003D1D40">
      <w:pPr>
        <w:spacing w:line="480" w:lineRule="auto"/>
        <w:ind w:left="720" w:hanging="720"/>
        <w:rPr>
          <w:i/>
        </w:rPr>
      </w:pPr>
      <w:r w:rsidRPr="009B1B40">
        <w:rPr>
          <w:b/>
        </w:rPr>
        <w:t>Q</w:t>
      </w:r>
      <w:r w:rsidR="00CA1590">
        <w:rPr>
          <w:b/>
        </w:rPr>
        <w:t>.</w:t>
      </w:r>
      <w:r w:rsidRPr="009B1B40">
        <w:rPr>
          <w:b/>
        </w:rPr>
        <w:tab/>
        <w:t xml:space="preserve">Are the proposed </w:t>
      </w:r>
      <w:r w:rsidR="00D855CF">
        <w:rPr>
          <w:b/>
        </w:rPr>
        <w:t>increases</w:t>
      </w:r>
      <w:r w:rsidRPr="009B1B40">
        <w:rPr>
          <w:b/>
        </w:rPr>
        <w:t xml:space="preserve"> to the Company’s LIBA </w:t>
      </w:r>
      <w:r w:rsidR="00F57426">
        <w:rPr>
          <w:b/>
        </w:rPr>
        <w:t>p</w:t>
      </w:r>
      <w:r w:rsidRPr="009B1B40">
        <w:rPr>
          <w:b/>
        </w:rPr>
        <w:t xml:space="preserve">rogram consistent with the five-year plan approved in </w:t>
      </w:r>
      <w:r w:rsidR="00FB7025">
        <w:rPr>
          <w:b/>
        </w:rPr>
        <w:t>D</w:t>
      </w:r>
      <w:r w:rsidRPr="009B1B40">
        <w:rPr>
          <w:b/>
        </w:rPr>
        <w:t>ocket UE-111190?</w:t>
      </w:r>
    </w:p>
    <w:p w14:paraId="0576D69D" w14:textId="447DF66E" w:rsidR="003D1D40" w:rsidRPr="0083600B" w:rsidRDefault="003D1D40" w:rsidP="003D1D40">
      <w:pPr>
        <w:spacing w:line="480" w:lineRule="auto"/>
        <w:ind w:left="720" w:hanging="720"/>
        <w:rPr>
          <w:i/>
        </w:rPr>
      </w:pPr>
      <w:r>
        <w:t>A</w:t>
      </w:r>
      <w:r w:rsidR="00CA1590">
        <w:t>.</w:t>
      </w:r>
      <w:r>
        <w:tab/>
      </w:r>
      <w:r w:rsidRPr="0083600B">
        <w:t xml:space="preserve">Yes.  The proposed </w:t>
      </w:r>
      <w:r w:rsidR="00DA4513">
        <w:t>increases</w:t>
      </w:r>
      <w:r w:rsidRPr="0083600B">
        <w:t xml:space="preserve"> are consistent with the five</w:t>
      </w:r>
      <w:r w:rsidR="001E08C5">
        <w:t>-</w:t>
      </w:r>
      <w:r w:rsidRPr="0083600B">
        <w:t xml:space="preserve">year plan approved by the Commission in </w:t>
      </w:r>
      <w:r w:rsidR="00FB7025">
        <w:t>D</w:t>
      </w:r>
      <w:r w:rsidRPr="0083600B">
        <w:t>ocket UE-111190</w:t>
      </w:r>
      <w:r w:rsidR="005A26C9">
        <w:t xml:space="preserve">.  </w:t>
      </w:r>
      <w:r w:rsidRPr="0083600B">
        <w:t xml:space="preserve">The Company is not proposing a Schedule 91 </w:t>
      </w:r>
      <w:r w:rsidRPr="0083600B">
        <w:lastRenderedPageBreak/>
        <w:t xml:space="preserve">surcharge increase in this filing.  Following a final order the Company proposes to again file changes to Schedule 91 as part of the compliance filing to recover the increase in the participant benefits and </w:t>
      </w:r>
      <w:r w:rsidR="00F57426">
        <w:t xml:space="preserve">make </w:t>
      </w:r>
      <w:r w:rsidRPr="0083600B">
        <w:t>any other necessary changes.</w:t>
      </w:r>
      <w:r w:rsidR="00013D75">
        <w:rPr>
          <w:rStyle w:val="FootnoteReference"/>
        </w:rPr>
        <w:footnoteReference w:id="12"/>
      </w:r>
    </w:p>
    <w:p w14:paraId="3B13E807" w14:textId="77777777" w:rsidR="003D1D40" w:rsidRPr="0083600B" w:rsidRDefault="003D1D40" w:rsidP="003D1D40">
      <w:pPr>
        <w:spacing w:line="480" w:lineRule="auto"/>
        <w:rPr>
          <w:color w:val="7030A0"/>
        </w:rPr>
      </w:pPr>
    </w:p>
    <w:p w14:paraId="2B3562C9" w14:textId="74498147" w:rsidR="003D1D40" w:rsidRPr="0083600B" w:rsidRDefault="003D1D40" w:rsidP="003D1D40">
      <w:pPr>
        <w:spacing w:line="480" w:lineRule="auto"/>
        <w:ind w:left="720" w:hanging="720"/>
        <w:rPr>
          <w:i/>
        </w:rPr>
      </w:pPr>
      <w:r w:rsidRPr="009B1B40">
        <w:rPr>
          <w:b/>
        </w:rPr>
        <w:t>Q</w:t>
      </w:r>
      <w:r w:rsidR="00CA1590">
        <w:rPr>
          <w:b/>
        </w:rPr>
        <w:t>.</w:t>
      </w:r>
      <w:r w:rsidRPr="009B1B40">
        <w:rPr>
          <w:b/>
        </w:rPr>
        <w:tab/>
        <w:t xml:space="preserve">Does the Company have a plan in place to address the ending of the </w:t>
      </w:r>
      <w:r w:rsidR="001E08C5">
        <w:rPr>
          <w:b/>
        </w:rPr>
        <w:t>five-year</w:t>
      </w:r>
      <w:r w:rsidRPr="009B1B40">
        <w:rPr>
          <w:b/>
        </w:rPr>
        <w:t xml:space="preserve"> LIBA plan in April of 2017?</w:t>
      </w:r>
    </w:p>
    <w:p w14:paraId="4C45D178" w14:textId="17D92D2A" w:rsidR="003D1D40" w:rsidRDefault="003D1D40" w:rsidP="003D1D40">
      <w:pPr>
        <w:spacing w:line="480" w:lineRule="auto"/>
        <w:ind w:left="720" w:hanging="720"/>
      </w:pPr>
      <w:r>
        <w:t>A</w:t>
      </w:r>
      <w:r w:rsidR="00CA1590">
        <w:t>.</w:t>
      </w:r>
      <w:r>
        <w:tab/>
      </w:r>
      <w:r w:rsidRPr="0083600B">
        <w:t xml:space="preserve">Yes.  The Company proposes an increase to Schedule 17 benefits for the </w:t>
      </w:r>
      <w:r w:rsidR="005A26C9">
        <w:t>second</w:t>
      </w:r>
      <w:r w:rsidR="00F57426">
        <w:t>-</w:t>
      </w:r>
      <w:r w:rsidR="005A26C9">
        <w:t xml:space="preserve">year </w:t>
      </w:r>
      <w:r w:rsidRPr="0083600B">
        <w:t xml:space="preserve">rates </w:t>
      </w:r>
      <w:r w:rsidR="00A10295">
        <w:t xml:space="preserve">that </w:t>
      </w:r>
      <w:r w:rsidR="00A361DB">
        <w:t xml:space="preserve">they propose to be </w:t>
      </w:r>
      <w:r w:rsidRPr="0083600B">
        <w:t xml:space="preserve">effective </w:t>
      </w:r>
      <w:r w:rsidR="00A361DB">
        <w:t>May</w:t>
      </w:r>
      <w:r w:rsidR="00236435">
        <w:t xml:space="preserve"> 1</w:t>
      </w:r>
      <w:r w:rsidRPr="0083600B">
        <w:t>, 2017</w:t>
      </w:r>
      <w:r w:rsidR="00FB7025">
        <w:t>,</w:t>
      </w:r>
      <w:r w:rsidR="00236435">
        <w:t xml:space="preserve"> </w:t>
      </w:r>
      <w:r w:rsidRPr="0083600B">
        <w:t xml:space="preserve">identical to the way it </w:t>
      </w:r>
      <w:r w:rsidR="00A702BF">
        <w:t>will apply the increase</w:t>
      </w:r>
      <w:r w:rsidR="00A361DB">
        <w:t xml:space="preserve"> to the rates they propose to be effective</w:t>
      </w:r>
      <w:r w:rsidR="00A702BF" w:rsidRPr="0083600B">
        <w:t xml:space="preserve"> </w:t>
      </w:r>
      <w:r w:rsidR="00A361DB">
        <w:t>May</w:t>
      </w:r>
      <w:r w:rsidRPr="0083600B">
        <w:t xml:space="preserve"> 1, 2016</w:t>
      </w:r>
      <w:r w:rsidR="00FB7025">
        <w:t>,</w:t>
      </w:r>
      <w:r w:rsidRPr="0083600B">
        <w:t xml:space="preserve"> </w:t>
      </w:r>
      <w:r w:rsidR="00A702BF">
        <w:t xml:space="preserve">which is the start of </w:t>
      </w:r>
      <w:r w:rsidRPr="0083600B">
        <w:t>the last year of the five</w:t>
      </w:r>
      <w:r w:rsidR="00FB7025">
        <w:t xml:space="preserve"> </w:t>
      </w:r>
      <w:r w:rsidRPr="0083600B">
        <w:t>year plan.</w:t>
      </w:r>
      <w:r w:rsidR="00236435">
        <w:rPr>
          <w:rStyle w:val="FootnoteReference"/>
        </w:rPr>
        <w:footnoteReference w:id="13"/>
      </w:r>
      <w:r w:rsidRPr="0083600B">
        <w:t xml:space="preserve">  </w:t>
      </w:r>
      <w:r w:rsidRPr="009B377E">
        <w:t xml:space="preserve">The </w:t>
      </w:r>
      <w:r w:rsidR="00FB7025" w:rsidRPr="009B377E">
        <w:t>C</w:t>
      </w:r>
      <w:r w:rsidRPr="009B377E">
        <w:t>ompany also plans to convene a stakeholder group to discuss any additional program changes</w:t>
      </w:r>
      <w:r w:rsidRPr="0083600B">
        <w:t xml:space="preserve"> to be effective beginning with the 2017</w:t>
      </w:r>
      <w:r w:rsidR="00FB7025">
        <w:t>–</w:t>
      </w:r>
      <w:r w:rsidRPr="0083600B">
        <w:t>2018 winter heating season.</w:t>
      </w:r>
      <w:r w:rsidR="00A361DB">
        <w:t xml:space="preserve">  </w:t>
      </w:r>
      <w:r w:rsidR="00A361DB" w:rsidRPr="00DE4F69">
        <w:t xml:space="preserve">Through informal communication with the Company, Staff understands that the group </w:t>
      </w:r>
      <w:r w:rsidR="00B6209D" w:rsidRPr="00DE4F69">
        <w:t xml:space="preserve">initially </w:t>
      </w:r>
      <w:r w:rsidR="00A361DB" w:rsidRPr="00DE4F69">
        <w:t>met Thursday, February 25, 2016.  The group consisted of the Company, three community agencies the Company works with in their territory</w:t>
      </w:r>
      <w:r w:rsidR="00F57426">
        <w:t>,</w:t>
      </w:r>
      <w:r w:rsidR="00A361DB" w:rsidRPr="00DE4F69">
        <w:t xml:space="preserve"> and the Energy Project.  The Company plans to include Commission staff in</w:t>
      </w:r>
      <w:r w:rsidR="00B6209D" w:rsidRPr="00DE4F69">
        <w:t xml:space="preserve"> future</w:t>
      </w:r>
      <w:r w:rsidR="00A361DB" w:rsidRPr="00DE4F69">
        <w:t xml:space="preserve"> meetings that discuss any changes to the LIBA plan.</w:t>
      </w:r>
      <w:r w:rsidR="006436A0">
        <w:t xml:space="preserve"> </w:t>
      </w:r>
    </w:p>
    <w:p w14:paraId="2D81BADE" w14:textId="77777777" w:rsidR="003D1D40" w:rsidRPr="0083600B" w:rsidRDefault="003D1D40" w:rsidP="003D1D40">
      <w:pPr>
        <w:spacing w:line="480" w:lineRule="auto"/>
      </w:pPr>
    </w:p>
    <w:p w14:paraId="174B6212" w14:textId="4B029B13" w:rsidR="003D1D40" w:rsidRPr="0083600B" w:rsidRDefault="003D1D40" w:rsidP="003D1D40">
      <w:pPr>
        <w:spacing w:line="480" w:lineRule="auto"/>
        <w:rPr>
          <w:i/>
        </w:rPr>
      </w:pPr>
      <w:r w:rsidRPr="009B1B40">
        <w:rPr>
          <w:b/>
        </w:rPr>
        <w:t>Q</w:t>
      </w:r>
      <w:r w:rsidR="00CA1590">
        <w:rPr>
          <w:b/>
        </w:rPr>
        <w:t>.</w:t>
      </w:r>
      <w:r w:rsidRPr="009B1B40">
        <w:rPr>
          <w:b/>
        </w:rPr>
        <w:tab/>
        <w:t xml:space="preserve">Does </w:t>
      </w:r>
      <w:r w:rsidR="00FB7025">
        <w:rPr>
          <w:b/>
        </w:rPr>
        <w:t>S</w:t>
      </w:r>
      <w:r w:rsidRPr="009B1B40">
        <w:rPr>
          <w:b/>
        </w:rPr>
        <w:t xml:space="preserve">taff support the proposed </w:t>
      </w:r>
      <w:r w:rsidR="006A0BF4">
        <w:rPr>
          <w:b/>
        </w:rPr>
        <w:t>increases</w:t>
      </w:r>
      <w:r w:rsidRPr="009B1B40">
        <w:rPr>
          <w:b/>
        </w:rPr>
        <w:t xml:space="preserve"> to the LIBA program?</w:t>
      </w:r>
    </w:p>
    <w:p w14:paraId="20D71B82" w14:textId="0F89351A" w:rsidR="001C6801" w:rsidRDefault="003D1D40" w:rsidP="00B814E2">
      <w:pPr>
        <w:spacing w:line="480" w:lineRule="auto"/>
        <w:ind w:left="720" w:hanging="720"/>
      </w:pPr>
      <w:r>
        <w:t>A</w:t>
      </w:r>
      <w:r w:rsidR="00CA1590">
        <w:t>.</w:t>
      </w:r>
      <w:r>
        <w:tab/>
      </w:r>
      <w:r w:rsidRPr="0083600B">
        <w:t xml:space="preserve">In principle, yes.  Staff agrees that the </w:t>
      </w:r>
      <w:r w:rsidR="001A4BE8">
        <w:t>increases</w:t>
      </w:r>
      <w:r w:rsidRPr="0083600B">
        <w:t xml:space="preserve"> are appropriate and consistent with the five</w:t>
      </w:r>
      <w:r w:rsidR="001E08C5">
        <w:t>-</w:t>
      </w:r>
      <w:r w:rsidRPr="0083600B">
        <w:t xml:space="preserve">year plan approved in </w:t>
      </w:r>
      <w:r w:rsidR="00FB7025">
        <w:t>D</w:t>
      </w:r>
      <w:r w:rsidRPr="0083600B">
        <w:t xml:space="preserve">ocket UE-111190.  </w:t>
      </w:r>
      <w:r w:rsidR="001C6801">
        <w:t xml:space="preserve">However, Staff’s recommended </w:t>
      </w:r>
      <w:r w:rsidR="00784D24">
        <w:lastRenderedPageBreak/>
        <w:t xml:space="preserve">revenue requirement results in </w:t>
      </w:r>
      <w:r w:rsidR="00AB500A">
        <w:t>a small increase in the second part of the rate plan only in the amount of $</w:t>
      </w:r>
      <w:r w:rsidR="003C31DE">
        <w:t>693,555</w:t>
      </w:r>
      <w:r w:rsidR="00AB500A">
        <w:t xml:space="preserve">. </w:t>
      </w:r>
      <w:r w:rsidR="00784D24">
        <w:t xml:space="preserve"> Staff</w:t>
      </w:r>
      <w:r w:rsidR="00FA3DB2">
        <w:t>’</w:t>
      </w:r>
      <w:r w:rsidR="00784D24">
        <w:t>s recommendation is to keep the LIBA funding at the current level</w:t>
      </w:r>
      <w:r w:rsidR="00AB500A">
        <w:t xml:space="preserve"> for the first year of the rate plan and increase LIBA funding by .3</w:t>
      </w:r>
      <w:r w:rsidR="003C31DE">
        <w:t>8</w:t>
      </w:r>
      <w:r w:rsidR="00AB500A">
        <w:t>6% for the 2017 rate year</w:t>
      </w:r>
      <w:r w:rsidR="00784D24">
        <w:t xml:space="preserve">. </w:t>
      </w:r>
    </w:p>
    <w:p w14:paraId="69425CB6" w14:textId="7AC1B18D" w:rsidR="00B814E2" w:rsidRDefault="001C6801">
      <w:pPr>
        <w:spacing w:line="480" w:lineRule="auto"/>
        <w:ind w:left="720" w:firstLine="720"/>
      </w:pPr>
      <w:r>
        <w:t>Additionally,</w:t>
      </w:r>
      <w:r w:rsidR="003D1D40" w:rsidRPr="0083600B">
        <w:t xml:space="preserve"> as discussed in my earlier testimony</w:t>
      </w:r>
      <w:r w:rsidR="00FB7025">
        <w:t>,</w:t>
      </w:r>
      <w:r w:rsidR="003D1D40" w:rsidRPr="0083600B">
        <w:t xml:space="preserve"> Staff would like to work on a collaborative with </w:t>
      </w:r>
      <w:r w:rsidR="00FB7025">
        <w:t xml:space="preserve">interested </w:t>
      </w:r>
      <w:r w:rsidR="003D1D40" w:rsidRPr="0083600B">
        <w:t xml:space="preserve">parties to achieve greater parity of the customer class schedules for the second set of rates that will be effective </w:t>
      </w:r>
      <w:r w:rsidR="00F57426">
        <w:t xml:space="preserve">on or around </w:t>
      </w:r>
      <w:r w:rsidR="00882060">
        <w:t>July</w:t>
      </w:r>
      <w:r w:rsidR="00882060" w:rsidRPr="0083600B">
        <w:t xml:space="preserve"> </w:t>
      </w:r>
      <w:r w:rsidR="003D1D40" w:rsidRPr="0083600B">
        <w:t xml:space="preserve">1, 2017.  This may call for a change in the Schedule 17 benefit increase that the Company is proposing for 2017 increase.  The possible change will be dependent on the percentage increase to the residential rates </w:t>
      </w:r>
      <w:r w:rsidR="00FB7025" w:rsidRPr="0083600B">
        <w:t xml:space="preserve">decided and agreed upon by </w:t>
      </w:r>
      <w:r w:rsidR="00FB7025">
        <w:t xml:space="preserve">the </w:t>
      </w:r>
      <w:r w:rsidR="00FB7025" w:rsidRPr="0083600B">
        <w:t>parties</w:t>
      </w:r>
      <w:r w:rsidR="00FB7025" w:rsidRPr="0083600B" w:rsidDel="00FB7025">
        <w:t xml:space="preserve"> </w:t>
      </w:r>
      <w:r w:rsidR="00FB7025">
        <w:t xml:space="preserve">participating in the </w:t>
      </w:r>
      <w:r w:rsidR="003D1D40" w:rsidRPr="0083600B">
        <w:t>collaborative.</w:t>
      </w:r>
    </w:p>
    <w:p w14:paraId="31EBA5E2" w14:textId="72FF033E" w:rsidR="00B814E2" w:rsidRDefault="001C6801" w:rsidP="00B814E2">
      <w:pPr>
        <w:spacing w:line="480" w:lineRule="auto"/>
        <w:ind w:left="720" w:hanging="720"/>
      </w:pPr>
      <w:r>
        <w:tab/>
      </w:r>
    </w:p>
    <w:p w14:paraId="38479AEE" w14:textId="77777777" w:rsidR="00B814E2" w:rsidRDefault="00B814E2" w:rsidP="00B814E2">
      <w:pPr>
        <w:spacing w:line="480" w:lineRule="auto"/>
        <w:ind w:left="720" w:hanging="720"/>
        <w:rPr>
          <w:b/>
        </w:rPr>
      </w:pPr>
      <w:r>
        <w:rPr>
          <w:b/>
        </w:rPr>
        <w:t>Q.</w:t>
      </w:r>
      <w:r>
        <w:rPr>
          <w:b/>
        </w:rPr>
        <w:tab/>
        <w:t xml:space="preserve">Does this conclude your testimony?  </w:t>
      </w:r>
    </w:p>
    <w:p w14:paraId="2E0F6F68" w14:textId="77777777"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12"/>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D9313" w14:textId="77777777" w:rsidR="00231B24" w:rsidRDefault="00231B24" w:rsidP="0015026F">
      <w:r>
        <w:separator/>
      </w:r>
    </w:p>
  </w:endnote>
  <w:endnote w:type="continuationSeparator" w:id="0">
    <w:p w14:paraId="18AB501F" w14:textId="77777777" w:rsidR="00231B24" w:rsidRDefault="00231B24" w:rsidP="0015026F">
      <w:r>
        <w:continuationSeparator/>
      </w:r>
    </w:p>
  </w:endnote>
  <w:endnote w:type="continuationNotice" w:id="1">
    <w:p w14:paraId="0FB86290" w14:textId="77777777" w:rsidR="00231B24" w:rsidRDefault="00231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7247" w14:textId="77777777" w:rsidR="00231B24" w:rsidRPr="0015026F" w:rsidRDefault="00231B24" w:rsidP="0015026F">
    <w:pPr>
      <w:pStyle w:val="Footer"/>
      <w:tabs>
        <w:tab w:val="clear" w:pos="9360"/>
        <w:tab w:val="right" w:pos="8910"/>
      </w:tabs>
      <w:rPr>
        <w:sz w:val="20"/>
        <w:szCs w:val="20"/>
      </w:rPr>
    </w:pPr>
  </w:p>
  <w:p w14:paraId="6473D62C" w14:textId="2175B042" w:rsidR="00231B24" w:rsidRPr="00CA1590" w:rsidRDefault="00231B24" w:rsidP="0015026F">
    <w:pPr>
      <w:pStyle w:val="Footer"/>
      <w:tabs>
        <w:tab w:val="clear" w:pos="9360"/>
        <w:tab w:val="right" w:pos="8910"/>
      </w:tabs>
      <w:rPr>
        <w:sz w:val="22"/>
        <w:szCs w:val="22"/>
      </w:rPr>
    </w:pPr>
    <w:r w:rsidRPr="00CA1590">
      <w:rPr>
        <w:sz w:val="22"/>
        <w:szCs w:val="22"/>
      </w:rPr>
      <w:t xml:space="preserve">TESTIMONY OF TIFFANY VAN METER </w:t>
    </w:r>
    <w:r w:rsidRPr="00CA1590">
      <w:rPr>
        <w:sz w:val="22"/>
        <w:szCs w:val="22"/>
      </w:rPr>
      <w:tab/>
    </w:r>
    <w:r w:rsidRPr="00CA1590">
      <w:rPr>
        <w:sz w:val="22"/>
        <w:szCs w:val="22"/>
      </w:rPr>
      <w:tab/>
      <w:t>Exhibit No. T</w:t>
    </w:r>
    <w:r w:rsidR="00F22B02">
      <w:rPr>
        <w:sz w:val="22"/>
        <w:szCs w:val="22"/>
      </w:rPr>
      <w:t>M</w:t>
    </w:r>
    <w:r w:rsidRPr="00CA1590">
      <w:rPr>
        <w:sz w:val="22"/>
        <w:szCs w:val="22"/>
      </w:rPr>
      <w:t>V-1T</w:t>
    </w:r>
  </w:p>
  <w:p w14:paraId="4AEC41A8" w14:textId="77777777" w:rsidR="00231B24" w:rsidRPr="00CA1590" w:rsidRDefault="00231B24" w:rsidP="0015026F">
    <w:pPr>
      <w:pStyle w:val="Footer"/>
      <w:tabs>
        <w:tab w:val="clear" w:pos="9360"/>
        <w:tab w:val="right" w:pos="8910"/>
      </w:tabs>
      <w:rPr>
        <w:sz w:val="22"/>
        <w:szCs w:val="22"/>
      </w:rPr>
    </w:pPr>
    <w:r w:rsidRPr="00CA1590">
      <w:rPr>
        <w:sz w:val="22"/>
        <w:szCs w:val="22"/>
      </w:rPr>
      <w:t>Docket UE-152253</w:t>
    </w:r>
    <w:r w:rsidRPr="00CA1590">
      <w:rPr>
        <w:sz w:val="22"/>
        <w:szCs w:val="22"/>
      </w:rPr>
      <w:tab/>
    </w:r>
    <w:r w:rsidRPr="00CA1590">
      <w:rPr>
        <w:sz w:val="22"/>
        <w:szCs w:val="22"/>
      </w:rPr>
      <w:tab/>
      <w:t xml:space="preserve">Page </w:t>
    </w:r>
    <w:r w:rsidRPr="00CA1590">
      <w:rPr>
        <w:sz w:val="22"/>
        <w:szCs w:val="22"/>
      </w:rPr>
      <w:fldChar w:fldCharType="begin"/>
    </w:r>
    <w:r w:rsidRPr="00CA1590">
      <w:rPr>
        <w:sz w:val="22"/>
        <w:szCs w:val="22"/>
      </w:rPr>
      <w:instrText xml:space="preserve"> PAGE   \* MERGEFORMAT </w:instrText>
    </w:r>
    <w:r w:rsidRPr="00CA1590">
      <w:rPr>
        <w:sz w:val="22"/>
        <w:szCs w:val="22"/>
      </w:rPr>
      <w:fldChar w:fldCharType="separate"/>
    </w:r>
    <w:r w:rsidR="00D606A2">
      <w:rPr>
        <w:noProof/>
        <w:sz w:val="22"/>
        <w:szCs w:val="22"/>
      </w:rPr>
      <w:t>i</w:t>
    </w:r>
    <w:r w:rsidRPr="00CA1590">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43A65" w14:textId="77777777" w:rsidR="00231B24" w:rsidRPr="0015026F" w:rsidRDefault="00231B24" w:rsidP="0015026F">
    <w:pPr>
      <w:pStyle w:val="Footer"/>
      <w:tabs>
        <w:tab w:val="clear" w:pos="9360"/>
        <w:tab w:val="right" w:pos="8910"/>
      </w:tabs>
      <w:rPr>
        <w:sz w:val="20"/>
        <w:szCs w:val="20"/>
      </w:rPr>
    </w:pPr>
  </w:p>
  <w:p w14:paraId="738EC7AC" w14:textId="571391E6" w:rsidR="00231B24" w:rsidRPr="00CA1590" w:rsidRDefault="00231B24" w:rsidP="00954C17">
    <w:pPr>
      <w:pStyle w:val="Footer"/>
      <w:tabs>
        <w:tab w:val="right" w:pos="8910"/>
      </w:tabs>
      <w:rPr>
        <w:sz w:val="22"/>
        <w:szCs w:val="22"/>
      </w:rPr>
    </w:pPr>
    <w:r w:rsidRPr="00CA1590">
      <w:rPr>
        <w:sz w:val="22"/>
        <w:szCs w:val="22"/>
      </w:rPr>
      <w:t xml:space="preserve">TESTIMONY OF TIFFANY VAN METER </w:t>
    </w:r>
    <w:r w:rsidRPr="00CA1590">
      <w:rPr>
        <w:sz w:val="22"/>
        <w:szCs w:val="22"/>
      </w:rPr>
      <w:tab/>
    </w:r>
    <w:r w:rsidRPr="00CA1590">
      <w:rPr>
        <w:sz w:val="22"/>
        <w:szCs w:val="22"/>
      </w:rPr>
      <w:tab/>
      <w:t>Exhibit No. T</w:t>
    </w:r>
    <w:r w:rsidR="00F22B02">
      <w:rPr>
        <w:sz w:val="22"/>
        <w:szCs w:val="22"/>
      </w:rPr>
      <w:t>M</w:t>
    </w:r>
    <w:r w:rsidRPr="00CA1590">
      <w:rPr>
        <w:sz w:val="22"/>
        <w:szCs w:val="22"/>
      </w:rPr>
      <w:t>V-1T</w:t>
    </w:r>
  </w:p>
  <w:p w14:paraId="39DF789D" w14:textId="478F14D5" w:rsidR="00231B24" w:rsidRPr="00CA1590" w:rsidRDefault="00231B24" w:rsidP="00954C17">
    <w:pPr>
      <w:pStyle w:val="Footer"/>
      <w:tabs>
        <w:tab w:val="clear" w:pos="9360"/>
        <w:tab w:val="right" w:pos="8910"/>
      </w:tabs>
      <w:rPr>
        <w:sz w:val="22"/>
        <w:szCs w:val="22"/>
      </w:rPr>
    </w:pPr>
    <w:r w:rsidRPr="00CA1590">
      <w:rPr>
        <w:sz w:val="22"/>
        <w:szCs w:val="22"/>
      </w:rPr>
      <w:t xml:space="preserve">Docket UE-152253 </w:t>
    </w:r>
    <w:r w:rsidRPr="00CA1590">
      <w:rPr>
        <w:sz w:val="22"/>
        <w:szCs w:val="22"/>
      </w:rPr>
      <w:tab/>
    </w:r>
    <w:r w:rsidRPr="00CA1590">
      <w:rPr>
        <w:sz w:val="22"/>
        <w:szCs w:val="22"/>
      </w:rPr>
      <w:tab/>
      <w:t xml:space="preserve">Page </w:t>
    </w:r>
    <w:r w:rsidRPr="00CA1590">
      <w:rPr>
        <w:sz w:val="22"/>
        <w:szCs w:val="22"/>
      </w:rPr>
      <w:fldChar w:fldCharType="begin"/>
    </w:r>
    <w:r w:rsidRPr="0015026F">
      <w:rPr>
        <w:sz w:val="20"/>
        <w:szCs w:val="20"/>
      </w:rPr>
      <w:instrText xml:space="preserve"> PAGE   \* MERGEFORMAT </w:instrText>
    </w:r>
    <w:r w:rsidRPr="00CA1590">
      <w:rPr>
        <w:sz w:val="22"/>
        <w:szCs w:val="22"/>
      </w:rPr>
      <w:fldChar w:fldCharType="separate"/>
    </w:r>
    <w:r w:rsidR="00D606A2">
      <w:rPr>
        <w:noProof/>
        <w:sz w:val="20"/>
        <w:szCs w:val="20"/>
      </w:rPr>
      <w:t>3</w:t>
    </w:r>
    <w:r w:rsidRPr="00CA1590">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BF54" w14:textId="77777777" w:rsidR="00231B24" w:rsidRDefault="00231B24" w:rsidP="0015026F">
      <w:r>
        <w:separator/>
      </w:r>
    </w:p>
  </w:footnote>
  <w:footnote w:type="continuationSeparator" w:id="0">
    <w:p w14:paraId="02A19E87" w14:textId="77777777" w:rsidR="00231B24" w:rsidRDefault="00231B24" w:rsidP="0015026F">
      <w:r>
        <w:continuationSeparator/>
      </w:r>
    </w:p>
  </w:footnote>
  <w:footnote w:type="continuationNotice" w:id="1">
    <w:p w14:paraId="1DC56631" w14:textId="77777777" w:rsidR="00231B24" w:rsidRDefault="00231B24"/>
  </w:footnote>
  <w:footnote w:id="2">
    <w:p w14:paraId="4C69BC0D" w14:textId="7B4A03E0" w:rsidR="00231B24" w:rsidRDefault="00231B24" w:rsidP="003D1D40">
      <w:pPr>
        <w:pStyle w:val="FootnoteText"/>
      </w:pPr>
      <w:r>
        <w:rPr>
          <w:rStyle w:val="FootnoteReference"/>
        </w:rPr>
        <w:footnoteRef/>
      </w:r>
      <w:r>
        <w:t xml:space="preserve"> </w:t>
      </w:r>
      <w:r>
        <w:rPr>
          <w:i/>
        </w:rPr>
        <w:t>Wash. Utils. &amp; Transp. Comm’n v. Pacific Power &amp; Light Co.</w:t>
      </w:r>
      <w:r w:rsidRPr="00CA1590">
        <w:t xml:space="preserve">, </w:t>
      </w:r>
      <w:hyperlink r:id="rId1" w:history="1">
        <w:r w:rsidRPr="007C5256">
          <w:rPr>
            <w:rStyle w:val="Hyperlink"/>
          </w:rPr>
          <w:t>Docket UE-100749</w:t>
        </w:r>
      </w:hyperlink>
      <w:r>
        <w:t>, Order 06, 86-87, ¶ 253 (March 25, 2011).</w:t>
      </w:r>
    </w:p>
  </w:footnote>
  <w:footnote w:id="3">
    <w:p w14:paraId="45819AB9" w14:textId="7A9B04A1" w:rsidR="00231B24" w:rsidRDefault="00231B24">
      <w:pPr>
        <w:pStyle w:val="FootnoteText"/>
      </w:pPr>
      <w:r>
        <w:rPr>
          <w:rStyle w:val="FootnoteReference"/>
        </w:rPr>
        <w:footnoteRef/>
      </w:r>
      <w:r>
        <w:t xml:space="preserve"> Pacific Power response to Staff Data Request 88.</w:t>
      </w:r>
    </w:p>
  </w:footnote>
  <w:footnote w:id="4">
    <w:p w14:paraId="5B14D96A" w14:textId="3A040A25" w:rsidR="00231B24" w:rsidRDefault="00231B24">
      <w:pPr>
        <w:pStyle w:val="FootnoteText"/>
      </w:pPr>
      <w:r>
        <w:rPr>
          <w:rStyle w:val="FootnoteReference"/>
        </w:rPr>
        <w:footnoteRef/>
      </w:r>
      <w:r>
        <w:t xml:space="preserve"> </w:t>
      </w:r>
      <w:r w:rsidRPr="00E6561E">
        <w:rPr>
          <w:i/>
        </w:rPr>
        <w:t>Id.</w:t>
      </w:r>
      <w:r>
        <w:t xml:space="preserve"> </w:t>
      </w:r>
    </w:p>
  </w:footnote>
  <w:footnote w:id="5">
    <w:p w14:paraId="6E07C57E" w14:textId="2A3030C7" w:rsidR="00231B24" w:rsidRDefault="00231B24">
      <w:pPr>
        <w:pStyle w:val="FootnoteText"/>
      </w:pPr>
      <w:r>
        <w:rPr>
          <w:rStyle w:val="FootnoteReference"/>
        </w:rPr>
        <w:footnoteRef/>
      </w:r>
      <w:r>
        <w:t xml:space="preserve"> Pacific Power response to Staff Data Request 89.</w:t>
      </w:r>
    </w:p>
  </w:footnote>
  <w:footnote w:id="6">
    <w:p w14:paraId="2E48CB03" w14:textId="28EFD65E" w:rsidR="00231B24" w:rsidRDefault="00231B24">
      <w:pPr>
        <w:pStyle w:val="FootnoteText"/>
      </w:pPr>
      <w:r>
        <w:rPr>
          <w:rStyle w:val="FootnoteReference"/>
        </w:rPr>
        <w:footnoteRef/>
      </w:r>
      <w:r>
        <w:t xml:space="preserve"> </w:t>
      </w:r>
      <w:r w:rsidRPr="00E6561E">
        <w:rPr>
          <w:i/>
        </w:rPr>
        <w:t>Id</w:t>
      </w:r>
      <w:r>
        <w:rPr>
          <w:i/>
        </w:rPr>
        <w:t>.</w:t>
      </w:r>
    </w:p>
  </w:footnote>
  <w:footnote w:id="7">
    <w:p w14:paraId="60326F53" w14:textId="6103A414" w:rsidR="00231B24" w:rsidRPr="0018690C" w:rsidRDefault="00231B24" w:rsidP="008F136C">
      <w:pPr>
        <w:rPr>
          <w:sz w:val="20"/>
          <w:szCs w:val="20"/>
        </w:rPr>
      </w:pPr>
      <w:r w:rsidRPr="0018690C">
        <w:rPr>
          <w:rStyle w:val="FootnoteReference"/>
          <w:sz w:val="20"/>
          <w:szCs w:val="20"/>
        </w:rPr>
        <w:footnoteRef/>
      </w:r>
      <w:r>
        <w:rPr>
          <w:sz w:val="20"/>
          <w:szCs w:val="20"/>
        </w:rPr>
        <w:t xml:space="preserve"> My Exhibit No. TVM-2, Staff A</w:t>
      </w:r>
      <w:r w:rsidRPr="0018690C">
        <w:rPr>
          <w:sz w:val="20"/>
          <w:szCs w:val="20"/>
        </w:rPr>
        <w:t>djustment 4.9, reflects removal of expenses associated with tax advocacy in Utah and Wyoming and with the Yakima Valley Development Association.</w:t>
      </w:r>
    </w:p>
  </w:footnote>
  <w:footnote w:id="8">
    <w:p w14:paraId="11234B51" w14:textId="390CD216" w:rsidR="00231B24" w:rsidRDefault="00231B24">
      <w:pPr>
        <w:pStyle w:val="FootnoteText"/>
      </w:pPr>
      <w:r>
        <w:rPr>
          <w:rStyle w:val="FootnoteReference"/>
        </w:rPr>
        <w:footnoteRef/>
      </w:r>
      <w:r>
        <w:t xml:space="preserve"> </w:t>
      </w:r>
      <w:r w:rsidRPr="007E15E0">
        <w:t>Steward, Exh</w:t>
      </w:r>
      <w:r w:rsidR="00537C41">
        <w:t>.</w:t>
      </w:r>
      <w:r w:rsidRPr="007E15E0">
        <w:t xml:space="preserve"> No. JRS-1T 8:2–9:12</w:t>
      </w:r>
      <w:r>
        <w:t>.</w:t>
      </w:r>
    </w:p>
  </w:footnote>
  <w:footnote w:id="9">
    <w:p w14:paraId="3CDBC8C7" w14:textId="158FC166" w:rsidR="00231B24" w:rsidRPr="0084347C" w:rsidRDefault="00231B24" w:rsidP="00BA2B29">
      <w:pPr>
        <w:pStyle w:val="FootnoteText"/>
      </w:pPr>
      <w:r>
        <w:rPr>
          <w:rStyle w:val="FootnoteReference"/>
        </w:rPr>
        <w:footnoteRef/>
      </w:r>
      <w:r>
        <w:t xml:space="preserve"> </w:t>
      </w:r>
      <w:r>
        <w:rPr>
          <w:i/>
        </w:rPr>
        <w:t>Wash. Utils. &amp; Transp. Comm’n v. Puget Sound Energy</w:t>
      </w:r>
      <w:r w:rsidRPr="00CA1590">
        <w:t xml:space="preserve">, </w:t>
      </w:r>
      <w:hyperlink r:id="rId2" w:history="1">
        <w:r w:rsidRPr="009C2847">
          <w:rPr>
            <w:rStyle w:val="Hyperlink"/>
          </w:rPr>
          <w:t>Docket UE-130617</w:t>
        </w:r>
      </w:hyperlink>
      <w:r>
        <w:t>, Order 11 (August 7, 2015).</w:t>
      </w:r>
    </w:p>
  </w:footnote>
  <w:footnote w:id="10">
    <w:p w14:paraId="263167F8" w14:textId="14EC4764" w:rsidR="00231B24" w:rsidRDefault="00231B24" w:rsidP="00236435">
      <w:pPr>
        <w:pStyle w:val="FootnoteText"/>
      </w:pPr>
      <w:r>
        <w:rPr>
          <w:rStyle w:val="FootnoteReference"/>
        </w:rPr>
        <w:footnoteRef/>
      </w:r>
      <w:r>
        <w:t xml:space="preserve"> </w:t>
      </w:r>
      <w:r w:rsidRPr="002345C0">
        <w:rPr>
          <w:i/>
        </w:rPr>
        <w:t>Wash. Utils. &amp; Transp. Comm’n v. Pacific Power &amp; Light Co</w:t>
      </w:r>
      <w:r w:rsidRPr="002345C0">
        <w:t xml:space="preserve">., </w:t>
      </w:r>
      <w:hyperlink r:id="rId3" w:history="1">
        <w:r w:rsidRPr="00B0138A">
          <w:rPr>
            <w:rStyle w:val="Hyperlink"/>
          </w:rPr>
          <w:t>Docket UE-140762</w:t>
        </w:r>
      </w:hyperlink>
      <w:r>
        <w:t>,</w:t>
      </w:r>
      <w:r w:rsidRPr="002345C0">
        <w:t xml:space="preserve"> Order 08</w:t>
      </w:r>
      <w:r>
        <w:t>, 92,</w:t>
      </w:r>
      <w:r w:rsidRPr="002345C0">
        <w:t xml:space="preserve"> ¶</w:t>
      </w:r>
      <w:r>
        <w:t xml:space="preserve"> </w:t>
      </w:r>
      <w:r w:rsidRPr="002345C0">
        <w:t>219</w:t>
      </w:r>
      <w:r>
        <w:t xml:space="preserve"> (March 25, 2015).</w:t>
      </w:r>
      <w:r w:rsidRPr="002345C0">
        <w:t xml:space="preserve"> </w:t>
      </w:r>
      <w:r>
        <w:t>Here, t</w:t>
      </w:r>
      <w:r w:rsidRPr="002345C0">
        <w:t xml:space="preserve">he Commission stated, </w:t>
      </w:r>
      <w:r w:rsidRPr="009975D8">
        <w:t>“</w:t>
      </w:r>
      <w:r>
        <w:t xml:space="preserve">While </w:t>
      </w:r>
      <w:r w:rsidRPr="002345C0">
        <w:t>we hope to see in the Company’s next case a proposal from Pacific Power, Staff, or other parties for a third block rate that is not tied to a higher basic charge for residential customers</w:t>
      </w:r>
      <w:r>
        <w:t>, we remain concerned about the impact of adding a third block on low-income customers.</w:t>
      </w:r>
      <w:r w:rsidRPr="009975D8">
        <w:t>”</w:t>
      </w:r>
    </w:p>
  </w:footnote>
  <w:footnote w:id="11">
    <w:p w14:paraId="0F601438" w14:textId="2582D6C5" w:rsidR="00231B24" w:rsidRDefault="00231B24" w:rsidP="003D1D40">
      <w:pPr>
        <w:pStyle w:val="FootnoteText"/>
      </w:pPr>
      <w:r>
        <w:rPr>
          <w:rStyle w:val="FootnoteReference"/>
        </w:rPr>
        <w:footnoteRef/>
      </w:r>
      <w:r>
        <w:t xml:space="preserve"> </w:t>
      </w:r>
      <w:r w:rsidRPr="00953750">
        <w:rPr>
          <w:i/>
        </w:rPr>
        <w:t>Wash. Utils. &amp; Transp. Comm’n</w:t>
      </w:r>
      <w:r>
        <w:t xml:space="preserve"> </w:t>
      </w:r>
      <w:r w:rsidRPr="00953750">
        <w:rPr>
          <w:i/>
        </w:rPr>
        <w:t>v. Pacific Power &amp; Light Co.</w:t>
      </w:r>
      <w:r>
        <w:t xml:space="preserve">, </w:t>
      </w:r>
      <w:hyperlink r:id="rId4" w:history="1">
        <w:r w:rsidRPr="00F57426">
          <w:rPr>
            <w:rStyle w:val="Hyperlink"/>
          </w:rPr>
          <w:t>Docket UE-111190</w:t>
        </w:r>
      </w:hyperlink>
      <w:r>
        <w:t>, Order 07, 8, ¶ 17 (March 30, 2012).</w:t>
      </w:r>
    </w:p>
  </w:footnote>
  <w:footnote w:id="12">
    <w:p w14:paraId="50233E7D" w14:textId="55C08D28" w:rsidR="00231B24" w:rsidRDefault="00231B24">
      <w:pPr>
        <w:pStyle w:val="FootnoteText"/>
      </w:pPr>
      <w:r>
        <w:rPr>
          <w:rStyle w:val="FootnoteReference"/>
        </w:rPr>
        <w:footnoteRef/>
      </w:r>
      <w:r>
        <w:t xml:space="preserve"> Steward, Exh. No. JRS-1T 9:5-14.</w:t>
      </w:r>
    </w:p>
  </w:footnote>
  <w:footnote w:id="13">
    <w:p w14:paraId="6B848BCE" w14:textId="2E45213F" w:rsidR="00231B24" w:rsidRDefault="00231B24">
      <w:pPr>
        <w:pStyle w:val="FootnoteText"/>
      </w:pPr>
      <w:r>
        <w:rPr>
          <w:rStyle w:val="FootnoteReference"/>
        </w:rPr>
        <w:footnoteRef/>
      </w:r>
      <w:r>
        <w:t xml:space="preserve"> As discussed in the direct testimony of Mr. Ball, the Company proposed a May 1 effective date but the Commission’s procedural schedule anticipates a July 1 effective date.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6731D"/>
    <w:multiLevelType w:val="hybridMultilevel"/>
    <w:tmpl w:val="FC167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3A4233"/>
    <w:multiLevelType w:val="hybridMultilevel"/>
    <w:tmpl w:val="1B62CF66"/>
    <w:lvl w:ilvl="0" w:tplc="400EAB66">
      <w:start w:val="1"/>
      <w:numFmt w:val="decimal"/>
      <w:lvlText w:val="%1"/>
      <w:lvlJc w:val="left"/>
      <w:pPr>
        <w:tabs>
          <w:tab w:val="num" w:pos="720"/>
        </w:tabs>
        <w:ind w:left="720" w:hanging="720"/>
      </w:pPr>
      <w:rPr>
        <w:rFonts w:ascii="Times New Roman" w:hAnsi="Times New Roman" w:hint="default"/>
        <w:b w:val="0"/>
        <w:i/>
        <w:spacing w:val="6"/>
        <w:sz w:val="20"/>
        <w:szCs w:val="25"/>
        <w:vertAlign w:val="baseline"/>
      </w:rPr>
    </w:lvl>
    <w:lvl w:ilvl="1" w:tplc="A5A66B1A">
      <w:start w:val="1"/>
      <w:numFmt w:val="upperLetter"/>
      <w:lvlText w:val="%2."/>
      <w:lvlJc w:val="left"/>
      <w:pPr>
        <w:tabs>
          <w:tab w:val="num" w:pos="1620"/>
        </w:tabs>
        <w:ind w:left="1620" w:hanging="360"/>
      </w:pPr>
      <w:rPr>
        <w:rFonts w:hint="default"/>
      </w:rPr>
    </w:lvl>
    <w:lvl w:ilvl="2" w:tplc="0409000F">
      <w:start w:val="1"/>
      <w:numFmt w:val="decimal"/>
      <w:lvlText w:val="%3."/>
      <w:lvlJc w:val="left"/>
      <w:pPr>
        <w:tabs>
          <w:tab w:val="num" w:pos="2340"/>
        </w:tabs>
        <w:ind w:left="2340" w:hanging="360"/>
      </w:pPr>
      <w:rPr>
        <w:rFonts w:hint="default"/>
      </w:rPr>
    </w:lvl>
    <w:lvl w:ilvl="3" w:tplc="3F9826F0">
      <w:start w:val="1"/>
      <w:numFmt w:val="lowerLetter"/>
      <w:lvlText w:val="%4."/>
      <w:lvlJc w:val="left"/>
      <w:pPr>
        <w:tabs>
          <w:tab w:val="num" w:pos="2880"/>
        </w:tabs>
        <w:ind w:left="2880" w:hanging="360"/>
      </w:pPr>
      <w:rPr>
        <w:rFonts w:hint="default"/>
      </w:rPr>
    </w:lvl>
    <w:lvl w:ilvl="4" w:tplc="6F86D32A">
      <w:start w:val="1"/>
      <w:numFmt w:val="lowerLetter"/>
      <w:lvlText w:val="%5."/>
      <w:lvlJc w:val="left"/>
      <w:pPr>
        <w:tabs>
          <w:tab w:val="num" w:pos="3600"/>
        </w:tabs>
        <w:ind w:left="3600" w:hanging="360"/>
      </w:pPr>
      <w:rPr>
        <w:rFonts w:hint="default"/>
      </w:rPr>
    </w:lvl>
    <w:lvl w:ilvl="5" w:tplc="1ECA6D5E">
      <w:start w:val="1"/>
      <w:numFmt w:val="lowerRoman"/>
      <w:lvlText w:val="(%6)"/>
      <w:lvlJc w:val="left"/>
      <w:pPr>
        <w:ind w:left="4860" w:hanging="720"/>
      </w:pPr>
      <w:rPr>
        <w:rFonts w:hint="default"/>
      </w:rPr>
    </w:lvl>
    <w:lvl w:ilvl="6" w:tplc="FEC6B172">
      <w:start w:val="1"/>
      <w:numFmt w:val="lowerRoman"/>
      <w:lvlText w:val="%7)"/>
      <w:lvlJc w:val="left"/>
      <w:pPr>
        <w:ind w:left="5400" w:hanging="720"/>
      </w:pPr>
      <w:rPr>
        <w:rFonts w:hint="default"/>
      </w:rPr>
    </w:lvl>
    <w:lvl w:ilvl="7" w:tplc="5C1032FC">
      <w:start w:val="1"/>
      <w:numFmt w:val="decimal"/>
      <w:lvlText w:val="(%8)"/>
      <w:lvlJc w:val="left"/>
      <w:pPr>
        <w:ind w:left="5820" w:hanging="420"/>
      </w:pPr>
      <w:rPr>
        <w:rFonts w:hint="default"/>
      </w:rPr>
    </w:lvl>
    <w:lvl w:ilvl="8" w:tplc="0409001B" w:tentative="1">
      <w:start w:val="1"/>
      <w:numFmt w:val="lowerRoman"/>
      <w:lvlText w:val="%9."/>
      <w:lvlJc w:val="right"/>
      <w:pPr>
        <w:tabs>
          <w:tab w:val="num" w:pos="6480"/>
        </w:tabs>
        <w:ind w:left="6480" w:hanging="180"/>
      </w:pPr>
    </w:lvl>
  </w:abstractNum>
  <w:abstractNum w:abstractNumId="2">
    <w:nsid w:val="508C515C"/>
    <w:multiLevelType w:val="hybridMultilevel"/>
    <w:tmpl w:val="07209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5257"/>
    <w:rsid w:val="000057BA"/>
    <w:rsid w:val="00013D75"/>
    <w:rsid w:val="00022A43"/>
    <w:rsid w:val="00024259"/>
    <w:rsid w:val="000357CC"/>
    <w:rsid w:val="000358CB"/>
    <w:rsid w:val="000366B8"/>
    <w:rsid w:val="00054416"/>
    <w:rsid w:val="00060CBC"/>
    <w:rsid w:val="00061D01"/>
    <w:rsid w:val="000640FB"/>
    <w:rsid w:val="00067F5E"/>
    <w:rsid w:val="00076861"/>
    <w:rsid w:val="00080FE8"/>
    <w:rsid w:val="00086BAC"/>
    <w:rsid w:val="000B01C0"/>
    <w:rsid w:val="000B5E8C"/>
    <w:rsid w:val="000B60CE"/>
    <w:rsid w:val="000C2F53"/>
    <w:rsid w:val="000C4D78"/>
    <w:rsid w:val="000C67BF"/>
    <w:rsid w:val="000E5026"/>
    <w:rsid w:val="00102643"/>
    <w:rsid w:val="001040AB"/>
    <w:rsid w:val="00111E5A"/>
    <w:rsid w:val="00113F09"/>
    <w:rsid w:val="00124B98"/>
    <w:rsid w:val="0013584B"/>
    <w:rsid w:val="00146718"/>
    <w:rsid w:val="0015026F"/>
    <w:rsid w:val="001513E9"/>
    <w:rsid w:val="0018690C"/>
    <w:rsid w:val="00192242"/>
    <w:rsid w:val="00194D56"/>
    <w:rsid w:val="001A2031"/>
    <w:rsid w:val="001A4BA1"/>
    <w:rsid w:val="001A4BE8"/>
    <w:rsid w:val="001B2809"/>
    <w:rsid w:val="001B2BB5"/>
    <w:rsid w:val="001B3D9C"/>
    <w:rsid w:val="001B5FD7"/>
    <w:rsid w:val="001B7C09"/>
    <w:rsid w:val="001C5D96"/>
    <w:rsid w:val="001C6801"/>
    <w:rsid w:val="001E08C5"/>
    <w:rsid w:val="001E0AB7"/>
    <w:rsid w:val="001E3537"/>
    <w:rsid w:val="001E757E"/>
    <w:rsid w:val="001F1567"/>
    <w:rsid w:val="002011DA"/>
    <w:rsid w:val="00211054"/>
    <w:rsid w:val="00214C8C"/>
    <w:rsid w:val="002153A2"/>
    <w:rsid w:val="00215EB5"/>
    <w:rsid w:val="00226761"/>
    <w:rsid w:val="00231B24"/>
    <w:rsid w:val="00233ACA"/>
    <w:rsid w:val="002345C0"/>
    <w:rsid w:val="00236435"/>
    <w:rsid w:val="00243BBE"/>
    <w:rsid w:val="00246267"/>
    <w:rsid w:val="00247B33"/>
    <w:rsid w:val="00251B31"/>
    <w:rsid w:val="00263F20"/>
    <w:rsid w:val="00295C7C"/>
    <w:rsid w:val="00297394"/>
    <w:rsid w:val="002A0139"/>
    <w:rsid w:val="002A0C7F"/>
    <w:rsid w:val="002A5577"/>
    <w:rsid w:val="002A70B0"/>
    <w:rsid w:val="002B1CB1"/>
    <w:rsid w:val="002C2619"/>
    <w:rsid w:val="002D3EED"/>
    <w:rsid w:val="002D5C14"/>
    <w:rsid w:val="002E0962"/>
    <w:rsid w:val="002E1CB3"/>
    <w:rsid w:val="002F30EC"/>
    <w:rsid w:val="002F48DA"/>
    <w:rsid w:val="002F61C0"/>
    <w:rsid w:val="00307772"/>
    <w:rsid w:val="003106AF"/>
    <w:rsid w:val="00313BC2"/>
    <w:rsid w:val="0031415B"/>
    <w:rsid w:val="00315628"/>
    <w:rsid w:val="003173B1"/>
    <w:rsid w:val="00320E9E"/>
    <w:rsid w:val="00321A19"/>
    <w:rsid w:val="00335C24"/>
    <w:rsid w:val="00366392"/>
    <w:rsid w:val="003676B2"/>
    <w:rsid w:val="003715D1"/>
    <w:rsid w:val="00372EA1"/>
    <w:rsid w:val="00373C20"/>
    <w:rsid w:val="00386E59"/>
    <w:rsid w:val="003A0DFE"/>
    <w:rsid w:val="003A7F49"/>
    <w:rsid w:val="003C0AAE"/>
    <w:rsid w:val="003C31DE"/>
    <w:rsid w:val="003D1D40"/>
    <w:rsid w:val="003E0F17"/>
    <w:rsid w:val="00402AAE"/>
    <w:rsid w:val="00406873"/>
    <w:rsid w:val="0041766A"/>
    <w:rsid w:val="00442AE8"/>
    <w:rsid w:val="00446FC6"/>
    <w:rsid w:val="00450CD8"/>
    <w:rsid w:val="004511F6"/>
    <w:rsid w:val="0045221F"/>
    <w:rsid w:val="00454837"/>
    <w:rsid w:val="00454BE3"/>
    <w:rsid w:val="004624FD"/>
    <w:rsid w:val="0046251D"/>
    <w:rsid w:val="00463EFE"/>
    <w:rsid w:val="00466376"/>
    <w:rsid w:val="00475595"/>
    <w:rsid w:val="004874FF"/>
    <w:rsid w:val="004961B0"/>
    <w:rsid w:val="00496541"/>
    <w:rsid w:val="004A0B7B"/>
    <w:rsid w:val="004A0D38"/>
    <w:rsid w:val="004A1281"/>
    <w:rsid w:val="004A1F58"/>
    <w:rsid w:val="004A4E5F"/>
    <w:rsid w:val="004A5A26"/>
    <w:rsid w:val="004A5C48"/>
    <w:rsid w:val="004B2C6A"/>
    <w:rsid w:val="004B6A0A"/>
    <w:rsid w:val="004E529D"/>
    <w:rsid w:val="004E730D"/>
    <w:rsid w:val="004F0D94"/>
    <w:rsid w:val="004F69F4"/>
    <w:rsid w:val="0050030A"/>
    <w:rsid w:val="00505E92"/>
    <w:rsid w:val="0051019D"/>
    <w:rsid w:val="00520649"/>
    <w:rsid w:val="00520B68"/>
    <w:rsid w:val="0053357C"/>
    <w:rsid w:val="00535C26"/>
    <w:rsid w:val="00537C41"/>
    <w:rsid w:val="0054313C"/>
    <w:rsid w:val="005522B5"/>
    <w:rsid w:val="005541CE"/>
    <w:rsid w:val="00561926"/>
    <w:rsid w:val="00573825"/>
    <w:rsid w:val="005744E9"/>
    <w:rsid w:val="00574595"/>
    <w:rsid w:val="00580A53"/>
    <w:rsid w:val="00587A69"/>
    <w:rsid w:val="005A0534"/>
    <w:rsid w:val="005A26C9"/>
    <w:rsid w:val="005A542E"/>
    <w:rsid w:val="005A73C5"/>
    <w:rsid w:val="005B6CA8"/>
    <w:rsid w:val="005C349E"/>
    <w:rsid w:val="005C3DF3"/>
    <w:rsid w:val="005D1AF4"/>
    <w:rsid w:val="005D2246"/>
    <w:rsid w:val="005D2664"/>
    <w:rsid w:val="005D2855"/>
    <w:rsid w:val="005E207B"/>
    <w:rsid w:val="005E3DDB"/>
    <w:rsid w:val="005E3FF3"/>
    <w:rsid w:val="005E5350"/>
    <w:rsid w:val="00600139"/>
    <w:rsid w:val="00607A61"/>
    <w:rsid w:val="00611F87"/>
    <w:rsid w:val="00626BBD"/>
    <w:rsid w:val="0064275A"/>
    <w:rsid w:val="006436A0"/>
    <w:rsid w:val="006563DC"/>
    <w:rsid w:val="00656C0D"/>
    <w:rsid w:val="00657823"/>
    <w:rsid w:val="0066106B"/>
    <w:rsid w:val="00667605"/>
    <w:rsid w:val="00670EE4"/>
    <w:rsid w:val="00674577"/>
    <w:rsid w:val="00681080"/>
    <w:rsid w:val="00686AA6"/>
    <w:rsid w:val="006874C8"/>
    <w:rsid w:val="006901D4"/>
    <w:rsid w:val="00690C61"/>
    <w:rsid w:val="00695536"/>
    <w:rsid w:val="00696BF5"/>
    <w:rsid w:val="00697328"/>
    <w:rsid w:val="006A05D2"/>
    <w:rsid w:val="006A0BF4"/>
    <w:rsid w:val="006A1077"/>
    <w:rsid w:val="006A65C0"/>
    <w:rsid w:val="006B5266"/>
    <w:rsid w:val="006B5F25"/>
    <w:rsid w:val="006B7A6B"/>
    <w:rsid w:val="006C035A"/>
    <w:rsid w:val="006C150D"/>
    <w:rsid w:val="006C1FF9"/>
    <w:rsid w:val="006E00D0"/>
    <w:rsid w:val="006F4CF5"/>
    <w:rsid w:val="00705B12"/>
    <w:rsid w:val="00705B26"/>
    <w:rsid w:val="00724E95"/>
    <w:rsid w:val="00724EC9"/>
    <w:rsid w:val="0072790A"/>
    <w:rsid w:val="00730B10"/>
    <w:rsid w:val="0073121E"/>
    <w:rsid w:val="00737BF6"/>
    <w:rsid w:val="007400DB"/>
    <w:rsid w:val="00740881"/>
    <w:rsid w:val="00742579"/>
    <w:rsid w:val="00744242"/>
    <w:rsid w:val="00746D79"/>
    <w:rsid w:val="007476AE"/>
    <w:rsid w:val="00772007"/>
    <w:rsid w:val="007731DA"/>
    <w:rsid w:val="00783A7C"/>
    <w:rsid w:val="00784D24"/>
    <w:rsid w:val="00796B98"/>
    <w:rsid w:val="007A62E1"/>
    <w:rsid w:val="007B1568"/>
    <w:rsid w:val="007B2EA3"/>
    <w:rsid w:val="007B73FF"/>
    <w:rsid w:val="007B7AC3"/>
    <w:rsid w:val="007C5256"/>
    <w:rsid w:val="007C684A"/>
    <w:rsid w:val="007D5CE7"/>
    <w:rsid w:val="007D67EE"/>
    <w:rsid w:val="007E15E0"/>
    <w:rsid w:val="007F385D"/>
    <w:rsid w:val="0080084F"/>
    <w:rsid w:val="00802599"/>
    <w:rsid w:val="00805AE6"/>
    <w:rsid w:val="00806DC6"/>
    <w:rsid w:val="00812F7E"/>
    <w:rsid w:val="00813FB5"/>
    <w:rsid w:val="008145F2"/>
    <w:rsid w:val="00821000"/>
    <w:rsid w:val="00821F03"/>
    <w:rsid w:val="00826EE8"/>
    <w:rsid w:val="00831BCB"/>
    <w:rsid w:val="0084347C"/>
    <w:rsid w:val="0085290F"/>
    <w:rsid w:val="00855C89"/>
    <w:rsid w:val="00863C09"/>
    <w:rsid w:val="008760DD"/>
    <w:rsid w:val="00882060"/>
    <w:rsid w:val="008A1B12"/>
    <w:rsid w:val="008A5A1E"/>
    <w:rsid w:val="008A6B4E"/>
    <w:rsid w:val="008A7BFD"/>
    <w:rsid w:val="008C2A52"/>
    <w:rsid w:val="008C667B"/>
    <w:rsid w:val="008C6C9D"/>
    <w:rsid w:val="008D06C2"/>
    <w:rsid w:val="008E1286"/>
    <w:rsid w:val="008E2688"/>
    <w:rsid w:val="008F136C"/>
    <w:rsid w:val="008F2942"/>
    <w:rsid w:val="008F6A19"/>
    <w:rsid w:val="008F7DC1"/>
    <w:rsid w:val="00903203"/>
    <w:rsid w:val="0091051F"/>
    <w:rsid w:val="0091263F"/>
    <w:rsid w:val="00922913"/>
    <w:rsid w:val="00922FED"/>
    <w:rsid w:val="0093195C"/>
    <w:rsid w:val="00932F63"/>
    <w:rsid w:val="00940980"/>
    <w:rsid w:val="00945585"/>
    <w:rsid w:val="00953750"/>
    <w:rsid w:val="00954C17"/>
    <w:rsid w:val="00956D60"/>
    <w:rsid w:val="00961655"/>
    <w:rsid w:val="00972B88"/>
    <w:rsid w:val="0097418F"/>
    <w:rsid w:val="00975534"/>
    <w:rsid w:val="00982A75"/>
    <w:rsid w:val="009975D8"/>
    <w:rsid w:val="009A07DC"/>
    <w:rsid w:val="009A1131"/>
    <w:rsid w:val="009A7502"/>
    <w:rsid w:val="009B346F"/>
    <w:rsid w:val="009B377E"/>
    <w:rsid w:val="009B708D"/>
    <w:rsid w:val="009C2847"/>
    <w:rsid w:val="009C74DF"/>
    <w:rsid w:val="009C7727"/>
    <w:rsid w:val="009D52C7"/>
    <w:rsid w:val="009E5B37"/>
    <w:rsid w:val="009E6FB5"/>
    <w:rsid w:val="009F3F71"/>
    <w:rsid w:val="00A03B1B"/>
    <w:rsid w:val="00A10257"/>
    <w:rsid w:val="00A10295"/>
    <w:rsid w:val="00A26FE3"/>
    <w:rsid w:val="00A30230"/>
    <w:rsid w:val="00A32828"/>
    <w:rsid w:val="00A361DB"/>
    <w:rsid w:val="00A40B77"/>
    <w:rsid w:val="00A50F7F"/>
    <w:rsid w:val="00A6565E"/>
    <w:rsid w:val="00A67324"/>
    <w:rsid w:val="00A702BF"/>
    <w:rsid w:val="00A7171D"/>
    <w:rsid w:val="00A73EA5"/>
    <w:rsid w:val="00A76F31"/>
    <w:rsid w:val="00A86CFF"/>
    <w:rsid w:val="00A91940"/>
    <w:rsid w:val="00A91DC2"/>
    <w:rsid w:val="00AA2C9D"/>
    <w:rsid w:val="00AB0F36"/>
    <w:rsid w:val="00AB1024"/>
    <w:rsid w:val="00AB106C"/>
    <w:rsid w:val="00AB500A"/>
    <w:rsid w:val="00AB5264"/>
    <w:rsid w:val="00AC68B7"/>
    <w:rsid w:val="00AE20C7"/>
    <w:rsid w:val="00AE2A8D"/>
    <w:rsid w:val="00AF6EBD"/>
    <w:rsid w:val="00AF7E00"/>
    <w:rsid w:val="00B01369"/>
    <w:rsid w:val="00B0138A"/>
    <w:rsid w:val="00B02937"/>
    <w:rsid w:val="00B0575E"/>
    <w:rsid w:val="00B066B1"/>
    <w:rsid w:val="00B06706"/>
    <w:rsid w:val="00B0710F"/>
    <w:rsid w:val="00B137E7"/>
    <w:rsid w:val="00B22623"/>
    <w:rsid w:val="00B2692B"/>
    <w:rsid w:val="00B32D85"/>
    <w:rsid w:val="00B35610"/>
    <w:rsid w:val="00B472F3"/>
    <w:rsid w:val="00B57D52"/>
    <w:rsid w:val="00B62045"/>
    <w:rsid w:val="00B6209D"/>
    <w:rsid w:val="00B664CD"/>
    <w:rsid w:val="00B66899"/>
    <w:rsid w:val="00B74FA9"/>
    <w:rsid w:val="00B75CB3"/>
    <w:rsid w:val="00B814E2"/>
    <w:rsid w:val="00B94E33"/>
    <w:rsid w:val="00B964E4"/>
    <w:rsid w:val="00BA2B29"/>
    <w:rsid w:val="00BB00FF"/>
    <w:rsid w:val="00BB2581"/>
    <w:rsid w:val="00BB6C8F"/>
    <w:rsid w:val="00BD21FE"/>
    <w:rsid w:val="00BD2853"/>
    <w:rsid w:val="00BD377B"/>
    <w:rsid w:val="00BD5311"/>
    <w:rsid w:val="00BF0347"/>
    <w:rsid w:val="00BF39E7"/>
    <w:rsid w:val="00C02119"/>
    <w:rsid w:val="00C03818"/>
    <w:rsid w:val="00C0665B"/>
    <w:rsid w:val="00C10B1B"/>
    <w:rsid w:val="00C1455C"/>
    <w:rsid w:val="00C176A5"/>
    <w:rsid w:val="00C434EE"/>
    <w:rsid w:val="00C43763"/>
    <w:rsid w:val="00C438E9"/>
    <w:rsid w:val="00C4691B"/>
    <w:rsid w:val="00C46F49"/>
    <w:rsid w:val="00C54CEB"/>
    <w:rsid w:val="00C600E2"/>
    <w:rsid w:val="00C61418"/>
    <w:rsid w:val="00C621BD"/>
    <w:rsid w:val="00C653AA"/>
    <w:rsid w:val="00C66223"/>
    <w:rsid w:val="00C66D9F"/>
    <w:rsid w:val="00C75683"/>
    <w:rsid w:val="00C81E46"/>
    <w:rsid w:val="00C86E98"/>
    <w:rsid w:val="00C94C33"/>
    <w:rsid w:val="00CA1347"/>
    <w:rsid w:val="00CA1590"/>
    <w:rsid w:val="00CB266D"/>
    <w:rsid w:val="00CC1612"/>
    <w:rsid w:val="00CC1B22"/>
    <w:rsid w:val="00CC21A4"/>
    <w:rsid w:val="00CD4303"/>
    <w:rsid w:val="00CD6374"/>
    <w:rsid w:val="00CE0E20"/>
    <w:rsid w:val="00CF0F86"/>
    <w:rsid w:val="00D03064"/>
    <w:rsid w:val="00D03459"/>
    <w:rsid w:val="00D0498C"/>
    <w:rsid w:val="00D04C70"/>
    <w:rsid w:val="00D53199"/>
    <w:rsid w:val="00D576B2"/>
    <w:rsid w:val="00D606A2"/>
    <w:rsid w:val="00D7001C"/>
    <w:rsid w:val="00D72B6B"/>
    <w:rsid w:val="00D80256"/>
    <w:rsid w:val="00D81CD3"/>
    <w:rsid w:val="00D855CF"/>
    <w:rsid w:val="00D859D9"/>
    <w:rsid w:val="00D8714C"/>
    <w:rsid w:val="00D878B2"/>
    <w:rsid w:val="00D945FC"/>
    <w:rsid w:val="00D97F2F"/>
    <w:rsid w:val="00DA1AB1"/>
    <w:rsid w:val="00DA3D07"/>
    <w:rsid w:val="00DA4513"/>
    <w:rsid w:val="00DC1C66"/>
    <w:rsid w:val="00DC4496"/>
    <w:rsid w:val="00DC7070"/>
    <w:rsid w:val="00DD33AF"/>
    <w:rsid w:val="00DD7113"/>
    <w:rsid w:val="00DE3EDF"/>
    <w:rsid w:val="00DE3FDC"/>
    <w:rsid w:val="00DE4F69"/>
    <w:rsid w:val="00DF0F4C"/>
    <w:rsid w:val="00E125A8"/>
    <w:rsid w:val="00E31C80"/>
    <w:rsid w:val="00E34127"/>
    <w:rsid w:val="00E35202"/>
    <w:rsid w:val="00E366AA"/>
    <w:rsid w:val="00E42BF1"/>
    <w:rsid w:val="00E50BE2"/>
    <w:rsid w:val="00E51178"/>
    <w:rsid w:val="00E63FD4"/>
    <w:rsid w:val="00E64ADE"/>
    <w:rsid w:val="00E6561E"/>
    <w:rsid w:val="00E70B06"/>
    <w:rsid w:val="00E70DCB"/>
    <w:rsid w:val="00E96611"/>
    <w:rsid w:val="00EA1CF4"/>
    <w:rsid w:val="00EB72DA"/>
    <w:rsid w:val="00EC1163"/>
    <w:rsid w:val="00EC51AC"/>
    <w:rsid w:val="00ED45FF"/>
    <w:rsid w:val="00ED6CF1"/>
    <w:rsid w:val="00EE4CA9"/>
    <w:rsid w:val="00EF636D"/>
    <w:rsid w:val="00F01F9B"/>
    <w:rsid w:val="00F1193F"/>
    <w:rsid w:val="00F20A91"/>
    <w:rsid w:val="00F22B02"/>
    <w:rsid w:val="00F3485B"/>
    <w:rsid w:val="00F4730B"/>
    <w:rsid w:val="00F53DF6"/>
    <w:rsid w:val="00F57426"/>
    <w:rsid w:val="00F632E0"/>
    <w:rsid w:val="00F72B45"/>
    <w:rsid w:val="00F741F5"/>
    <w:rsid w:val="00F75F09"/>
    <w:rsid w:val="00F84279"/>
    <w:rsid w:val="00F92089"/>
    <w:rsid w:val="00FA04FC"/>
    <w:rsid w:val="00FA3DB2"/>
    <w:rsid w:val="00FB1A93"/>
    <w:rsid w:val="00FB7025"/>
    <w:rsid w:val="00FE1907"/>
    <w:rsid w:val="00FE2882"/>
    <w:rsid w:val="00FE2997"/>
    <w:rsid w:val="00FE2FB1"/>
    <w:rsid w:val="00FF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A671C6"/>
  <w15:docId w15:val="{4586AB3C-AE37-4950-BFFC-2B02374D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
    <w:basedOn w:val="Normal"/>
    <w:link w:val="FootnoteTextChar"/>
    <w:uiPriority w:val="99"/>
    <w:unhideWhenUsed/>
    <w:qFormat/>
    <w:rsid w:val="00AE2A8D"/>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fn Char1"/>
    <w:basedOn w:val="DefaultParagraphFont"/>
    <w:link w:val="FootnoteText"/>
    <w:uiPriority w:val="99"/>
    <w:semiHidden/>
    <w:rsid w:val="00AE2A8D"/>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99"/>
    <w:unhideWhenUsed/>
    <w:qFormat/>
    <w:rsid w:val="00AE2A8D"/>
    <w:rPr>
      <w:vertAlign w:val="superscript"/>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fn Char"/>
    <w:uiPriority w:val="99"/>
    <w:locked/>
    <w:rsid w:val="003D1D40"/>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51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178"/>
    <w:rPr>
      <w:rFonts w:ascii="Segoe UI" w:hAnsi="Segoe UI" w:cs="Segoe UI"/>
      <w:sz w:val="18"/>
      <w:szCs w:val="18"/>
    </w:rPr>
  </w:style>
  <w:style w:type="character" w:styleId="CommentReference">
    <w:name w:val="annotation reference"/>
    <w:basedOn w:val="DefaultParagraphFont"/>
    <w:uiPriority w:val="99"/>
    <w:semiHidden/>
    <w:unhideWhenUsed/>
    <w:rsid w:val="00D0498C"/>
    <w:rPr>
      <w:sz w:val="16"/>
      <w:szCs w:val="16"/>
    </w:rPr>
  </w:style>
  <w:style w:type="paragraph" w:styleId="CommentText">
    <w:name w:val="annotation text"/>
    <w:basedOn w:val="Normal"/>
    <w:link w:val="CommentTextChar"/>
    <w:uiPriority w:val="99"/>
    <w:unhideWhenUsed/>
    <w:rsid w:val="00D0498C"/>
    <w:rPr>
      <w:sz w:val="20"/>
      <w:szCs w:val="20"/>
    </w:rPr>
  </w:style>
  <w:style w:type="character" w:customStyle="1" w:styleId="CommentTextChar">
    <w:name w:val="Comment Text Char"/>
    <w:basedOn w:val="DefaultParagraphFont"/>
    <w:link w:val="CommentText"/>
    <w:uiPriority w:val="99"/>
    <w:rsid w:val="00D0498C"/>
    <w:rPr>
      <w:sz w:val="20"/>
      <w:szCs w:val="20"/>
    </w:rPr>
  </w:style>
  <w:style w:type="paragraph" w:styleId="CommentSubject">
    <w:name w:val="annotation subject"/>
    <w:basedOn w:val="CommentText"/>
    <w:next w:val="CommentText"/>
    <w:link w:val="CommentSubjectChar"/>
    <w:uiPriority w:val="99"/>
    <w:semiHidden/>
    <w:unhideWhenUsed/>
    <w:rsid w:val="00D0498C"/>
    <w:rPr>
      <w:b/>
      <w:bCs/>
    </w:rPr>
  </w:style>
  <w:style w:type="character" w:customStyle="1" w:styleId="CommentSubjectChar">
    <w:name w:val="Comment Subject Char"/>
    <w:basedOn w:val="CommentTextChar"/>
    <w:link w:val="CommentSubject"/>
    <w:uiPriority w:val="99"/>
    <w:semiHidden/>
    <w:rsid w:val="00D0498C"/>
    <w:rPr>
      <w:b/>
      <w:bCs/>
      <w:sz w:val="20"/>
      <w:szCs w:val="20"/>
    </w:rPr>
  </w:style>
  <w:style w:type="paragraph" w:styleId="Revision">
    <w:name w:val="Revision"/>
    <w:hidden/>
    <w:uiPriority w:val="99"/>
    <w:semiHidden/>
    <w:rsid w:val="00805AE6"/>
    <w:pPr>
      <w:spacing w:after="0" w:line="240" w:lineRule="auto"/>
    </w:pPr>
  </w:style>
  <w:style w:type="character" w:styleId="Hyperlink">
    <w:name w:val="Hyperlink"/>
    <w:basedOn w:val="DefaultParagraphFont"/>
    <w:uiPriority w:val="99"/>
    <w:unhideWhenUsed/>
    <w:rsid w:val="005E3DDB"/>
    <w:rPr>
      <w:color w:val="0000FF" w:themeColor="hyperlink"/>
      <w:u w:val="single"/>
    </w:rPr>
  </w:style>
  <w:style w:type="character" w:styleId="FollowedHyperlink">
    <w:name w:val="FollowedHyperlink"/>
    <w:basedOn w:val="DefaultParagraphFont"/>
    <w:uiPriority w:val="99"/>
    <w:semiHidden/>
    <w:unhideWhenUsed/>
    <w:rsid w:val="005E3D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tc.wa.gov/docs/Pages/DocketLookup.aspx?FilingID=140762" TargetMode="External"/><Relationship Id="rId2" Type="http://schemas.openxmlformats.org/officeDocument/2006/relationships/hyperlink" Target="http://www.utc.wa.gov/docs/Pages/DocketLookup.aspx?FilingID=130617" TargetMode="External"/><Relationship Id="rId1" Type="http://schemas.openxmlformats.org/officeDocument/2006/relationships/hyperlink" Target="http://www.utc.wa.gov/docs/Pages/DocketLookup.aspx?FilingID=100749" TargetMode="External"/><Relationship Id="rId4" Type="http://schemas.openxmlformats.org/officeDocument/2006/relationships/hyperlink" Target="http://www.utc.wa.gov/docs/Pages/DocketLookup.aspx?FilingID=111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2016-03-17T20:34:30+00:00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B26F-B106-4521-9C94-7E623777C3A3}"/>
</file>

<file path=customXml/itemProps2.xml><?xml version="1.0" encoding="utf-8"?>
<ds:datastoreItem xmlns:ds="http://schemas.openxmlformats.org/officeDocument/2006/customXml" ds:itemID="{414B1EC4-0B0F-4B6A-9345-7F876FD1F152}"/>
</file>

<file path=customXml/itemProps3.xml><?xml version="1.0" encoding="utf-8"?>
<ds:datastoreItem xmlns:ds="http://schemas.openxmlformats.org/officeDocument/2006/customXml" ds:itemID="{6D128EC3-A66F-4CD9-8870-C86A756ABDC5}"/>
</file>

<file path=customXml/itemProps4.xml><?xml version="1.0" encoding="utf-8"?>
<ds:datastoreItem xmlns:ds="http://schemas.openxmlformats.org/officeDocument/2006/customXml" ds:itemID="{A263537E-E630-43F9-8D65-6F1AA9903F0A}"/>
</file>

<file path=customXml/itemProps5.xml><?xml version="1.0" encoding="utf-8"?>
<ds:datastoreItem xmlns:ds="http://schemas.openxmlformats.org/officeDocument/2006/customXml" ds:itemID="{984D02BB-49BB-48E6-B412-866402E48DB7}"/>
</file>

<file path=docProps/app.xml><?xml version="1.0" encoding="utf-8"?>
<Properties xmlns="http://schemas.openxmlformats.org/officeDocument/2006/extended-properties" xmlns:vt="http://schemas.openxmlformats.org/officeDocument/2006/docPropsVTypes">
  <Template>Normal.dotm</Template>
  <TotalTime>2572</TotalTime>
  <Pages>14</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152253 - Van Meter Testimony 3-17-16</vt:lpstr>
    </vt:vector>
  </TitlesOfParts>
  <Company>Washington Utilities and Transportation Commission</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Meter Testimony</dc:title>
  <dc:subject/>
  <dc:creator>Information Services</dc:creator>
  <cp:keywords/>
  <dc:description/>
  <cp:lastModifiedBy>DeMarco, Betsy (UTC)</cp:lastModifiedBy>
  <cp:revision>220</cp:revision>
  <cp:lastPrinted>2016-03-15T17:11:00Z</cp:lastPrinted>
  <dcterms:created xsi:type="dcterms:W3CDTF">2016-02-23T21:06:00Z</dcterms:created>
  <dcterms:modified xsi:type="dcterms:W3CDTF">2016-03-16T15:22:00Z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